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 w:lineRule="exact"/>
        <w:rPr>
          <w:rFonts w:ascii="宋体" w:hAnsi="宋体" w:cs="宋体"/>
          <w:color w:val="auto"/>
          <w:sz w:val="24"/>
          <w:szCs w:val="24"/>
          <w:highlight w:val="none"/>
        </w:rPr>
      </w:pPr>
      <w:bookmarkStart w:id="0" w:name="page1"/>
      <w:bookmarkEnd w:id="0"/>
    </w:p>
    <w:p>
      <w:pPr>
        <w:spacing w:line="200" w:lineRule="exact"/>
        <w:rPr>
          <w:rFonts w:ascii="宋体" w:hAnsi="宋体" w:cs="宋体"/>
          <w:color w:val="auto"/>
          <w:sz w:val="24"/>
          <w:szCs w:val="24"/>
          <w:highlight w:val="none"/>
        </w:rPr>
      </w:pPr>
    </w:p>
    <w:p>
      <w:pPr>
        <w:pStyle w:val="26"/>
        <w:rPr>
          <w:rFonts w:ascii="宋体" w:hAnsi="宋体" w:cs="宋体"/>
          <w:color w:val="auto"/>
          <w:sz w:val="24"/>
          <w:szCs w:val="24"/>
          <w:highlight w:val="none"/>
        </w:rPr>
      </w:pPr>
    </w:p>
    <w:p>
      <w:pPr>
        <w:pStyle w:val="28"/>
        <w:rPr>
          <w:color w:val="auto"/>
          <w:highlight w:val="none"/>
        </w:rPr>
      </w:pPr>
    </w:p>
    <w:p>
      <w:pPr>
        <w:pStyle w:val="28"/>
        <w:rPr>
          <w:color w:val="auto"/>
          <w:highlight w:val="none"/>
        </w:rPr>
      </w:pPr>
    </w:p>
    <w:p>
      <w:pPr>
        <w:spacing w:line="200" w:lineRule="exact"/>
        <w:rPr>
          <w:rFonts w:ascii="宋体" w:hAnsi="宋体" w:cs="宋体"/>
          <w:color w:val="auto"/>
          <w:sz w:val="24"/>
          <w:szCs w:val="24"/>
          <w:highlight w:val="none"/>
        </w:rPr>
      </w:pPr>
    </w:p>
    <w:p>
      <w:pPr>
        <w:spacing w:line="200" w:lineRule="exact"/>
        <w:rPr>
          <w:rFonts w:ascii="宋体" w:hAnsi="宋体" w:cs="宋体"/>
          <w:color w:val="auto"/>
          <w:sz w:val="24"/>
          <w:szCs w:val="24"/>
          <w:highlight w:val="none"/>
        </w:rPr>
      </w:pPr>
    </w:p>
    <w:p>
      <w:pPr>
        <w:spacing w:line="360" w:lineRule="auto"/>
        <w:jc w:val="center"/>
        <w:rPr>
          <w:rFonts w:ascii="宋体" w:hAnsi="宋体" w:cs="宋体"/>
          <w:b/>
          <w:color w:val="auto"/>
          <w:spacing w:val="-6"/>
          <w:sz w:val="52"/>
          <w:szCs w:val="52"/>
          <w:highlight w:val="none"/>
        </w:rPr>
      </w:pPr>
      <w:r>
        <w:rPr>
          <w:rFonts w:hint="eastAsia" w:ascii="宋体" w:hAnsi="宋体" w:cs="宋体"/>
          <w:b/>
          <w:color w:val="auto"/>
          <w:spacing w:val="-6"/>
          <w:sz w:val="52"/>
          <w:szCs w:val="52"/>
          <w:highlight w:val="none"/>
        </w:rPr>
        <w:t>浙江农林大学</w:t>
      </w:r>
    </w:p>
    <w:p>
      <w:pPr>
        <w:spacing w:line="360" w:lineRule="auto"/>
        <w:jc w:val="center"/>
        <w:rPr>
          <w:rFonts w:hint="eastAsia" w:ascii="宋体" w:hAnsi="宋体" w:eastAsia="宋体" w:cs="宋体"/>
          <w:b/>
          <w:color w:val="auto"/>
          <w:spacing w:val="-6"/>
          <w:sz w:val="96"/>
          <w:szCs w:val="96"/>
          <w:highlight w:val="none"/>
          <w:lang w:eastAsia="zh-CN"/>
        </w:rPr>
      </w:pPr>
      <w:r>
        <w:rPr>
          <w:rFonts w:hint="eastAsia" w:ascii="宋体" w:hAnsi="宋体" w:cs="宋体"/>
          <w:b/>
          <w:color w:val="auto"/>
          <w:spacing w:val="-6"/>
          <w:sz w:val="52"/>
          <w:szCs w:val="52"/>
          <w:highlight w:val="none"/>
          <w:lang w:eastAsia="zh-CN"/>
        </w:rPr>
        <w:t>教学大楼西侧卫生间改造工程</w:t>
      </w:r>
    </w:p>
    <w:p>
      <w:pPr>
        <w:spacing w:line="360" w:lineRule="auto"/>
        <w:jc w:val="both"/>
        <w:rPr>
          <w:rFonts w:ascii="宋体" w:hAnsi="宋体" w:cs="宋体"/>
          <w:b/>
          <w:color w:val="auto"/>
          <w:spacing w:val="-6"/>
          <w:sz w:val="72"/>
          <w:szCs w:val="72"/>
          <w:highlight w:val="none"/>
        </w:rPr>
      </w:pPr>
    </w:p>
    <w:p>
      <w:pPr>
        <w:pStyle w:val="26"/>
        <w:rPr>
          <w:rFonts w:ascii="宋体" w:hAnsi="宋体" w:eastAsia="宋体" w:cs="宋体"/>
          <w:color w:val="auto"/>
          <w:highlight w:val="none"/>
        </w:rPr>
      </w:pPr>
    </w:p>
    <w:p>
      <w:pPr>
        <w:spacing w:line="360" w:lineRule="auto"/>
        <w:jc w:val="center"/>
        <w:rPr>
          <w:rFonts w:ascii="宋体" w:hAnsi="宋体" w:cs="宋体"/>
          <w:b/>
          <w:color w:val="auto"/>
          <w:spacing w:val="-6"/>
          <w:sz w:val="72"/>
          <w:szCs w:val="72"/>
          <w:highlight w:val="none"/>
        </w:rPr>
      </w:pPr>
      <w:r>
        <w:rPr>
          <w:rFonts w:hint="eastAsia" w:ascii="宋体" w:hAnsi="宋体" w:cs="宋体"/>
          <w:b/>
          <w:color w:val="auto"/>
          <w:spacing w:val="-6"/>
          <w:sz w:val="72"/>
          <w:szCs w:val="72"/>
          <w:highlight w:val="none"/>
        </w:rPr>
        <w:t>竞争性磋商文件</w:t>
      </w:r>
    </w:p>
    <w:p>
      <w:pPr>
        <w:spacing w:line="360" w:lineRule="auto"/>
        <w:jc w:val="center"/>
        <w:rPr>
          <w:rFonts w:ascii="宋体" w:hAnsi="宋体" w:cs="宋体"/>
          <w:color w:val="auto"/>
          <w:sz w:val="44"/>
          <w:szCs w:val="44"/>
          <w:highlight w:val="none"/>
        </w:rPr>
      </w:pPr>
    </w:p>
    <w:p>
      <w:pPr>
        <w:spacing w:line="360" w:lineRule="auto"/>
        <w:jc w:val="center"/>
        <w:rPr>
          <w:rFonts w:ascii="宋体" w:hAnsi="宋体" w:cs="宋体"/>
          <w:color w:val="auto"/>
          <w:sz w:val="44"/>
          <w:szCs w:val="44"/>
          <w:highlight w:val="none"/>
        </w:rPr>
      </w:pPr>
    </w:p>
    <w:p>
      <w:pPr>
        <w:rPr>
          <w:rFonts w:ascii="宋体" w:hAnsi="宋体" w:cs="宋体"/>
          <w:color w:val="auto"/>
          <w:szCs w:val="24"/>
          <w:highlight w:val="none"/>
        </w:rPr>
      </w:pPr>
    </w:p>
    <w:p>
      <w:pPr>
        <w:snapToGrid w:val="0"/>
        <w:spacing w:line="360" w:lineRule="auto"/>
        <w:ind w:left="2215" w:leftChars="290" w:hanging="1606" w:hangingChars="500"/>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招标项目：</w:t>
      </w:r>
      <w:r>
        <w:rPr>
          <w:rFonts w:hint="eastAsia" w:ascii="宋体" w:hAnsi="宋体" w:cs="宋体"/>
          <w:b/>
          <w:bCs/>
          <w:color w:val="auto"/>
          <w:sz w:val="32"/>
          <w:szCs w:val="32"/>
          <w:highlight w:val="none"/>
          <w:lang w:eastAsia="zh-CN"/>
        </w:rPr>
        <w:t>教学大楼西侧卫生间改造工程</w:t>
      </w:r>
    </w:p>
    <w:p>
      <w:pPr>
        <w:snapToGrid w:val="0"/>
        <w:spacing w:line="360" w:lineRule="auto"/>
        <w:ind w:left="609" w:leftChars="290"/>
        <w:rPr>
          <w:rFonts w:ascii="宋体" w:hAnsi="宋体" w:cs="宋体"/>
          <w:b/>
          <w:bCs/>
          <w:color w:val="auto"/>
          <w:sz w:val="32"/>
          <w:szCs w:val="32"/>
          <w:highlight w:val="none"/>
        </w:rPr>
      </w:pPr>
      <w:r>
        <w:rPr>
          <w:rFonts w:hint="eastAsia" w:ascii="宋体" w:hAnsi="宋体" w:cs="宋体"/>
          <w:b/>
          <w:bCs/>
          <w:color w:val="auto"/>
          <w:sz w:val="32"/>
          <w:szCs w:val="32"/>
          <w:highlight w:val="none"/>
        </w:rPr>
        <w:t>确认书号：[2020]28780号、[2020]28781号</w:t>
      </w:r>
    </w:p>
    <w:p>
      <w:pPr>
        <w:snapToGrid w:val="0"/>
        <w:spacing w:line="360" w:lineRule="auto"/>
        <w:ind w:firstLine="643" w:firstLineChars="200"/>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招标编号：</w:t>
      </w:r>
      <w:r>
        <w:rPr>
          <w:rFonts w:hint="eastAsia" w:ascii="宋体" w:hAnsi="宋体" w:cs="宋体"/>
          <w:b/>
          <w:bCs/>
          <w:color w:val="auto"/>
          <w:sz w:val="32"/>
          <w:szCs w:val="32"/>
          <w:highlight w:val="none"/>
          <w:lang w:eastAsia="zh-CN"/>
        </w:rPr>
        <w:t>ZJWSBJ-NL-2020008C（1）</w:t>
      </w:r>
    </w:p>
    <w:p>
      <w:pPr>
        <w:snapToGrid w:val="0"/>
        <w:spacing w:line="360" w:lineRule="auto"/>
        <w:ind w:firstLine="643" w:firstLineChars="200"/>
        <w:rPr>
          <w:rFonts w:ascii="宋体" w:hAnsi="宋体" w:cs="宋体"/>
          <w:b/>
          <w:bCs/>
          <w:color w:val="auto"/>
          <w:sz w:val="32"/>
          <w:szCs w:val="32"/>
          <w:highlight w:val="none"/>
        </w:rPr>
      </w:pPr>
      <w:r>
        <w:rPr>
          <w:rFonts w:hint="eastAsia" w:ascii="宋体" w:hAnsi="宋体" w:cs="宋体"/>
          <w:b/>
          <w:bCs/>
          <w:color w:val="auto"/>
          <w:sz w:val="32"/>
          <w:szCs w:val="32"/>
          <w:highlight w:val="none"/>
        </w:rPr>
        <w:t>招 标 人：浙江农林大学</w:t>
      </w:r>
    </w:p>
    <w:p>
      <w:pPr>
        <w:snapToGrid w:val="0"/>
        <w:spacing w:line="360" w:lineRule="auto"/>
        <w:ind w:firstLine="643" w:firstLineChars="200"/>
        <w:rPr>
          <w:rFonts w:ascii="宋体" w:hAnsi="宋体" w:cs="宋体"/>
          <w:b/>
          <w:bCs/>
          <w:color w:val="auto"/>
          <w:sz w:val="32"/>
          <w:szCs w:val="32"/>
          <w:highlight w:val="none"/>
        </w:rPr>
      </w:pPr>
      <w:r>
        <w:rPr>
          <w:rFonts w:hint="eastAsia" w:ascii="宋体" w:hAnsi="宋体" w:cs="宋体"/>
          <w:b/>
          <w:bCs/>
          <w:color w:val="auto"/>
          <w:sz w:val="32"/>
          <w:szCs w:val="32"/>
          <w:highlight w:val="none"/>
        </w:rPr>
        <w:t>代理机构：浙江五石工程咨询有限公司</w:t>
      </w:r>
    </w:p>
    <w:p>
      <w:pPr>
        <w:snapToGrid w:val="0"/>
        <w:spacing w:line="360" w:lineRule="auto"/>
        <w:ind w:firstLine="643" w:firstLineChars="200"/>
        <w:rPr>
          <w:rFonts w:ascii="宋体" w:hAnsi="宋体" w:cs="宋体"/>
          <w:color w:val="auto"/>
          <w:highlight w:val="none"/>
        </w:rPr>
        <w:sectPr>
          <w:headerReference r:id="rId4" w:type="first"/>
          <w:headerReference r:id="rId3" w:type="default"/>
          <w:footerReference r:id="rId5" w:type="default"/>
          <w:pgSz w:w="11900" w:h="16838"/>
          <w:pgMar w:top="1440" w:right="1440" w:bottom="401" w:left="1440" w:header="567" w:footer="567" w:gutter="0"/>
          <w:cols w:equalWidth="0" w:num="1">
            <w:col w:w="9026"/>
          </w:cols>
        </w:sectPr>
      </w:pPr>
      <w:r>
        <w:rPr>
          <w:rFonts w:hint="eastAsia" w:ascii="宋体" w:hAnsi="宋体" w:cs="宋体"/>
          <w:b/>
          <w:bCs/>
          <w:color w:val="auto"/>
          <w:sz w:val="32"/>
          <w:szCs w:val="32"/>
          <w:highlight w:val="none"/>
        </w:rPr>
        <w:t>时    间：二〇二〇年</w:t>
      </w:r>
      <w:r>
        <w:rPr>
          <w:rFonts w:hint="eastAsia" w:ascii="宋体" w:hAnsi="宋体" w:cs="宋体"/>
          <w:b/>
          <w:bCs/>
          <w:color w:val="auto"/>
          <w:sz w:val="32"/>
          <w:szCs w:val="32"/>
          <w:highlight w:val="none"/>
          <w:lang w:eastAsia="zh-CN"/>
        </w:rPr>
        <w:t>七</w:t>
      </w:r>
      <w:r>
        <w:rPr>
          <w:rFonts w:hint="eastAsia" w:ascii="宋体" w:hAnsi="宋体" w:cs="宋体"/>
          <w:b/>
          <w:bCs/>
          <w:color w:val="auto"/>
          <w:sz w:val="32"/>
          <w:szCs w:val="32"/>
          <w:highlight w:val="none"/>
        </w:rPr>
        <w:t>月</w:t>
      </w:r>
    </w:p>
    <w:p>
      <w:pPr>
        <w:tabs>
          <w:tab w:val="left" w:pos="4720"/>
        </w:tabs>
        <w:spacing w:line="502" w:lineRule="exact"/>
        <w:jc w:val="center"/>
        <w:rPr>
          <w:rFonts w:ascii="宋体" w:hAnsi="宋体" w:cs="宋体"/>
          <w:b/>
          <w:bCs/>
          <w:color w:val="auto"/>
          <w:sz w:val="43"/>
          <w:szCs w:val="43"/>
          <w:highlight w:val="none"/>
        </w:rPr>
      </w:pPr>
      <w:bookmarkStart w:id="1" w:name="page2"/>
      <w:bookmarkEnd w:id="1"/>
      <w:r>
        <w:rPr>
          <w:rFonts w:hint="eastAsia" w:ascii="宋体" w:hAnsi="宋体" w:cs="宋体"/>
          <w:b/>
          <w:bCs/>
          <w:color w:val="auto"/>
          <w:sz w:val="44"/>
          <w:szCs w:val="44"/>
          <w:highlight w:val="none"/>
        </w:rPr>
        <w:t xml:space="preserve">目 </w:t>
      </w:r>
      <w:r>
        <w:rPr>
          <w:rFonts w:hint="eastAsia" w:ascii="宋体" w:hAnsi="宋体" w:cs="宋体"/>
          <w:b/>
          <w:bCs/>
          <w:color w:val="auto"/>
          <w:sz w:val="43"/>
          <w:szCs w:val="43"/>
          <w:highlight w:val="none"/>
        </w:rPr>
        <w:t>录</w:t>
      </w:r>
    </w:p>
    <w:p>
      <w:pPr>
        <w:pStyle w:val="26"/>
        <w:rPr>
          <w:rFonts w:eastAsia="宋体"/>
          <w:color w:val="auto"/>
          <w:highlight w:val="none"/>
        </w:rPr>
      </w:pPr>
    </w:p>
    <w:p>
      <w:pPr>
        <w:pStyle w:val="51"/>
        <w:tabs>
          <w:tab w:val="right" w:leader="dot" w:pos="9754"/>
        </w:tabs>
        <w:spacing w:line="360" w:lineRule="auto"/>
        <w:rPr>
          <w:rFonts w:ascii="宋体" w:hAnsi="宋体" w:cs="宋体"/>
          <w:b/>
          <w:color w:val="auto"/>
          <w:sz w:val="21"/>
          <w:szCs w:val="21"/>
          <w:highlight w:val="none"/>
        </w:rPr>
      </w:pPr>
      <w:r>
        <w:rPr>
          <w:rFonts w:hint="eastAsia" w:ascii="宋体" w:hAnsi="宋体" w:cs="宋体"/>
          <w:b/>
          <w:bCs/>
          <w:color w:val="auto"/>
          <w:sz w:val="21"/>
          <w:szCs w:val="21"/>
          <w:highlight w:val="none"/>
        </w:rPr>
        <w:fldChar w:fldCharType="begin"/>
      </w:r>
      <w:r>
        <w:rPr>
          <w:rFonts w:hint="eastAsia" w:ascii="宋体" w:hAnsi="宋体" w:cs="宋体"/>
          <w:b/>
          <w:bCs/>
          <w:color w:val="auto"/>
          <w:sz w:val="21"/>
          <w:szCs w:val="21"/>
          <w:highlight w:val="none"/>
        </w:rPr>
        <w:instrText xml:space="preserve">TOC \o "1-2" \h \u </w:instrText>
      </w:r>
      <w:r>
        <w:rPr>
          <w:rFonts w:hint="eastAsia" w:ascii="宋体" w:hAnsi="宋体" w:cs="宋体"/>
          <w:b/>
          <w:bCs/>
          <w:color w:val="auto"/>
          <w:sz w:val="21"/>
          <w:szCs w:val="21"/>
          <w:highlight w:val="none"/>
        </w:rPr>
        <w:fldChar w:fldCharType="separate"/>
      </w:r>
      <w:r>
        <w:rPr>
          <w:color w:val="auto"/>
          <w:highlight w:val="none"/>
        </w:rPr>
        <w:fldChar w:fldCharType="begin"/>
      </w:r>
      <w:r>
        <w:rPr>
          <w:color w:val="auto"/>
          <w:highlight w:val="none"/>
        </w:rPr>
        <w:instrText xml:space="preserve"> HYPERLINK \l "_Toc13387" </w:instrText>
      </w:r>
      <w:r>
        <w:rPr>
          <w:color w:val="auto"/>
          <w:highlight w:val="none"/>
        </w:rPr>
        <w:fldChar w:fldCharType="separate"/>
      </w:r>
      <w:r>
        <w:rPr>
          <w:rFonts w:hint="eastAsia" w:ascii="宋体" w:hAnsi="宋体" w:cs="宋体"/>
          <w:b/>
          <w:color w:val="auto"/>
          <w:spacing w:val="-6"/>
          <w:sz w:val="21"/>
          <w:szCs w:val="21"/>
          <w:highlight w:val="none"/>
        </w:rPr>
        <w:t>电子交易须知</w:t>
      </w:r>
      <w:r>
        <w:rPr>
          <w:rFonts w:hint="eastAsia" w:ascii="宋体" w:hAnsi="宋体" w:cs="宋体"/>
          <w:b/>
          <w:color w:val="auto"/>
          <w:sz w:val="21"/>
          <w:szCs w:val="21"/>
          <w:highlight w:val="none"/>
        </w:rPr>
        <w:tab/>
      </w:r>
      <w:r>
        <w:rPr>
          <w:rFonts w:hint="eastAsia" w:ascii="宋体" w:hAnsi="宋体" w:cs="宋体"/>
          <w:b/>
          <w:color w:val="auto"/>
          <w:sz w:val="21"/>
          <w:szCs w:val="21"/>
          <w:highlight w:val="none"/>
        </w:rPr>
        <w:fldChar w:fldCharType="begin"/>
      </w:r>
      <w:r>
        <w:rPr>
          <w:rFonts w:hint="eastAsia" w:ascii="宋体" w:hAnsi="宋体" w:cs="宋体"/>
          <w:b/>
          <w:color w:val="auto"/>
          <w:sz w:val="21"/>
          <w:szCs w:val="21"/>
          <w:highlight w:val="none"/>
        </w:rPr>
        <w:instrText xml:space="preserve"> PAGEREF _Toc13387 </w:instrText>
      </w:r>
      <w:r>
        <w:rPr>
          <w:rFonts w:hint="eastAsia" w:ascii="宋体" w:hAnsi="宋体" w:cs="宋体"/>
          <w:b/>
          <w:color w:val="auto"/>
          <w:sz w:val="21"/>
          <w:szCs w:val="21"/>
          <w:highlight w:val="none"/>
        </w:rPr>
        <w:fldChar w:fldCharType="separate"/>
      </w:r>
      <w:r>
        <w:rPr>
          <w:rFonts w:hint="eastAsia" w:ascii="宋体" w:hAnsi="宋体" w:cs="宋体"/>
          <w:b/>
          <w:color w:val="auto"/>
          <w:sz w:val="21"/>
          <w:szCs w:val="21"/>
          <w:highlight w:val="none"/>
        </w:rPr>
        <w:t>3</w:t>
      </w:r>
      <w:r>
        <w:rPr>
          <w:rFonts w:hint="eastAsia" w:ascii="宋体" w:hAnsi="宋体" w:cs="宋体"/>
          <w:b/>
          <w:color w:val="auto"/>
          <w:sz w:val="21"/>
          <w:szCs w:val="21"/>
          <w:highlight w:val="none"/>
        </w:rPr>
        <w:fldChar w:fldCharType="end"/>
      </w:r>
      <w:r>
        <w:rPr>
          <w:rFonts w:hint="eastAsia" w:ascii="宋体" w:hAnsi="宋体" w:cs="宋体"/>
          <w:b/>
          <w:color w:val="auto"/>
          <w:sz w:val="21"/>
          <w:szCs w:val="21"/>
          <w:highlight w:val="none"/>
        </w:rPr>
        <w:fldChar w:fldCharType="end"/>
      </w:r>
    </w:p>
    <w:p>
      <w:pPr>
        <w:pStyle w:val="51"/>
        <w:tabs>
          <w:tab w:val="right" w:leader="dot" w:pos="9754"/>
        </w:tabs>
        <w:spacing w:line="360" w:lineRule="auto"/>
        <w:rPr>
          <w:rFonts w:ascii="宋体" w:hAnsi="宋体" w:cs="宋体"/>
          <w:b/>
          <w:color w:val="auto"/>
          <w:sz w:val="21"/>
          <w:szCs w:val="21"/>
          <w:highlight w:val="none"/>
        </w:rPr>
      </w:pPr>
      <w:r>
        <w:rPr>
          <w:color w:val="auto"/>
          <w:highlight w:val="none"/>
        </w:rPr>
        <w:fldChar w:fldCharType="begin"/>
      </w:r>
      <w:r>
        <w:rPr>
          <w:color w:val="auto"/>
          <w:highlight w:val="none"/>
        </w:rPr>
        <w:instrText xml:space="preserve"> HYPERLINK \l "_Toc20706" </w:instrText>
      </w:r>
      <w:r>
        <w:rPr>
          <w:color w:val="auto"/>
          <w:highlight w:val="none"/>
        </w:rPr>
        <w:fldChar w:fldCharType="separate"/>
      </w:r>
      <w:r>
        <w:rPr>
          <w:rFonts w:hint="eastAsia" w:ascii="宋体" w:hAnsi="宋体" w:cs="宋体"/>
          <w:b/>
          <w:bCs/>
          <w:color w:val="auto"/>
          <w:sz w:val="21"/>
          <w:szCs w:val="21"/>
          <w:highlight w:val="none"/>
        </w:rPr>
        <w:t>第一章  竞争性磋商公告</w:t>
      </w:r>
      <w:r>
        <w:rPr>
          <w:rFonts w:hint="eastAsia" w:ascii="宋体" w:hAnsi="宋体" w:cs="宋体"/>
          <w:b/>
          <w:color w:val="auto"/>
          <w:sz w:val="21"/>
          <w:szCs w:val="21"/>
          <w:highlight w:val="none"/>
        </w:rPr>
        <w:tab/>
      </w:r>
      <w:r>
        <w:rPr>
          <w:rFonts w:hint="eastAsia" w:ascii="宋体" w:hAnsi="宋体" w:cs="宋体"/>
          <w:b/>
          <w:color w:val="auto"/>
          <w:sz w:val="21"/>
          <w:szCs w:val="21"/>
          <w:highlight w:val="none"/>
        </w:rPr>
        <w:fldChar w:fldCharType="begin"/>
      </w:r>
      <w:r>
        <w:rPr>
          <w:rFonts w:hint="eastAsia" w:ascii="宋体" w:hAnsi="宋体" w:cs="宋体"/>
          <w:b/>
          <w:color w:val="auto"/>
          <w:sz w:val="21"/>
          <w:szCs w:val="21"/>
          <w:highlight w:val="none"/>
        </w:rPr>
        <w:instrText xml:space="preserve"> PAGEREF _Toc20706 </w:instrText>
      </w:r>
      <w:r>
        <w:rPr>
          <w:rFonts w:hint="eastAsia" w:ascii="宋体" w:hAnsi="宋体" w:cs="宋体"/>
          <w:b/>
          <w:color w:val="auto"/>
          <w:sz w:val="21"/>
          <w:szCs w:val="21"/>
          <w:highlight w:val="none"/>
        </w:rPr>
        <w:fldChar w:fldCharType="separate"/>
      </w:r>
      <w:r>
        <w:rPr>
          <w:rFonts w:hint="eastAsia" w:ascii="宋体" w:hAnsi="宋体" w:cs="宋体"/>
          <w:b/>
          <w:color w:val="auto"/>
          <w:sz w:val="21"/>
          <w:szCs w:val="21"/>
          <w:highlight w:val="none"/>
        </w:rPr>
        <w:t>1</w:t>
      </w:r>
      <w:r>
        <w:rPr>
          <w:rFonts w:hint="eastAsia" w:ascii="宋体" w:hAnsi="宋体" w:cs="宋体"/>
          <w:b/>
          <w:color w:val="auto"/>
          <w:sz w:val="21"/>
          <w:szCs w:val="21"/>
          <w:highlight w:val="none"/>
        </w:rPr>
        <w:fldChar w:fldCharType="end"/>
      </w:r>
      <w:r>
        <w:rPr>
          <w:rFonts w:hint="eastAsia" w:ascii="宋体" w:hAnsi="宋体" w:cs="宋体"/>
          <w:b/>
          <w:color w:val="auto"/>
          <w:sz w:val="21"/>
          <w:szCs w:val="21"/>
          <w:highlight w:val="none"/>
        </w:rPr>
        <w:fldChar w:fldCharType="end"/>
      </w:r>
    </w:p>
    <w:p>
      <w:pPr>
        <w:pStyle w:val="51"/>
        <w:tabs>
          <w:tab w:val="right" w:leader="dot" w:pos="9754"/>
        </w:tabs>
        <w:spacing w:line="360" w:lineRule="auto"/>
        <w:rPr>
          <w:rFonts w:ascii="宋体" w:hAnsi="宋体" w:cs="宋体"/>
          <w:b/>
          <w:color w:val="auto"/>
          <w:sz w:val="21"/>
          <w:szCs w:val="21"/>
          <w:highlight w:val="none"/>
        </w:rPr>
      </w:pPr>
      <w:r>
        <w:rPr>
          <w:color w:val="auto"/>
          <w:highlight w:val="none"/>
        </w:rPr>
        <w:fldChar w:fldCharType="begin"/>
      </w:r>
      <w:r>
        <w:rPr>
          <w:color w:val="auto"/>
          <w:highlight w:val="none"/>
        </w:rPr>
        <w:instrText xml:space="preserve"> HYPERLINK \l "_Toc27790" </w:instrText>
      </w:r>
      <w:r>
        <w:rPr>
          <w:color w:val="auto"/>
          <w:highlight w:val="none"/>
        </w:rPr>
        <w:fldChar w:fldCharType="separate"/>
      </w:r>
      <w:r>
        <w:rPr>
          <w:rFonts w:hint="eastAsia" w:ascii="宋体" w:hAnsi="宋体" w:cs="宋体"/>
          <w:b/>
          <w:bCs/>
          <w:color w:val="auto"/>
          <w:sz w:val="21"/>
          <w:szCs w:val="21"/>
          <w:highlight w:val="none"/>
        </w:rPr>
        <w:t>第二章  供应商须知前附表</w:t>
      </w:r>
      <w:r>
        <w:rPr>
          <w:rFonts w:hint="eastAsia" w:ascii="宋体" w:hAnsi="宋体" w:cs="宋体"/>
          <w:b/>
          <w:color w:val="auto"/>
          <w:sz w:val="21"/>
          <w:szCs w:val="21"/>
          <w:highlight w:val="none"/>
        </w:rPr>
        <w:tab/>
      </w:r>
      <w:r>
        <w:rPr>
          <w:rFonts w:hint="eastAsia" w:ascii="宋体" w:hAnsi="宋体" w:cs="宋体"/>
          <w:b/>
          <w:color w:val="auto"/>
          <w:sz w:val="21"/>
          <w:szCs w:val="21"/>
          <w:highlight w:val="none"/>
        </w:rPr>
        <w:fldChar w:fldCharType="begin"/>
      </w:r>
      <w:r>
        <w:rPr>
          <w:rFonts w:hint="eastAsia" w:ascii="宋体" w:hAnsi="宋体" w:cs="宋体"/>
          <w:b/>
          <w:color w:val="auto"/>
          <w:sz w:val="21"/>
          <w:szCs w:val="21"/>
          <w:highlight w:val="none"/>
        </w:rPr>
        <w:instrText xml:space="preserve"> PAGEREF _Toc27790 </w:instrText>
      </w:r>
      <w:r>
        <w:rPr>
          <w:rFonts w:hint="eastAsia" w:ascii="宋体" w:hAnsi="宋体" w:cs="宋体"/>
          <w:b/>
          <w:color w:val="auto"/>
          <w:sz w:val="21"/>
          <w:szCs w:val="21"/>
          <w:highlight w:val="none"/>
        </w:rPr>
        <w:fldChar w:fldCharType="separate"/>
      </w:r>
      <w:r>
        <w:rPr>
          <w:rFonts w:hint="eastAsia" w:ascii="宋体" w:hAnsi="宋体" w:cs="宋体"/>
          <w:b/>
          <w:color w:val="auto"/>
          <w:sz w:val="21"/>
          <w:szCs w:val="21"/>
          <w:highlight w:val="none"/>
        </w:rPr>
        <w:t>5</w:t>
      </w:r>
      <w:r>
        <w:rPr>
          <w:rFonts w:hint="eastAsia" w:ascii="宋体" w:hAnsi="宋体" w:cs="宋体"/>
          <w:b/>
          <w:color w:val="auto"/>
          <w:sz w:val="21"/>
          <w:szCs w:val="21"/>
          <w:highlight w:val="none"/>
        </w:rPr>
        <w:fldChar w:fldCharType="end"/>
      </w:r>
      <w:r>
        <w:rPr>
          <w:rFonts w:hint="eastAsia" w:ascii="宋体" w:hAnsi="宋体" w:cs="宋体"/>
          <w:b/>
          <w:color w:val="auto"/>
          <w:sz w:val="21"/>
          <w:szCs w:val="21"/>
          <w:highlight w:val="none"/>
        </w:rPr>
        <w:fldChar w:fldCharType="end"/>
      </w:r>
    </w:p>
    <w:p>
      <w:pPr>
        <w:pStyle w:val="51"/>
        <w:tabs>
          <w:tab w:val="right" w:leader="dot" w:pos="9754"/>
        </w:tabs>
        <w:spacing w:line="360" w:lineRule="auto"/>
        <w:rPr>
          <w:rFonts w:ascii="宋体" w:hAnsi="宋体" w:cs="宋体"/>
          <w:b/>
          <w:color w:val="auto"/>
          <w:sz w:val="21"/>
          <w:szCs w:val="21"/>
          <w:highlight w:val="none"/>
        </w:rPr>
      </w:pPr>
      <w:r>
        <w:rPr>
          <w:color w:val="auto"/>
          <w:highlight w:val="none"/>
        </w:rPr>
        <w:fldChar w:fldCharType="begin"/>
      </w:r>
      <w:r>
        <w:rPr>
          <w:color w:val="auto"/>
          <w:highlight w:val="none"/>
        </w:rPr>
        <w:instrText xml:space="preserve"> HYPERLINK \l "_Toc163" </w:instrText>
      </w:r>
      <w:r>
        <w:rPr>
          <w:color w:val="auto"/>
          <w:highlight w:val="none"/>
        </w:rPr>
        <w:fldChar w:fldCharType="separate"/>
      </w:r>
      <w:r>
        <w:rPr>
          <w:rFonts w:hint="eastAsia" w:ascii="宋体" w:hAnsi="宋体" w:cs="宋体"/>
          <w:b/>
          <w:bCs/>
          <w:color w:val="auto"/>
          <w:sz w:val="21"/>
          <w:szCs w:val="21"/>
          <w:highlight w:val="none"/>
        </w:rPr>
        <w:t>第三章  供应商须知</w:t>
      </w:r>
      <w:r>
        <w:rPr>
          <w:rFonts w:hint="eastAsia" w:ascii="宋体" w:hAnsi="宋体" w:cs="宋体"/>
          <w:b/>
          <w:color w:val="auto"/>
          <w:sz w:val="21"/>
          <w:szCs w:val="21"/>
          <w:highlight w:val="none"/>
        </w:rPr>
        <w:tab/>
      </w:r>
      <w:r>
        <w:rPr>
          <w:rFonts w:hint="eastAsia" w:ascii="宋体" w:hAnsi="宋体" w:cs="宋体"/>
          <w:b/>
          <w:color w:val="auto"/>
          <w:sz w:val="21"/>
          <w:szCs w:val="21"/>
          <w:highlight w:val="none"/>
        </w:rPr>
        <w:fldChar w:fldCharType="begin"/>
      </w:r>
      <w:r>
        <w:rPr>
          <w:rFonts w:hint="eastAsia" w:ascii="宋体" w:hAnsi="宋体" w:cs="宋体"/>
          <w:b/>
          <w:color w:val="auto"/>
          <w:sz w:val="21"/>
          <w:szCs w:val="21"/>
          <w:highlight w:val="none"/>
        </w:rPr>
        <w:instrText xml:space="preserve"> PAGEREF _Toc163 </w:instrText>
      </w:r>
      <w:r>
        <w:rPr>
          <w:rFonts w:hint="eastAsia" w:ascii="宋体" w:hAnsi="宋体" w:cs="宋体"/>
          <w:b/>
          <w:color w:val="auto"/>
          <w:sz w:val="21"/>
          <w:szCs w:val="21"/>
          <w:highlight w:val="none"/>
        </w:rPr>
        <w:fldChar w:fldCharType="separate"/>
      </w:r>
      <w:r>
        <w:rPr>
          <w:rFonts w:hint="eastAsia" w:ascii="宋体" w:hAnsi="宋体" w:cs="宋体"/>
          <w:b/>
          <w:color w:val="auto"/>
          <w:sz w:val="21"/>
          <w:szCs w:val="21"/>
          <w:highlight w:val="none"/>
        </w:rPr>
        <w:t>10</w:t>
      </w:r>
      <w:r>
        <w:rPr>
          <w:rFonts w:hint="eastAsia" w:ascii="宋体" w:hAnsi="宋体" w:cs="宋体"/>
          <w:b/>
          <w:color w:val="auto"/>
          <w:sz w:val="21"/>
          <w:szCs w:val="21"/>
          <w:highlight w:val="none"/>
        </w:rPr>
        <w:fldChar w:fldCharType="end"/>
      </w:r>
      <w:r>
        <w:rPr>
          <w:rFonts w:hint="eastAsia" w:ascii="宋体" w:hAnsi="宋体" w:cs="宋体"/>
          <w:b/>
          <w:color w:val="auto"/>
          <w:sz w:val="21"/>
          <w:szCs w:val="21"/>
          <w:highlight w:val="none"/>
        </w:rPr>
        <w:fldChar w:fldCharType="end"/>
      </w:r>
    </w:p>
    <w:p>
      <w:pPr>
        <w:pStyle w:val="52"/>
        <w:tabs>
          <w:tab w:val="right" w:leader="dot" w:pos="9754"/>
        </w:tabs>
        <w:spacing w:line="360" w:lineRule="auto"/>
        <w:ind w:left="420"/>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"_Toc29219" </w:instrText>
      </w:r>
      <w:r>
        <w:rPr>
          <w:color w:val="auto"/>
          <w:highlight w:val="none"/>
        </w:rPr>
        <w:fldChar w:fldCharType="separate"/>
      </w:r>
      <w:r>
        <w:rPr>
          <w:rFonts w:hint="eastAsia" w:ascii="宋体" w:hAnsi="宋体" w:cs="宋体"/>
          <w:bCs/>
          <w:color w:val="auto"/>
          <w:sz w:val="21"/>
          <w:szCs w:val="21"/>
          <w:highlight w:val="none"/>
        </w:rPr>
        <w:t>一、总则</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_Toc29219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10</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52"/>
        <w:tabs>
          <w:tab w:val="right" w:leader="dot" w:pos="9754"/>
        </w:tabs>
        <w:spacing w:line="360" w:lineRule="auto"/>
        <w:ind w:left="420"/>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"_Toc7892" </w:instrText>
      </w:r>
      <w:r>
        <w:rPr>
          <w:color w:val="auto"/>
          <w:highlight w:val="none"/>
        </w:rPr>
        <w:fldChar w:fldCharType="separate"/>
      </w:r>
      <w:r>
        <w:rPr>
          <w:rFonts w:hint="eastAsia" w:ascii="宋体" w:hAnsi="宋体" w:cs="宋体"/>
          <w:bCs/>
          <w:color w:val="auto"/>
          <w:sz w:val="21"/>
          <w:szCs w:val="21"/>
          <w:highlight w:val="none"/>
        </w:rPr>
        <w:t>二、竞争性磋商文件</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_Toc7892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13</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52"/>
        <w:tabs>
          <w:tab w:val="right" w:leader="dot" w:pos="9754"/>
        </w:tabs>
        <w:spacing w:line="360" w:lineRule="auto"/>
        <w:ind w:left="420"/>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"_Toc13792" </w:instrText>
      </w:r>
      <w:r>
        <w:rPr>
          <w:color w:val="auto"/>
          <w:highlight w:val="none"/>
        </w:rPr>
        <w:fldChar w:fldCharType="separate"/>
      </w:r>
      <w:r>
        <w:rPr>
          <w:rFonts w:hint="eastAsia" w:ascii="宋体" w:hAnsi="宋体" w:cs="宋体"/>
          <w:bCs/>
          <w:color w:val="auto"/>
          <w:sz w:val="21"/>
          <w:szCs w:val="21"/>
          <w:highlight w:val="none"/>
        </w:rPr>
        <w:t>三、响应文件</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_Toc13792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15</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52"/>
        <w:keepNext w:val="0"/>
        <w:keepLines w:val="0"/>
        <w:pageBreakBefore w:val="0"/>
        <w:widowControl/>
        <w:tabs>
          <w:tab w:val="right" w:leader="dot" w:pos="9754"/>
        </w:tabs>
        <w:kinsoku/>
        <w:wordWrap/>
        <w:overflowPunct/>
        <w:topLinePunct w:val="0"/>
        <w:autoSpaceDE/>
        <w:autoSpaceDN/>
        <w:bidi w:val="0"/>
        <w:adjustRightInd/>
        <w:snapToGrid/>
        <w:spacing w:line="360" w:lineRule="auto"/>
        <w:ind w:left="0" w:leftChars="0"/>
        <w:textAlignment w:val="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"_Toc30544" </w:instrText>
      </w:r>
      <w:r>
        <w:rPr>
          <w:color w:val="auto"/>
          <w:highlight w:val="none"/>
        </w:rPr>
        <w:fldChar w:fldCharType="separate"/>
      </w:r>
      <w:r>
        <w:rPr>
          <w:rFonts w:hint="eastAsia" w:ascii="宋体" w:hAnsi="宋体" w:cs="宋体"/>
          <w:bCs/>
          <w:color w:val="auto"/>
          <w:sz w:val="21"/>
          <w:szCs w:val="21"/>
          <w:highlight w:val="none"/>
        </w:rPr>
        <w:t>四、磋商响应</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_Toc30544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17</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52"/>
        <w:tabs>
          <w:tab w:val="right" w:leader="dot" w:pos="9754"/>
        </w:tabs>
        <w:spacing w:line="360" w:lineRule="auto"/>
        <w:ind w:left="420"/>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"_Toc17782" </w:instrText>
      </w:r>
      <w:r>
        <w:rPr>
          <w:color w:val="auto"/>
          <w:highlight w:val="none"/>
        </w:rPr>
        <w:fldChar w:fldCharType="separate"/>
      </w:r>
      <w:r>
        <w:rPr>
          <w:rFonts w:hint="eastAsia" w:ascii="宋体" w:hAnsi="宋体" w:cs="宋体"/>
          <w:bCs/>
          <w:color w:val="auto"/>
          <w:sz w:val="21"/>
          <w:szCs w:val="21"/>
          <w:highlight w:val="none"/>
        </w:rPr>
        <w:t>五、响应文件的开启、评审及合同签订</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_Toc17782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18</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52"/>
        <w:tabs>
          <w:tab w:val="right" w:leader="dot" w:pos="9754"/>
        </w:tabs>
        <w:spacing w:line="360" w:lineRule="auto"/>
        <w:ind w:left="420"/>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"_Toc28950" </w:instrText>
      </w:r>
      <w:r>
        <w:rPr>
          <w:color w:val="auto"/>
          <w:highlight w:val="none"/>
        </w:rPr>
        <w:fldChar w:fldCharType="separate"/>
      </w:r>
      <w:r>
        <w:rPr>
          <w:rFonts w:hint="eastAsia" w:ascii="宋体" w:hAnsi="宋体" w:cs="宋体"/>
          <w:bCs/>
          <w:color w:val="auto"/>
          <w:sz w:val="21"/>
          <w:szCs w:val="21"/>
          <w:highlight w:val="none"/>
        </w:rPr>
        <w:t>六、磋商</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_Toc28950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19</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51"/>
        <w:tabs>
          <w:tab w:val="right" w:leader="dot" w:pos="9754"/>
        </w:tabs>
        <w:spacing w:line="360" w:lineRule="auto"/>
        <w:rPr>
          <w:rFonts w:ascii="宋体" w:hAnsi="宋体" w:cs="宋体"/>
          <w:b/>
          <w:color w:val="auto"/>
          <w:sz w:val="21"/>
          <w:szCs w:val="21"/>
          <w:highlight w:val="none"/>
        </w:rPr>
      </w:pPr>
      <w:r>
        <w:rPr>
          <w:color w:val="auto"/>
          <w:highlight w:val="none"/>
        </w:rPr>
        <w:fldChar w:fldCharType="begin"/>
      </w:r>
      <w:r>
        <w:rPr>
          <w:color w:val="auto"/>
          <w:highlight w:val="none"/>
        </w:rPr>
        <w:instrText xml:space="preserve"> HYPERLINK \l "_Toc944" </w:instrText>
      </w:r>
      <w:r>
        <w:rPr>
          <w:color w:val="auto"/>
          <w:highlight w:val="none"/>
        </w:rPr>
        <w:fldChar w:fldCharType="separate"/>
      </w:r>
      <w:r>
        <w:rPr>
          <w:rFonts w:hint="eastAsia" w:ascii="宋体" w:hAnsi="宋体" w:cs="宋体"/>
          <w:b/>
          <w:bCs/>
          <w:color w:val="auto"/>
          <w:sz w:val="21"/>
          <w:szCs w:val="21"/>
          <w:highlight w:val="none"/>
        </w:rPr>
        <w:t>第四章  采购内容及技术要求</w:t>
      </w:r>
      <w:r>
        <w:rPr>
          <w:rFonts w:hint="eastAsia" w:ascii="宋体" w:hAnsi="宋体" w:cs="宋体"/>
          <w:b/>
          <w:color w:val="auto"/>
          <w:sz w:val="21"/>
          <w:szCs w:val="21"/>
          <w:highlight w:val="none"/>
        </w:rPr>
        <w:tab/>
      </w:r>
      <w:r>
        <w:rPr>
          <w:rFonts w:hint="eastAsia" w:ascii="宋体" w:hAnsi="宋体" w:cs="宋体"/>
          <w:b/>
          <w:color w:val="auto"/>
          <w:sz w:val="21"/>
          <w:szCs w:val="21"/>
          <w:highlight w:val="none"/>
        </w:rPr>
        <w:fldChar w:fldCharType="begin"/>
      </w:r>
      <w:r>
        <w:rPr>
          <w:rFonts w:hint="eastAsia" w:ascii="宋体" w:hAnsi="宋体" w:cs="宋体"/>
          <w:b/>
          <w:color w:val="auto"/>
          <w:sz w:val="21"/>
          <w:szCs w:val="21"/>
          <w:highlight w:val="none"/>
        </w:rPr>
        <w:instrText xml:space="preserve"> PAGEREF _Toc944 </w:instrText>
      </w:r>
      <w:r>
        <w:rPr>
          <w:rFonts w:hint="eastAsia" w:ascii="宋体" w:hAnsi="宋体" w:cs="宋体"/>
          <w:b/>
          <w:color w:val="auto"/>
          <w:sz w:val="21"/>
          <w:szCs w:val="21"/>
          <w:highlight w:val="none"/>
        </w:rPr>
        <w:fldChar w:fldCharType="separate"/>
      </w:r>
      <w:r>
        <w:rPr>
          <w:rFonts w:hint="eastAsia" w:ascii="宋体" w:hAnsi="宋体" w:cs="宋体"/>
          <w:b/>
          <w:color w:val="auto"/>
          <w:sz w:val="21"/>
          <w:szCs w:val="21"/>
          <w:highlight w:val="none"/>
        </w:rPr>
        <w:t>22</w:t>
      </w:r>
      <w:r>
        <w:rPr>
          <w:rFonts w:hint="eastAsia" w:ascii="宋体" w:hAnsi="宋体" w:cs="宋体"/>
          <w:b/>
          <w:color w:val="auto"/>
          <w:sz w:val="21"/>
          <w:szCs w:val="21"/>
          <w:highlight w:val="none"/>
        </w:rPr>
        <w:fldChar w:fldCharType="end"/>
      </w:r>
      <w:r>
        <w:rPr>
          <w:rFonts w:hint="eastAsia" w:ascii="宋体" w:hAnsi="宋体" w:cs="宋体"/>
          <w:b/>
          <w:color w:val="auto"/>
          <w:sz w:val="21"/>
          <w:szCs w:val="21"/>
          <w:highlight w:val="none"/>
        </w:rPr>
        <w:fldChar w:fldCharType="end"/>
      </w:r>
    </w:p>
    <w:p>
      <w:pPr>
        <w:pStyle w:val="52"/>
        <w:tabs>
          <w:tab w:val="right" w:leader="dot" w:pos="9754"/>
        </w:tabs>
        <w:spacing w:line="360" w:lineRule="auto"/>
        <w:ind w:left="420"/>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"_Toc17509" </w:instrText>
      </w:r>
      <w:r>
        <w:rPr>
          <w:color w:val="auto"/>
          <w:highlight w:val="none"/>
        </w:rPr>
        <w:fldChar w:fldCharType="separate"/>
      </w:r>
      <w:r>
        <w:rPr>
          <w:rFonts w:hint="eastAsia" w:ascii="宋体" w:hAnsi="宋体" w:cs="宋体"/>
          <w:bCs/>
          <w:color w:val="auto"/>
          <w:sz w:val="21"/>
          <w:szCs w:val="21"/>
          <w:highlight w:val="none"/>
        </w:rPr>
        <w:t>一、</w:t>
      </w:r>
      <w:r>
        <w:rPr>
          <w:rFonts w:hint="eastAsia" w:ascii="宋体" w:hAnsi="宋体" w:cs="宋体"/>
          <w:color w:val="auto"/>
          <w:sz w:val="21"/>
          <w:szCs w:val="21"/>
          <w:highlight w:val="none"/>
        </w:rPr>
        <w:t>项目概况</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_Toc17509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22</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52"/>
        <w:tabs>
          <w:tab w:val="right" w:leader="dot" w:pos="9754"/>
        </w:tabs>
        <w:spacing w:line="360" w:lineRule="auto"/>
        <w:ind w:left="420"/>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"_Toc11756" </w:instrText>
      </w:r>
      <w:r>
        <w:rPr>
          <w:color w:val="auto"/>
          <w:highlight w:val="none"/>
        </w:rPr>
        <w:fldChar w:fldCharType="separate"/>
      </w:r>
      <w:r>
        <w:rPr>
          <w:rFonts w:hint="eastAsia" w:ascii="宋体" w:hAnsi="宋体" w:cs="宋体"/>
          <w:bCs/>
          <w:color w:val="auto"/>
          <w:sz w:val="21"/>
          <w:szCs w:val="21"/>
          <w:highlight w:val="none"/>
        </w:rPr>
        <w:t>二、</w:t>
      </w:r>
      <w:r>
        <w:rPr>
          <w:rFonts w:hint="eastAsia" w:ascii="宋体" w:hAnsi="宋体" w:cs="宋体"/>
          <w:color w:val="auto"/>
          <w:sz w:val="21"/>
          <w:szCs w:val="21"/>
          <w:highlight w:val="none"/>
        </w:rPr>
        <w:t>规范要求</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_Toc11756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22</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52"/>
        <w:tabs>
          <w:tab w:val="right" w:leader="dot" w:pos="9754"/>
        </w:tabs>
        <w:spacing w:line="360" w:lineRule="auto"/>
        <w:ind w:left="420"/>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"_Toc28373" </w:instrText>
      </w:r>
      <w:r>
        <w:rPr>
          <w:color w:val="auto"/>
          <w:highlight w:val="none"/>
        </w:rPr>
        <w:fldChar w:fldCharType="separate"/>
      </w:r>
      <w:r>
        <w:rPr>
          <w:rFonts w:hint="eastAsia" w:ascii="宋体" w:hAnsi="宋体" w:cs="宋体"/>
          <w:bCs/>
          <w:color w:val="auto"/>
          <w:sz w:val="21"/>
          <w:szCs w:val="21"/>
          <w:highlight w:val="none"/>
        </w:rPr>
        <w:t>三、</w:t>
      </w:r>
      <w:r>
        <w:rPr>
          <w:rFonts w:hint="eastAsia" w:ascii="宋体" w:hAnsi="宋体" w:cs="宋体"/>
          <w:color w:val="auto"/>
          <w:sz w:val="21"/>
          <w:szCs w:val="21"/>
          <w:highlight w:val="none"/>
        </w:rPr>
        <w:t>施工要求</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_Toc28373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23</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52"/>
        <w:tabs>
          <w:tab w:val="right" w:leader="dot" w:pos="9754"/>
        </w:tabs>
        <w:spacing w:line="360" w:lineRule="auto"/>
        <w:ind w:left="420"/>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"_Toc29259" </w:instrText>
      </w:r>
      <w:r>
        <w:rPr>
          <w:color w:val="auto"/>
          <w:highlight w:val="none"/>
        </w:rPr>
        <w:fldChar w:fldCharType="separate"/>
      </w:r>
      <w:r>
        <w:rPr>
          <w:rFonts w:hint="eastAsia" w:ascii="宋体" w:hAnsi="宋体" w:cs="宋体"/>
          <w:bCs/>
          <w:color w:val="auto"/>
          <w:sz w:val="21"/>
          <w:szCs w:val="21"/>
          <w:highlight w:val="none"/>
        </w:rPr>
        <w:t>四、</w:t>
      </w:r>
      <w:r>
        <w:rPr>
          <w:rFonts w:hint="eastAsia" w:ascii="宋体" w:hAnsi="宋体" w:cs="宋体"/>
          <w:color w:val="auto"/>
          <w:sz w:val="21"/>
          <w:szCs w:val="21"/>
          <w:highlight w:val="none"/>
        </w:rPr>
        <w:t>材料质量要求</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_Toc29259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23</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52"/>
        <w:tabs>
          <w:tab w:val="right" w:leader="dot" w:pos="9754"/>
        </w:tabs>
        <w:spacing w:line="360" w:lineRule="auto"/>
        <w:ind w:left="420"/>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"_Toc6474" </w:instrText>
      </w:r>
      <w:r>
        <w:rPr>
          <w:color w:val="auto"/>
          <w:highlight w:val="none"/>
        </w:rPr>
        <w:fldChar w:fldCharType="separate"/>
      </w:r>
      <w:r>
        <w:rPr>
          <w:rFonts w:hint="eastAsia" w:ascii="宋体" w:hAnsi="宋体" w:cs="宋体"/>
          <w:bCs/>
          <w:color w:val="auto"/>
          <w:sz w:val="21"/>
          <w:szCs w:val="21"/>
          <w:highlight w:val="none"/>
        </w:rPr>
        <w:t>五、</w:t>
      </w:r>
      <w:r>
        <w:rPr>
          <w:rFonts w:hint="eastAsia" w:ascii="宋体" w:hAnsi="宋体" w:cs="宋体"/>
          <w:color w:val="auto"/>
          <w:sz w:val="21"/>
          <w:szCs w:val="21"/>
          <w:highlight w:val="none"/>
        </w:rPr>
        <w:t>工程管理的要求</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_Toc6474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25</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52"/>
        <w:tabs>
          <w:tab w:val="right" w:leader="dot" w:pos="9754"/>
        </w:tabs>
        <w:spacing w:line="360" w:lineRule="auto"/>
        <w:ind w:left="420"/>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"_Toc17502" </w:instrText>
      </w:r>
      <w:r>
        <w:rPr>
          <w:color w:val="auto"/>
          <w:highlight w:val="none"/>
        </w:rPr>
        <w:fldChar w:fldCharType="separate"/>
      </w:r>
      <w:r>
        <w:rPr>
          <w:rFonts w:hint="eastAsia" w:ascii="宋体" w:hAnsi="宋体" w:cs="宋体"/>
          <w:bCs/>
          <w:color w:val="auto"/>
          <w:sz w:val="21"/>
          <w:szCs w:val="21"/>
          <w:highlight w:val="none"/>
        </w:rPr>
        <w:t>六、</w:t>
      </w:r>
      <w:r>
        <w:rPr>
          <w:rFonts w:hint="eastAsia" w:ascii="宋体" w:hAnsi="宋体" w:cs="宋体"/>
          <w:color w:val="auto"/>
          <w:sz w:val="21"/>
          <w:szCs w:val="21"/>
          <w:highlight w:val="none"/>
        </w:rPr>
        <w:t>其它要求</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_Toc17502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25</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51"/>
        <w:tabs>
          <w:tab w:val="right" w:leader="dot" w:pos="9754"/>
        </w:tabs>
        <w:spacing w:line="360" w:lineRule="auto"/>
        <w:rPr>
          <w:rFonts w:ascii="宋体" w:hAnsi="宋体" w:cs="宋体"/>
          <w:b/>
          <w:color w:val="auto"/>
          <w:sz w:val="21"/>
          <w:szCs w:val="21"/>
          <w:highlight w:val="none"/>
        </w:rPr>
      </w:pPr>
      <w:r>
        <w:rPr>
          <w:color w:val="auto"/>
          <w:highlight w:val="none"/>
        </w:rPr>
        <w:fldChar w:fldCharType="begin"/>
      </w:r>
      <w:r>
        <w:rPr>
          <w:color w:val="auto"/>
          <w:highlight w:val="none"/>
        </w:rPr>
        <w:instrText xml:space="preserve"> HYPERLINK \l "_Toc1627" </w:instrText>
      </w:r>
      <w:r>
        <w:rPr>
          <w:color w:val="auto"/>
          <w:highlight w:val="none"/>
        </w:rPr>
        <w:fldChar w:fldCharType="separate"/>
      </w:r>
      <w:r>
        <w:rPr>
          <w:rFonts w:hint="eastAsia" w:ascii="宋体" w:hAnsi="宋体" w:cs="宋体"/>
          <w:b/>
          <w:bCs/>
          <w:color w:val="auto"/>
          <w:sz w:val="21"/>
          <w:szCs w:val="21"/>
          <w:highlight w:val="none"/>
        </w:rPr>
        <w:t>第五章  合同条款</w:t>
      </w:r>
      <w:r>
        <w:rPr>
          <w:rFonts w:hint="eastAsia" w:ascii="宋体" w:hAnsi="宋体" w:cs="宋体"/>
          <w:b/>
          <w:color w:val="auto"/>
          <w:sz w:val="21"/>
          <w:szCs w:val="21"/>
          <w:highlight w:val="none"/>
        </w:rPr>
        <w:tab/>
      </w:r>
      <w:r>
        <w:rPr>
          <w:rFonts w:hint="eastAsia" w:ascii="宋体" w:hAnsi="宋体" w:cs="宋体"/>
          <w:b/>
          <w:color w:val="auto"/>
          <w:sz w:val="21"/>
          <w:szCs w:val="21"/>
          <w:highlight w:val="none"/>
        </w:rPr>
        <w:fldChar w:fldCharType="begin"/>
      </w:r>
      <w:r>
        <w:rPr>
          <w:rFonts w:hint="eastAsia" w:ascii="宋体" w:hAnsi="宋体" w:cs="宋体"/>
          <w:b/>
          <w:color w:val="auto"/>
          <w:sz w:val="21"/>
          <w:szCs w:val="21"/>
          <w:highlight w:val="none"/>
        </w:rPr>
        <w:instrText xml:space="preserve"> PAGEREF _Toc1627 </w:instrText>
      </w:r>
      <w:r>
        <w:rPr>
          <w:rFonts w:hint="eastAsia" w:ascii="宋体" w:hAnsi="宋体" w:cs="宋体"/>
          <w:b/>
          <w:color w:val="auto"/>
          <w:sz w:val="21"/>
          <w:szCs w:val="21"/>
          <w:highlight w:val="none"/>
        </w:rPr>
        <w:fldChar w:fldCharType="separate"/>
      </w:r>
      <w:r>
        <w:rPr>
          <w:rFonts w:hint="eastAsia" w:ascii="宋体" w:hAnsi="宋体" w:cs="宋体"/>
          <w:b/>
          <w:color w:val="auto"/>
          <w:sz w:val="21"/>
          <w:szCs w:val="21"/>
          <w:highlight w:val="none"/>
        </w:rPr>
        <w:t>29</w:t>
      </w:r>
      <w:r>
        <w:rPr>
          <w:rFonts w:hint="eastAsia" w:ascii="宋体" w:hAnsi="宋体" w:cs="宋体"/>
          <w:b/>
          <w:color w:val="auto"/>
          <w:sz w:val="21"/>
          <w:szCs w:val="21"/>
          <w:highlight w:val="none"/>
        </w:rPr>
        <w:fldChar w:fldCharType="end"/>
      </w:r>
      <w:r>
        <w:rPr>
          <w:rFonts w:hint="eastAsia" w:ascii="宋体" w:hAnsi="宋体" w:cs="宋体"/>
          <w:b/>
          <w:color w:val="auto"/>
          <w:sz w:val="21"/>
          <w:szCs w:val="21"/>
          <w:highlight w:val="none"/>
        </w:rPr>
        <w:fldChar w:fldCharType="end"/>
      </w:r>
    </w:p>
    <w:p>
      <w:pPr>
        <w:pStyle w:val="51"/>
        <w:tabs>
          <w:tab w:val="right" w:leader="dot" w:pos="9754"/>
        </w:tabs>
        <w:spacing w:line="360" w:lineRule="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"_Toc954" </w:instrText>
      </w:r>
      <w:r>
        <w:rPr>
          <w:color w:val="auto"/>
          <w:highlight w:val="none"/>
        </w:rPr>
        <w:fldChar w:fldCharType="separate"/>
      </w:r>
      <w:r>
        <w:rPr>
          <w:rFonts w:hint="eastAsia" w:ascii="宋体" w:hAnsi="宋体" w:cs="宋体"/>
          <w:b/>
          <w:bCs/>
          <w:color w:val="auto"/>
          <w:sz w:val="21"/>
          <w:szCs w:val="21"/>
          <w:highlight w:val="none"/>
        </w:rPr>
        <w:t>第六章  响应文件格式</w:t>
      </w:r>
      <w:r>
        <w:rPr>
          <w:rFonts w:hint="eastAsia" w:ascii="宋体" w:hAnsi="宋体" w:cs="宋体"/>
          <w:b/>
          <w:color w:val="auto"/>
          <w:sz w:val="21"/>
          <w:szCs w:val="21"/>
          <w:highlight w:val="none"/>
        </w:rPr>
        <w:tab/>
      </w:r>
      <w:r>
        <w:rPr>
          <w:rFonts w:hint="eastAsia" w:ascii="宋体" w:hAnsi="宋体" w:cs="宋体"/>
          <w:b/>
          <w:color w:val="auto"/>
          <w:sz w:val="21"/>
          <w:szCs w:val="21"/>
          <w:highlight w:val="none"/>
        </w:rPr>
        <w:fldChar w:fldCharType="begin"/>
      </w:r>
      <w:r>
        <w:rPr>
          <w:rFonts w:hint="eastAsia" w:ascii="宋体" w:hAnsi="宋体" w:cs="宋体"/>
          <w:b/>
          <w:color w:val="auto"/>
          <w:sz w:val="21"/>
          <w:szCs w:val="21"/>
          <w:highlight w:val="none"/>
        </w:rPr>
        <w:instrText xml:space="preserve"> PAGEREF _Toc954 </w:instrText>
      </w:r>
      <w:r>
        <w:rPr>
          <w:rFonts w:hint="eastAsia" w:ascii="宋体" w:hAnsi="宋体" w:cs="宋体"/>
          <w:b/>
          <w:color w:val="auto"/>
          <w:sz w:val="21"/>
          <w:szCs w:val="21"/>
          <w:highlight w:val="none"/>
        </w:rPr>
        <w:fldChar w:fldCharType="separate"/>
      </w:r>
      <w:r>
        <w:rPr>
          <w:rFonts w:hint="eastAsia" w:ascii="宋体" w:hAnsi="宋体" w:cs="宋体"/>
          <w:b/>
          <w:color w:val="auto"/>
          <w:sz w:val="21"/>
          <w:szCs w:val="21"/>
          <w:highlight w:val="none"/>
        </w:rPr>
        <w:t>59</w:t>
      </w:r>
      <w:r>
        <w:rPr>
          <w:rFonts w:hint="eastAsia" w:ascii="宋体" w:hAnsi="宋体" w:cs="宋体"/>
          <w:b/>
          <w:color w:val="auto"/>
          <w:sz w:val="21"/>
          <w:szCs w:val="21"/>
          <w:highlight w:val="none"/>
        </w:rPr>
        <w:fldChar w:fldCharType="end"/>
      </w:r>
      <w:r>
        <w:rPr>
          <w:rFonts w:hint="eastAsia" w:ascii="宋体" w:hAnsi="宋体" w:cs="宋体"/>
          <w:b/>
          <w:color w:val="auto"/>
          <w:sz w:val="21"/>
          <w:szCs w:val="21"/>
          <w:highlight w:val="none"/>
        </w:rPr>
        <w:fldChar w:fldCharType="end"/>
      </w:r>
    </w:p>
    <w:p>
      <w:pPr>
        <w:pStyle w:val="51"/>
        <w:tabs>
          <w:tab w:val="right" w:leader="dot" w:pos="9754"/>
        </w:tabs>
        <w:spacing w:line="360" w:lineRule="auto"/>
        <w:rPr>
          <w:rFonts w:ascii="宋体" w:hAnsi="宋体" w:cs="宋体"/>
          <w:b/>
          <w:bCs/>
          <w:color w:val="auto"/>
          <w:sz w:val="21"/>
          <w:szCs w:val="21"/>
          <w:highlight w:val="none"/>
        </w:rPr>
      </w:pPr>
      <w:r>
        <w:rPr>
          <w:color w:val="auto"/>
          <w:highlight w:val="none"/>
        </w:rPr>
        <w:fldChar w:fldCharType="begin"/>
      </w:r>
      <w:r>
        <w:rPr>
          <w:color w:val="auto"/>
          <w:highlight w:val="none"/>
        </w:rPr>
        <w:instrText xml:space="preserve"> HYPERLINK \l "_Toc10630" </w:instrText>
      </w:r>
      <w:r>
        <w:rPr>
          <w:color w:val="auto"/>
          <w:highlight w:val="none"/>
        </w:rPr>
        <w:fldChar w:fldCharType="separate"/>
      </w:r>
      <w:r>
        <w:rPr>
          <w:rFonts w:hint="eastAsia" w:ascii="宋体" w:hAnsi="宋体" w:cs="宋体"/>
          <w:b/>
          <w:bCs/>
          <w:color w:val="auto"/>
          <w:sz w:val="21"/>
          <w:szCs w:val="21"/>
          <w:highlight w:val="none"/>
        </w:rPr>
        <w:t>第七章  评审办法</w:t>
      </w:r>
      <w:r>
        <w:rPr>
          <w:rFonts w:hint="eastAsia" w:ascii="宋体" w:hAnsi="宋体" w:cs="宋体"/>
          <w:b/>
          <w:color w:val="auto"/>
          <w:sz w:val="21"/>
          <w:szCs w:val="21"/>
          <w:highlight w:val="none"/>
        </w:rPr>
        <w:tab/>
      </w:r>
      <w:r>
        <w:rPr>
          <w:rFonts w:hint="eastAsia" w:ascii="宋体" w:hAnsi="宋体" w:cs="宋体"/>
          <w:b/>
          <w:color w:val="auto"/>
          <w:sz w:val="21"/>
          <w:szCs w:val="21"/>
          <w:highlight w:val="none"/>
        </w:rPr>
        <w:fldChar w:fldCharType="begin"/>
      </w:r>
      <w:r>
        <w:rPr>
          <w:rFonts w:hint="eastAsia" w:ascii="宋体" w:hAnsi="宋体" w:cs="宋体"/>
          <w:b/>
          <w:color w:val="auto"/>
          <w:sz w:val="21"/>
          <w:szCs w:val="21"/>
          <w:highlight w:val="none"/>
        </w:rPr>
        <w:instrText xml:space="preserve"> PAGEREF _Toc10630 </w:instrText>
      </w:r>
      <w:r>
        <w:rPr>
          <w:rFonts w:hint="eastAsia" w:ascii="宋体" w:hAnsi="宋体" w:cs="宋体"/>
          <w:b/>
          <w:color w:val="auto"/>
          <w:sz w:val="21"/>
          <w:szCs w:val="21"/>
          <w:highlight w:val="none"/>
        </w:rPr>
        <w:fldChar w:fldCharType="separate"/>
      </w:r>
      <w:r>
        <w:rPr>
          <w:rFonts w:hint="eastAsia" w:ascii="宋体" w:hAnsi="宋体" w:cs="宋体"/>
          <w:b/>
          <w:color w:val="auto"/>
          <w:sz w:val="21"/>
          <w:szCs w:val="21"/>
          <w:highlight w:val="none"/>
        </w:rPr>
        <w:t>83</w:t>
      </w:r>
      <w:r>
        <w:rPr>
          <w:rFonts w:hint="eastAsia" w:ascii="宋体" w:hAnsi="宋体" w:cs="宋体"/>
          <w:b/>
          <w:color w:val="auto"/>
          <w:sz w:val="21"/>
          <w:szCs w:val="21"/>
          <w:highlight w:val="none"/>
        </w:rPr>
        <w:fldChar w:fldCharType="end"/>
      </w:r>
      <w:r>
        <w:rPr>
          <w:rFonts w:hint="eastAsia" w:ascii="宋体" w:hAnsi="宋体" w:cs="宋体"/>
          <w:b/>
          <w:color w:val="auto"/>
          <w:sz w:val="21"/>
          <w:szCs w:val="21"/>
          <w:highlight w:val="none"/>
        </w:rPr>
        <w:fldChar w:fldCharType="end"/>
      </w:r>
      <w:r>
        <w:rPr>
          <w:rFonts w:hint="eastAsia" w:ascii="宋体" w:hAnsi="宋体" w:cs="宋体"/>
          <w:b/>
          <w:bCs/>
          <w:color w:val="auto"/>
          <w:sz w:val="21"/>
          <w:szCs w:val="21"/>
          <w:highlight w:val="none"/>
        </w:rPr>
        <w:fldChar w:fldCharType="end"/>
      </w:r>
    </w:p>
    <w:p>
      <w:pPr>
        <w:rPr>
          <w:rFonts w:ascii="宋体" w:hAnsi="宋体" w:cs="宋体"/>
          <w:color w:val="auto"/>
          <w:highlight w:val="none"/>
        </w:rPr>
        <w:sectPr>
          <w:headerReference r:id="rId6" w:type="default"/>
          <w:pgSz w:w="11900" w:h="16838"/>
          <w:pgMar w:top="1440" w:right="706" w:bottom="401" w:left="1440" w:header="567" w:footer="567" w:gutter="0"/>
          <w:cols w:equalWidth="0" w:num="1">
            <w:col w:w="9760"/>
          </w:cols>
        </w:sectPr>
      </w:pPr>
    </w:p>
    <w:p>
      <w:pPr>
        <w:spacing w:line="1" w:lineRule="exact"/>
        <w:rPr>
          <w:rFonts w:ascii="宋体" w:hAnsi="宋体" w:cs="宋体"/>
          <w:color w:val="auto"/>
          <w:sz w:val="20"/>
          <w:szCs w:val="20"/>
          <w:highlight w:val="none"/>
        </w:rPr>
      </w:pPr>
      <w:bookmarkStart w:id="2" w:name="page3"/>
      <w:bookmarkEnd w:id="2"/>
    </w:p>
    <w:p>
      <w:pPr>
        <w:tabs>
          <w:tab w:val="left" w:pos="4100"/>
        </w:tabs>
        <w:spacing w:line="366" w:lineRule="exact"/>
        <w:ind w:left="2820"/>
        <w:rPr>
          <w:rFonts w:ascii="宋体" w:hAnsi="宋体" w:cs="宋体"/>
          <w:b/>
          <w:bCs/>
          <w:color w:val="auto"/>
          <w:sz w:val="32"/>
          <w:szCs w:val="32"/>
          <w:highlight w:val="none"/>
        </w:rPr>
      </w:pPr>
      <w:bookmarkStart w:id="3" w:name="_Toc30173_WPSOffice_Level1"/>
    </w:p>
    <w:p>
      <w:pPr>
        <w:pStyle w:val="3"/>
        <w:spacing w:line="360" w:lineRule="auto"/>
        <w:jc w:val="center"/>
        <w:rPr>
          <w:rFonts w:ascii="宋体" w:hAnsi="宋体" w:cs="宋体"/>
          <w:color w:val="auto"/>
          <w:spacing w:val="-6"/>
          <w:sz w:val="24"/>
          <w:szCs w:val="24"/>
          <w:highlight w:val="none"/>
        </w:rPr>
      </w:pPr>
      <w:bookmarkStart w:id="4" w:name="_Toc13387"/>
      <w:r>
        <w:rPr>
          <w:rFonts w:hint="eastAsia" w:ascii="宋体" w:hAnsi="宋体" w:cs="宋体"/>
          <w:color w:val="auto"/>
          <w:spacing w:val="-6"/>
          <w:sz w:val="24"/>
          <w:szCs w:val="24"/>
          <w:highlight w:val="none"/>
        </w:rPr>
        <w:t>电子交易须知</w:t>
      </w:r>
      <w:bookmarkEnd w:id="4"/>
    </w:p>
    <w:p>
      <w:pPr>
        <w:spacing w:line="432" w:lineRule="auto"/>
        <w:ind w:firstLine="398" w:firstLineChars="200"/>
        <w:rPr>
          <w:rFonts w:ascii="宋体" w:hAnsi="宋体" w:cs="宋体"/>
          <w:b/>
          <w:bCs/>
          <w:color w:val="auto"/>
          <w:spacing w:val="-6"/>
          <w:highlight w:val="none"/>
        </w:rPr>
      </w:pPr>
      <w:r>
        <w:rPr>
          <w:rFonts w:hint="eastAsia" w:ascii="宋体" w:hAnsi="宋体" w:cs="宋体"/>
          <w:b/>
          <w:bCs/>
          <w:color w:val="auto"/>
          <w:spacing w:val="-6"/>
          <w:highlight w:val="none"/>
        </w:rPr>
        <w:t>1、本次采购采用电子交易方式，电子交易平台为“政府采购云平台（www.zcygov.cn）”。供应商参与本项目电子交易活动前，应注册成为政府采购云平台正式供应商。编制电子响应文件前还需申领CA证书并绑定帐号。供应商应充分考虑完成平台注册、申领CA证书等所需的时间。</w:t>
      </w:r>
    </w:p>
    <w:p>
      <w:pPr>
        <w:spacing w:line="432" w:lineRule="auto"/>
        <w:ind w:firstLine="398" w:firstLineChars="200"/>
        <w:rPr>
          <w:rFonts w:ascii="宋体" w:hAnsi="宋体" w:cs="宋体"/>
          <w:b/>
          <w:bCs/>
          <w:color w:val="auto"/>
          <w:spacing w:val="-6"/>
          <w:highlight w:val="none"/>
        </w:rPr>
      </w:pPr>
      <w:r>
        <w:rPr>
          <w:rFonts w:hint="eastAsia" w:ascii="宋体" w:hAnsi="宋体" w:cs="宋体"/>
          <w:b/>
          <w:bCs/>
          <w:color w:val="auto"/>
          <w:spacing w:val="-6"/>
          <w:highlight w:val="none"/>
        </w:rPr>
        <w:t>2、供应商编制电子响应文件应安装“电子交易客户端”软件，并按照本采购文件和电子交易平台的要求编制并加密响应文件。未按规定加密的响应文件，将被电子交易平台拒收。“电子交易客户端”请供应商自行前往“浙江政府采购网（zfcg.czt.zj.gov.cn）— 下载专区 — 电子交易客户端”版块获取。</w:t>
      </w:r>
    </w:p>
    <w:p>
      <w:pPr>
        <w:spacing w:line="432" w:lineRule="auto"/>
        <w:ind w:firstLine="398" w:firstLineChars="200"/>
        <w:rPr>
          <w:rFonts w:ascii="宋体" w:hAnsi="宋体" w:cs="宋体"/>
          <w:b/>
          <w:bCs/>
          <w:color w:val="auto"/>
          <w:spacing w:val="-6"/>
          <w:highlight w:val="none"/>
        </w:rPr>
      </w:pPr>
      <w:r>
        <w:rPr>
          <w:rFonts w:hint="eastAsia" w:ascii="宋体" w:hAnsi="宋体" w:cs="宋体"/>
          <w:b/>
          <w:bCs/>
          <w:color w:val="auto"/>
          <w:spacing w:val="-6"/>
          <w:highlight w:val="none"/>
        </w:rPr>
        <w:t>3、供应商应当在递交响应文件截止时间前，将“电子交易客户端”生成的“电子加密响应文件”上传电子交易平台。</w:t>
      </w:r>
    </w:p>
    <w:p>
      <w:pPr>
        <w:spacing w:line="432" w:lineRule="auto"/>
        <w:ind w:firstLine="398" w:firstLineChars="200"/>
        <w:rPr>
          <w:rFonts w:ascii="宋体" w:hAnsi="宋体" w:cs="宋体"/>
          <w:b/>
          <w:bCs/>
          <w:color w:val="auto"/>
          <w:spacing w:val="-6"/>
          <w:highlight w:val="none"/>
        </w:rPr>
      </w:pPr>
      <w:r>
        <w:rPr>
          <w:rFonts w:hint="eastAsia" w:ascii="宋体" w:hAnsi="宋体" w:cs="宋体"/>
          <w:b/>
          <w:bCs/>
          <w:color w:val="auto"/>
          <w:spacing w:val="-6"/>
          <w:highlight w:val="none"/>
        </w:rPr>
        <w:t>4、“电子备份响应文件”是指与“电子加密响应文件”同时生成的数据电文形式的响应文件。供应商在电子交易平台上传“电子加密响应文件”后，还可以邮寄或送达的方式在递交响应文件截止时间前提交以介质（U盘）存储的“电子备份响应文件”。“电子备份响应文件”应当密封包装并在包装上标注采购项目编号、项目名称、供应商名称等并加盖公章。</w:t>
      </w:r>
    </w:p>
    <w:p>
      <w:pPr>
        <w:spacing w:line="432" w:lineRule="auto"/>
        <w:ind w:firstLine="398" w:firstLineChars="200"/>
        <w:rPr>
          <w:rFonts w:ascii="宋体" w:hAnsi="宋体" w:cs="宋体"/>
          <w:b/>
          <w:bCs/>
          <w:color w:val="auto"/>
          <w:spacing w:val="-6"/>
          <w:highlight w:val="none"/>
        </w:rPr>
      </w:pPr>
      <w:r>
        <w:rPr>
          <w:rFonts w:hint="eastAsia" w:ascii="宋体" w:hAnsi="宋体" w:cs="宋体"/>
          <w:b/>
          <w:bCs/>
          <w:color w:val="auto"/>
          <w:spacing w:val="-6"/>
          <w:highlight w:val="none"/>
        </w:rPr>
        <w:t>5、通过“政府采购云平台”递交的“电子加密响应文件”如无法按时解密，供应商提交了“电子备份响应文件”的，则由采购组织机构按“政府采购云平台”操作规范将“电子备份响应文件”上传至“政府采购云平台”，上传成功后，以“电子备份响应文件”参与评审，“电子加密响应文件”自动失效。供应商未按规定递交“电子备份响应文件”的，视为响应文件撤回。未上传“电子加密响应文件”，仅提交“电子备份响应文件”的，响应无效。</w:t>
      </w:r>
    </w:p>
    <w:p>
      <w:pPr>
        <w:spacing w:line="432" w:lineRule="auto"/>
        <w:ind w:firstLine="398" w:firstLineChars="200"/>
        <w:rPr>
          <w:rFonts w:ascii="宋体" w:hAnsi="宋体" w:cs="宋体"/>
          <w:b/>
          <w:bCs/>
          <w:color w:val="auto"/>
          <w:spacing w:val="-6"/>
          <w:highlight w:val="none"/>
        </w:rPr>
      </w:pPr>
      <w:r>
        <w:rPr>
          <w:rFonts w:hint="eastAsia" w:ascii="宋体" w:hAnsi="宋体" w:cs="宋体"/>
          <w:b/>
          <w:bCs/>
          <w:color w:val="auto"/>
          <w:spacing w:val="-6"/>
          <w:highlight w:val="none"/>
        </w:rPr>
        <w:t>6、供应商在参加电子交易过程中,可登录电子交易平台“帮助文档”版面获取《电子交易管理操作指南》，或致电平台400-881-7190获取相关服务支持。</w:t>
      </w:r>
    </w:p>
    <w:p>
      <w:pPr>
        <w:spacing w:line="432" w:lineRule="auto"/>
        <w:rPr>
          <w:rFonts w:ascii="宋体" w:hAnsi="宋体" w:cs="宋体"/>
          <w:color w:val="auto"/>
          <w:spacing w:val="-6"/>
          <w:highlight w:val="none"/>
        </w:rPr>
      </w:pPr>
    </w:p>
    <w:p>
      <w:pPr>
        <w:tabs>
          <w:tab w:val="left" w:pos="738"/>
        </w:tabs>
        <w:rPr>
          <w:rFonts w:ascii="宋体" w:hAnsi="宋体" w:cs="宋体"/>
          <w:color w:val="auto"/>
          <w:highlight w:val="none"/>
        </w:rPr>
        <w:sectPr>
          <w:headerReference r:id="rId7" w:type="default"/>
          <w:pgSz w:w="11900" w:h="16838"/>
          <w:pgMar w:top="1440" w:right="1440" w:bottom="401" w:left="1440" w:header="567" w:footer="567" w:gutter="0"/>
          <w:cols w:equalWidth="0" w:num="1">
            <w:col w:w="9026"/>
          </w:cols>
        </w:sectPr>
      </w:pPr>
    </w:p>
    <w:p>
      <w:pPr>
        <w:tabs>
          <w:tab w:val="left" w:pos="4100"/>
        </w:tabs>
        <w:spacing w:line="366" w:lineRule="exact"/>
        <w:ind w:left="2820"/>
        <w:outlineLvl w:val="0"/>
        <w:rPr>
          <w:rFonts w:ascii="宋体" w:hAnsi="宋体" w:cs="宋体"/>
          <w:color w:val="auto"/>
          <w:sz w:val="20"/>
          <w:szCs w:val="20"/>
          <w:highlight w:val="none"/>
        </w:rPr>
      </w:pPr>
      <w:bookmarkStart w:id="5" w:name="_Toc20706"/>
      <w:r>
        <w:rPr>
          <w:rFonts w:hint="eastAsia" w:ascii="宋体" w:hAnsi="宋体" w:cs="宋体"/>
          <w:b/>
          <w:bCs/>
          <w:color w:val="auto"/>
          <w:sz w:val="32"/>
          <w:szCs w:val="32"/>
          <w:highlight w:val="none"/>
        </w:rPr>
        <w:t>第一章  竞争性磋商公告</w:t>
      </w:r>
      <w:bookmarkEnd w:id="3"/>
      <w:bookmarkEnd w:id="5"/>
    </w:p>
    <w:p>
      <w:pPr>
        <w:spacing w:line="256" w:lineRule="exact"/>
        <w:rPr>
          <w:rFonts w:ascii="宋体" w:hAnsi="宋体" w:cs="宋体"/>
          <w:color w:val="auto"/>
          <w:sz w:val="20"/>
          <w:szCs w:val="20"/>
          <w:highlight w:val="none"/>
        </w:rPr>
      </w:pPr>
    </w:p>
    <w:p>
      <w:pPr>
        <w:pBdr>
          <w:top w:val="single" w:color="auto" w:sz="4" w:space="1"/>
          <w:left w:val="single" w:color="auto" w:sz="4" w:space="4"/>
          <w:bottom w:val="single" w:color="auto" w:sz="4" w:space="1"/>
          <w:right w:val="single" w:color="auto" w:sz="4" w:space="4"/>
        </w:pBdr>
        <w:spacing w:line="288"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项目概况</w:t>
      </w:r>
    </w:p>
    <w:p>
      <w:pPr>
        <w:pBdr>
          <w:top w:val="single" w:color="auto" w:sz="4" w:space="1"/>
          <w:left w:val="single" w:color="auto" w:sz="4" w:space="4"/>
          <w:bottom w:val="single" w:color="auto" w:sz="4" w:space="1"/>
          <w:right w:val="single" w:color="auto" w:sz="4" w:space="4"/>
        </w:pBdr>
        <w:spacing w:line="288" w:lineRule="auto"/>
        <w:ind w:firstLine="422" w:firstLineChars="200"/>
        <w:rPr>
          <w:rFonts w:hint="eastAsia" w:ascii="宋体" w:hAnsi="宋体" w:eastAsia="宋体" w:cs="宋体"/>
          <w:b/>
          <w:sz w:val="21"/>
          <w:szCs w:val="21"/>
        </w:rPr>
      </w:pPr>
      <w:r>
        <w:rPr>
          <w:rFonts w:hint="eastAsia" w:ascii="宋体" w:hAnsi="宋体" w:eastAsia="宋体" w:cs="宋体"/>
          <w:b/>
          <w:sz w:val="21"/>
          <w:szCs w:val="21"/>
          <w:u w:val="single"/>
        </w:rPr>
        <w:t xml:space="preserve"> 教学大楼西侧卫生间改造工程 </w:t>
      </w:r>
      <w:r>
        <w:rPr>
          <w:rFonts w:hint="eastAsia" w:ascii="宋体" w:hAnsi="宋体" w:eastAsia="宋体" w:cs="宋体"/>
          <w:b/>
          <w:sz w:val="21"/>
          <w:szCs w:val="21"/>
          <w:lang w:val="en-US" w:eastAsia="zh-CN"/>
        </w:rPr>
        <w:t>采购</w:t>
      </w:r>
      <w:r>
        <w:rPr>
          <w:rFonts w:hint="eastAsia" w:ascii="宋体" w:hAnsi="宋体" w:eastAsia="宋体" w:cs="宋体"/>
          <w:b/>
          <w:sz w:val="21"/>
          <w:szCs w:val="21"/>
        </w:rPr>
        <w:t>项目的潜在供应商应在</w:t>
      </w:r>
      <w:r>
        <w:rPr>
          <w:rFonts w:hint="eastAsia" w:ascii="宋体" w:hAnsi="宋体" w:eastAsia="宋体" w:cs="宋体"/>
          <w:b/>
          <w:sz w:val="21"/>
          <w:szCs w:val="21"/>
          <w:u w:val="single"/>
        </w:rPr>
        <w:t xml:space="preserve"> 政府采购云平台（https://login.zcygov.cn）</w:t>
      </w:r>
      <w:r>
        <w:rPr>
          <w:rFonts w:hint="eastAsia" w:ascii="宋体" w:hAnsi="宋体" w:eastAsia="宋体" w:cs="宋体"/>
          <w:b/>
          <w:sz w:val="21"/>
          <w:szCs w:val="21"/>
        </w:rPr>
        <w:t>获取</w:t>
      </w:r>
      <w:r>
        <w:rPr>
          <w:rFonts w:hint="eastAsia" w:ascii="宋体" w:hAnsi="宋体" w:cs="宋体"/>
          <w:b/>
          <w:sz w:val="21"/>
          <w:szCs w:val="21"/>
          <w:lang w:eastAsia="zh-CN"/>
        </w:rPr>
        <w:t>磋商</w:t>
      </w:r>
      <w:r>
        <w:rPr>
          <w:rFonts w:hint="eastAsia" w:ascii="宋体" w:hAnsi="宋体" w:eastAsia="宋体" w:cs="宋体"/>
          <w:b/>
          <w:sz w:val="21"/>
          <w:szCs w:val="21"/>
        </w:rPr>
        <w:t>文件，并于</w:t>
      </w:r>
      <w:r>
        <w:rPr>
          <w:rFonts w:hint="eastAsia" w:ascii="宋体" w:hAnsi="宋体" w:eastAsia="宋体" w:cs="宋体"/>
          <w:b/>
          <w:sz w:val="21"/>
          <w:szCs w:val="21"/>
          <w:u w:val="single"/>
        </w:rPr>
        <w:t>2020年7月</w:t>
      </w:r>
      <w:r>
        <w:rPr>
          <w:rFonts w:hint="eastAsia" w:ascii="宋体" w:hAnsi="宋体" w:cs="宋体"/>
          <w:b/>
          <w:sz w:val="21"/>
          <w:szCs w:val="21"/>
          <w:u w:val="single"/>
          <w:lang w:val="en-US" w:eastAsia="zh-CN"/>
        </w:rPr>
        <w:t>2</w:t>
      </w:r>
      <w:r>
        <w:rPr>
          <w:rFonts w:hint="eastAsia" w:ascii="宋体" w:hAnsi="宋体" w:eastAsia="宋体" w:cs="宋体"/>
          <w:b/>
          <w:sz w:val="21"/>
          <w:szCs w:val="21"/>
          <w:u w:val="single"/>
          <w:lang w:val="en-US" w:eastAsia="zh-CN"/>
        </w:rPr>
        <w:t>3</w:t>
      </w:r>
      <w:r>
        <w:rPr>
          <w:rFonts w:hint="eastAsia" w:ascii="宋体" w:hAnsi="宋体" w:eastAsia="宋体" w:cs="宋体"/>
          <w:b/>
          <w:sz w:val="21"/>
          <w:szCs w:val="21"/>
          <w:u w:val="single"/>
        </w:rPr>
        <w:t>日</w:t>
      </w:r>
      <w:r>
        <w:rPr>
          <w:rFonts w:hint="eastAsia" w:ascii="宋体" w:hAnsi="宋体" w:cs="宋体"/>
          <w:b/>
          <w:sz w:val="21"/>
          <w:szCs w:val="21"/>
          <w:u w:val="single"/>
          <w:lang w:eastAsia="zh-CN"/>
        </w:rPr>
        <w:t>上午09:00:00</w:t>
      </w:r>
      <w:r>
        <w:rPr>
          <w:rFonts w:hint="eastAsia" w:ascii="宋体" w:hAnsi="宋体" w:eastAsia="宋体" w:cs="宋体"/>
          <w:b/>
          <w:bCs/>
          <w:sz w:val="21"/>
          <w:szCs w:val="21"/>
          <w:u w:val="single"/>
        </w:rPr>
        <w:t>（</w:t>
      </w:r>
      <w:r>
        <w:rPr>
          <w:rFonts w:hint="eastAsia" w:ascii="宋体" w:hAnsi="宋体" w:eastAsia="宋体" w:cs="宋体"/>
          <w:b/>
          <w:bCs/>
          <w:sz w:val="21"/>
          <w:szCs w:val="21"/>
        </w:rPr>
        <w:t>北京时间）前递交（上传）</w:t>
      </w:r>
      <w:r>
        <w:rPr>
          <w:rFonts w:hint="eastAsia" w:ascii="宋体" w:hAnsi="宋体" w:eastAsia="宋体" w:cs="宋体"/>
          <w:b/>
          <w:bCs/>
          <w:sz w:val="21"/>
          <w:szCs w:val="21"/>
          <w:lang w:eastAsia="zh-CN"/>
        </w:rPr>
        <w:t>响应</w:t>
      </w:r>
      <w:r>
        <w:rPr>
          <w:rFonts w:hint="eastAsia" w:ascii="宋体" w:hAnsi="宋体" w:eastAsia="宋体" w:cs="宋体"/>
          <w:b/>
          <w:bCs/>
          <w:sz w:val="21"/>
          <w:szCs w:val="21"/>
        </w:rPr>
        <w:t>文件</w:t>
      </w:r>
      <w:r>
        <w:rPr>
          <w:rFonts w:hint="eastAsia" w:ascii="宋体" w:hAnsi="宋体" w:eastAsia="宋体" w:cs="宋体"/>
          <w:b/>
          <w:sz w:val="21"/>
          <w:szCs w:val="21"/>
        </w:rPr>
        <w:t>。</w:t>
      </w:r>
    </w:p>
    <w:p>
      <w:pPr>
        <w:pStyle w:val="18"/>
        <w:keepNext w:val="0"/>
        <w:keepLines w:val="0"/>
        <w:widowControl/>
        <w:suppressLineNumbers w:val="0"/>
        <w:spacing w:before="165" w:beforeAutospacing="0" w:after="165" w:afterAutospacing="0" w:line="315" w:lineRule="atLeast"/>
        <w:ind w:left="0" w:right="0" w:firstLine="0"/>
        <w:rPr>
          <w:rFonts w:hint="eastAsia" w:ascii="宋体" w:hAnsi="宋体" w:eastAsia="宋体" w:cs="宋体"/>
          <w:i w:val="0"/>
          <w:caps w:val="0"/>
          <w:color w:val="000000"/>
          <w:spacing w:val="0"/>
          <w:sz w:val="21"/>
          <w:szCs w:val="21"/>
        </w:rPr>
      </w:pPr>
      <w:r>
        <w:rPr>
          <w:rStyle w:val="22"/>
          <w:rFonts w:hint="eastAsia" w:ascii="宋体" w:hAnsi="宋体" w:eastAsia="宋体" w:cs="宋体"/>
          <w:i w:val="0"/>
          <w:caps w:val="0"/>
          <w:color w:val="000000"/>
          <w:spacing w:val="0"/>
          <w:sz w:val="21"/>
          <w:szCs w:val="21"/>
        </w:rPr>
        <w:t>一、项目基本情况</w:t>
      </w:r>
    </w:p>
    <w:p>
      <w:pPr>
        <w:pStyle w:val="18"/>
        <w:keepNext w:val="0"/>
        <w:keepLines w:val="0"/>
        <w:widowControl/>
        <w:suppressLineNumbers w:val="0"/>
        <w:ind w:left="0" w:firstLine="420" w:firstLineChars="200"/>
        <w:rPr>
          <w:rFonts w:hint="eastAsia" w:ascii="宋体" w:hAnsi="宋体" w:eastAsia="宋体" w:cs="宋体"/>
          <w:i w:val="0"/>
          <w:caps w:val="0"/>
          <w:color w:val="000000"/>
          <w:spacing w:val="0"/>
          <w:sz w:val="21"/>
          <w:szCs w:val="21"/>
          <w:lang w:eastAsia="zh-CN"/>
        </w:rPr>
      </w:pPr>
      <w:r>
        <w:rPr>
          <w:rFonts w:hint="eastAsia" w:ascii="宋体" w:hAnsi="宋体" w:eastAsia="宋体" w:cs="宋体"/>
          <w:i w:val="0"/>
          <w:caps w:val="0"/>
          <w:color w:val="000000"/>
          <w:spacing w:val="0"/>
          <w:sz w:val="21"/>
          <w:szCs w:val="21"/>
        </w:rPr>
        <w:t>项目编号：</w:t>
      </w:r>
      <w:r>
        <w:rPr>
          <w:rFonts w:hint="eastAsia" w:ascii="宋体" w:hAnsi="宋体" w:eastAsia="宋体" w:cs="宋体"/>
          <w:i w:val="0"/>
          <w:caps w:val="0"/>
          <w:color w:val="000000"/>
          <w:spacing w:val="0"/>
          <w:sz w:val="21"/>
          <w:szCs w:val="21"/>
          <w:lang w:eastAsia="zh-CN"/>
        </w:rPr>
        <w:t xml:space="preserve"> </w:t>
      </w:r>
      <w:r>
        <w:rPr>
          <w:rFonts w:hint="eastAsia" w:cs="宋体"/>
          <w:i w:val="0"/>
          <w:caps w:val="0"/>
          <w:color w:val="000000"/>
          <w:spacing w:val="0"/>
          <w:sz w:val="21"/>
          <w:szCs w:val="21"/>
          <w:lang w:eastAsia="zh-CN"/>
        </w:rPr>
        <w:t>ZJWSBJ-NL-2020008C（1）</w:t>
      </w:r>
      <w:r>
        <w:rPr>
          <w:rFonts w:hint="eastAsia" w:ascii="宋体" w:hAnsi="宋体" w:eastAsia="宋体" w:cs="宋体"/>
          <w:i w:val="0"/>
          <w:caps w:val="0"/>
          <w:color w:val="000000"/>
          <w:spacing w:val="0"/>
          <w:sz w:val="21"/>
          <w:szCs w:val="21"/>
          <w:lang w:eastAsia="zh-CN"/>
        </w:rPr>
        <w:t xml:space="preserve"> </w:t>
      </w:r>
    </w:p>
    <w:p>
      <w:pPr>
        <w:pStyle w:val="18"/>
        <w:keepNext w:val="0"/>
        <w:keepLines w:val="0"/>
        <w:widowControl/>
        <w:suppressLineNumbers w:val="0"/>
        <w:ind w:left="0" w:firstLine="420" w:firstLineChars="200"/>
        <w:rPr>
          <w:rFonts w:hint="eastAsia" w:ascii="宋体" w:hAnsi="宋体" w:eastAsia="宋体" w:cs="宋体"/>
          <w:i w:val="0"/>
          <w:caps w:val="0"/>
          <w:color w:val="000000"/>
          <w:spacing w:val="0"/>
          <w:sz w:val="21"/>
          <w:szCs w:val="21"/>
          <w:lang w:eastAsia="zh-CN"/>
        </w:rPr>
      </w:pPr>
      <w:r>
        <w:rPr>
          <w:rFonts w:hint="eastAsia" w:ascii="宋体" w:hAnsi="宋体" w:eastAsia="宋体" w:cs="宋体"/>
          <w:i w:val="0"/>
          <w:caps w:val="0"/>
          <w:color w:val="000000"/>
          <w:spacing w:val="0"/>
          <w:sz w:val="21"/>
          <w:szCs w:val="21"/>
        </w:rPr>
        <w:t>项目名称：</w:t>
      </w:r>
      <w:r>
        <w:rPr>
          <w:rFonts w:hint="eastAsia" w:ascii="宋体" w:hAnsi="宋体" w:eastAsia="宋体" w:cs="宋体"/>
          <w:i w:val="0"/>
          <w:caps w:val="0"/>
          <w:color w:val="000000"/>
          <w:spacing w:val="0"/>
          <w:sz w:val="21"/>
          <w:szCs w:val="21"/>
          <w:lang w:eastAsia="zh-CN"/>
        </w:rPr>
        <w:t xml:space="preserve"> 教学大楼西侧卫生间改造工程 </w:t>
      </w:r>
    </w:p>
    <w:p>
      <w:pPr>
        <w:pStyle w:val="18"/>
        <w:keepNext w:val="0"/>
        <w:keepLines w:val="0"/>
        <w:widowControl/>
        <w:suppressLineNumbers w:val="0"/>
        <w:ind w:left="0" w:firstLine="420" w:firstLineChars="20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采购方式：竞争性磋商</w:t>
      </w:r>
    </w:p>
    <w:p>
      <w:pPr>
        <w:pStyle w:val="18"/>
        <w:keepNext w:val="0"/>
        <w:keepLines w:val="0"/>
        <w:widowControl/>
        <w:suppressLineNumbers w:val="0"/>
        <w:ind w:left="0" w:firstLine="420" w:firstLineChars="200"/>
        <w:rPr>
          <w:rFonts w:hint="eastAsia" w:ascii="宋体" w:hAnsi="宋体" w:eastAsia="宋体" w:cs="宋体"/>
          <w:i w:val="0"/>
          <w:caps w:val="0"/>
          <w:color w:val="000000"/>
          <w:spacing w:val="0"/>
          <w:sz w:val="21"/>
          <w:szCs w:val="21"/>
          <w:lang w:eastAsia="zh-CN"/>
        </w:rPr>
      </w:pPr>
      <w:r>
        <w:rPr>
          <w:rFonts w:hint="eastAsia" w:ascii="宋体" w:hAnsi="宋体" w:eastAsia="宋体" w:cs="宋体"/>
          <w:i w:val="0"/>
          <w:caps w:val="0"/>
          <w:color w:val="000000"/>
          <w:spacing w:val="0"/>
          <w:sz w:val="21"/>
          <w:szCs w:val="21"/>
        </w:rPr>
        <w:t>预算金额（元）：</w:t>
      </w:r>
      <w:r>
        <w:rPr>
          <w:rFonts w:hint="eastAsia" w:ascii="宋体" w:hAnsi="宋体" w:eastAsia="宋体" w:cs="宋体"/>
          <w:i w:val="0"/>
          <w:caps w:val="0"/>
          <w:color w:val="000000"/>
          <w:spacing w:val="0"/>
          <w:sz w:val="21"/>
          <w:szCs w:val="21"/>
          <w:lang w:val="en-US" w:eastAsia="zh-CN"/>
        </w:rPr>
        <w:t>1500000</w:t>
      </w:r>
    </w:p>
    <w:p>
      <w:pPr>
        <w:pStyle w:val="18"/>
        <w:keepNext w:val="0"/>
        <w:keepLines w:val="0"/>
        <w:widowControl/>
        <w:suppressLineNumbers w:val="0"/>
        <w:ind w:left="0" w:firstLine="420" w:firstLineChars="200"/>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rPr>
        <w:t>最高限价（元）：</w:t>
      </w:r>
      <w:r>
        <w:rPr>
          <w:rFonts w:hint="eastAsia" w:ascii="宋体" w:hAnsi="宋体" w:eastAsia="宋体" w:cs="宋体"/>
          <w:i w:val="0"/>
          <w:caps w:val="0"/>
          <w:color w:val="000000"/>
          <w:spacing w:val="0"/>
          <w:sz w:val="21"/>
          <w:szCs w:val="21"/>
          <w:lang w:val="en-US" w:eastAsia="zh-CN"/>
        </w:rPr>
        <w:t>1500000</w:t>
      </w:r>
    </w:p>
    <w:p>
      <w:pPr>
        <w:pStyle w:val="18"/>
        <w:keepNext w:val="0"/>
        <w:keepLines w:val="0"/>
        <w:widowControl/>
        <w:suppressLineNumbers w:val="0"/>
        <w:ind w:left="0" w:firstLine="420" w:firstLineChars="200"/>
        <w:rPr>
          <w:rFonts w:hint="eastAsia" w:ascii="宋体" w:hAnsi="宋体" w:eastAsia="宋体" w:cs="宋体"/>
          <w:i w:val="0"/>
          <w:caps w:val="0"/>
          <w:color w:val="000000"/>
          <w:spacing w:val="0"/>
          <w:sz w:val="21"/>
          <w:szCs w:val="21"/>
          <w:lang w:eastAsia="zh-CN"/>
        </w:rPr>
      </w:pPr>
      <w:r>
        <w:rPr>
          <w:rFonts w:hint="eastAsia" w:ascii="宋体" w:hAnsi="宋体" w:eastAsia="宋体" w:cs="宋体"/>
          <w:i w:val="0"/>
          <w:caps w:val="0"/>
          <w:color w:val="000000"/>
          <w:spacing w:val="0"/>
          <w:sz w:val="21"/>
          <w:szCs w:val="21"/>
        </w:rPr>
        <w:t>采购需求：</w:t>
      </w:r>
    </w:p>
    <w:tbl>
      <w:tblPr>
        <w:tblStyle w:val="19"/>
        <w:tblW w:w="5000" w:type="pct"/>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371"/>
        <w:gridCol w:w="1356"/>
        <w:gridCol w:w="1356"/>
        <w:gridCol w:w="1469"/>
        <w:gridCol w:w="1017"/>
        <w:gridCol w:w="1581"/>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696" w:type="pct"/>
            <w:noWrap w:val="0"/>
            <w:vAlign w:val="center"/>
          </w:tcPr>
          <w:p>
            <w:pPr>
              <w:widowControl/>
              <w:wordWrap w:val="0"/>
              <w:jc w:val="center"/>
              <w:rPr>
                <w:rFonts w:hint="eastAsia" w:ascii="宋体" w:hAnsi="宋体" w:eastAsia="宋体" w:cs="宋体"/>
                <w:kern w:val="0"/>
                <w:sz w:val="21"/>
                <w:szCs w:val="21"/>
              </w:rPr>
            </w:pPr>
            <w:r>
              <w:rPr>
                <w:rFonts w:hint="eastAsia" w:ascii="宋体" w:hAnsi="宋体" w:eastAsia="宋体" w:cs="宋体"/>
                <w:kern w:val="0"/>
                <w:sz w:val="21"/>
                <w:szCs w:val="21"/>
              </w:rPr>
              <w:t>标项序号</w:t>
            </w:r>
          </w:p>
        </w:tc>
        <w:tc>
          <w:tcPr>
            <w:tcW w:w="696" w:type="pct"/>
            <w:noWrap w:val="0"/>
            <w:vAlign w:val="center"/>
          </w:tcPr>
          <w:p>
            <w:pPr>
              <w:widowControl/>
              <w:wordWrap w:val="0"/>
              <w:jc w:val="center"/>
              <w:rPr>
                <w:rFonts w:hint="eastAsia" w:ascii="宋体" w:hAnsi="宋体" w:eastAsia="宋体" w:cs="宋体"/>
                <w:kern w:val="0"/>
                <w:sz w:val="21"/>
                <w:szCs w:val="21"/>
              </w:rPr>
            </w:pPr>
            <w:r>
              <w:rPr>
                <w:rFonts w:hint="eastAsia" w:ascii="宋体" w:hAnsi="宋体" w:eastAsia="宋体" w:cs="宋体"/>
                <w:kern w:val="0"/>
                <w:sz w:val="21"/>
                <w:szCs w:val="21"/>
              </w:rPr>
              <w:t>标项名称</w:t>
            </w:r>
          </w:p>
        </w:tc>
        <w:tc>
          <w:tcPr>
            <w:tcW w:w="696" w:type="pct"/>
            <w:noWrap w:val="0"/>
            <w:vAlign w:val="center"/>
          </w:tcPr>
          <w:p>
            <w:pPr>
              <w:widowControl/>
              <w:wordWrap w:val="0"/>
              <w:jc w:val="center"/>
              <w:rPr>
                <w:rFonts w:hint="eastAsia" w:ascii="宋体" w:hAnsi="宋体" w:eastAsia="宋体" w:cs="宋体"/>
                <w:kern w:val="0"/>
                <w:sz w:val="21"/>
                <w:szCs w:val="21"/>
              </w:rPr>
            </w:pPr>
            <w:r>
              <w:rPr>
                <w:rFonts w:hint="eastAsia" w:ascii="宋体" w:hAnsi="宋体" w:eastAsia="宋体" w:cs="宋体"/>
                <w:kern w:val="0"/>
                <w:sz w:val="21"/>
                <w:szCs w:val="21"/>
              </w:rPr>
              <w:t>数量</w:t>
            </w:r>
          </w:p>
        </w:tc>
        <w:tc>
          <w:tcPr>
            <w:tcW w:w="755" w:type="pct"/>
            <w:noWrap w:val="0"/>
            <w:vAlign w:val="center"/>
          </w:tcPr>
          <w:p>
            <w:pPr>
              <w:widowControl/>
              <w:wordWrap w:val="0"/>
              <w:jc w:val="center"/>
              <w:rPr>
                <w:rFonts w:hint="eastAsia" w:ascii="宋体" w:hAnsi="宋体" w:eastAsia="宋体" w:cs="宋体"/>
                <w:kern w:val="0"/>
                <w:sz w:val="21"/>
                <w:szCs w:val="21"/>
              </w:rPr>
            </w:pPr>
            <w:r>
              <w:rPr>
                <w:rFonts w:hint="eastAsia" w:ascii="宋体" w:hAnsi="宋体" w:eastAsia="宋体" w:cs="宋体"/>
                <w:kern w:val="0"/>
                <w:sz w:val="21"/>
                <w:szCs w:val="21"/>
              </w:rPr>
              <w:t>预算金额(元)</w:t>
            </w:r>
          </w:p>
        </w:tc>
        <w:tc>
          <w:tcPr>
            <w:tcW w:w="518" w:type="pct"/>
            <w:noWrap w:val="0"/>
            <w:vAlign w:val="center"/>
          </w:tcPr>
          <w:p>
            <w:pPr>
              <w:widowControl/>
              <w:wordWrap w:val="0"/>
              <w:jc w:val="center"/>
              <w:rPr>
                <w:rFonts w:hint="eastAsia" w:ascii="宋体" w:hAnsi="宋体" w:eastAsia="宋体" w:cs="宋体"/>
                <w:kern w:val="0"/>
                <w:sz w:val="21"/>
                <w:szCs w:val="21"/>
              </w:rPr>
            </w:pPr>
            <w:r>
              <w:rPr>
                <w:rFonts w:hint="eastAsia" w:ascii="宋体" w:hAnsi="宋体" w:eastAsia="宋体" w:cs="宋体"/>
                <w:kern w:val="0"/>
                <w:sz w:val="21"/>
                <w:szCs w:val="21"/>
              </w:rPr>
              <w:t>单位</w:t>
            </w:r>
          </w:p>
        </w:tc>
        <w:tc>
          <w:tcPr>
            <w:tcW w:w="814" w:type="pct"/>
            <w:noWrap w:val="0"/>
            <w:vAlign w:val="center"/>
          </w:tcPr>
          <w:p>
            <w:pPr>
              <w:widowControl/>
              <w:wordWrap w:val="0"/>
              <w:jc w:val="center"/>
              <w:rPr>
                <w:rFonts w:hint="eastAsia" w:ascii="宋体" w:hAnsi="宋体" w:eastAsia="宋体" w:cs="宋体"/>
                <w:kern w:val="0"/>
                <w:sz w:val="21"/>
                <w:szCs w:val="21"/>
              </w:rPr>
            </w:pPr>
            <w:r>
              <w:rPr>
                <w:rFonts w:hint="eastAsia" w:ascii="宋体" w:hAnsi="宋体" w:eastAsia="宋体" w:cs="宋体"/>
                <w:kern w:val="0"/>
                <w:sz w:val="21"/>
                <w:szCs w:val="21"/>
              </w:rPr>
              <w:t>简要规格描述</w:t>
            </w:r>
          </w:p>
        </w:tc>
        <w:tc>
          <w:tcPr>
            <w:tcW w:w="696" w:type="pct"/>
            <w:noWrap w:val="0"/>
            <w:vAlign w:val="center"/>
          </w:tcPr>
          <w:p>
            <w:pPr>
              <w:widowControl/>
              <w:wordWrap w:val="0"/>
              <w:jc w:val="center"/>
              <w:rPr>
                <w:rFonts w:hint="eastAsia" w:ascii="宋体" w:hAnsi="宋体" w:eastAsia="宋体" w:cs="宋体"/>
                <w:kern w:val="0"/>
                <w:sz w:val="21"/>
                <w:szCs w:val="21"/>
              </w:rPr>
            </w:pPr>
            <w:r>
              <w:rPr>
                <w:rFonts w:hint="eastAsia" w:ascii="宋体" w:hAnsi="宋体" w:eastAsia="宋体" w:cs="宋体"/>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696" w:type="pct"/>
            <w:noWrap w:val="0"/>
            <w:vAlign w:val="center"/>
          </w:tcPr>
          <w:p>
            <w:pPr>
              <w:widowControl/>
              <w:wordWrap w:val="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696" w:type="pct"/>
            <w:noWrap w:val="0"/>
            <w:vAlign w:val="center"/>
          </w:tcPr>
          <w:p>
            <w:pPr>
              <w:widowControl/>
              <w:wordWrap w:val="0"/>
              <w:jc w:val="center"/>
              <w:rPr>
                <w:rFonts w:hint="eastAsia" w:ascii="宋体" w:hAnsi="宋体" w:eastAsia="宋体" w:cs="宋体"/>
                <w:kern w:val="0"/>
                <w:sz w:val="21"/>
                <w:szCs w:val="21"/>
              </w:rPr>
            </w:pPr>
            <w:r>
              <w:rPr>
                <w:rFonts w:hint="eastAsia" w:ascii="宋体" w:hAnsi="宋体" w:eastAsia="宋体" w:cs="宋体"/>
                <w:kern w:val="0"/>
                <w:sz w:val="21"/>
                <w:szCs w:val="21"/>
              </w:rPr>
              <w:t>教学大楼西侧卫生间改造工程</w:t>
            </w:r>
          </w:p>
        </w:tc>
        <w:tc>
          <w:tcPr>
            <w:tcW w:w="696" w:type="pct"/>
            <w:noWrap w:val="0"/>
            <w:vAlign w:val="center"/>
          </w:tcPr>
          <w:p>
            <w:pPr>
              <w:widowControl/>
              <w:wordWrap w:val="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755" w:type="pct"/>
            <w:noWrap w:val="0"/>
            <w:vAlign w:val="center"/>
          </w:tcPr>
          <w:p>
            <w:pPr>
              <w:widowControl/>
              <w:wordWrap w:val="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1500000</w:t>
            </w:r>
          </w:p>
        </w:tc>
        <w:tc>
          <w:tcPr>
            <w:tcW w:w="518" w:type="pct"/>
            <w:noWrap w:val="0"/>
            <w:vAlign w:val="center"/>
          </w:tcPr>
          <w:p>
            <w:pPr>
              <w:widowControl/>
              <w:wordWrap w:val="0"/>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项</w:t>
            </w:r>
          </w:p>
        </w:tc>
        <w:tc>
          <w:tcPr>
            <w:tcW w:w="814" w:type="pct"/>
            <w:noWrap w:val="0"/>
            <w:vAlign w:val="center"/>
          </w:tcPr>
          <w:p>
            <w:pPr>
              <w:widowControl/>
              <w:wordWrap w:val="0"/>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详见招标文件</w:t>
            </w:r>
          </w:p>
        </w:tc>
        <w:tc>
          <w:tcPr>
            <w:tcW w:w="696" w:type="pct"/>
            <w:noWrap w:val="0"/>
            <w:vAlign w:val="center"/>
          </w:tcPr>
          <w:p>
            <w:pPr>
              <w:widowControl/>
              <w:wordWrap w:val="0"/>
              <w:jc w:val="center"/>
              <w:rPr>
                <w:rFonts w:hint="eastAsia" w:ascii="宋体" w:hAnsi="宋体" w:eastAsia="宋体" w:cs="宋体"/>
                <w:kern w:val="0"/>
                <w:sz w:val="21"/>
                <w:szCs w:val="21"/>
              </w:rPr>
            </w:pPr>
          </w:p>
        </w:tc>
      </w:tr>
    </w:tbl>
    <w:p>
      <w:pPr>
        <w:widowControl/>
        <w:spacing w:before="100" w:beforeAutospacing="1" w:after="100" w:afterAutospacing="1"/>
        <w:ind w:firstLine="420" w:firstLineChars="200"/>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合同履行期限：</w:t>
      </w:r>
      <w:r>
        <w:rPr>
          <w:rFonts w:hint="eastAsia" w:ascii="宋体" w:hAnsi="宋体" w:eastAsia="宋体" w:cs="宋体"/>
          <w:kern w:val="0"/>
          <w:sz w:val="21"/>
          <w:szCs w:val="21"/>
          <w:lang w:eastAsia="zh-CN"/>
        </w:rPr>
        <w:t>30日历天</w:t>
      </w:r>
    </w:p>
    <w:p>
      <w:pPr>
        <w:widowControl/>
        <w:spacing w:before="100" w:beforeAutospacing="1" w:after="100" w:afterAutospacing="1"/>
        <w:ind w:firstLine="420" w:firstLineChars="200"/>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本项目（否）接受联合体。</w:t>
      </w:r>
    </w:p>
    <w:p>
      <w:pPr>
        <w:widowControl/>
        <w:spacing w:before="170" w:after="170" w:line="320" w:lineRule="atLeast"/>
        <w:rPr>
          <w:rFonts w:hint="eastAsia" w:ascii="宋体" w:hAnsi="宋体" w:eastAsia="宋体" w:cs="宋体"/>
          <w:kern w:val="0"/>
          <w:sz w:val="21"/>
          <w:szCs w:val="21"/>
        </w:rPr>
      </w:pPr>
      <w:r>
        <w:rPr>
          <w:rFonts w:hint="eastAsia" w:ascii="宋体" w:hAnsi="宋体" w:eastAsia="宋体" w:cs="宋体"/>
          <w:b/>
          <w:bCs/>
          <w:kern w:val="0"/>
          <w:sz w:val="21"/>
          <w:szCs w:val="21"/>
        </w:rPr>
        <w:t>二、申请人的资格要求：</w:t>
      </w:r>
    </w:p>
    <w:p>
      <w:pPr>
        <w:widowControl/>
        <w:spacing w:before="100" w:beforeAutospacing="1" w:after="100" w:afterAutospacing="1"/>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1.满足《中华人民共和国政府采购法》第二十二条规定；</w:t>
      </w:r>
    </w:p>
    <w:p>
      <w:pPr>
        <w:widowControl/>
        <w:spacing w:before="100" w:beforeAutospacing="1" w:after="100" w:afterAutospacing="1"/>
        <w:ind w:firstLine="420" w:firstLineChars="200"/>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2.未被“信用中国”（www.creditchina.gov.cn）、中国政府采购网（www.ccgp.gov.cn）列入失信被执行人、重大税收违法案件当事人名单、政府采购严重违法失信行为记录名单；</w:t>
      </w:r>
    </w:p>
    <w:p>
      <w:pPr>
        <w:widowControl/>
        <w:spacing w:before="100" w:beforeAutospacing="1" w:after="100" w:afterAutospacing="1"/>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3.落实政府采购政策需满足的资格要求：详见采购文件；</w:t>
      </w:r>
    </w:p>
    <w:p>
      <w:pPr>
        <w:pStyle w:val="18"/>
        <w:spacing w:before="75" w:beforeAutospacing="0" w:after="75" w:afterAutospacing="0"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4.本项目的特定资格要求：</w:t>
      </w:r>
    </w:p>
    <w:p>
      <w:pPr>
        <w:pStyle w:val="18"/>
        <w:spacing w:before="75" w:beforeAutospacing="0" w:after="75" w:afterAutospacing="0" w:line="360" w:lineRule="auto"/>
        <w:ind w:firstLine="420" w:firstLineChars="200"/>
        <w:rPr>
          <w:rFonts w:hint="eastAsia" w:ascii="宋体" w:hAnsi="宋体" w:eastAsia="宋体" w:cs="宋体"/>
          <w:kern w:val="0"/>
          <w:sz w:val="21"/>
          <w:szCs w:val="21"/>
        </w:rPr>
      </w:pPr>
      <w:bookmarkStart w:id="252" w:name="_GoBack"/>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具有建设行政主管部门核定的建筑装修装饰工程专业承包贰级及以上资质，或具有房屋建筑工程施工总承包企业三级及以上资质；</w:t>
      </w:r>
    </w:p>
    <w:p>
      <w:pPr>
        <w:pStyle w:val="18"/>
        <w:spacing w:before="75" w:beforeAutospacing="0" w:after="75" w:afterAutospacing="0"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企业具有安全生产许可证，且在有效期内；</w:t>
      </w:r>
    </w:p>
    <w:p>
      <w:pPr>
        <w:pStyle w:val="18"/>
        <w:spacing w:before="75" w:beforeAutospacing="0" w:after="75" w:afterAutospacing="0" w:line="360" w:lineRule="auto"/>
        <w:ind w:firstLine="420" w:firstLineChars="200"/>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拟派项目经理具有建筑工程专业二级及以上建造师注册证书。</w:t>
      </w:r>
      <w:bookmarkEnd w:id="252"/>
    </w:p>
    <w:p>
      <w:pPr>
        <w:widowControl/>
        <w:spacing w:before="170" w:after="170" w:line="320" w:lineRule="atLeast"/>
        <w:rPr>
          <w:rFonts w:hint="eastAsia" w:ascii="宋体" w:hAnsi="宋体" w:eastAsia="宋体" w:cs="宋体"/>
          <w:kern w:val="0"/>
          <w:sz w:val="21"/>
          <w:szCs w:val="21"/>
        </w:rPr>
      </w:pPr>
      <w:r>
        <w:rPr>
          <w:rFonts w:hint="eastAsia" w:ascii="宋体" w:hAnsi="宋体" w:eastAsia="宋体" w:cs="宋体"/>
          <w:b/>
          <w:bCs/>
          <w:kern w:val="0"/>
          <w:sz w:val="21"/>
          <w:szCs w:val="21"/>
        </w:rPr>
        <w:t>三、获取（下载）采购文件</w:t>
      </w:r>
    </w:p>
    <w:p>
      <w:pPr>
        <w:widowControl/>
        <w:spacing w:before="100" w:beforeAutospacing="1" w:after="100" w:afterAutospacing="1"/>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时间：</w:t>
      </w:r>
      <w:r>
        <w:rPr>
          <w:rFonts w:hint="eastAsia" w:ascii="宋体" w:hAnsi="宋体" w:eastAsia="宋体" w:cs="宋体"/>
          <w:bCs/>
          <w:kern w:val="0"/>
          <w:sz w:val="21"/>
          <w:szCs w:val="21"/>
        </w:rPr>
        <w:t>公告发布时间  至  磋商响应截止时间</w:t>
      </w:r>
    </w:p>
    <w:p>
      <w:pPr>
        <w:widowControl/>
        <w:spacing w:before="100" w:beforeAutospacing="1" w:after="100" w:afterAutospacing="1"/>
        <w:ind w:firstLine="420" w:firstLineChars="200"/>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地点（网址）：政采云平台（http://zfcg.czt.zj.gov.cn），供应商获取采购文件前应先完成“政府采购云平台”的账号注册</w:t>
      </w:r>
    </w:p>
    <w:p>
      <w:pPr>
        <w:widowControl/>
        <w:spacing w:before="100" w:beforeAutospacing="1" w:after="100" w:afterAutospacing="1"/>
        <w:ind w:firstLine="420" w:firstLineChars="200"/>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方式：潜在供应商登陆政采云平台，在线申请获取采购文件（进入“项目采购”应用，在获取采购文件菜单中选择项目，申请获取采购文件；仅需浏览采购文件的供应商可点击“游客，浏览采购文件”直接下载采购文件浏览）</w:t>
      </w:r>
    </w:p>
    <w:p>
      <w:pPr>
        <w:widowControl/>
        <w:spacing w:before="100" w:beforeAutospacing="1" w:after="100" w:afterAutospacing="1"/>
        <w:ind w:firstLine="420" w:firstLineChars="200"/>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售价（元）：</w:t>
      </w:r>
      <w:r>
        <w:rPr>
          <w:rFonts w:hint="eastAsia" w:ascii="宋体" w:hAnsi="宋体" w:eastAsia="宋体" w:cs="宋体"/>
          <w:kern w:val="0"/>
          <w:sz w:val="21"/>
          <w:szCs w:val="21"/>
          <w:lang w:val="en-US" w:eastAsia="zh-CN"/>
        </w:rPr>
        <w:t>0</w:t>
      </w:r>
    </w:p>
    <w:p>
      <w:pPr>
        <w:widowControl/>
        <w:spacing w:before="170" w:after="170" w:line="320" w:lineRule="atLeast"/>
        <w:rPr>
          <w:rFonts w:hint="eastAsia" w:ascii="宋体" w:hAnsi="宋体" w:eastAsia="宋体" w:cs="宋体"/>
          <w:kern w:val="0"/>
          <w:sz w:val="21"/>
          <w:szCs w:val="21"/>
        </w:rPr>
      </w:pPr>
      <w:r>
        <w:rPr>
          <w:rFonts w:hint="eastAsia" w:ascii="宋体" w:hAnsi="宋体" w:eastAsia="宋体" w:cs="宋体"/>
          <w:b/>
          <w:bCs/>
          <w:kern w:val="0"/>
          <w:sz w:val="21"/>
          <w:szCs w:val="21"/>
        </w:rPr>
        <w:t>四、响应文件提交（上传）</w:t>
      </w:r>
    </w:p>
    <w:p>
      <w:pPr>
        <w:widowControl/>
        <w:spacing w:before="100" w:beforeAutospacing="1" w:after="100" w:afterAutospacing="1"/>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截止时间：</w:t>
      </w:r>
      <w:r>
        <w:rPr>
          <w:rFonts w:hint="eastAsia" w:ascii="宋体" w:hAnsi="宋体" w:eastAsia="宋体" w:cs="宋体"/>
          <w:kern w:val="0"/>
          <w:sz w:val="21"/>
          <w:szCs w:val="21"/>
          <w:u w:val="single"/>
          <w:lang w:eastAsia="zh-CN"/>
        </w:rPr>
        <w:t xml:space="preserve">  </w:t>
      </w:r>
      <w:r>
        <w:rPr>
          <w:rFonts w:hint="eastAsia" w:ascii="宋体" w:hAnsi="宋体" w:eastAsia="宋体" w:cs="宋体"/>
          <w:kern w:val="0"/>
          <w:sz w:val="21"/>
          <w:szCs w:val="21"/>
          <w:u w:val="single"/>
        </w:rPr>
        <w:t>2020年</w:t>
      </w:r>
      <w:r>
        <w:rPr>
          <w:rFonts w:hint="eastAsia" w:ascii="宋体" w:hAnsi="宋体" w:cs="宋体"/>
          <w:kern w:val="0"/>
          <w:sz w:val="21"/>
          <w:szCs w:val="21"/>
          <w:u w:val="single"/>
          <w:lang w:eastAsia="zh-CN"/>
        </w:rPr>
        <w:t>07月23日</w:t>
      </w:r>
      <w:r>
        <w:rPr>
          <w:rFonts w:hint="eastAsia" w:ascii="宋体" w:hAnsi="宋体" w:eastAsia="宋体" w:cs="宋体"/>
          <w:kern w:val="0"/>
          <w:sz w:val="21"/>
          <w:szCs w:val="21"/>
          <w:u w:val="single"/>
        </w:rPr>
        <w:t xml:space="preserve"> </w:t>
      </w:r>
      <w:r>
        <w:rPr>
          <w:rFonts w:hint="eastAsia" w:ascii="宋体" w:hAnsi="宋体" w:cs="宋体"/>
          <w:kern w:val="0"/>
          <w:sz w:val="21"/>
          <w:szCs w:val="21"/>
          <w:u w:val="single"/>
          <w:lang w:eastAsia="zh-CN"/>
        </w:rPr>
        <w:t>09:00</w:t>
      </w:r>
      <w:r>
        <w:rPr>
          <w:rFonts w:hint="eastAsia" w:ascii="宋体" w:hAnsi="宋体" w:eastAsia="宋体" w:cs="宋体"/>
          <w:kern w:val="0"/>
          <w:sz w:val="21"/>
          <w:szCs w:val="21"/>
          <w:u w:val="single"/>
          <w:lang w:eastAsia="zh-CN"/>
        </w:rPr>
        <w:t xml:space="preserve">  </w:t>
      </w:r>
      <w:r>
        <w:rPr>
          <w:rFonts w:hint="eastAsia" w:ascii="宋体" w:hAnsi="宋体" w:eastAsia="宋体" w:cs="宋体"/>
          <w:kern w:val="0"/>
          <w:sz w:val="21"/>
          <w:szCs w:val="21"/>
        </w:rPr>
        <w:t>（北京时间）</w:t>
      </w:r>
    </w:p>
    <w:p>
      <w:pPr>
        <w:widowControl/>
        <w:spacing w:before="100" w:beforeAutospacing="1" w:after="100" w:afterAutospacing="1"/>
        <w:ind w:firstLine="420" w:firstLineChars="200"/>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地点（网址）：</w:t>
      </w:r>
      <w:r>
        <w:rPr>
          <w:rFonts w:hint="eastAsia" w:ascii="宋体" w:hAnsi="宋体" w:eastAsia="宋体" w:cs="宋体"/>
          <w:kern w:val="0"/>
          <w:sz w:val="21"/>
          <w:szCs w:val="21"/>
          <w:u w:val="single"/>
          <w:lang w:eastAsia="zh-CN"/>
        </w:rPr>
        <w:t xml:space="preserve">  </w:t>
      </w:r>
      <w:r>
        <w:rPr>
          <w:rFonts w:hint="eastAsia" w:ascii="宋体" w:hAnsi="宋体" w:eastAsia="宋体" w:cs="宋体"/>
          <w:kern w:val="0"/>
          <w:sz w:val="21"/>
          <w:szCs w:val="21"/>
          <w:u w:val="single"/>
        </w:rPr>
        <w:t>通过“政府采购云平台（www.zcygov.cn）”实行在线投标响应</w:t>
      </w:r>
    </w:p>
    <w:p>
      <w:pPr>
        <w:widowControl/>
        <w:spacing w:before="170" w:after="170" w:line="320" w:lineRule="atLeast"/>
        <w:rPr>
          <w:rFonts w:hint="eastAsia" w:ascii="宋体" w:hAnsi="宋体" w:eastAsia="宋体" w:cs="宋体"/>
          <w:kern w:val="0"/>
          <w:sz w:val="21"/>
          <w:szCs w:val="21"/>
        </w:rPr>
      </w:pPr>
      <w:r>
        <w:rPr>
          <w:rFonts w:hint="eastAsia" w:ascii="宋体" w:hAnsi="宋体" w:eastAsia="宋体" w:cs="宋体"/>
          <w:b/>
          <w:bCs/>
          <w:kern w:val="0"/>
          <w:sz w:val="21"/>
          <w:szCs w:val="21"/>
        </w:rPr>
        <w:t>五、响应文件开启</w:t>
      </w:r>
    </w:p>
    <w:p>
      <w:pPr>
        <w:widowControl/>
        <w:spacing w:before="100" w:beforeAutospacing="1" w:after="100" w:afterAutospacing="1"/>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开启时间：</w:t>
      </w:r>
      <w:r>
        <w:rPr>
          <w:rFonts w:hint="eastAsia" w:ascii="宋体" w:hAnsi="宋体" w:eastAsia="宋体" w:cs="宋体"/>
          <w:kern w:val="0"/>
          <w:sz w:val="21"/>
          <w:szCs w:val="21"/>
          <w:u w:val="single"/>
          <w:lang w:eastAsia="zh-CN"/>
        </w:rPr>
        <w:t xml:space="preserve">  </w:t>
      </w:r>
      <w:r>
        <w:rPr>
          <w:rFonts w:hint="eastAsia" w:ascii="宋体" w:hAnsi="宋体" w:eastAsia="宋体" w:cs="宋体"/>
          <w:kern w:val="0"/>
          <w:sz w:val="21"/>
          <w:szCs w:val="21"/>
          <w:u w:val="single"/>
        </w:rPr>
        <w:t>2020年</w:t>
      </w:r>
      <w:r>
        <w:rPr>
          <w:rFonts w:hint="eastAsia" w:ascii="宋体" w:hAnsi="宋体" w:cs="宋体"/>
          <w:kern w:val="0"/>
          <w:sz w:val="21"/>
          <w:szCs w:val="21"/>
          <w:u w:val="single"/>
          <w:lang w:eastAsia="zh-CN"/>
        </w:rPr>
        <w:t>07月23日</w:t>
      </w:r>
      <w:r>
        <w:rPr>
          <w:rFonts w:hint="eastAsia" w:ascii="宋体" w:hAnsi="宋体" w:eastAsia="宋体" w:cs="宋体"/>
          <w:kern w:val="0"/>
          <w:sz w:val="21"/>
          <w:szCs w:val="21"/>
          <w:u w:val="single"/>
        </w:rPr>
        <w:t xml:space="preserve"> </w:t>
      </w:r>
      <w:r>
        <w:rPr>
          <w:rFonts w:hint="eastAsia" w:ascii="宋体" w:hAnsi="宋体" w:cs="宋体"/>
          <w:kern w:val="0"/>
          <w:sz w:val="21"/>
          <w:szCs w:val="21"/>
          <w:u w:val="single"/>
          <w:lang w:eastAsia="zh-CN"/>
        </w:rPr>
        <w:t>09:00</w:t>
      </w:r>
      <w:r>
        <w:rPr>
          <w:rFonts w:hint="eastAsia" w:ascii="宋体" w:hAnsi="宋体" w:eastAsia="宋体" w:cs="宋体"/>
          <w:kern w:val="0"/>
          <w:sz w:val="21"/>
          <w:szCs w:val="21"/>
          <w:u w:val="single"/>
          <w:lang w:eastAsia="zh-CN"/>
        </w:rPr>
        <w:t xml:space="preserve">  </w:t>
      </w:r>
      <w:r>
        <w:rPr>
          <w:rFonts w:hint="eastAsia" w:ascii="宋体" w:hAnsi="宋体" w:eastAsia="宋体" w:cs="宋体"/>
          <w:kern w:val="0"/>
          <w:sz w:val="21"/>
          <w:szCs w:val="21"/>
        </w:rPr>
        <w:t>（北京时间）</w:t>
      </w:r>
    </w:p>
    <w:p>
      <w:pPr>
        <w:widowControl/>
        <w:spacing w:before="100" w:beforeAutospacing="1" w:after="100" w:afterAutospacing="1"/>
        <w:ind w:firstLine="420" w:firstLineChars="200"/>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地点（网址）：</w:t>
      </w:r>
      <w:r>
        <w:rPr>
          <w:rFonts w:hint="eastAsia" w:ascii="宋体" w:hAnsi="宋体" w:eastAsia="宋体" w:cs="宋体"/>
          <w:kern w:val="0"/>
          <w:sz w:val="21"/>
          <w:szCs w:val="21"/>
          <w:u w:val="single"/>
        </w:rPr>
        <w:t>通过“政府采购云平台（www.zcygov.cn）”实行在线投标响应</w:t>
      </w:r>
    </w:p>
    <w:p>
      <w:pPr>
        <w:widowControl/>
        <w:spacing w:before="170" w:after="170" w:line="320" w:lineRule="atLeast"/>
        <w:rPr>
          <w:rFonts w:hint="eastAsia" w:ascii="宋体" w:hAnsi="宋体" w:eastAsia="宋体" w:cs="宋体"/>
          <w:kern w:val="0"/>
          <w:sz w:val="21"/>
          <w:szCs w:val="21"/>
        </w:rPr>
      </w:pPr>
      <w:r>
        <w:rPr>
          <w:rFonts w:hint="eastAsia" w:ascii="宋体" w:hAnsi="宋体" w:eastAsia="宋体" w:cs="宋体"/>
          <w:b/>
          <w:bCs/>
          <w:kern w:val="0"/>
          <w:sz w:val="21"/>
          <w:szCs w:val="21"/>
        </w:rPr>
        <w:t>六、公告期限</w:t>
      </w:r>
    </w:p>
    <w:p>
      <w:pPr>
        <w:widowControl/>
        <w:spacing w:before="100" w:beforeAutospacing="1" w:after="100" w:afterAutospacing="1"/>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自本公告发布之日起3个工作日。</w:t>
      </w:r>
    </w:p>
    <w:p>
      <w:pPr>
        <w:widowControl/>
        <w:spacing w:before="170" w:after="170" w:line="320" w:lineRule="atLeast"/>
        <w:rPr>
          <w:rFonts w:hint="eastAsia" w:ascii="宋体" w:hAnsi="宋体" w:eastAsia="宋体" w:cs="宋体"/>
          <w:kern w:val="0"/>
          <w:sz w:val="21"/>
          <w:szCs w:val="21"/>
        </w:rPr>
      </w:pPr>
      <w:r>
        <w:rPr>
          <w:rFonts w:hint="eastAsia" w:ascii="宋体" w:hAnsi="宋体" w:eastAsia="宋体" w:cs="宋体"/>
          <w:b/>
          <w:bCs/>
          <w:kern w:val="0"/>
          <w:sz w:val="21"/>
          <w:szCs w:val="21"/>
        </w:rPr>
        <w:t>七、其他补充事宜</w:t>
      </w:r>
    </w:p>
    <w:p>
      <w:pPr>
        <w:widowControl/>
        <w:spacing w:before="60" w:after="60" w:line="360" w:lineRule="auto"/>
        <w:ind w:left="60" w:right="60" w:firstLine="420"/>
        <w:jc w:val="left"/>
        <w:rPr>
          <w:rFonts w:hint="eastAsia" w:ascii="宋体" w:hAnsi="宋体" w:eastAsia="宋体" w:cs="宋体"/>
          <w:sz w:val="21"/>
          <w:szCs w:val="21"/>
        </w:rPr>
      </w:pPr>
      <w:r>
        <w:rPr>
          <w:rFonts w:hint="eastAsia" w:ascii="宋体" w:hAnsi="宋体" w:eastAsia="宋体" w:cs="宋体"/>
          <w:sz w:val="21"/>
          <w:szCs w:val="21"/>
        </w:rPr>
        <w:t>1、供应商认为采购文件使自己的权益受到损害的，可以自收到采购文件之日或者采购文件公告期限届满之日（公告期限届满后获取采购文件的，以公告期限届满之日为准）起7个工作日内，且应当在采购响应截止时间之前以书面形式向采购人和采购代理机构提出质疑。否则，被质疑人可不予接受。质疑供应商对采购人、采购代理机构的答复不满意或者采购人、采购代理机构未在规定的时间内作出答复的，可以在答复期满后十五个工作日内向同级政府采购监督管理部门投诉。</w:t>
      </w:r>
    </w:p>
    <w:p>
      <w:pPr>
        <w:widowControl/>
        <w:adjustRightInd w:val="0"/>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落实政策：《政府采购促进中小企业发展暂行办法》（财库[2011]181号），对符合财政扶持政策的小微企业（含监狱企业、残疾人福利性单位）给予价格优惠扶持；执行节能产品政府强制采购和优先采购政策，执行环境标志产品政府优先采购政策；</w:t>
      </w:r>
    </w:p>
    <w:p>
      <w:pPr>
        <w:widowControl/>
        <w:adjustRightInd w:val="0"/>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3、本项目通过“政府采购云平台（www.zcygov.cn）”实行在线投标响应（电子投标），供应商应先安装“政采云电子交易客户端”，并按照本采购文件和“政府采购云平台”的要求，通过“政采云电子交易客户端”编制并加密响应文件。供应商未按规定加密的响应文件，“政府采购云平台”将予以拒收。</w:t>
      </w:r>
    </w:p>
    <w:p>
      <w:pPr>
        <w:widowControl/>
        <w:adjustRightInd w:val="0"/>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政采云电子交易客户端”请自行前往“浙江政府采购网-下载专区-电子交易客户端”进行下载；电子投标具体操作流程详见政府采购云平台服务中心（https://service.zcygov.cn/#/help）-最新指南-《政府采购项目电子交易管理操作指南-供应商》；通过“政府采购云平台”参与在线响应时如遇平台技术问题详询400-881-7190。</w:t>
      </w:r>
    </w:p>
    <w:p>
      <w:pPr>
        <w:widowControl/>
        <w:adjustRightInd w:val="0"/>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4、为确保网上操作合法、有效和安全，磋商供应商应当在磋商响应文件提交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"http://www.zjzfcg.gov.cn/bidClientTemplate/2019-05-27/12945.html" \o "CA驱动和申领流程" \t "_blank" </w:instrText>
      </w:r>
      <w:r>
        <w:rPr>
          <w:rFonts w:hint="eastAsia" w:ascii="宋体" w:hAnsi="宋体" w:eastAsia="宋体" w:cs="宋体"/>
          <w:sz w:val="21"/>
          <w:szCs w:val="21"/>
        </w:rPr>
        <w:fldChar w:fldCharType="separate"/>
      </w:r>
      <w:r>
        <w:rPr>
          <w:rFonts w:hint="eastAsia" w:ascii="宋体" w:hAnsi="宋体" w:eastAsia="宋体" w:cs="宋体"/>
          <w:sz w:val="21"/>
          <w:szCs w:val="21"/>
        </w:rPr>
        <w:t>CA驱动和申领流程</w:t>
      </w:r>
      <w:r>
        <w:rPr>
          <w:rFonts w:hint="eastAsia" w:ascii="宋体" w:hAnsi="宋体" w:eastAsia="宋体" w:cs="宋体"/>
          <w:sz w:val="21"/>
          <w:szCs w:val="21"/>
        </w:rPr>
        <w:fldChar w:fldCharType="end"/>
      </w:r>
      <w:r>
        <w:rPr>
          <w:rFonts w:hint="eastAsia" w:ascii="宋体" w:hAnsi="宋体" w:eastAsia="宋体" w:cs="宋体"/>
          <w:sz w:val="21"/>
          <w:szCs w:val="21"/>
        </w:rPr>
        <w:t>”进行查阅；</w:t>
      </w:r>
    </w:p>
    <w:p>
      <w:pPr>
        <w:widowControl/>
        <w:adjustRightInd w:val="0"/>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5、磋商供应商应当在磋商响应文件提交截止时间前，将生成的“电子加密响应文件”上传递交至“政府采购云平台”。磋商响应文件提交截止时间以后上传递交的响应文件将被“政府采购云平台”拒收。</w:t>
      </w:r>
    </w:p>
    <w:p>
      <w:pPr>
        <w:widowControl/>
        <w:adjustRightInd w:val="0"/>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6、磋商供应商在“政府采购云平台”完成“电子加密响应文件”的上传递交后，还可以（邮寄形式）在磋商响应文件提交截止时间前递交以介质（U盘）存储的数据电文形式的“备份响应文件”，“备份响应文件”应当密封包装并在包装上标注项目名称、供应商名称并加盖公章。</w:t>
      </w:r>
    </w:p>
    <w:p>
      <w:pPr>
        <w:widowControl/>
        <w:adjustRightInd w:val="0"/>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sz w:val="21"/>
          <w:szCs w:val="21"/>
        </w:rPr>
        <w:t>7、通过“政府采购云平台”上传递交的“电子加密响应文件”无法按时解密，磋商供应商递交了备份响应文件的，以备份响应文件为依据，否则视为响应文件撤回。通过“政府采购云平台”上传递交的“电子加密响应文件”已按时解密的，“备份响应文件”自动失效。磋商供应商仅递交备份响应文件的，响应无效。</w:t>
      </w:r>
    </w:p>
    <w:p>
      <w:pPr>
        <w:widowControl/>
        <w:spacing w:before="170" w:after="170" w:line="320" w:lineRule="atLeast"/>
        <w:rPr>
          <w:rFonts w:hint="eastAsia" w:ascii="宋体" w:hAnsi="宋体" w:eastAsia="宋体" w:cs="宋体"/>
          <w:kern w:val="0"/>
          <w:sz w:val="21"/>
          <w:szCs w:val="21"/>
        </w:rPr>
      </w:pPr>
      <w:r>
        <w:rPr>
          <w:rFonts w:hint="eastAsia" w:ascii="宋体" w:hAnsi="宋体" w:eastAsia="宋体" w:cs="宋体"/>
          <w:b/>
          <w:bCs/>
          <w:kern w:val="0"/>
          <w:sz w:val="21"/>
          <w:szCs w:val="21"/>
        </w:rPr>
        <w:t>八、对本次采购提出询问、质疑、投诉，请按以下方式联系。</w:t>
      </w:r>
    </w:p>
    <w:p>
      <w:pPr>
        <w:widowControl/>
        <w:spacing w:before="100" w:beforeAutospacing="1" w:after="100" w:afterAutospacing="1"/>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1.采购人信息</w:t>
      </w:r>
    </w:p>
    <w:p>
      <w:pPr>
        <w:widowControl/>
        <w:spacing w:before="100" w:beforeAutospacing="1" w:after="100" w:afterAutospacing="1"/>
        <w:ind w:firstLine="630" w:firstLineChars="300"/>
        <w:jc w:val="left"/>
        <w:rPr>
          <w:rFonts w:hint="eastAsia" w:ascii="宋体" w:hAnsi="宋体" w:eastAsia="宋体" w:cs="宋体"/>
          <w:kern w:val="0"/>
          <w:sz w:val="21"/>
          <w:szCs w:val="21"/>
          <w:u w:val="single"/>
          <w:lang w:eastAsia="zh-CN"/>
        </w:rPr>
      </w:pPr>
      <w:r>
        <w:rPr>
          <w:rFonts w:hint="eastAsia" w:ascii="宋体" w:hAnsi="宋体" w:eastAsia="宋体" w:cs="宋体"/>
          <w:kern w:val="0"/>
          <w:sz w:val="21"/>
          <w:szCs w:val="21"/>
        </w:rPr>
        <w:t>名称：</w:t>
      </w:r>
      <w:r>
        <w:rPr>
          <w:rFonts w:hint="eastAsia" w:ascii="宋体" w:hAnsi="宋体" w:eastAsia="宋体" w:cs="宋体"/>
          <w:kern w:val="0"/>
          <w:sz w:val="21"/>
          <w:szCs w:val="21"/>
          <w:u w:val="single"/>
          <w:lang w:eastAsia="zh-CN"/>
        </w:rPr>
        <w:t>浙江农林大学</w:t>
      </w:r>
    </w:p>
    <w:p>
      <w:pPr>
        <w:widowControl/>
        <w:spacing w:before="100" w:beforeAutospacing="1" w:after="100" w:afterAutospacing="1"/>
        <w:ind w:firstLine="630" w:firstLineChars="300"/>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地址：</w:t>
      </w:r>
      <w:r>
        <w:rPr>
          <w:rFonts w:hint="eastAsia" w:ascii="宋体" w:hAnsi="宋体" w:eastAsia="宋体" w:cs="宋体"/>
          <w:kern w:val="0"/>
          <w:sz w:val="21"/>
          <w:szCs w:val="21"/>
          <w:u w:val="single"/>
        </w:rPr>
        <w:t>临安区武肃街666号</w:t>
      </w:r>
    </w:p>
    <w:p>
      <w:pPr>
        <w:widowControl/>
        <w:spacing w:before="100" w:beforeAutospacing="1" w:after="100" w:afterAutospacing="1"/>
        <w:ind w:firstLine="630" w:firstLineChars="3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传真：</w:t>
      </w:r>
      <w:r>
        <w:rPr>
          <w:rFonts w:hint="eastAsia" w:ascii="宋体" w:hAnsi="宋体" w:eastAsia="宋体" w:cs="宋体"/>
          <w:kern w:val="0"/>
          <w:sz w:val="21"/>
          <w:szCs w:val="21"/>
          <w:u w:val="single"/>
          <w:lang w:eastAsia="zh-CN"/>
        </w:rPr>
        <w:t xml:space="preserve"> </w:t>
      </w:r>
      <w:r>
        <w:rPr>
          <w:rFonts w:hint="eastAsia" w:ascii="宋体" w:hAnsi="宋体" w:eastAsia="宋体" w:cs="宋体"/>
          <w:kern w:val="0"/>
          <w:sz w:val="21"/>
          <w:szCs w:val="21"/>
          <w:u w:val="single"/>
        </w:rPr>
        <w:t>/</w:t>
      </w:r>
      <w:r>
        <w:rPr>
          <w:rFonts w:hint="eastAsia" w:ascii="宋体" w:hAnsi="宋体" w:eastAsia="宋体" w:cs="宋体"/>
          <w:kern w:val="0"/>
          <w:sz w:val="21"/>
          <w:szCs w:val="21"/>
          <w:u w:val="single"/>
          <w:lang w:val="en-US" w:eastAsia="zh-CN"/>
        </w:rPr>
        <w:t xml:space="preserve"> </w:t>
      </w:r>
    </w:p>
    <w:p>
      <w:pPr>
        <w:widowControl/>
        <w:spacing w:before="100" w:beforeAutospacing="1" w:after="100" w:afterAutospacing="1"/>
        <w:ind w:firstLine="630" w:firstLineChars="3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项目联系人（询问）：</w:t>
      </w:r>
      <w:r>
        <w:rPr>
          <w:rFonts w:hint="eastAsia" w:ascii="宋体" w:hAnsi="宋体" w:eastAsia="宋体" w:cs="宋体"/>
          <w:i w:val="0"/>
          <w:iCs w:val="0"/>
          <w:kern w:val="0"/>
          <w:sz w:val="21"/>
          <w:szCs w:val="21"/>
          <w:u w:val="single"/>
          <w:lang w:eastAsia="zh-CN"/>
        </w:rPr>
        <w:t>王</w:t>
      </w:r>
      <w:r>
        <w:rPr>
          <w:rFonts w:hint="eastAsia" w:ascii="宋体" w:hAnsi="宋体" w:eastAsia="宋体" w:cs="宋体"/>
          <w:kern w:val="0"/>
          <w:sz w:val="21"/>
          <w:szCs w:val="21"/>
          <w:u w:val="single"/>
          <w:lang w:eastAsia="zh-CN"/>
        </w:rPr>
        <w:t>老师</w:t>
      </w:r>
    </w:p>
    <w:p>
      <w:pPr>
        <w:widowControl/>
        <w:spacing w:before="100" w:beforeAutospacing="1" w:after="100" w:afterAutospacing="1"/>
        <w:ind w:firstLine="630" w:firstLineChars="300"/>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项目联系方式（询问）：</w:t>
      </w:r>
      <w:r>
        <w:rPr>
          <w:rFonts w:hint="eastAsia" w:ascii="宋体" w:hAnsi="宋体" w:eastAsia="宋体" w:cs="宋体"/>
          <w:kern w:val="0"/>
          <w:sz w:val="21"/>
          <w:szCs w:val="21"/>
          <w:u w:val="single"/>
        </w:rPr>
        <w:t>0571-63740897</w:t>
      </w:r>
    </w:p>
    <w:p>
      <w:pPr>
        <w:widowControl/>
        <w:spacing w:before="100" w:beforeAutospacing="1" w:after="100" w:afterAutospacing="1"/>
        <w:ind w:firstLine="630" w:firstLineChars="300"/>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质疑联系人：</w:t>
      </w:r>
      <w:r>
        <w:rPr>
          <w:rFonts w:hint="eastAsia" w:ascii="宋体" w:hAnsi="宋体" w:eastAsia="宋体" w:cs="宋体"/>
          <w:kern w:val="0"/>
          <w:sz w:val="21"/>
          <w:szCs w:val="21"/>
          <w:u w:val="single"/>
          <w:lang w:eastAsia="zh-CN"/>
        </w:rPr>
        <w:t>俞老师</w:t>
      </w:r>
    </w:p>
    <w:p>
      <w:pPr>
        <w:widowControl/>
        <w:spacing w:before="100" w:beforeAutospacing="1" w:after="100" w:afterAutospacing="1"/>
        <w:ind w:firstLine="630" w:firstLineChars="300"/>
        <w:jc w:val="left"/>
        <w:rPr>
          <w:rFonts w:hint="eastAsia" w:ascii="宋体" w:hAnsi="宋体" w:eastAsia="宋体" w:cs="宋体"/>
          <w:kern w:val="0"/>
          <w:sz w:val="21"/>
          <w:szCs w:val="21"/>
        </w:rPr>
      </w:pPr>
      <w:r>
        <w:rPr>
          <w:rFonts w:hint="eastAsia" w:ascii="宋体" w:hAnsi="宋体" w:eastAsia="宋体" w:cs="宋体"/>
          <w:kern w:val="0"/>
          <w:sz w:val="21"/>
          <w:szCs w:val="21"/>
        </w:rPr>
        <w:t>质疑联系方式：</w:t>
      </w:r>
      <w:r>
        <w:rPr>
          <w:rFonts w:hint="eastAsia" w:ascii="宋体" w:hAnsi="宋体" w:eastAsia="宋体" w:cs="宋体"/>
          <w:kern w:val="0"/>
          <w:sz w:val="21"/>
          <w:szCs w:val="21"/>
          <w:u w:val="single"/>
        </w:rPr>
        <w:t>0571-63732951</w:t>
      </w:r>
    </w:p>
    <w:p>
      <w:pPr>
        <w:widowControl/>
        <w:spacing w:before="100" w:beforeAutospacing="1" w:after="100" w:afterAutospacing="1"/>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2.采购代理机构信息</w:t>
      </w:r>
    </w:p>
    <w:p>
      <w:pPr>
        <w:widowControl/>
        <w:spacing w:before="100" w:beforeAutospacing="1" w:after="100" w:afterAutospacing="1"/>
        <w:ind w:firstLine="630" w:firstLineChars="300"/>
        <w:jc w:val="left"/>
        <w:rPr>
          <w:rFonts w:hint="eastAsia" w:ascii="宋体" w:hAnsi="宋体" w:eastAsia="宋体" w:cs="宋体"/>
          <w:kern w:val="0"/>
          <w:sz w:val="21"/>
          <w:szCs w:val="21"/>
        </w:rPr>
      </w:pPr>
      <w:r>
        <w:rPr>
          <w:rFonts w:hint="eastAsia" w:ascii="宋体" w:hAnsi="宋体" w:eastAsia="宋体" w:cs="宋体"/>
          <w:kern w:val="0"/>
          <w:sz w:val="21"/>
          <w:szCs w:val="21"/>
        </w:rPr>
        <w:t>名称：</w:t>
      </w:r>
      <w:r>
        <w:rPr>
          <w:rFonts w:hint="eastAsia" w:ascii="宋体" w:hAnsi="宋体" w:eastAsia="宋体" w:cs="宋体"/>
          <w:kern w:val="0"/>
          <w:sz w:val="21"/>
          <w:szCs w:val="21"/>
          <w:u w:val="single"/>
          <w:lang w:eastAsia="zh-CN"/>
        </w:rPr>
        <w:t xml:space="preserve">浙江五石工程咨询有限公司  </w:t>
      </w:r>
    </w:p>
    <w:p>
      <w:pPr>
        <w:widowControl/>
        <w:spacing w:before="100" w:beforeAutospacing="1" w:after="100" w:afterAutospacing="1"/>
        <w:ind w:firstLine="630" w:firstLineChars="300"/>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地址：</w:t>
      </w:r>
      <w:r>
        <w:rPr>
          <w:rFonts w:hint="eastAsia" w:ascii="宋体" w:hAnsi="宋体" w:eastAsia="宋体" w:cs="宋体"/>
          <w:kern w:val="0"/>
          <w:sz w:val="21"/>
          <w:szCs w:val="21"/>
          <w:u w:val="single"/>
          <w:lang w:eastAsia="zh-CN"/>
        </w:rPr>
        <w:t>杭州市滨江区东方通信科技园启迪楼2楼1207室</w:t>
      </w:r>
    </w:p>
    <w:p>
      <w:pPr>
        <w:widowControl/>
        <w:spacing w:before="100" w:beforeAutospacing="1" w:after="100" w:afterAutospacing="1"/>
        <w:ind w:firstLine="630" w:firstLineChars="300"/>
        <w:jc w:val="left"/>
        <w:rPr>
          <w:rFonts w:hint="default" w:ascii="宋体" w:hAnsi="宋体" w:eastAsia="宋体" w:cs="宋体"/>
          <w:kern w:val="0"/>
          <w:sz w:val="21"/>
          <w:szCs w:val="21"/>
          <w:lang w:val="en-US" w:eastAsia="zh-CN"/>
        </w:rPr>
      </w:pPr>
      <w:r>
        <w:rPr>
          <w:rFonts w:hint="eastAsia" w:ascii="宋体" w:hAnsi="宋体" w:eastAsia="宋体" w:cs="宋体"/>
          <w:kern w:val="0"/>
          <w:sz w:val="21"/>
          <w:szCs w:val="21"/>
        </w:rPr>
        <w:t>传真：</w:t>
      </w:r>
      <w:r>
        <w:rPr>
          <w:rFonts w:hint="eastAsia" w:ascii="宋体" w:hAnsi="宋体" w:eastAsia="宋体" w:cs="宋体"/>
          <w:kern w:val="0"/>
          <w:sz w:val="21"/>
          <w:szCs w:val="21"/>
          <w:u w:val="single"/>
          <w:lang w:val="en-US" w:eastAsia="zh-CN"/>
        </w:rPr>
        <w:t xml:space="preserve"> / </w:t>
      </w:r>
    </w:p>
    <w:p>
      <w:pPr>
        <w:widowControl/>
        <w:spacing w:before="100" w:beforeAutospacing="1" w:after="100" w:afterAutospacing="1"/>
        <w:ind w:firstLine="630" w:firstLineChars="300"/>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项目联系人（询问）：</w:t>
      </w:r>
      <w:r>
        <w:rPr>
          <w:rFonts w:hint="eastAsia" w:ascii="宋体" w:hAnsi="宋体" w:eastAsia="宋体" w:cs="宋体"/>
          <w:kern w:val="0"/>
          <w:sz w:val="21"/>
          <w:szCs w:val="21"/>
          <w:u w:val="single"/>
          <w:lang w:eastAsia="zh-CN"/>
        </w:rPr>
        <w:t>徐工</w:t>
      </w:r>
    </w:p>
    <w:p>
      <w:pPr>
        <w:widowControl/>
        <w:spacing w:before="100" w:beforeAutospacing="1" w:after="100" w:afterAutospacing="1"/>
        <w:ind w:firstLine="630" w:firstLineChars="300"/>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项目联系方式（询问）：</w:t>
      </w:r>
      <w:r>
        <w:rPr>
          <w:rFonts w:hint="eastAsia" w:ascii="宋体" w:hAnsi="宋体" w:eastAsia="宋体" w:cs="宋体"/>
          <w:kern w:val="0"/>
          <w:sz w:val="21"/>
          <w:szCs w:val="21"/>
          <w:u w:val="single"/>
          <w:lang w:eastAsia="zh-CN"/>
        </w:rPr>
        <w:t xml:space="preserve"> </w:t>
      </w:r>
      <w:r>
        <w:rPr>
          <w:rFonts w:hint="eastAsia" w:ascii="宋体" w:hAnsi="宋体" w:eastAsia="宋体" w:cs="宋体"/>
          <w:kern w:val="0"/>
          <w:sz w:val="21"/>
          <w:szCs w:val="21"/>
          <w:u w:val="single"/>
          <w:lang w:val="en-US" w:eastAsia="zh-CN"/>
        </w:rPr>
        <w:t xml:space="preserve">0571-87805727-806 </w:t>
      </w:r>
    </w:p>
    <w:p>
      <w:pPr>
        <w:widowControl/>
        <w:spacing w:before="100" w:beforeAutospacing="1" w:after="100" w:afterAutospacing="1"/>
        <w:ind w:firstLine="630" w:firstLineChars="300"/>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质疑联系人：</w:t>
      </w:r>
      <w:r>
        <w:rPr>
          <w:rFonts w:hint="eastAsia" w:ascii="宋体" w:hAnsi="宋体" w:eastAsia="宋体" w:cs="宋体"/>
          <w:kern w:val="0"/>
          <w:sz w:val="21"/>
          <w:szCs w:val="21"/>
          <w:u w:val="single"/>
          <w:lang w:eastAsia="zh-CN"/>
        </w:rPr>
        <w:t xml:space="preserve"> 毛</w:t>
      </w:r>
      <w:r>
        <w:rPr>
          <w:rFonts w:hint="eastAsia" w:ascii="宋体" w:hAnsi="宋体" w:eastAsia="宋体" w:cs="宋体"/>
          <w:kern w:val="0"/>
          <w:sz w:val="21"/>
          <w:szCs w:val="21"/>
          <w:u w:val="single"/>
        </w:rPr>
        <w:t>工</w:t>
      </w:r>
      <w:r>
        <w:rPr>
          <w:rFonts w:hint="eastAsia" w:ascii="宋体" w:hAnsi="宋体" w:eastAsia="宋体" w:cs="宋体"/>
          <w:kern w:val="0"/>
          <w:sz w:val="21"/>
          <w:szCs w:val="21"/>
          <w:u w:val="single"/>
          <w:lang w:eastAsia="zh-CN"/>
        </w:rPr>
        <w:t xml:space="preserve">  </w:t>
      </w:r>
    </w:p>
    <w:p>
      <w:pPr>
        <w:widowControl/>
        <w:spacing w:before="100" w:beforeAutospacing="1" w:after="100" w:afterAutospacing="1"/>
        <w:ind w:firstLine="630" w:firstLineChars="300"/>
        <w:jc w:val="left"/>
        <w:rPr>
          <w:rFonts w:hint="default" w:ascii="宋体" w:hAnsi="宋体" w:eastAsia="宋体" w:cs="宋体"/>
          <w:kern w:val="0"/>
          <w:sz w:val="21"/>
          <w:szCs w:val="21"/>
          <w:lang w:val="en-US" w:eastAsia="zh-CN"/>
        </w:rPr>
      </w:pPr>
      <w:r>
        <w:rPr>
          <w:rFonts w:hint="eastAsia" w:ascii="宋体" w:hAnsi="宋体" w:eastAsia="宋体" w:cs="宋体"/>
          <w:kern w:val="0"/>
          <w:sz w:val="21"/>
          <w:szCs w:val="21"/>
        </w:rPr>
        <w:t>质疑联系方式：</w:t>
      </w:r>
      <w:r>
        <w:rPr>
          <w:rFonts w:hint="eastAsia" w:ascii="宋体" w:hAnsi="宋体" w:eastAsia="宋体" w:cs="宋体"/>
          <w:sz w:val="21"/>
          <w:szCs w:val="21"/>
          <w:u w:val="single"/>
        </w:rPr>
        <w:t>0571-</w:t>
      </w:r>
      <w:r>
        <w:rPr>
          <w:rFonts w:hint="eastAsia" w:ascii="宋体" w:hAnsi="宋体" w:eastAsia="宋体" w:cs="宋体"/>
          <w:sz w:val="21"/>
          <w:szCs w:val="21"/>
          <w:u w:val="single"/>
          <w:lang w:val="en-US" w:eastAsia="zh-CN"/>
        </w:rPr>
        <w:t>87919156</w:t>
      </w:r>
    </w:p>
    <w:p>
      <w:pPr>
        <w:widowControl/>
        <w:spacing w:before="100" w:beforeAutospacing="1" w:after="100" w:afterAutospacing="1"/>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3.同级政府采购监督管理部门</w:t>
      </w:r>
    </w:p>
    <w:p>
      <w:pPr>
        <w:widowControl/>
        <w:spacing w:before="100" w:beforeAutospacing="1" w:after="100" w:afterAutospacing="1"/>
        <w:ind w:firstLine="630" w:firstLineChars="3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名称：</w:t>
      </w:r>
      <w:r>
        <w:rPr>
          <w:rFonts w:hint="eastAsia" w:ascii="宋体" w:hAnsi="宋体" w:eastAsia="宋体" w:cs="宋体"/>
          <w:kern w:val="0"/>
          <w:sz w:val="21"/>
          <w:szCs w:val="21"/>
          <w:lang w:val="zh-CN" w:eastAsia="zh-CN"/>
        </w:rPr>
        <w:t>浙江省财政厅政府采购监管处</w:t>
      </w:r>
    </w:p>
    <w:p>
      <w:pPr>
        <w:widowControl/>
        <w:spacing w:before="100" w:beforeAutospacing="1" w:after="100" w:afterAutospacing="1"/>
        <w:ind w:firstLine="630" w:firstLineChars="3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地址：</w:t>
      </w:r>
      <w:r>
        <w:rPr>
          <w:rFonts w:hint="eastAsia" w:ascii="宋体" w:hAnsi="宋体" w:eastAsia="宋体" w:cs="宋体"/>
          <w:kern w:val="0"/>
          <w:sz w:val="21"/>
          <w:szCs w:val="21"/>
          <w:lang w:val="zh-CN" w:eastAsia="zh-CN"/>
        </w:rPr>
        <w:t>杭州市西湖区环城西路37号</w:t>
      </w:r>
    </w:p>
    <w:p>
      <w:pPr>
        <w:widowControl/>
        <w:spacing w:before="100" w:beforeAutospacing="1" w:after="100" w:afterAutospacing="1"/>
        <w:ind w:firstLine="630" w:firstLineChars="300"/>
        <w:jc w:val="left"/>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zh-CN" w:eastAsia="zh-CN"/>
        </w:rPr>
        <w:t>联系人：倪文良</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lang w:val="zh-CN" w:eastAsia="zh-CN"/>
        </w:rPr>
        <w:t>监督投诉电话：0571-87057615</w:t>
      </w:r>
    </w:p>
    <w:p>
      <w:pPr>
        <w:widowControl/>
        <w:spacing w:before="100" w:beforeAutospacing="1" w:after="100" w:afterAutospacing="1"/>
        <w:jc w:val="left"/>
        <w:rPr>
          <w:rFonts w:hint="eastAsia" w:ascii="宋体" w:hAnsi="宋体" w:eastAsia="宋体" w:cs="宋体"/>
          <w:kern w:val="0"/>
          <w:sz w:val="21"/>
          <w:szCs w:val="21"/>
          <w:lang w:eastAsia="zh-CN"/>
        </w:rPr>
      </w:pPr>
    </w:p>
    <w:p>
      <w:pPr>
        <w:widowControl/>
        <w:spacing w:before="100" w:beforeAutospacing="1" w:after="100" w:afterAutospacing="1"/>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若对项目采购电子交易系统操作有疑问，可登录政采云（https://www.zcygov.cn/），点击右侧咨询小采，获取采小蜜智能服务管家帮助，或拨打政采云服务热线400-881-7190获取热线服务帮助。</w:t>
      </w:r>
    </w:p>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CA问题联系电话（人工）：汇信CA 400-888-4636；天谷CA 400-087-8198。</w:t>
      </w:r>
    </w:p>
    <w:p>
      <w:pPr>
        <w:spacing w:line="360" w:lineRule="auto"/>
        <w:ind w:firstLine="840" w:firstLineChars="400"/>
        <w:rPr>
          <w:rFonts w:ascii="宋体" w:hAnsi="宋体" w:cs="宋体"/>
          <w:color w:val="auto"/>
          <w:szCs w:val="32"/>
          <w:highlight w:val="none"/>
        </w:rPr>
        <w:sectPr>
          <w:footerReference r:id="rId8" w:type="default"/>
          <w:pgSz w:w="11906" w:h="16838"/>
          <w:pgMar w:top="1247" w:right="1247" w:bottom="1247" w:left="1247" w:header="170" w:footer="567" w:gutter="0"/>
          <w:pgNumType w:start="1"/>
          <w:cols w:space="720" w:num="1"/>
          <w:docGrid w:linePitch="381" w:charSpace="0"/>
        </w:sectPr>
      </w:pPr>
    </w:p>
    <w:p>
      <w:pPr>
        <w:spacing w:line="1" w:lineRule="exact"/>
        <w:rPr>
          <w:rFonts w:ascii="宋体" w:hAnsi="宋体" w:cs="宋体"/>
          <w:color w:val="auto"/>
          <w:sz w:val="20"/>
          <w:szCs w:val="20"/>
          <w:highlight w:val="none"/>
        </w:rPr>
      </w:pPr>
    </w:p>
    <w:p>
      <w:pPr>
        <w:spacing w:line="20" w:lineRule="exact"/>
        <w:rPr>
          <w:rFonts w:ascii="宋体" w:hAnsi="宋体" w:cs="宋体"/>
          <w:color w:val="auto"/>
          <w:highlight w:val="none"/>
        </w:rPr>
      </w:pPr>
      <w:r>
        <w:rPr>
          <w:rFonts w:ascii="宋体" w:hAnsi="宋体" w:cs="宋体"/>
          <w:color w:val="auto"/>
          <w:highlight w:val="none"/>
        </w:rPr>
        <w:pict>
          <v:shape id="Picture 8" o:spid="_x0000_s1034" o:spt="75" type="#_x0000_t75" style="position:absolute;left:0pt;margin-left:176.05pt;margin-top:-398.75pt;height:12.6pt;width:9.95pt;z-index:-1024;mso-width-relative:page;mso-height-relative:page;" filled="f" o:preferrelative="t" stroked="f" coordsize="21600,21600" o:allowincell="f">
            <v:path/>
            <v:fill on="f" focussize="0,0"/>
            <v:stroke on="f" joinstyle="miter"/>
            <v:imagedata r:id="rId11" o:title=""/>
            <o:lock v:ext="edit" aspectratio="t"/>
          </v:shape>
        </w:pict>
      </w:r>
    </w:p>
    <w:p>
      <w:pPr>
        <w:tabs>
          <w:tab w:val="center" w:pos="4737"/>
        </w:tabs>
        <w:jc w:val="center"/>
        <w:outlineLvl w:val="0"/>
        <w:rPr>
          <w:rFonts w:ascii="宋体" w:hAnsi="宋体" w:cs="宋体"/>
          <w:b/>
          <w:bCs/>
          <w:color w:val="auto"/>
          <w:sz w:val="32"/>
          <w:szCs w:val="32"/>
          <w:highlight w:val="none"/>
        </w:rPr>
      </w:pPr>
      <w:bookmarkStart w:id="6" w:name="_Toc14201_WPSOffice_Level1"/>
      <w:bookmarkStart w:id="7" w:name="_Toc27790"/>
      <w:r>
        <w:rPr>
          <w:rFonts w:hint="eastAsia" w:ascii="宋体" w:hAnsi="宋体" w:cs="宋体"/>
          <w:b/>
          <w:bCs/>
          <w:color w:val="auto"/>
          <w:sz w:val="32"/>
          <w:szCs w:val="32"/>
          <w:highlight w:val="none"/>
        </w:rPr>
        <w:t>第二章  供应商须知前附表</w:t>
      </w:r>
      <w:bookmarkEnd w:id="6"/>
      <w:bookmarkEnd w:id="7"/>
    </w:p>
    <w:p>
      <w:pPr>
        <w:tabs>
          <w:tab w:val="center" w:pos="4737"/>
        </w:tabs>
        <w:jc w:val="both"/>
        <w:rPr>
          <w:rFonts w:ascii="宋体" w:hAnsi="宋体" w:cs="宋体"/>
          <w:b/>
          <w:bCs/>
          <w:color w:val="auto"/>
          <w:sz w:val="32"/>
          <w:szCs w:val="32"/>
          <w:highlight w:val="none"/>
        </w:rPr>
      </w:pPr>
    </w:p>
    <w:tbl>
      <w:tblPr>
        <w:tblStyle w:val="19"/>
        <w:tblW w:w="9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146"/>
        <w:gridCol w:w="6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blHeader/>
        </w:trPr>
        <w:tc>
          <w:tcPr>
            <w:tcW w:w="959" w:type="dxa"/>
            <w:tcBorders>
              <w:top w:val="single" w:color="auto" w:sz="12" w:space="0"/>
              <w:left w:val="single" w:color="auto" w:sz="12" w:space="0"/>
            </w:tcBorders>
            <w:vAlign w:val="center"/>
          </w:tcPr>
          <w:p>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2146" w:type="dxa"/>
            <w:tcBorders>
              <w:top w:val="single" w:color="auto" w:sz="12" w:space="0"/>
            </w:tcBorders>
            <w:vAlign w:val="center"/>
          </w:tcPr>
          <w:p>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内容</w:t>
            </w:r>
          </w:p>
        </w:tc>
        <w:tc>
          <w:tcPr>
            <w:tcW w:w="6314" w:type="dxa"/>
            <w:tcBorders>
              <w:top w:val="single" w:color="auto" w:sz="12" w:space="0"/>
              <w:right w:val="single" w:color="auto" w:sz="12" w:space="0"/>
            </w:tcBorders>
            <w:vAlign w:val="center"/>
          </w:tcPr>
          <w:p>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1</w:t>
            </w:r>
          </w:p>
        </w:tc>
        <w:tc>
          <w:tcPr>
            <w:tcW w:w="2146" w:type="dxa"/>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采购人</w:t>
            </w:r>
          </w:p>
        </w:tc>
        <w:tc>
          <w:tcPr>
            <w:tcW w:w="6314" w:type="dxa"/>
            <w:tcBorders>
              <w:right w:val="single" w:color="auto" w:sz="12" w:space="0"/>
            </w:tcBorders>
            <w:vAlign w:val="center"/>
          </w:tcPr>
          <w:p>
            <w:pPr>
              <w:autoSpaceDE w:val="0"/>
              <w:autoSpaceDN w:val="0"/>
              <w:adjustRightInd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浙江农林大学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2</w:t>
            </w:r>
          </w:p>
        </w:tc>
        <w:tc>
          <w:tcPr>
            <w:tcW w:w="2146" w:type="dxa"/>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采购代理机构</w:t>
            </w:r>
          </w:p>
        </w:tc>
        <w:tc>
          <w:tcPr>
            <w:tcW w:w="6314" w:type="dxa"/>
            <w:tcBorders>
              <w:right w:val="single" w:color="auto" w:sz="12"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浙江五石工程咨询有限公司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3</w:t>
            </w:r>
          </w:p>
        </w:tc>
        <w:tc>
          <w:tcPr>
            <w:tcW w:w="2146" w:type="dxa"/>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是否接受联合体投标</w:t>
            </w:r>
          </w:p>
        </w:tc>
        <w:tc>
          <w:tcPr>
            <w:tcW w:w="6314" w:type="dxa"/>
            <w:tcBorders>
              <w:right w:val="single" w:color="auto" w:sz="12" w:space="0"/>
            </w:tcBorders>
            <w:vAlign w:val="center"/>
          </w:tcPr>
          <w:p>
            <w:pPr>
              <w:autoSpaceDE w:val="0"/>
              <w:autoSpaceDN w:val="0"/>
              <w:adjustRightInd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4</w:t>
            </w:r>
          </w:p>
        </w:tc>
        <w:tc>
          <w:tcPr>
            <w:tcW w:w="2146"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工期</w:t>
            </w:r>
          </w:p>
        </w:tc>
        <w:tc>
          <w:tcPr>
            <w:tcW w:w="6314" w:type="dxa"/>
            <w:tcBorders>
              <w:right w:val="single" w:color="auto" w:sz="12" w:space="0"/>
            </w:tcBorders>
            <w:vAlign w:val="center"/>
          </w:tcPr>
          <w:p>
            <w:pPr>
              <w:spacing w:line="360" w:lineRule="auto"/>
              <w:rPr>
                <w:rFonts w:ascii="宋体" w:hAnsi="宋体" w:cs="宋体"/>
                <w:color w:val="auto"/>
                <w:szCs w:val="21"/>
                <w:highlight w:val="none"/>
              </w:rPr>
            </w:pPr>
            <w:r>
              <w:rPr>
                <w:rFonts w:hint="eastAsia" w:ascii="宋体" w:hAnsi="宋体" w:cs="宋体"/>
                <w:b/>
                <w:bCs/>
                <w:color w:val="auto"/>
                <w:szCs w:val="21"/>
                <w:highlight w:val="none"/>
              </w:rPr>
              <w:t>计划工期：签订合同之日起30日历天内完成。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5</w:t>
            </w:r>
          </w:p>
        </w:tc>
        <w:tc>
          <w:tcPr>
            <w:tcW w:w="2146" w:type="dxa"/>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质量要求</w:t>
            </w:r>
          </w:p>
        </w:tc>
        <w:tc>
          <w:tcPr>
            <w:tcW w:w="6314" w:type="dxa"/>
            <w:tcBorders>
              <w:right w:val="single" w:color="auto" w:sz="12" w:space="0"/>
            </w:tcBorders>
            <w:vAlign w:val="center"/>
          </w:tcPr>
          <w:p>
            <w:pPr>
              <w:autoSpaceDE w:val="0"/>
              <w:autoSpaceDN w:val="0"/>
              <w:adjustRightInd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质量要求符合《工程施工质量验收规范》达到国家验收规范</w:t>
            </w:r>
            <w:r>
              <w:rPr>
                <w:rFonts w:hint="eastAsia" w:ascii="宋体" w:hAnsi="宋体" w:cs="宋体"/>
                <w:b/>
                <w:bCs/>
                <w:color w:val="auto"/>
                <w:szCs w:val="21"/>
                <w:highlight w:val="none"/>
              </w:rPr>
              <w:t>合格</w:t>
            </w:r>
            <w:r>
              <w:rPr>
                <w:rFonts w:hint="eastAsia" w:ascii="宋体" w:hAnsi="宋体" w:cs="宋体"/>
                <w:color w:val="auto"/>
                <w:szCs w:val="21"/>
                <w:highlight w:val="none"/>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6</w:t>
            </w:r>
          </w:p>
        </w:tc>
        <w:tc>
          <w:tcPr>
            <w:tcW w:w="2146" w:type="dxa"/>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现场踏勘</w:t>
            </w:r>
          </w:p>
        </w:tc>
        <w:tc>
          <w:tcPr>
            <w:tcW w:w="6314" w:type="dxa"/>
            <w:tcBorders>
              <w:right w:val="single" w:color="auto" w:sz="12" w:space="0"/>
            </w:tcBorders>
            <w:vAlign w:val="center"/>
          </w:tcPr>
          <w:p>
            <w:pPr>
              <w:spacing w:line="360" w:lineRule="auto"/>
              <w:rPr>
                <w:rFonts w:ascii="宋体" w:hAnsi="宋体" w:cs="宋体"/>
                <w:color w:val="auto"/>
                <w:szCs w:val="21"/>
                <w:highlight w:val="none"/>
              </w:rPr>
            </w:pPr>
            <w:r>
              <w:rPr>
                <w:rFonts w:hint="eastAsia" w:ascii="宋体" w:hAnsi="宋体" w:cs="宋体"/>
                <w:b/>
                <w:bCs/>
                <w:color w:val="auto"/>
                <w:szCs w:val="21"/>
                <w:highlight w:val="none"/>
              </w:rPr>
              <w:t>不组织</w:t>
            </w:r>
            <w:r>
              <w:rPr>
                <w:rFonts w:hint="eastAsia" w:ascii="宋体" w:hAnsi="宋体" w:cs="宋体"/>
                <w:color w:val="auto"/>
                <w:szCs w:val="21"/>
                <w:highlight w:val="none"/>
              </w:rPr>
              <w:t>，磋商响应供应商如有需要，经采购人同意后可自行前往，踏勘期间发生的费用或意外导致伤亡等一切责任和损失均由磋商响应供应商自负。</w:t>
            </w:r>
          </w:p>
          <w:p>
            <w:pPr>
              <w:spacing w:line="360" w:lineRule="auto"/>
              <w:rPr>
                <w:rFonts w:ascii="宋体" w:hAnsi="宋体" w:cs="宋体"/>
                <w:color w:val="auto"/>
                <w:szCs w:val="21"/>
                <w:highlight w:val="none"/>
              </w:rPr>
            </w:pPr>
            <w:r>
              <w:rPr>
                <w:rFonts w:hint="eastAsia" w:ascii="宋体" w:hAnsi="宋体" w:cs="宋体"/>
                <w:color w:val="auto"/>
                <w:szCs w:val="21"/>
                <w:highlight w:val="none"/>
              </w:rPr>
              <w:t>联系人：俞老师 联系方式： 0571-63732951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7</w:t>
            </w:r>
          </w:p>
        </w:tc>
        <w:tc>
          <w:tcPr>
            <w:tcW w:w="2146" w:type="dxa"/>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答疑会</w:t>
            </w:r>
          </w:p>
        </w:tc>
        <w:tc>
          <w:tcPr>
            <w:tcW w:w="6314" w:type="dxa"/>
            <w:tcBorders>
              <w:right w:val="single" w:color="auto" w:sz="12" w:space="0"/>
            </w:tcBorders>
            <w:vAlign w:val="center"/>
          </w:tcPr>
          <w:p>
            <w:pPr>
              <w:spacing w:line="360" w:lineRule="auto"/>
              <w:ind w:right="87"/>
              <w:rPr>
                <w:rFonts w:ascii="宋体" w:hAnsi="宋体" w:cs="宋体"/>
                <w:color w:val="auto"/>
                <w:szCs w:val="21"/>
                <w:highlight w:val="none"/>
              </w:rPr>
            </w:pPr>
            <w:r>
              <w:rPr>
                <w:rFonts w:hint="eastAsia" w:ascii="宋体" w:hAnsi="宋体" w:cs="宋体"/>
                <w:color w:val="auto"/>
                <w:szCs w:val="21"/>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8</w:t>
            </w:r>
          </w:p>
        </w:tc>
        <w:tc>
          <w:tcPr>
            <w:tcW w:w="2146" w:type="dxa"/>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b/>
                <w:bCs/>
                <w:color w:val="auto"/>
                <w:szCs w:val="21"/>
                <w:highlight w:val="none"/>
              </w:rPr>
              <w:t>分包</w:t>
            </w:r>
          </w:p>
        </w:tc>
        <w:tc>
          <w:tcPr>
            <w:tcW w:w="6314" w:type="dxa"/>
            <w:tcBorders>
              <w:right w:val="single" w:color="auto" w:sz="12"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9</w:t>
            </w:r>
          </w:p>
        </w:tc>
        <w:tc>
          <w:tcPr>
            <w:tcW w:w="2146" w:type="dxa"/>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询疑截止时间</w:t>
            </w:r>
          </w:p>
        </w:tc>
        <w:tc>
          <w:tcPr>
            <w:tcW w:w="6314" w:type="dxa"/>
            <w:tcBorders>
              <w:right w:val="single" w:color="auto" w:sz="12" w:space="0"/>
            </w:tcBorders>
            <w:vAlign w:val="center"/>
          </w:tcPr>
          <w:p>
            <w:pPr>
              <w:autoSpaceDE w:val="0"/>
              <w:autoSpaceDN w:val="0"/>
              <w:adjustRightInd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磋商响应供应商在收到磋商文件后，对磋商文件若有疑问，均应在2020年7月</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日17:00前以书面形式向招标代理机构提交。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10</w:t>
            </w:r>
          </w:p>
        </w:tc>
        <w:tc>
          <w:tcPr>
            <w:tcW w:w="2146"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磋商保证金</w:t>
            </w:r>
          </w:p>
        </w:tc>
        <w:tc>
          <w:tcPr>
            <w:tcW w:w="6314" w:type="dxa"/>
            <w:tcBorders>
              <w:right w:val="single" w:color="auto" w:sz="12" w:space="0"/>
            </w:tcBorders>
            <w:vAlign w:val="center"/>
          </w:tcPr>
          <w:p>
            <w:pPr>
              <w:pStyle w:val="9"/>
              <w:spacing w:before="120" w:after="120" w:line="360" w:lineRule="auto"/>
              <w:rPr>
                <w:rFonts w:hAnsi="宋体" w:cs="宋体"/>
                <w:color w:val="auto"/>
                <w:sz w:val="21"/>
                <w:szCs w:val="21"/>
                <w:highlight w:val="none"/>
                <w:u w:val="single"/>
              </w:rPr>
            </w:pPr>
            <w:r>
              <w:rPr>
                <w:rFonts w:hint="eastAsia" w:hAnsi="宋体" w:cs="宋体"/>
                <w:color w:val="auto"/>
                <w:sz w:val="21"/>
                <w:szCs w:val="21"/>
                <w:highlight w:val="none"/>
                <w:u w:val="single"/>
              </w:rPr>
              <w:t>本项目不提交；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11</w:t>
            </w:r>
          </w:p>
        </w:tc>
        <w:tc>
          <w:tcPr>
            <w:tcW w:w="2146" w:type="dxa"/>
            <w:vAlign w:val="center"/>
          </w:tcPr>
          <w:p>
            <w:pPr>
              <w:adjustRightInd w:val="0"/>
              <w:snapToGrid w:val="0"/>
              <w:spacing w:line="360" w:lineRule="auto"/>
              <w:jc w:val="center"/>
              <w:rPr>
                <w:rFonts w:ascii="宋体" w:hAnsi="宋体" w:cs="宋体"/>
                <w:b/>
                <w:bCs/>
                <w:color w:val="auto"/>
                <w:sz w:val="22"/>
                <w:highlight w:val="none"/>
              </w:rPr>
            </w:pPr>
            <w:r>
              <w:rPr>
                <w:rFonts w:hint="eastAsia" w:ascii="宋体" w:hAnsi="宋体" w:cs="宋体"/>
                <w:b/>
                <w:bCs/>
                <w:color w:val="auto"/>
                <w:highlight w:val="none"/>
              </w:rPr>
              <w:t>响应文件的组成与签章</w:t>
            </w:r>
          </w:p>
        </w:tc>
        <w:tc>
          <w:tcPr>
            <w:tcW w:w="6314" w:type="dxa"/>
            <w:tcBorders>
              <w:right w:val="single" w:color="auto" w:sz="12" w:space="0"/>
            </w:tcBorders>
            <w:vAlign w:val="center"/>
          </w:tcPr>
          <w:p>
            <w:pPr>
              <w:adjustRightInd w:val="0"/>
              <w:snapToGrid w:val="0"/>
              <w:spacing w:line="360" w:lineRule="auto"/>
              <w:rPr>
                <w:rFonts w:ascii="宋体" w:hAnsi="宋体" w:cs="宋体"/>
                <w:color w:val="auto"/>
                <w:highlight w:val="none"/>
              </w:rPr>
            </w:pPr>
            <w:r>
              <w:rPr>
                <w:rFonts w:hint="eastAsia" w:ascii="宋体" w:hAnsi="宋体" w:cs="宋体"/>
                <w:color w:val="auto"/>
                <w:highlight w:val="none"/>
              </w:rPr>
              <w:t>完整的《响应文件》由“商务技术文件”、“</w:t>
            </w:r>
            <w:r>
              <w:rPr>
                <w:rFonts w:hint="eastAsia" w:ascii="宋体" w:hAnsi="宋体" w:cs="宋体"/>
                <w:bCs/>
                <w:color w:val="auto"/>
                <w:highlight w:val="none"/>
              </w:rPr>
              <w:t>报价文件</w:t>
            </w:r>
            <w:r>
              <w:rPr>
                <w:rFonts w:hint="eastAsia" w:ascii="宋体" w:hAnsi="宋体" w:cs="宋体"/>
                <w:color w:val="auto"/>
                <w:highlight w:val="none"/>
              </w:rPr>
              <w:t>”二个部分组成。</w:t>
            </w:r>
          </w:p>
          <w:p>
            <w:pPr>
              <w:adjustRightInd w:val="0"/>
              <w:snapToGrid w:val="0"/>
              <w:spacing w:line="360" w:lineRule="auto"/>
              <w:rPr>
                <w:rFonts w:ascii="宋体" w:hAnsi="宋体" w:cs="宋体"/>
                <w:color w:val="auto"/>
                <w:sz w:val="22"/>
                <w:highlight w:val="none"/>
              </w:rPr>
            </w:pPr>
            <w:r>
              <w:rPr>
                <w:rFonts w:hint="eastAsia" w:ascii="宋体" w:hAnsi="宋体" w:cs="宋体"/>
                <w:color w:val="auto"/>
                <w:highlight w:val="none"/>
              </w:rPr>
              <w:t>响应文件采用</w:t>
            </w:r>
            <w:r>
              <w:rPr>
                <w:rFonts w:hint="eastAsia" w:ascii="宋体" w:hAnsi="宋体" w:cs="宋体"/>
                <w:b/>
                <w:bCs/>
                <w:color w:val="auto"/>
                <w:highlight w:val="none"/>
              </w:rPr>
              <w:t>电子签章</w:t>
            </w:r>
            <w:r>
              <w:rPr>
                <w:rFonts w:hint="eastAsia" w:ascii="宋体" w:hAnsi="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12</w:t>
            </w:r>
          </w:p>
        </w:tc>
        <w:tc>
          <w:tcPr>
            <w:tcW w:w="2146" w:type="dxa"/>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highlight w:val="none"/>
              </w:rPr>
              <w:t>响应文件的形式</w:t>
            </w:r>
          </w:p>
        </w:tc>
        <w:tc>
          <w:tcPr>
            <w:tcW w:w="6314" w:type="dxa"/>
            <w:tcBorders>
              <w:right w:val="single" w:color="auto" w:sz="12" w:space="0"/>
            </w:tcBorders>
            <w:vAlign w:val="center"/>
          </w:tcPr>
          <w:p>
            <w:pPr>
              <w:spacing w:line="360" w:lineRule="auto"/>
              <w:rPr>
                <w:rFonts w:ascii="宋体" w:hAnsi="宋体" w:cs="宋体"/>
                <w:color w:val="auto"/>
                <w:szCs w:val="21"/>
                <w:highlight w:val="none"/>
              </w:rPr>
            </w:pPr>
            <w:r>
              <w:rPr>
                <w:rFonts w:hint="eastAsia" w:ascii="宋体" w:hAnsi="宋体" w:cs="宋体"/>
                <w:color w:val="auto"/>
                <w:highlight w:val="none"/>
              </w:rPr>
              <w:t>☑电子响应文件（包括“电子加密响应文件”和“电子备份响应文件”，在响应文件编制完成后同时生成）；</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1、“电子加密响应文件”：</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（1）“电子加密响应文件”是指通过“政采云电子交易客户端”完成响应文件编制后生成并加密的数据电文形式的响应文件。</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（2）供应商应先安装“政采云电子交易客户端”，并按照本采购文件和“政府采购云平台”的要求，通过“政采云电子交易客户端”编制并加密响应文件。</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2、“电子备份响应文件”：</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（1）“电子备份响应文件”是指与“电子加密响应文件”同时生成的数据电文形式的电子文件。</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（2）供应商可自主选择是否编制“电子备份响应文件”。</w:t>
            </w:r>
          </w:p>
          <w:p>
            <w:pPr>
              <w:spacing w:line="360" w:lineRule="auto"/>
              <w:rPr>
                <w:rFonts w:ascii="宋体" w:hAnsi="宋体" w:cs="宋体"/>
                <w:b/>
                <w:bCs/>
                <w:color w:val="auto"/>
                <w:szCs w:val="21"/>
                <w:highlight w:val="none"/>
              </w:rPr>
            </w:pPr>
            <w:r>
              <w:rPr>
                <w:rFonts w:hint="eastAsia" w:ascii="宋体" w:hAnsi="宋体" w:cs="宋体"/>
                <w:color w:val="auto"/>
                <w:szCs w:val="21"/>
                <w:highlight w:val="none"/>
              </w:rPr>
              <w:t>（3）其他方式编制的备份响应文件视为无效备份响应文件。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13</w:t>
            </w:r>
          </w:p>
        </w:tc>
        <w:tc>
          <w:tcPr>
            <w:tcW w:w="2146" w:type="dxa"/>
            <w:vAlign w:val="center"/>
          </w:tcPr>
          <w:p>
            <w:pPr>
              <w:widowControl w:val="0"/>
              <w:adjustRightInd w:val="0"/>
              <w:snapToGrid w:val="0"/>
              <w:spacing w:line="360" w:lineRule="auto"/>
              <w:jc w:val="center"/>
              <w:rPr>
                <w:rFonts w:ascii="宋体" w:hAnsi="宋体" w:cs="宋体"/>
                <w:color w:val="auto"/>
                <w:szCs w:val="21"/>
                <w:highlight w:val="none"/>
              </w:rPr>
            </w:pPr>
            <w:r>
              <w:rPr>
                <w:rFonts w:hint="eastAsia" w:ascii="宋体" w:hAnsi="宋体" w:cs="宋体"/>
                <w:b/>
                <w:bCs/>
                <w:color w:val="auto"/>
                <w:szCs w:val="21"/>
                <w:highlight w:val="none"/>
              </w:rPr>
              <w:t>响应文件份数</w:t>
            </w:r>
          </w:p>
        </w:tc>
        <w:tc>
          <w:tcPr>
            <w:tcW w:w="6314" w:type="dxa"/>
            <w:tcBorders>
              <w:right w:val="single" w:color="auto" w:sz="12" w:space="0"/>
            </w:tcBorders>
            <w:vAlign w:val="center"/>
          </w:tcPr>
          <w:p>
            <w:pPr>
              <w:widowControl w:val="0"/>
              <w:adjustRightInd w:val="0"/>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（1）“电子加密响应文件”：在线上传提交一份。</w:t>
            </w:r>
          </w:p>
          <w:p>
            <w:pPr>
              <w:widowControl w:val="0"/>
              <w:adjustRightInd w:val="0"/>
              <w:snapToGrid w:val="0"/>
              <w:spacing w:line="360" w:lineRule="auto"/>
              <w:rPr>
                <w:rFonts w:ascii="宋体" w:hAnsi="宋体" w:cs="宋体"/>
                <w:color w:val="auto"/>
                <w:szCs w:val="21"/>
                <w:highlight w:val="none"/>
                <w:u w:val="single"/>
              </w:rPr>
            </w:pPr>
            <w:r>
              <w:rPr>
                <w:rFonts w:hint="eastAsia" w:ascii="宋体" w:hAnsi="宋体" w:cs="宋体"/>
                <w:bCs/>
                <w:color w:val="auto"/>
                <w:szCs w:val="21"/>
                <w:highlight w:val="none"/>
              </w:rPr>
              <w:t>（2）“备份响应文件”：密封包装后确保在投标截止时间前（EMS/顺丰邮寄形式）送达一份（邮寄地址：杭州市西园八路11号数字信息产业园G座603室  徐工/17746804270 收）。（自选邮寄）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14</w:t>
            </w:r>
          </w:p>
        </w:tc>
        <w:tc>
          <w:tcPr>
            <w:tcW w:w="2146" w:type="dxa"/>
            <w:vAlign w:val="center"/>
          </w:tcPr>
          <w:p>
            <w:pPr>
              <w:widowControl w:val="0"/>
              <w:adjustRightInd w:val="0"/>
              <w:snapToGrid w:val="0"/>
              <w:spacing w:line="360" w:lineRule="auto"/>
              <w:jc w:val="center"/>
              <w:rPr>
                <w:rFonts w:ascii="宋体" w:hAnsi="宋体" w:cs="宋体"/>
                <w:color w:val="auto"/>
                <w:szCs w:val="21"/>
                <w:highlight w:val="none"/>
              </w:rPr>
            </w:pPr>
            <w:r>
              <w:rPr>
                <w:rFonts w:hint="eastAsia" w:ascii="宋体" w:hAnsi="宋体" w:cs="宋体"/>
                <w:b/>
                <w:bCs/>
                <w:color w:val="auto"/>
                <w:szCs w:val="21"/>
                <w:highlight w:val="none"/>
              </w:rPr>
              <w:t>响应文件的上传和递交</w:t>
            </w:r>
          </w:p>
        </w:tc>
        <w:tc>
          <w:tcPr>
            <w:tcW w:w="6314" w:type="dxa"/>
            <w:tcBorders>
              <w:right w:val="single" w:color="auto" w:sz="12" w:space="0"/>
            </w:tcBorders>
            <w:vAlign w:val="center"/>
          </w:tcPr>
          <w:p>
            <w:pPr>
              <w:widowControl w:val="0"/>
              <w:spacing w:line="360" w:lineRule="auto"/>
              <w:rPr>
                <w:rFonts w:ascii="宋体" w:hAnsi="宋体" w:cs="宋体"/>
                <w:color w:val="auto"/>
                <w:szCs w:val="21"/>
                <w:highlight w:val="none"/>
              </w:rPr>
            </w:pPr>
            <w:r>
              <w:rPr>
                <w:rFonts w:hint="eastAsia" w:ascii="宋体" w:hAnsi="宋体" w:cs="宋体"/>
                <w:color w:val="auto"/>
                <w:szCs w:val="21"/>
                <w:highlight w:val="none"/>
              </w:rPr>
              <w:t>（1）“电子加密响应文件”的上传、递交：</w:t>
            </w:r>
          </w:p>
          <w:p>
            <w:pPr>
              <w:widowControl w:val="0"/>
              <w:spacing w:line="360" w:lineRule="auto"/>
              <w:rPr>
                <w:rFonts w:ascii="宋体" w:hAnsi="宋体" w:cs="宋体"/>
                <w:color w:val="auto"/>
                <w:szCs w:val="21"/>
                <w:highlight w:val="none"/>
              </w:rPr>
            </w:pPr>
            <w:r>
              <w:rPr>
                <w:rFonts w:hint="eastAsia" w:ascii="宋体" w:hAnsi="宋体" w:cs="宋体"/>
                <w:color w:val="auto"/>
                <w:szCs w:val="21"/>
                <w:highlight w:val="none"/>
              </w:rPr>
              <w:t>a.磋商响应供应商应在投标截止时间前将“电子加密响应文件”成功上传递交至“政府采购云平台”，否则投标无效。</w:t>
            </w:r>
          </w:p>
          <w:p>
            <w:pPr>
              <w:widowControl w:val="0"/>
              <w:spacing w:line="360" w:lineRule="auto"/>
              <w:rPr>
                <w:rFonts w:ascii="宋体" w:hAnsi="宋体" w:cs="宋体"/>
                <w:color w:val="auto"/>
                <w:szCs w:val="21"/>
                <w:highlight w:val="none"/>
              </w:rPr>
            </w:pPr>
            <w:r>
              <w:rPr>
                <w:rFonts w:hint="eastAsia" w:ascii="宋体" w:hAnsi="宋体" w:cs="宋体"/>
                <w:color w:val="auto"/>
                <w:szCs w:val="21"/>
                <w:highlight w:val="none"/>
              </w:rPr>
              <w:t>b.“电子加密响应文件”成功上传递交后，供应商可自行打印响应文件接收回执。</w:t>
            </w:r>
          </w:p>
          <w:p>
            <w:pPr>
              <w:widowControl w:val="0"/>
              <w:spacing w:line="360" w:lineRule="auto"/>
              <w:rPr>
                <w:rFonts w:ascii="宋体" w:hAnsi="宋体" w:cs="宋体"/>
                <w:color w:val="auto"/>
                <w:szCs w:val="21"/>
                <w:highlight w:val="none"/>
              </w:rPr>
            </w:pPr>
            <w:r>
              <w:rPr>
                <w:rFonts w:hint="eastAsia" w:ascii="宋体" w:hAnsi="宋体" w:cs="宋体"/>
                <w:color w:val="auto"/>
                <w:szCs w:val="21"/>
                <w:highlight w:val="none"/>
              </w:rPr>
              <w:t>（2）“备份响应文件”的密封包装、递交：</w:t>
            </w:r>
          </w:p>
          <w:p>
            <w:pPr>
              <w:widowControl w:val="0"/>
              <w:spacing w:line="360" w:lineRule="auto"/>
              <w:rPr>
                <w:rFonts w:ascii="宋体" w:hAnsi="宋体" w:cs="宋体"/>
                <w:color w:val="auto"/>
                <w:szCs w:val="21"/>
                <w:highlight w:val="none"/>
              </w:rPr>
            </w:pPr>
            <w:r>
              <w:rPr>
                <w:rFonts w:hint="eastAsia" w:ascii="宋体" w:hAnsi="宋体" w:cs="宋体"/>
                <w:color w:val="auto"/>
                <w:szCs w:val="21"/>
                <w:highlight w:val="none"/>
              </w:rPr>
              <w:t>a.磋商响应供应商在“政府采购云平台”完成“电子加密响应文件”的上传递交后，还可以（顺丰/EMS邮寄形式）在投标截止时间前递交以介质（U盘）存储的 “备份响应文件”（一份）；</w:t>
            </w:r>
          </w:p>
          <w:p>
            <w:pPr>
              <w:widowControl w:val="0"/>
              <w:spacing w:line="360" w:lineRule="auto"/>
              <w:rPr>
                <w:rFonts w:ascii="宋体" w:hAnsi="宋体" w:cs="宋体"/>
                <w:color w:val="auto"/>
                <w:szCs w:val="21"/>
                <w:highlight w:val="none"/>
              </w:rPr>
            </w:pPr>
            <w:r>
              <w:rPr>
                <w:rFonts w:hint="eastAsia" w:ascii="宋体" w:hAnsi="宋体" w:cs="宋体"/>
                <w:color w:val="auto"/>
                <w:szCs w:val="21"/>
                <w:highlight w:val="none"/>
              </w:rPr>
              <w:t>b.“备份响应文件”应当密封包装，并在包装上标注投标项目名称、投标单位名称并加盖公章。没有密封包装或者逾期邮寄送达至投标地点的“备份响应文件”将不予接收；</w:t>
            </w:r>
          </w:p>
          <w:p>
            <w:pPr>
              <w:widowControl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c.通过“政府采购云平台”成功上传递交的“电子加密响应文件”已按时解密的，“备份响应文件”自动失效。投标截止时间前，磋商响应供应商仅递交了“备份响应文件”而未将“电子加密响应文件”成功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15</w:t>
            </w:r>
          </w:p>
        </w:tc>
        <w:tc>
          <w:tcPr>
            <w:tcW w:w="2146" w:type="dxa"/>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b/>
                <w:bCs/>
                <w:color w:val="auto"/>
                <w:szCs w:val="21"/>
                <w:highlight w:val="none"/>
              </w:rPr>
              <w:t>“电子加密响应文件”解密和异常情况处理</w:t>
            </w:r>
          </w:p>
        </w:tc>
        <w:tc>
          <w:tcPr>
            <w:tcW w:w="6314" w:type="dxa"/>
            <w:tcBorders>
              <w:right w:val="single" w:color="auto" w:sz="12"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1、开标后，采购组织机构将向各响应供应商发出“电子加密响应文件”的解密通知，各响应供应商代表应当在接到解密通知后30分钟内自行完成“电子加密响应文件”的在线解密。</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通过“政府采购云平台”成功上传递交的“电子加密响应文件”无法按时解密，响应供应商如按规定递交了“备份响应文件”的，以“备份响应文件”为依据（由采购组织机构按“政府采购云平台”操作规范将“备份响应文件”上传至“政府采购云平台”，上传成功后，“电子加密响应文件”自动失效），否则视为响应文件撤回。</w:t>
            </w:r>
          </w:p>
          <w:p>
            <w:pPr>
              <w:autoSpaceDE w:val="0"/>
              <w:autoSpaceDN w:val="0"/>
              <w:adjustRightInd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3、响应截止时间前，磋商响应供应商仅递交了“备份响应文件”而未将电子加密响应文件上传至“政府采购云平台”的，投标无效。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16</w:t>
            </w:r>
          </w:p>
        </w:tc>
        <w:tc>
          <w:tcPr>
            <w:tcW w:w="2146" w:type="dxa"/>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响应文件有效期</w:t>
            </w:r>
          </w:p>
        </w:tc>
        <w:tc>
          <w:tcPr>
            <w:tcW w:w="6314" w:type="dxa"/>
            <w:tcBorders>
              <w:right w:val="single" w:color="auto" w:sz="12" w:space="0"/>
            </w:tcBorders>
            <w:vAlign w:val="center"/>
          </w:tcPr>
          <w:p>
            <w:pPr>
              <w:autoSpaceDE w:val="0"/>
              <w:autoSpaceDN w:val="0"/>
              <w:adjustRightInd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自响应文件提交截止时间起120天内。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17</w:t>
            </w:r>
          </w:p>
        </w:tc>
        <w:tc>
          <w:tcPr>
            <w:tcW w:w="2146" w:type="dxa"/>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响应文件递交截止时间</w:t>
            </w:r>
          </w:p>
        </w:tc>
        <w:tc>
          <w:tcPr>
            <w:tcW w:w="6314" w:type="dxa"/>
            <w:tcBorders>
              <w:right w:val="single" w:color="auto" w:sz="12"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响应文件递交截止时间：2020年</w:t>
            </w:r>
            <w:r>
              <w:rPr>
                <w:rFonts w:hint="eastAsia" w:ascii="宋体" w:hAnsi="宋体" w:cs="宋体"/>
                <w:color w:val="auto"/>
                <w:szCs w:val="21"/>
                <w:highlight w:val="none"/>
                <w:lang w:eastAsia="zh-CN"/>
              </w:rPr>
              <w:t>07月23日09时00分</w:t>
            </w:r>
            <w:r>
              <w:rPr>
                <w:rFonts w:hint="eastAsia" w:ascii="宋体" w:hAnsi="宋体" w:cs="宋体"/>
                <w:color w:val="auto"/>
                <w:szCs w:val="21"/>
                <w:highlight w:val="none"/>
              </w:rPr>
              <w:t>（北京时间）</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响应文件提交地址：</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1.“电子加密响应文件”：政府采购云平台在线递交。</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2.“电子备份响应文件”：浙江五石工程咨询有限公司杭州市西湖区西园八路11号杭州数字信息产业园G座603室。</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收件人（即联系人）：徐工</w:t>
            </w:r>
          </w:p>
          <w:p>
            <w:pPr>
              <w:autoSpaceDE w:val="0"/>
              <w:autoSpaceDN w:val="0"/>
              <w:adjustRightInd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联系电话：17746804270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18</w:t>
            </w:r>
          </w:p>
        </w:tc>
        <w:tc>
          <w:tcPr>
            <w:tcW w:w="2146" w:type="dxa"/>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磋商时间、地点</w:t>
            </w:r>
          </w:p>
        </w:tc>
        <w:tc>
          <w:tcPr>
            <w:tcW w:w="6314" w:type="dxa"/>
            <w:tcBorders>
              <w:right w:val="single" w:color="auto" w:sz="12"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磋商时间：2020年</w:t>
            </w:r>
            <w:r>
              <w:rPr>
                <w:rFonts w:hint="eastAsia" w:ascii="宋体" w:hAnsi="宋体" w:cs="宋体"/>
                <w:color w:val="auto"/>
                <w:szCs w:val="21"/>
                <w:highlight w:val="none"/>
                <w:lang w:eastAsia="zh-CN"/>
              </w:rPr>
              <w:t>07月23日09时00分</w:t>
            </w:r>
            <w:r>
              <w:rPr>
                <w:rFonts w:hint="eastAsia" w:ascii="宋体" w:hAnsi="宋体" w:cs="宋体"/>
                <w:color w:val="auto"/>
                <w:szCs w:val="21"/>
                <w:highlight w:val="none"/>
              </w:rPr>
              <w:t>（北京时间）。</w:t>
            </w:r>
          </w:p>
          <w:p>
            <w:pPr>
              <w:autoSpaceDE w:val="0"/>
              <w:autoSpaceDN w:val="0"/>
              <w:adjustRightInd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磋商地点：杭州市西湖区西园八路11号杭州数字信息产业园G座603室，供应商在线参加磋商。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959" w:type="dxa"/>
            <w:tcBorders>
              <w:left w:val="single" w:color="auto" w:sz="12"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19</w:t>
            </w:r>
          </w:p>
        </w:tc>
        <w:tc>
          <w:tcPr>
            <w:tcW w:w="2146"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6314" w:type="dxa"/>
            <w:tcBorders>
              <w:right w:val="single" w:color="auto" w:sz="12"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1、成交供应商向采购方提供履约担保，担保方式为：</w:t>
            </w:r>
            <w:r>
              <w:rPr>
                <w:rFonts w:hint="eastAsia" w:ascii="宋体" w:hAnsi="宋体" w:cs="宋体"/>
                <w:color w:val="auto"/>
                <w:szCs w:val="21"/>
                <w:highlight w:val="none"/>
                <w:u w:val="single"/>
              </w:rPr>
              <w:t xml:space="preserve">  银行汇票或转帐支票或现金支票  </w:t>
            </w:r>
            <w:r>
              <w:rPr>
                <w:rFonts w:hint="eastAsia" w:ascii="宋体" w:hAnsi="宋体" w:cs="宋体"/>
                <w:color w:val="auto"/>
                <w:szCs w:val="21"/>
                <w:highlight w:val="none"/>
              </w:rPr>
              <w:t>担保合同作为本合同附件。担保额度：合同价的2.5%。成交供应商在合同协议签订前3天内，应按合同规定向采购人提交履约保证金。</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2、双方约定的其他担保事项：履约担保金中40%作为质量担保，30%作为工期进度担保，剩余30%作为文明施工担保。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3、如成交供应商原因造成合同中止，履约担保金不返还。</w:t>
            </w:r>
          </w:p>
          <w:p>
            <w:pPr>
              <w:spacing w:line="360" w:lineRule="auto"/>
              <w:rPr>
                <w:rFonts w:ascii="宋体" w:hAnsi="宋体" w:cs="宋体"/>
                <w:b/>
                <w:color w:val="auto"/>
                <w:szCs w:val="21"/>
                <w:highlight w:val="none"/>
              </w:rPr>
            </w:pPr>
            <w:r>
              <w:rPr>
                <w:rFonts w:hint="eastAsia" w:ascii="宋体" w:hAnsi="宋体" w:cs="宋体"/>
                <w:color w:val="auto"/>
                <w:szCs w:val="21"/>
                <w:highlight w:val="none"/>
              </w:rPr>
              <w:t>4、如成交供应商不能按磋商承诺和合同要求履约，采购人将有权扣除相应甚至全部履约保证金。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20</w:t>
            </w:r>
          </w:p>
        </w:tc>
        <w:tc>
          <w:tcPr>
            <w:tcW w:w="2146" w:type="dxa"/>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评标方法及标准</w:t>
            </w:r>
          </w:p>
        </w:tc>
        <w:tc>
          <w:tcPr>
            <w:tcW w:w="6314" w:type="dxa"/>
            <w:tcBorders>
              <w:right w:val="single" w:color="auto" w:sz="12" w:space="0"/>
            </w:tcBorders>
            <w:vAlign w:val="center"/>
          </w:tcPr>
          <w:p>
            <w:pPr>
              <w:autoSpaceDE w:val="0"/>
              <w:autoSpaceDN w:val="0"/>
              <w:adjustRightInd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21</w:t>
            </w:r>
          </w:p>
        </w:tc>
        <w:tc>
          <w:tcPr>
            <w:tcW w:w="2146" w:type="dxa"/>
            <w:vAlign w:val="center"/>
          </w:tcPr>
          <w:p>
            <w:pPr>
              <w:autoSpaceDE w:val="0"/>
              <w:autoSpaceDN w:val="0"/>
              <w:adjustRightInd w:val="0"/>
              <w:snapToGrid w:val="0"/>
              <w:spacing w:line="360" w:lineRule="auto"/>
              <w:jc w:val="center"/>
              <w:textAlignment w:val="bottom"/>
              <w:rPr>
                <w:rFonts w:ascii="宋体" w:hAnsi="宋体" w:cs="宋体"/>
                <w:b/>
                <w:color w:val="auto"/>
                <w:szCs w:val="21"/>
                <w:highlight w:val="none"/>
              </w:rPr>
            </w:pPr>
            <w:r>
              <w:rPr>
                <w:rFonts w:hint="eastAsia" w:ascii="宋体" w:hAnsi="宋体" w:cs="宋体"/>
                <w:b/>
                <w:color w:val="auto"/>
                <w:szCs w:val="21"/>
                <w:highlight w:val="none"/>
              </w:rPr>
              <w:t>最高限价</w:t>
            </w:r>
          </w:p>
        </w:tc>
        <w:tc>
          <w:tcPr>
            <w:tcW w:w="6314" w:type="dxa"/>
            <w:tcBorders>
              <w:right w:val="single" w:color="auto" w:sz="12" w:space="0"/>
            </w:tcBorders>
            <w:vAlign w:val="center"/>
          </w:tcPr>
          <w:p>
            <w:pPr>
              <w:autoSpaceDE w:val="0"/>
              <w:autoSpaceDN w:val="0"/>
              <w:adjustRightInd w:val="0"/>
              <w:snapToGrid w:val="0"/>
              <w:spacing w:line="360" w:lineRule="auto"/>
              <w:textAlignment w:val="bottom"/>
              <w:rPr>
                <w:rFonts w:ascii="宋体" w:hAnsi="宋体" w:cs="宋体"/>
                <w:b/>
                <w:color w:val="auto"/>
                <w:szCs w:val="21"/>
                <w:highlight w:val="none"/>
              </w:rPr>
            </w:pPr>
            <w:r>
              <w:rPr>
                <w:rFonts w:hint="eastAsia" w:ascii="宋体" w:hAnsi="宋体" w:cs="宋体"/>
                <w:b/>
                <w:color w:val="auto"/>
                <w:szCs w:val="21"/>
                <w:highlight w:val="none"/>
              </w:rPr>
              <w:t>▲最高限价人民币150万元整，超过最高限价的按无效标处理。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22</w:t>
            </w:r>
          </w:p>
        </w:tc>
        <w:tc>
          <w:tcPr>
            <w:tcW w:w="2146" w:type="dxa"/>
            <w:vAlign w:val="center"/>
          </w:tcPr>
          <w:p>
            <w:pPr>
              <w:spacing w:line="360" w:lineRule="auto"/>
              <w:rPr>
                <w:rFonts w:ascii="宋体" w:hAnsi="宋体" w:cs="宋体"/>
                <w:color w:val="auto"/>
                <w:szCs w:val="21"/>
                <w:highlight w:val="none"/>
              </w:rPr>
            </w:pPr>
            <w:r>
              <w:rPr>
                <w:rFonts w:hint="eastAsia" w:ascii="宋体" w:hAnsi="宋体" w:cs="宋体"/>
                <w:b/>
                <w:snapToGrid w:val="0"/>
                <w:color w:val="auto"/>
                <w:kern w:val="10"/>
                <w:szCs w:val="21"/>
                <w:highlight w:val="none"/>
              </w:rPr>
              <w:t>中标结果公示媒体</w:t>
            </w:r>
          </w:p>
        </w:tc>
        <w:tc>
          <w:tcPr>
            <w:tcW w:w="6314" w:type="dxa"/>
            <w:tcBorders>
              <w:right w:val="single" w:color="auto" w:sz="12"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浙江省政府采购网（http://www.zjzfcg.gov.cn）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59" w:type="dxa"/>
            <w:tcBorders>
              <w:left w:val="single" w:color="auto" w:sz="12" w:space="0"/>
            </w:tcBorders>
            <w:vAlign w:val="center"/>
          </w:tcPr>
          <w:p>
            <w:pPr>
              <w:autoSpaceDE w:val="0"/>
              <w:autoSpaceDN w:val="0"/>
              <w:adjustRightInd w:val="0"/>
              <w:snapToGrid w:val="0"/>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23</w:t>
            </w:r>
          </w:p>
        </w:tc>
        <w:tc>
          <w:tcPr>
            <w:tcW w:w="2146" w:type="dxa"/>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采购代理服务费与造价编制服务费</w:t>
            </w:r>
          </w:p>
        </w:tc>
        <w:tc>
          <w:tcPr>
            <w:tcW w:w="6314" w:type="dxa"/>
            <w:tcBorders>
              <w:right w:val="single" w:color="auto" w:sz="12"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1、参照国家发改委发改办价格[2003]857号通知和原国家计[2002]1980号文件规定的招标费率标准7折收取服务费，不足3000元按3000元收取。</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2、成交供应商在领取中标通知书前，应向招标代理机构交纳招标代理服务费。</w:t>
            </w:r>
          </w:p>
          <w:p>
            <w:pPr>
              <w:spacing w:line="360" w:lineRule="auto"/>
              <w:rPr>
                <w:rFonts w:ascii="宋体" w:hAnsi="宋体" w:cs="宋体"/>
                <w:color w:val="auto"/>
                <w:szCs w:val="21"/>
                <w:highlight w:val="none"/>
              </w:rPr>
            </w:pPr>
            <w:r>
              <w:rPr>
                <w:rFonts w:hint="eastAsia" w:ascii="宋体" w:hAnsi="宋体" w:cs="宋体"/>
                <w:color w:val="auto"/>
                <w:szCs w:val="21"/>
                <w:highlight w:val="none"/>
              </w:rPr>
              <w:t>3、招标代理服务费以电汇方式支付。</w:t>
            </w:r>
          </w:p>
          <w:p>
            <w:pPr>
              <w:spacing w:line="360" w:lineRule="auto"/>
              <w:rPr>
                <w:rFonts w:ascii="宋体" w:hAnsi="宋体" w:cs="宋体"/>
                <w:color w:val="auto"/>
                <w:szCs w:val="21"/>
                <w:highlight w:val="none"/>
              </w:rPr>
            </w:pPr>
            <w:r>
              <w:rPr>
                <w:rFonts w:hint="eastAsia" w:ascii="宋体" w:hAnsi="宋体" w:cs="宋体"/>
                <w:color w:val="auto"/>
                <w:szCs w:val="21"/>
                <w:highlight w:val="none"/>
              </w:rPr>
              <w:t>4、成交供应商如未按上述规定办理，本招标代理机构有权从其参加招标活动的投标保证金中收取采招标代理服务费，并对不足部分进行追索。</w:t>
            </w:r>
          </w:p>
          <w:p>
            <w:pPr>
              <w:spacing w:line="360" w:lineRule="auto"/>
              <w:rPr>
                <w:rFonts w:ascii="宋体" w:hAnsi="宋体" w:cs="宋体"/>
                <w:color w:val="auto"/>
                <w:szCs w:val="21"/>
                <w:highlight w:val="none"/>
              </w:rPr>
            </w:pPr>
            <w:r>
              <w:rPr>
                <w:rFonts w:hint="eastAsia" w:ascii="宋体" w:hAnsi="宋体" w:cs="宋体"/>
                <w:color w:val="auto"/>
                <w:szCs w:val="21"/>
                <w:highlight w:val="none"/>
              </w:rPr>
              <w:t>5、服务费缴纳账号：</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单位名称：浙江五石工程咨询有限公司萧山分公司</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开户银行：浙江民泰商业银行杭州钱江新城支行</w:t>
            </w:r>
          </w:p>
          <w:p>
            <w:pPr>
              <w:spacing w:line="360" w:lineRule="auto"/>
              <w:rPr>
                <w:rFonts w:ascii="宋体" w:hAnsi="宋体" w:cs="宋体"/>
                <w:color w:val="auto"/>
                <w:szCs w:val="21"/>
                <w:highlight w:val="none"/>
              </w:rPr>
            </w:pPr>
            <w:r>
              <w:rPr>
                <w:rFonts w:hint="eastAsia" w:ascii="宋体" w:hAnsi="宋体" w:cs="宋体"/>
                <w:color w:val="auto"/>
                <w:szCs w:val="21"/>
                <w:highlight w:val="none"/>
              </w:rPr>
              <w:t>账    号：583777806700015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4" w:hRule="atLeast"/>
        </w:trPr>
        <w:tc>
          <w:tcPr>
            <w:tcW w:w="959" w:type="dxa"/>
            <w:vMerge w:val="restart"/>
            <w:tcBorders>
              <w:left w:val="single" w:color="auto" w:sz="12" w:space="0"/>
            </w:tcBorders>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24</w:t>
            </w:r>
          </w:p>
        </w:tc>
        <w:tc>
          <w:tcPr>
            <w:tcW w:w="2146" w:type="dxa"/>
            <w:vMerge w:val="restart"/>
            <w:vAlign w:val="center"/>
          </w:tcPr>
          <w:p>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特别提醒</w:t>
            </w:r>
          </w:p>
        </w:tc>
        <w:tc>
          <w:tcPr>
            <w:tcW w:w="6314" w:type="dxa"/>
            <w:tcBorders>
              <w:right w:val="single" w:color="auto" w:sz="12" w:space="0"/>
            </w:tcBorders>
            <w:vAlign w:val="center"/>
          </w:tcPr>
          <w:p>
            <w:pPr>
              <w:snapToGrid w:val="0"/>
              <w:spacing w:line="360" w:lineRule="auto"/>
              <w:rPr>
                <w:rFonts w:ascii="宋体" w:hAnsi="宋体" w:cs="宋体"/>
                <w:bCs/>
                <w:snapToGrid w:val="0"/>
                <w:color w:val="auto"/>
                <w:szCs w:val="21"/>
                <w:highlight w:val="none"/>
              </w:rPr>
            </w:pPr>
            <w:r>
              <w:rPr>
                <w:rFonts w:hint="eastAsia" w:ascii="宋体" w:hAnsi="宋体" w:cs="宋体"/>
                <w:bCs/>
                <w:snapToGrid w:val="0"/>
                <w:color w:val="auto"/>
                <w:szCs w:val="21"/>
                <w:highlight w:val="none"/>
              </w:rPr>
              <w:t>企业信用融资:为支持和促进中小企业发展，进一步发挥政府采购政策功能，浙江省财政局与省银监局、市金融办、市经信委共同出台了《浙江省政府采购支持中小企业信用融资暂行办法》，供应商若有融资意向，详见本磋商文件尾页《政府采购支持中小企业信用融资相关事项通知》，或登陆浙江省政府采购网（http://www.zjzfcg.gov.cn/）“中小企业信用融资”专栏，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9" w:type="dxa"/>
            <w:vMerge w:val="continue"/>
            <w:tcBorders>
              <w:left w:val="single" w:color="auto" w:sz="12" w:space="0"/>
            </w:tcBorders>
            <w:vAlign w:val="center"/>
          </w:tcPr>
          <w:p>
            <w:pPr>
              <w:snapToGrid w:val="0"/>
              <w:spacing w:line="360" w:lineRule="auto"/>
              <w:jc w:val="center"/>
              <w:rPr>
                <w:rFonts w:ascii="宋体" w:hAnsi="宋体" w:cs="宋体"/>
                <w:color w:val="auto"/>
                <w:szCs w:val="21"/>
                <w:highlight w:val="none"/>
              </w:rPr>
            </w:pPr>
          </w:p>
        </w:tc>
        <w:tc>
          <w:tcPr>
            <w:tcW w:w="2146" w:type="dxa"/>
            <w:vMerge w:val="continue"/>
            <w:vAlign w:val="center"/>
          </w:tcPr>
          <w:p>
            <w:pPr>
              <w:snapToGrid w:val="0"/>
              <w:spacing w:line="360" w:lineRule="auto"/>
              <w:jc w:val="center"/>
              <w:rPr>
                <w:rFonts w:ascii="宋体" w:hAnsi="宋体" w:cs="宋体"/>
                <w:b/>
                <w:color w:val="auto"/>
                <w:szCs w:val="21"/>
                <w:highlight w:val="none"/>
              </w:rPr>
            </w:pPr>
          </w:p>
        </w:tc>
        <w:tc>
          <w:tcPr>
            <w:tcW w:w="6314" w:type="dxa"/>
            <w:tcBorders>
              <w:right w:val="single" w:color="auto" w:sz="12" w:space="0"/>
            </w:tcBorders>
            <w:vAlign w:val="center"/>
          </w:tcPr>
          <w:p>
            <w:pPr>
              <w:snapToGrid w:val="0"/>
              <w:spacing w:line="360" w:lineRule="auto"/>
              <w:rPr>
                <w:rFonts w:ascii="宋体" w:hAnsi="宋体" w:cs="宋体"/>
                <w:bCs/>
                <w:color w:val="auto"/>
                <w:kern w:val="10"/>
                <w:szCs w:val="21"/>
                <w:highlight w:val="none"/>
              </w:rPr>
            </w:pPr>
            <w:r>
              <w:rPr>
                <w:rFonts w:hint="eastAsia" w:ascii="宋体" w:hAnsi="宋体" w:cs="宋体"/>
                <w:bCs/>
                <w:color w:val="auto"/>
                <w:kern w:val="10"/>
                <w:szCs w:val="21"/>
                <w:highlight w:val="none"/>
              </w:rPr>
              <w:t>根据《关于在政府采购活动中查询及使用信用记录有关问题的通知》财库[2016]125号的规定：</w:t>
            </w:r>
          </w:p>
          <w:p>
            <w:pPr>
              <w:snapToGrid w:val="0"/>
              <w:spacing w:line="360" w:lineRule="auto"/>
              <w:rPr>
                <w:rFonts w:ascii="宋体" w:hAnsi="宋体" w:cs="宋体"/>
                <w:bCs/>
                <w:color w:val="auto"/>
                <w:kern w:val="10"/>
                <w:szCs w:val="21"/>
                <w:highlight w:val="none"/>
              </w:rPr>
            </w:pPr>
            <w:r>
              <w:rPr>
                <w:rFonts w:hint="eastAsia" w:ascii="宋体" w:hAnsi="宋体" w:cs="宋体"/>
                <w:bCs/>
                <w:color w:val="auto"/>
                <w:kern w:val="10"/>
                <w:szCs w:val="21"/>
                <w:highlight w:val="none"/>
              </w:rPr>
              <w:t>1）采购人或采购代理机构将对本项目供应商的信用信息进行查询。</w:t>
            </w:r>
          </w:p>
          <w:p>
            <w:pPr>
              <w:snapToGrid w:val="0"/>
              <w:spacing w:line="360" w:lineRule="auto"/>
              <w:rPr>
                <w:rFonts w:ascii="宋体" w:hAnsi="宋体" w:cs="宋体"/>
                <w:bCs/>
                <w:color w:val="auto"/>
                <w:kern w:val="10"/>
                <w:szCs w:val="21"/>
                <w:highlight w:val="none"/>
              </w:rPr>
            </w:pPr>
            <w:r>
              <w:rPr>
                <w:rFonts w:hint="eastAsia" w:ascii="宋体" w:hAnsi="宋体" w:cs="宋体"/>
                <w:bCs/>
                <w:color w:val="auto"/>
                <w:kern w:val="10"/>
                <w:szCs w:val="21"/>
                <w:highlight w:val="none"/>
              </w:rPr>
              <w:t>2）查询渠道为信用中国网站（www.creditchina.gov.cn）、中国政府采购网（www.ccgp.gov.cn）。</w:t>
            </w:r>
          </w:p>
          <w:p>
            <w:pPr>
              <w:snapToGrid w:val="0"/>
              <w:spacing w:line="360" w:lineRule="auto"/>
              <w:rPr>
                <w:rFonts w:ascii="宋体" w:hAnsi="宋体" w:cs="宋体"/>
                <w:bCs/>
                <w:color w:val="auto"/>
                <w:kern w:val="10"/>
                <w:szCs w:val="21"/>
                <w:highlight w:val="none"/>
              </w:rPr>
            </w:pPr>
            <w:r>
              <w:rPr>
                <w:rFonts w:hint="eastAsia" w:ascii="宋体" w:hAnsi="宋体" w:cs="宋体"/>
                <w:bCs/>
                <w:color w:val="auto"/>
                <w:kern w:val="10"/>
                <w:szCs w:val="21"/>
                <w:highlight w:val="none"/>
              </w:rPr>
              <w:t>3）信用信息截止时点为从本项目投标截止日往前追溯三年，期间被列入失信被执行人名单、重大税收违法案件当事人名单、政府采购严重违法失信行为记录名单等供应商信用信息均将用于本项目。</w:t>
            </w:r>
          </w:p>
          <w:p>
            <w:pPr>
              <w:snapToGrid w:val="0"/>
              <w:spacing w:line="360" w:lineRule="auto"/>
              <w:rPr>
                <w:rFonts w:ascii="宋体" w:hAnsi="宋体" w:cs="宋体"/>
                <w:bCs/>
                <w:color w:val="auto"/>
                <w:kern w:val="10"/>
                <w:szCs w:val="21"/>
                <w:highlight w:val="none"/>
              </w:rPr>
            </w:pPr>
            <w:r>
              <w:rPr>
                <w:rFonts w:hint="eastAsia" w:ascii="宋体" w:hAnsi="宋体" w:cs="宋体"/>
                <w:bCs/>
                <w:color w:val="auto"/>
                <w:kern w:val="10"/>
                <w:szCs w:val="21"/>
                <w:highlight w:val="none"/>
              </w:rPr>
              <w:t>4）信用信息查询记录和证据以网页截图等方式留存。</w:t>
            </w:r>
          </w:p>
          <w:p>
            <w:pPr>
              <w:snapToGrid w:val="0"/>
              <w:spacing w:line="360" w:lineRule="auto"/>
              <w:rPr>
                <w:rFonts w:ascii="宋体" w:hAnsi="宋体" w:cs="宋体"/>
                <w:bCs/>
                <w:color w:val="auto"/>
                <w:kern w:val="10"/>
                <w:szCs w:val="21"/>
                <w:highlight w:val="none"/>
              </w:rPr>
            </w:pPr>
            <w:r>
              <w:rPr>
                <w:rFonts w:hint="eastAsia" w:ascii="宋体" w:hAnsi="宋体" w:cs="宋体"/>
                <w:bCs/>
                <w:color w:val="auto"/>
                <w:kern w:val="10"/>
                <w:szCs w:val="21"/>
                <w:highlight w:val="none"/>
              </w:rPr>
              <w:t>5）投标截止日当日网站显示的信用信息将作为评审和确定成交供应商的依据。</w:t>
            </w:r>
          </w:p>
          <w:p>
            <w:pPr>
              <w:snapToGrid w:val="0"/>
              <w:spacing w:line="360" w:lineRule="auto"/>
              <w:rPr>
                <w:rFonts w:ascii="宋体" w:hAnsi="宋体" w:cs="宋体"/>
                <w:bCs/>
                <w:color w:val="auto"/>
                <w:kern w:val="10"/>
                <w:szCs w:val="21"/>
                <w:highlight w:val="none"/>
              </w:rPr>
            </w:pPr>
            <w:r>
              <w:rPr>
                <w:rFonts w:hint="eastAsia" w:ascii="宋体" w:hAnsi="宋体" w:cs="宋体"/>
                <w:bCs/>
                <w:color w:val="auto"/>
                <w:kern w:val="10"/>
                <w:szCs w:val="21"/>
                <w:highlight w:val="none"/>
              </w:rPr>
              <w:t>6）联合体成员存在不良信用记录的，视同联合体存在不良信用记录。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9" w:type="dxa"/>
            <w:tcBorders>
              <w:left w:val="single" w:color="auto" w:sz="12" w:space="0"/>
            </w:tcBorders>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25</w:t>
            </w:r>
          </w:p>
        </w:tc>
        <w:tc>
          <w:tcPr>
            <w:tcW w:w="2146" w:type="dxa"/>
            <w:vAlign w:val="center"/>
          </w:tcPr>
          <w:p>
            <w:pPr>
              <w:snapToGrid w:val="0"/>
              <w:spacing w:line="360" w:lineRule="auto"/>
              <w:jc w:val="center"/>
              <w:rPr>
                <w:rFonts w:ascii="宋体" w:hAnsi="宋体" w:cs="宋体"/>
                <w:b/>
                <w:color w:val="auto"/>
                <w:szCs w:val="21"/>
                <w:highlight w:val="none"/>
              </w:rPr>
            </w:pPr>
            <w:r>
              <w:rPr>
                <w:rFonts w:hint="eastAsia" w:ascii="宋体" w:hAnsi="宋体" w:cs="宋体"/>
                <w:b/>
                <w:bCs/>
                <w:color w:val="auto"/>
                <w:szCs w:val="21"/>
                <w:highlight w:val="none"/>
              </w:rPr>
              <w:t>▲</w:t>
            </w:r>
            <w:r>
              <w:rPr>
                <w:rFonts w:hint="eastAsia" w:ascii="宋体" w:hAnsi="宋体" w:cs="宋体"/>
                <w:b/>
                <w:color w:val="auto"/>
                <w:szCs w:val="21"/>
                <w:highlight w:val="none"/>
              </w:rPr>
              <w:t>造价人员签字及盖章要求</w:t>
            </w:r>
          </w:p>
        </w:tc>
        <w:tc>
          <w:tcPr>
            <w:tcW w:w="6314" w:type="dxa"/>
            <w:tcBorders>
              <w:right w:val="single" w:color="auto" w:sz="12" w:space="0"/>
            </w:tcBorders>
            <w:vAlign w:val="center"/>
          </w:tcPr>
          <w:p>
            <w:pPr>
              <w:snapToGrid w:val="0"/>
              <w:spacing w:line="360" w:lineRule="auto"/>
              <w:rPr>
                <w:rFonts w:ascii="宋体" w:hAnsi="宋体" w:cs="宋体"/>
                <w:bCs/>
                <w:color w:val="auto"/>
                <w:kern w:val="10"/>
                <w:szCs w:val="21"/>
                <w:highlight w:val="none"/>
              </w:rPr>
            </w:pPr>
            <w:r>
              <w:rPr>
                <w:rFonts w:hint="eastAsia" w:ascii="宋体" w:hAnsi="宋体" w:cs="宋体"/>
                <w:bCs/>
                <w:color w:val="auto"/>
                <w:kern w:val="10"/>
                <w:szCs w:val="21"/>
                <w:highlight w:val="none"/>
              </w:rPr>
              <w:t>根据国家住建部、省级造价主管部门对造价从业人员执业管理的相关法律法规规定以及国标计价规范的规定，报价的编制必须遵守以下规定：</w:t>
            </w:r>
          </w:p>
          <w:p>
            <w:pPr>
              <w:snapToGrid w:val="0"/>
              <w:spacing w:line="360" w:lineRule="auto"/>
              <w:rPr>
                <w:rFonts w:ascii="宋体" w:hAnsi="宋体" w:cs="宋体"/>
                <w:bCs/>
                <w:color w:val="auto"/>
                <w:kern w:val="10"/>
                <w:szCs w:val="21"/>
                <w:highlight w:val="none"/>
              </w:rPr>
            </w:pPr>
            <w:r>
              <w:rPr>
                <w:rFonts w:hint="eastAsia" w:ascii="宋体" w:hAnsi="宋体" w:cs="宋体"/>
                <w:bCs/>
                <w:color w:val="auto"/>
                <w:kern w:val="10"/>
                <w:szCs w:val="21"/>
                <w:highlight w:val="none"/>
              </w:rPr>
              <w:t>（1）报价应由供应商或受其委托具有相应资质的工程造价咨询人编制。供应商委托具有相应资质的工程造价咨询人编制报价书的，响应文件中应附情况说明、委托编制报价的咨询合同书及工程造价咨询人的咨询资质等级证书等。</w:t>
            </w:r>
          </w:p>
          <w:p>
            <w:pPr>
              <w:snapToGrid w:val="0"/>
              <w:spacing w:line="360" w:lineRule="auto"/>
              <w:rPr>
                <w:rFonts w:ascii="宋体" w:hAnsi="宋体" w:cs="宋体"/>
                <w:bCs/>
                <w:color w:val="auto"/>
                <w:kern w:val="10"/>
                <w:szCs w:val="21"/>
                <w:highlight w:val="none"/>
              </w:rPr>
            </w:pPr>
            <w:r>
              <w:rPr>
                <w:rFonts w:hint="eastAsia" w:ascii="宋体" w:hAnsi="宋体" w:cs="宋体"/>
                <w:bCs/>
                <w:color w:val="auto"/>
                <w:kern w:val="10"/>
                <w:szCs w:val="21"/>
                <w:highlight w:val="none"/>
              </w:rPr>
              <w:t>（2）如报价由供应商编制，编制人员必须是在编制单位注册的造价工程师，并由其签字并盖执业专用章；</w:t>
            </w:r>
          </w:p>
          <w:p>
            <w:pPr>
              <w:snapToGrid w:val="0"/>
              <w:spacing w:line="360" w:lineRule="auto"/>
              <w:rPr>
                <w:rFonts w:ascii="宋体" w:hAnsi="宋体" w:cs="宋体"/>
                <w:bCs/>
                <w:color w:val="auto"/>
                <w:kern w:val="10"/>
                <w:szCs w:val="21"/>
                <w:highlight w:val="none"/>
              </w:rPr>
            </w:pPr>
            <w:r>
              <w:rPr>
                <w:rFonts w:hint="eastAsia" w:ascii="宋体" w:hAnsi="宋体" w:cs="宋体"/>
                <w:bCs/>
                <w:color w:val="auto"/>
                <w:kern w:val="10"/>
                <w:szCs w:val="21"/>
                <w:highlight w:val="none"/>
              </w:rPr>
              <w:t>（3）如报价由供应商委托具有相应资质的工程造价咨询人编制的，编制人员必须是在编制单位注册的造价工程师，并由编制人员签字和盖执业专用章，且由本单位其他注册造价工程师复核，在成果文件相应位置签字并盖执业专用章；</w:t>
            </w:r>
          </w:p>
          <w:p>
            <w:pPr>
              <w:snapToGrid w:val="0"/>
              <w:spacing w:line="360" w:lineRule="auto"/>
              <w:rPr>
                <w:rFonts w:ascii="宋体" w:hAnsi="宋体" w:cs="宋体"/>
                <w:bCs/>
                <w:color w:val="auto"/>
                <w:kern w:val="10"/>
                <w:szCs w:val="21"/>
                <w:highlight w:val="none"/>
              </w:rPr>
            </w:pPr>
            <w:r>
              <w:rPr>
                <w:rFonts w:hint="eastAsia" w:ascii="宋体" w:hAnsi="宋体" w:cs="宋体"/>
                <w:bCs/>
                <w:color w:val="auto"/>
                <w:kern w:val="10"/>
                <w:szCs w:val="21"/>
                <w:highlight w:val="none"/>
              </w:rPr>
              <w:t>（4）报价文件不得由供应商的造价人员和受委托的咨询公司的造价人员混合编审，报价文件封面所盖的造价工程师只能是同一单位人员；</w:t>
            </w:r>
          </w:p>
          <w:p>
            <w:pPr>
              <w:snapToGrid w:val="0"/>
              <w:spacing w:line="360" w:lineRule="auto"/>
              <w:rPr>
                <w:rFonts w:ascii="宋体" w:hAnsi="宋体" w:cs="宋体"/>
                <w:bCs/>
                <w:color w:val="auto"/>
                <w:kern w:val="10"/>
                <w:szCs w:val="21"/>
                <w:highlight w:val="none"/>
              </w:rPr>
            </w:pPr>
            <w:r>
              <w:rPr>
                <w:rFonts w:hint="eastAsia" w:ascii="宋体" w:hAnsi="宋体" w:cs="宋体"/>
                <w:bCs/>
                <w:color w:val="auto"/>
                <w:kern w:val="10"/>
                <w:szCs w:val="21"/>
                <w:highlight w:val="none"/>
              </w:rPr>
              <w:t>工程造价咨询人不得同时接受采购人和供应商对同一工程的控制价和报价的编制。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9" w:type="dxa"/>
            <w:tcBorders>
              <w:left w:val="single" w:color="auto" w:sz="12" w:space="0"/>
            </w:tcBorders>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26</w:t>
            </w:r>
          </w:p>
        </w:tc>
        <w:tc>
          <w:tcPr>
            <w:tcW w:w="2146" w:type="dxa"/>
            <w:vAlign w:val="center"/>
          </w:tcPr>
          <w:p>
            <w:pPr>
              <w:snapToGrid w:val="0"/>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其他事项</w:t>
            </w:r>
          </w:p>
        </w:tc>
        <w:tc>
          <w:tcPr>
            <w:tcW w:w="6314" w:type="dxa"/>
            <w:tcBorders>
              <w:right w:val="single" w:color="auto" w:sz="12" w:space="0"/>
            </w:tcBorders>
            <w:vAlign w:val="center"/>
          </w:tcPr>
          <w:p>
            <w:pPr>
              <w:snapToGrid w:val="0"/>
              <w:spacing w:line="360" w:lineRule="auto"/>
              <w:rPr>
                <w:rFonts w:ascii="宋体" w:hAnsi="宋体" w:cs="宋体"/>
                <w:bCs/>
                <w:color w:val="auto"/>
                <w:kern w:val="10"/>
                <w:szCs w:val="21"/>
                <w:highlight w:val="none"/>
              </w:rPr>
            </w:pPr>
            <w:r>
              <w:rPr>
                <w:rFonts w:hint="eastAsia" w:ascii="宋体" w:hAnsi="宋体" w:cs="宋体"/>
                <w:color w:val="auto"/>
                <w:highlight w:val="none"/>
              </w:rPr>
              <w:t>为了节约社会资源，所有获取磋商文件的潜在磋商响应供应商如果放弃投标请务必在投标截止时间 48 小时前将盖章的放弃投标函 发至采购代理机构，格式详见附件，谢谢配合。（将扫描件发送至代理机构联系人邮箱：2971521730@qq.com）。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9" w:type="dxa"/>
            <w:tcBorders>
              <w:left w:val="single" w:color="auto" w:sz="12" w:space="0"/>
              <w:bottom w:val="single" w:color="auto" w:sz="12"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27</w:t>
            </w:r>
          </w:p>
        </w:tc>
        <w:tc>
          <w:tcPr>
            <w:tcW w:w="2146" w:type="dxa"/>
            <w:tcBorders>
              <w:bottom w:val="single" w:color="auto" w:sz="12"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解释权</w:t>
            </w:r>
          </w:p>
        </w:tc>
        <w:tc>
          <w:tcPr>
            <w:tcW w:w="6314" w:type="dxa"/>
            <w:tcBorders>
              <w:bottom w:val="single" w:color="auto" w:sz="12" w:space="0"/>
              <w:right w:val="single" w:color="auto" w:sz="12"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本磋商文件解释权属于采购人和采购代理机构。</w:t>
            </w:r>
          </w:p>
        </w:tc>
      </w:tr>
    </w:tbl>
    <w:p>
      <w:pPr>
        <w:spacing w:line="200" w:lineRule="exact"/>
        <w:rPr>
          <w:rFonts w:ascii="宋体" w:hAnsi="宋体" w:cs="宋体"/>
          <w:color w:val="auto"/>
          <w:sz w:val="20"/>
          <w:szCs w:val="20"/>
          <w:highlight w:val="none"/>
        </w:rPr>
      </w:pPr>
      <w:bookmarkStart w:id="8" w:name="page8"/>
      <w:bookmarkEnd w:id="8"/>
      <w:bookmarkStart w:id="9" w:name="page7"/>
      <w:bookmarkEnd w:id="9"/>
    </w:p>
    <w:p>
      <w:pPr>
        <w:rPr>
          <w:rFonts w:ascii="宋体" w:hAnsi="宋体" w:cs="宋体"/>
          <w:color w:val="auto"/>
          <w:highlight w:val="none"/>
        </w:rPr>
        <w:sectPr>
          <w:pgSz w:w="11900" w:h="16838"/>
          <w:pgMar w:top="1440" w:right="1326" w:bottom="401" w:left="1440" w:header="567" w:footer="567" w:gutter="0"/>
          <w:cols w:equalWidth="0" w:num="1">
            <w:col w:w="9140"/>
          </w:cols>
        </w:sectPr>
      </w:pPr>
    </w:p>
    <w:p>
      <w:pPr>
        <w:spacing w:line="1" w:lineRule="exact"/>
        <w:rPr>
          <w:rFonts w:ascii="宋体" w:hAnsi="宋体" w:cs="宋体"/>
          <w:color w:val="auto"/>
          <w:sz w:val="20"/>
          <w:szCs w:val="20"/>
          <w:highlight w:val="none"/>
        </w:rPr>
      </w:pPr>
      <w:bookmarkStart w:id="10" w:name="page9"/>
      <w:bookmarkEnd w:id="10"/>
    </w:p>
    <w:p>
      <w:pPr>
        <w:tabs>
          <w:tab w:val="left" w:pos="300"/>
        </w:tabs>
        <w:spacing w:line="366" w:lineRule="exact"/>
        <w:ind w:left="2700"/>
        <w:jc w:val="both"/>
        <w:outlineLvl w:val="0"/>
        <w:rPr>
          <w:rFonts w:ascii="宋体" w:hAnsi="宋体" w:cs="宋体"/>
          <w:color w:val="auto"/>
          <w:sz w:val="20"/>
          <w:szCs w:val="20"/>
          <w:highlight w:val="none"/>
        </w:rPr>
      </w:pPr>
      <w:bookmarkStart w:id="11" w:name="_Toc25290_WPSOffice_Level1"/>
      <w:bookmarkStart w:id="12" w:name="_Toc163"/>
      <w:r>
        <w:rPr>
          <w:rFonts w:hint="eastAsia" w:ascii="宋体" w:hAnsi="宋体" w:cs="宋体"/>
          <w:b/>
          <w:bCs/>
          <w:color w:val="auto"/>
          <w:sz w:val="32"/>
          <w:szCs w:val="32"/>
          <w:highlight w:val="none"/>
        </w:rPr>
        <w:t>第三章  供应商须知</w:t>
      </w:r>
      <w:bookmarkEnd w:id="11"/>
      <w:bookmarkEnd w:id="12"/>
    </w:p>
    <w:p>
      <w:pPr>
        <w:spacing w:line="256" w:lineRule="exact"/>
        <w:rPr>
          <w:rFonts w:ascii="宋体" w:hAnsi="宋体" w:cs="宋体"/>
          <w:color w:val="auto"/>
          <w:sz w:val="20"/>
          <w:szCs w:val="20"/>
          <w:highlight w:val="none"/>
        </w:rPr>
      </w:pPr>
    </w:p>
    <w:p>
      <w:pPr>
        <w:spacing w:line="240" w:lineRule="exact"/>
        <w:ind w:firstLine="422" w:firstLineChars="200"/>
        <w:outlineLvl w:val="1"/>
        <w:rPr>
          <w:rFonts w:ascii="宋体" w:hAnsi="宋体" w:cs="宋体"/>
          <w:color w:val="auto"/>
          <w:sz w:val="20"/>
          <w:szCs w:val="20"/>
          <w:highlight w:val="none"/>
        </w:rPr>
      </w:pPr>
      <w:bookmarkStart w:id="13" w:name="_Toc29219"/>
      <w:bookmarkStart w:id="14" w:name="_Toc22915_WPSOffice_Level2"/>
      <w:bookmarkStart w:id="15" w:name="_Toc28392_WPSOffice_Level2"/>
      <w:r>
        <w:rPr>
          <w:rFonts w:hint="eastAsia" w:ascii="宋体" w:hAnsi="宋体" w:cs="宋体"/>
          <w:b/>
          <w:bCs/>
          <w:color w:val="auto"/>
          <w:szCs w:val="21"/>
          <w:highlight w:val="none"/>
        </w:rPr>
        <w:t>一、总则</w:t>
      </w:r>
      <w:bookmarkEnd w:id="13"/>
      <w:bookmarkEnd w:id="14"/>
      <w:bookmarkEnd w:id="15"/>
    </w:p>
    <w:p>
      <w:pPr>
        <w:spacing w:line="172" w:lineRule="exact"/>
        <w:rPr>
          <w:rFonts w:ascii="宋体" w:hAnsi="宋体" w:cs="宋体"/>
          <w:color w:val="auto"/>
          <w:sz w:val="20"/>
          <w:szCs w:val="20"/>
          <w:highlight w:val="none"/>
        </w:rPr>
      </w:pP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1.1、实施依据</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本次采购工作是按照《中华人民共和国政府采购法》、《政府采购竞争性磋商采购方式管理暂行办法》等招标投标有关法律、法规、规章、文件的规定组织和实施。</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1.2、采购方式：竞争性磋商</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1.3、定义</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采购人：是指依法进行政府采购的国家机关、事业单位、团体组织，见“供应商须知前附表”；</w:t>
      </w:r>
    </w:p>
    <w:p>
      <w:pPr>
        <w:spacing w:line="360" w:lineRule="auto"/>
        <w:rPr>
          <w:rFonts w:ascii="宋体" w:hAnsi="宋体" w:cs="宋体"/>
          <w:color w:val="auto"/>
          <w:sz w:val="20"/>
          <w:szCs w:val="20"/>
          <w:highlight w:val="none"/>
        </w:rPr>
      </w:pPr>
      <w:r>
        <w:rPr>
          <w:rFonts w:hint="eastAsia" w:ascii="宋体" w:hAnsi="宋体" w:cs="宋体"/>
          <w:color w:val="auto"/>
          <w:szCs w:val="21"/>
          <w:highlight w:val="none"/>
        </w:rPr>
        <w:t>采购代理机构：受采购人委托，在委托的范围内办理政府采购事宜的机构，见“供应商须知前附表”；</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供应商：是指参加本政府采购项目磋商的供应商；</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供应商代表：是指参加本项目磋商活动的供应商法定代表人或法定代表人授权代表；</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磋商联合体：是指两个以上供应商组成联合体，以一个供应商的身份参加磋商；</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甲方：是指合同签订的一方，一般与采购人、用户相同；</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乙方：是指合同签订的另一方，与成交供应商相同；</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制造商：是指拥有响应产品自主知识产权的单位；</w:t>
      </w:r>
    </w:p>
    <w:p>
      <w:pPr>
        <w:spacing w:line="360" w:lineRule="auto"/>
        <w:ind w:right="346" w:firstLine="420" w:firstLineChars="200"/>
        <w:jc w:val="both"/>
        <w:rPr>
          <w:rFonts w:ascii="宋体" w:hAnsi="宋体" w:cs="宋体"/>
          <w:color w:val="auto"/>
          <w:sz w:val="20"/>
          <w:szCs w:val="20"/>
          <w:highlight w:val="none"/>
        </w:rPr>
      </w:pPr>
      <w:r>
        <w:rPr>
          <w:rFonts w:hint="eastAsia" w:ascii="宋体" w:hAnsi="宋体" w:cs="宋体"/>
          <w:color w:val="auto"/>
          <w:szCs w:val="21"/>
          <w:highlight w:val="none"/>
        </w:rPr>
        <w:t>中小企业（含中型、小型、微型）：符合中小企业划分标准（工信部联企业[2011]300号）的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残疾人福利性单位：符合《财政部 民政部 中国残疾人联合会关于促进残疾人就业政府采购政策的通知》（财库〔2018〕 141 号）的规定的单位；</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政府采购监管部门：浙江省财政厅政府采购监管处。</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1.4、供应商须知前附表规定接受联合体磋商的，应遵守以下规定：（本工程不适用）</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1）两个以上供应商可以组成一个联合体，以一个供应商的身份共同参加磋商；</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2）组成联合体参加本项目磋商的，供应商须在购买竞争性磋商文件时向采购代理机构</w:t>
      </w:r>
    </w:p>
    <w:p>
      <w:pPr>
        <w:spacing w:line="360" w:lineRule="auto"/>
        <w:rPr>
          <w:rFonts w:ascii="宋体" w:hAnsi="宋体" w:cs="宋体"/>
          <w:color w:val="auto"/>
          <w:sz w:val="20"/>
          <w:szCs w:val="20"/>
          <w:highlight w:val="none"/>
        </w:rPr>
      </w:pPr>
      <w:r>
        <w:rPr>
          <w:rFonts w:hint="eastAsia" w:ascii="宋体" w:hAnsi="宋体" w:cs="宋体"/>
          <w:color w:val="auto"/>
          <w:szCs w:val="21"/>
          <w:highlight w:val="none"/>
        </w:rPr>
        <w:t>作出相关书面说明，否则响应无效；</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3）以联合体形式参加本项目磋商的，联合体的各成员均应当具备《中华人民共和国政府采购法》第二十二条规定的条件及采购人规定的特定条件，联合体中有同类资质的供应商按照联合体分工承担相同工作的，按照资质等级较低的供应商确定资质等级；</w:t>
      </w:r>
    </w:p>
    <w:p>
      <w:pPr>
        <w:spacing w:line="360" w:lineRule="auto"/>
        <w:ind w:firstLine="420" w:firstLineChars="200"/>
        <w:rPr>
          <w:rFonts w:ascii="宋体" w:hAnsi="宋体" w:cs="宋体"/>
          <w:color w:val="auto"/>
          <w:highlight w:val="none"/>
        </w:rPr>
        <w:sectPr>
          <w:pgSz w:w="11900" w:h="16838"/>
          <w:pgMar w:top="1440" w:right="1440" w:bottom="401" w:left="1440" w:header="567" w:footer="567" w:gutter="0"/>
          <w:cols w:equalWidth="0" w:num="1">
            <w:col w:w="9026"/>
          </w:cols>
        </w:sectPr>
      </w:pPr>
      <w:r>
        <w:rPr>
          <w:rFonts w:hint="eastAsia" w:ascii="宋体" w:hAnsi="宋体" w:cs="宋体"/>
          <w:color w:val="auto"/>
          <w:szCs w:val="21"/>
          <w:highlight w:val="none"/>
        </w:rPr>
        <w:t>4）联合体各方之间须签订磋商联合协议，明确约定联合体各方承担的工作和相应的责</w:t>
      </w:r>
    </w:p>
    <w:p>
      <w:pPr>
        <w:spacing w:line="360" w:lineRule="auto"/>
        <w:rPr>
          <w:rFonts w:ascii="宋体" w:hAnsi="宋体" w:cs="宋体"/>
          <w:color w:val="auto"/>
          <w:szCs w:val="21"/>
          <w:highlight w:val="none"/>
        </w:rPr>
      </w:pPr>
      <w:bookmarkStart w:id="16" w:name="page10"/>
      <w:bookmarkEnd w:id="16"/>
      <w:r>
        <w:rPr>
          <w:rFonts w:hint="eastAsia" w:ascii="宋体" w:hAnsi="宋体" w:cs="宋体"/>
          <w:color w:val="auto"/>
          <w:szCs w:val="21"/>
          <w:highlight w:val="none"/>
        </w:rPr>
        <w:t>任，在磋商联合协议中指定本项目主办人，并将磋商联合协议作为响应文件组成的一部分；本项目的主体、关键性工作须由主办人完成，并在磋商联合协议中进行说明；</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5）联合体各方签订磋商联合协议后，不得再以自己名义单独在本项目中参加磋商，也不得组成新的联合体参加本项目磋商；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6）联合体各方共同与采购人签订采购合同，就采购合同约定的事项对采购人承担连带责任；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7）响应文件须由主办人盖章及其全权代表签署。</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1.5、费用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无论磋商过程中的做法和结果如何，供应商自行承担磋商活动中所发生的全部费用。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1.6、保密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参与磋商活动的各方应对竞争性磋商文件和响应文件中的商业和技术等秘密保密，违者应对此造成的后果承担法律责任。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1.7、语言文字</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除专用术语外，与磋商有关的语言使用中文。专用术语应附有中文注释。</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1.8、计量单位</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所有计量均采用中华人民共和国法定计量单位。</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1.9、踏勘现场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1.9.1 供应商须知前附表规定组织踏勘现场的，采购人按供应商须知前附表规定的时间、地点组织供应商踏勘项目现场。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1.9.2 供应商踏勘现场发生的费用自理。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1.9.3 除采购人的原因外，供应商自行负责在踏勘现场中所发生的人员伤亡和财产损失。</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1.9.4 采购人在踏勘现场中介绍的场地和相关的周边环境情况，供供应商在编制响应文</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件时参考，采购人不对供应商据此作出的判断和决策负责。</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1.10、答疑会</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1.10.1 供应商须知前附表规定召开答疑会的，采购人按供应商须知前附表规定的时间和</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地点召开答疑会，澄清供应商提出的问题。</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1.10.2 供应商应在答疑会时间的前一天，以书面形式将提出的问题送达采购人，以便采</w:t>
      </w:r>
    </w:p>
    <w:p>
      <w:pPr>
        <w:spacing w:line="360" w:lineRule="auto"/>
        <w:rPr>
          <w:rFonts w:ascii="宋体" w:hAnsi="宋体" w:cs="宋体"/>
          <w:color w:val="auto"/>
          <w:szCs w:val="21"/>
          <w:highlight w:val="none"/>
        </w:rPr>
      </w:pPr>
      <w:r>
        <w:rPr>
          <w:rFonts w:hint="eastAsia" w:ascii="宋体" w:hAnsi="宋体" w:cs="宋体"/>
          <w:color w:val="auto"/>
          <w:szCs w:val="21"/>
          <w:highlight w:val="none"/>
        </w:rPr>
        <w:t>购人在会议期间澄清。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1.10.3 答疑会后，采购人按本章 2.4 款规定对供应商所提问题进行澄清答复。</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1.11、分包</w:t>
      </w:r>
    </w:p>
    <w:p>
      <w:pPr>
        <w:spacing w:line="360" w:lineRule="auto"/>
        <w:ind w:firstLine="440" w:firstLineChars="200"/>
        <w:rPr>
          <w:rFonts w:ascii="宋体" w:hAnsi="宋体" w:cs="宋体"/>
          <w:color w:val="auto"/>
          <w:szCs w:val="21"/>
          <w:highlight w:val="none"/>
        </w:rPr>
      </w:pPr>
      <w:r>
        <w:rPr>
          <w:rFonts w:hint="eastAsia" w:ascii="宋体" w:hAnsi="宋体" w:cs="宋体"/>
          <w:bCs/>
          <w:color w:val="auto"/>
          <w:sz w:val="22"/>
          <w:highlight w:val="none"/>
        </w:rPr>
        <w:t>供应商须知前附表规定允许分包的，供应商应当在响应文件载明分包的具体情况，应符合采购人在供应商</w:t>
      </w:r>
      <w:r>
        <w:rPr>
          <w:rFonts w:hint="eastAsia" w:ascii="宋体" w:hAnsi="宋体" w:cs="宋体"/>
          <w:color w:val="auto"/>
          <w:szCs w:val="21"/>
          <w:highlight w:val="none"/>
        </w:rPr>
        <w:t>须知前附表规定的分包内容、分包金额和接受分包的第三人资质要求等限制条件。</w:t>
      </w:r>
    </w:p>
    <w:p>
      <w:pPr>
        <w:spacing w:line="200" w:lineRule="exact"/>
        <w:rPr>
          <w:rFonts w:ascii="宋体" w:hAnsi="宋体" w:cs="宋体"/>
          <w:color w:val="auto"/>
          <w:sz w:val="20"/>
          <w:szCs w:val="20"/>
          <w:highlight w:val="none"/>
        </w:rPr>
      </w:pPr>
    </w:p>
    <w:p>
      <w:pPr>
        <w:spacing w:line="304" w:lineRule="exact"/>
        <w:rPr>
          <w:rFonts w:ascii="宋体" w:hAnsi="宋体" w:cs="宋体"/>
          <w:color w:val="auto"/>
          <w:sz w:val="20"/>
          <w:szCs w:val="20"/>
          <w:highlight w:val="none"/>
        </w:rPr>
      </w:pPr>
    </w:p>
    <w:p>
      <w:pPr>
        <w:rPr>
          <w:rFonts w:ascii="宋体" w:hAnsi="宋体" w:cs="宋体"/>
          <w:color w:val="auto"/>
          <w:highlight w:val="none"/>
        </w:rPr>
        <w:sectPr>
          <w:pgSz w:w="11900" w:h="16838"/>
          <w:pgMar w:top="1440" w:right="1440" w:bottom="401" w:left="1440" w:header="567" w:footer="567" w:gutter="0"/>
          <w:cols w:equalWidth="0" w:num="1">
            <w:col w:w="9026"/>
          </w:cols>
        </w:sectPr>
      </w:pPr>
    </w:p>
    <w:p>
      <w:pPr>
        <w:spacing w:line="1" w:lineRule="exact"/>
        <w:rPr>
          <w:rFonts w:ascii="宋体" w:hAnsi="宋体" w:cs="宋体"/>
          <w:color w:val="auto"/>
          <w:sz w:val="20"/>
          <w:szCs w:val="20"/>
          <w:highlight w:val="none"/>
        </w:rPr>
      </w:pPr>
      <w:bookmarkStart w:id="17" w:name="page11"/>
      <w:bookmarkEnd w:id="17"/>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1.12、偏离</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响应文件应完全响应竞争性磋商文件规定的实质性内容和条件。</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1.13、其他</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1.13.1▲</w:t>
      </w:r>
      <w:r>
        <w:rPr>
          <w:rFonts w:hint="eastAsia" w:ascii="宋体" w:hAnsi="宋体" w:cs="宋体"/>
          <w:b/>
          <w:bCs/>
          <w:color w:val="auto"/>
          <w:szCs w:val="21"/>
          <w:highlight w:val="none"/>
          <w:u w:val="single"/>
        </w:rPr>
        <w:t>供应商的法定代表人作为磋商全权代表参加磋商的，供应商须在响应文件中提供《法定代表人资格证明书》；法定代表人授权供应商在职职工作为磋商全权代表参加磋商的，供应商须在响应文件中提供附有《法定代表人资格证明书》的《法定代表人授权书》。</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1.13.2▲</w:t>
      </w:r>
      <w:r>
        <w:rPr>
          <w:rFonts w:hint="eastAsia" w:ascii="宋体" w:hAnsi="宋体" w:cs="宋体"/>
          <w:b/>
          <w:bCs/>
          <w:color w:val="auto"/>
          <w:szCs w:val="21"/>
          <w:highlight w:val="none"/>
          <w:u w:val="single"/>
        </w:rPr>
        <w:t>供应商对所响应标项内的采购内容必须全部进行响应。</w:t>
      </w:r>
    </w:p>
    <w:p>
      <w:pPr>
        <w:pStyle w:val="53"/>
        <w:spacing w:line="360" w:lineRule="auto"/>
        <w:ind w:firstLine="420"/>
        <w:rPr>
          <w:rFonts w:ascii="宋体" w:hAnsi="宋体" w:cs="宋体"/>
          <w:bCs/>
          <w:color w:val="auto"/>
          <w:szCs w:val="21"/>
          <w:highlight w:val="none"/>
        </w:rPr>
      </w:pPr>
      <w:r>
        <w:rPr>
          <w:rFonts w:hint="eastAsia" w:ascii="宋体" w:hAnsi="宋体" w:cs="宋体"/>
          <w:color w:val="auto"/>
          <w:szCs w:val="21"/>
          <w:highlight w:val="none"/>
        </w:rPr>
        <w:t>1.13.3</w:t>
      </w:r>
      <w:r>
        <w:rPr>
          <w:rFonts w:hint="eastAsia" w:ascii="宋体" w:hAnsi="宋体" w:cs="宋体"/>
          <w:bCs/>
          <w:color w:val="auto"/>
          <w:szCs w:val="21"/>
          <w:highlight w:val="none"/>
        </w:rPr>
        <w:t>竞争性磋商文件中所涉及的产品品牌或型号均为建议性要求或为档次选择要求或为代替部分技术指标描述，供应商可以选择其他品牌型号的产品参加磋商但响应产品须具有相当于或优于竞争性磋商文件要求的指标、性能、档次。否则，磋商小组将对其作出不利的评审。</w:t>
      </w:r>
    </w:p>
    <w:p>
      <w:pPr>
        <w:pStyle w:val="53"/>
        <w:spacing w:line="360" w:lineRule="auto"/>
        <w:ind w:firstLine="420"/>
        <w:rPr>
          <w:rFonts w:ascii="宋体" w:hAnsi="宋体" w:cs="宋体"/>
          <w:bCs/>
          <w:color w:val="auto"/>
          <w:szCs w:val="21"/>
          <w:highlight w:val="none"/>
        </w:rPr>
      </w:pPr>
      <w:r>
        <w:rPr>
          <w:rFonts w:hint="eastAsia" w:ascii="宋体" w:hAnsi="宋体" w:cs="宋体"/>
          <w:bCs/>
          <w:color w:val="auto"/>
          <w:szCs w:val="21"/>
          <w:highlight w:val="none"/>
        </w:rPr>
        <w:t>1.13.4 竞争性磋商文件中如有描述歧义或前后不一致的地方，磋商小组有权按公平、合理的原则进行评判，但对同一条款的评判适用于每个供应商。</w:t>
      </w:r>
    </w:p>
    <w:p>
      <w:pPr>
        <w:pStyle w:val="53"/>
        <w:spacing w:line="360" w:lineRule="auto"/>
        <w:ind w:firstLine="420"/>
        <w:rPr>
          <w:rFonts w:ascii="宋体" w:hAnsi="宋体" w:cs="宋体"/>
          <w:color w:val="auto"/>
          <w:szCs w:val="21"/>
          <w:highlight w:val="none"/>
        </w:rPr>
      </w:pPr>
      <w:r>
        <w:rPr>
          <w:rFonts w:hint="eastAsia" w:ascii="宋体" w:hAnsi="宋体" w:cs="宋体"/>
          <w:bCs/>
          <w:color w:val="auto"/>
          <w:szCs w:val="21"/>
          <w:highlight w:val="none"/>
        </w:rPr>
        <w:t>1.13.5响应文件的响应内容必须真实、明确、准确。否则，磋商小组将对其作出不利的评审。</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bCs/>
          <w:color w:val="auto"/>
          <w:szCs w:val="21"/>
          <w:highlight w:val="none"/>
        </w:rPr>
        <w:t>13.6乙</w:t>
      </w:r>
      <w:r>
        <w:rPr>
          <w:rFonts w:hint="eastAsia" w:ascii="宋体" w:hAnsi="宋体" w:cs="宋体"/>
          <w:color w:val="auto"/>
          <w:szCs w:val="21"/>
          <w:highlight w:val="none"/>
        </w:rPr>
        <w:t>方为履行合同引起的相关人员的差旅费、食宿费以及其它不可预知的费用由乙方自理。合同实施过程中，须与甲方积极配合。</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1.13.7项目资金为财政性投资，资金已落实。</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1.13.8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adjustRightInd w:val="0"/>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 xml:space="preserve">1.13.9不同供应商之间存在以下利害关系并且存在影响政府采购公平竞争行为的，不得参加同一合同项下的政府采购活动，相关磋商响应供应商的投标均作无效处理： </w:t>
      </w:r>
    </w:p>
    <w:p>
      <w:pPr>
        <w:adjustRightInd w:val="0"/>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A.法定代表人或负责人或实际控制人是同一人；</w:t>
      </w:r>
    </w:p>
    <w:p>
      <w:pPr>
        <w:adjustRightInd w:val="0"/>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B.法定代表人或负责人或实际控制人是夫妻关系；</w:t>
      </w:r>
    </w:p>
    <w:p>
      <w:pPr>
        <w:adjustRightInd w:val="0"/>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C.法定代表人或负责人或实际控制人是直系血亲关系；</w:t>
      </w:r>
    </w:p>
    <w:p>
      <w:pPr>
        <w:adjustRightInd w:val="0"/>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D.法定代表人或负责人或实际控制人存在三代以内旁系血亲关系；</w:t>
      </w:r>
    </w:p>
    <w:p>
      <w:pPr>
        <w:adjustRightInd w:val="0"/>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E.法定代表人或负责人或实际控制人存在近姻亲关系；</w:t>
      </w:r>
    </w:p>
    <w:p>
      <w:pPr>
        <w:adjustRightInd w:val="0"/>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F.法定代表人或负责人或实际控制人存在股份控制或实际控制关系；</w:t>
      </w:r>
    </w:p>
    <w:p>
      <w:pPr>
        <w:adjustRightInd w:val="0"/>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G.存在共同直接或间接投资设立子公司、联营企业和合营企业情况；</w:t>
      </w:r>
    </w:p>
    <w:p>
      <w:pPr>
        <w:adjustRightInd w:val="0"/>
        <w:snapToGrid w:val="0"/>
        <w:spacing w:line="360" w:lineRule="auto"/>
        <w:ind w:firstLine="422" w:firstLineChars="200"/>
        <w:rPr>
          <w:rFonts w:ascii="宋体" w:hAnsi="宋体" w:cs="宋体"/>
          <w:b/>
          <w:color w:val="auto"/>
          <w:szCs w:val="21"/>
          <w:highlight w:val="none"/>
          <w:u w:val="single"/>
        </w:rPr>
      </w:pPr>
      <w:r>
        <w:rPr>
          <w:rFonts w:hint="eastAsia" w:ascii="宋体" w:hAnsi="宋体" w:cs="宋体"/>
          <w:b/>
          <w:bCs/>
          <w:color w:val="auto"/>
          <w:szCs w:val="21"/>
          <w:highlight w:val="none"/>
        </w:rPr>
        <w:t>H.存在分级代理或代销关系、同一生产制造商关系、管理关系、重要业务（占主营业务收入50%以上）或重要财务往来关系（如融资）等其他实质性控制关系。</w:t>
      </w:r>
    </w:p>
    <w:p>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1.13.10磋商所使用的资格、资信、业绩、企业认证等证明材料必须为供应商自身所拥有，不同法人、其他组织资料与供应商无关，评审时不作为该供应商的依据。</w:t>
      </w:r>
    </w:p>
    <w:p>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1.13.11提供相同品牌产品且通过资格审查、符合性审查的不同供应商参加同一合同项下投标的，按一家供应商计算，评审后得分最高的同品牌供应商获得供应商推荐资格；评审得分相同的，由磋商小组按照商务技术部分得分最高的供应商获得供应商推荐资格，其他同品牌供应商不作为中标候选人。</w:t>
      </w:r>
    </w:p>
    <w:p>
      <w:pPr>
        <w:spacing w:line="360" w:lineRule="auto"/>
        <w:ind w:firstLine="422" w:firstLineChars="200"/>
        <w:rPr>
          <w:rFonts w:ascii="宋体" w:hAnsi="宋体" w:cs="宋体"/>
          <w:b/>
          <w:bCs/>
          <w:color w:val="auto"/>
          <w:szCs w:val="21"/>
          <w:highlight w:val="none"/>
          <w:u w:val="single"/>
        </w:rPr>
      </w:pPr>
      <w:r>
        <w:rPr>
          <w:rFonts w:hint="eastAsia" w:ascii="宋体" w:hAnsi="宋体" w:cs="宋体"/>
          <w:b/>
          <w:color w:val="auto"/>
          <w:szCs w:val="21"/>
          <w:highlight w:val="none"/>
        </w:rPr>
        <w:t>非单一产品采购项目，采购人将根据采购项目技术构成、产品价格比重等合理确定核心产品，并在磋商文件中载明。多家供应商提供的核心产品品牌相同的，按前两款规定处理。</w:t>
      </w:r>
    </w:p>
    <w:p>
      <w:pPr>
        <w:spacing w:line="360" w:lineRule="auto"/>
        <w:ind w:firstLine="211" w:firstLineChars="100"/>
        <w:rPr>
          <w:rFonts w:ascii="宋体" w:hAnsi="宋体" w:cs="宋体"/>
          <w:b/>
          <w:bCs/>
          <w:color w:val="auto"/>
          <w:szCs w:val="21"/>
          <w:highlight w:val="none"/>
          <w:u w:val="single"/>
        </w:rPr>
      </w:pPr>
      <w:r>
        <w:rPr>
          <w:rFonts w:hint="eastAsia" w:ascii="宋体" w:hAnsi="宋体" w:cs="宋体"/>
          <w:b/>
          <w:bCs/>
          <w:color w:val="auto"/>
          <w:szCs w:val="21"/>
          <w:highlight w:val="none"/>
          <w:u w:val="single"/>
        </w:rPr>
        <w:t>“▲”系指实质性要求条款，磋商响应供应商必须做出实质性响应，不满足则按无效标处理。</w:t>
      </w:r>
    </w:p>
    <w:p>
      <w:pPr>
        <w:spacing w:line="360" w:lineRule="auto"/>
        <w:ind w:firstLine="211" w:firstLineChars="100"/>
        <w:rPr>
          <w:rFonts w:ascii="宋体" w:hAnsi="宋体" w:cs="宋体"/>
          <w:b/>
          <w:bCs/>
          <w:color w:val="auto"/>
          <w:szCs w:val="21"/>
          <w:highlight w:val="none"/>
        </w:rPr>
      </w:pPr>
      <w:r>
        <w:rPr>
          <w:rFonts w:hint="eastAsia" w:ascii="宋体" w:hAnsi="宋体" w:cs="宋体"/>
          <w:b/>
          <w:bCs/>
          <w:color w:val="auto"/>
          <w:szCs w:val="21"/>
          <w:highlight w:val="none"/>
          <w:u w:val="single"/>
        </w:rPr>
        <w:t>“★”系指重要条款，磋商响应供应商应满足或者优于指标要求，否则按照负偏离计算。</w:t>
      </w:r>
    </w:p>
    <w:p>
      <w:pPr>
        <w:spacing w:line="360" w:lineRule="auto"/>
        <w:ind w:firstLine="422" w:firstLineChars="200"/>
        <w:outlineLvl w:val="1"/>
        <w:rPr>
          <w:rFonts w:ascii="宋体" w:hAnsi="宋体" w:cs="宋体"/>
          <w:color w:val="auto"/>
          <w:sz w:val="20"/>
          <w:szCs w:val="20"/>
          <w:highlight w:val="none"/>
        </w:rPr>
      </w:pPr>
      <w:bookmarkStart w:id="18" w:name="_Toc11507_WPSOffice_Level2"/>
      <w:bookmarkStart w:id="19" w:name="_Toc29859_WPSOffice_Level2"/>
      <w:bookmarkStart w:id="20" w:name="_Toc7892"/>
      <w:r>
        <w:rPr>
          <w:rFonts w:hint="eastAsia" w:ascii="宋体" w:hAnsi="宋体" w:cs="宋体"/>
          <w:b/>
          <w:bCs/>
          <w:color w:val="auto"/>
          <w:szCs w:val="21"/>
          <w:highlight w:val="none"/>
        </w:rPr>
        <w:t>二、竞争性磋商文件</w:t>
      </w:r>
      <w:bookmarkEnd w:id="18"/>
      <w:bookmarkEnd w:id="19"/>
      <w:bookmarkEnd w:id="20"/>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2.1、竞争性磋商文件组成</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2.1.1 第一章 竞争性磋商公告</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2.1.2 第二章 供应商须知前附表</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2.1.3 第三章 供应商须知</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2.1.4 第四章 采购内容及技术要求</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2.1.5 第五章 合同</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2.1.6 第六章 响应文件格式</w:t>
      </w:r>
    </w:p>
    <w:p>
      <w:pPr>
        <w:spacing w:line="1" w:lineRule="exact"/>
        <w:rPr>
          <w:rFonts w:ascii="宋体" w:hAnsi="宋体" w:cs="宋体"/>
          <w:color w:val="auto"/>
          <w:sz w:val="20"/>
          <w:szCs w:val="20"/>
          <w:highlight w:val="none"/>
        </w:rPr>
      </w:pPr>
      <w:bookmarkStart w:id="21" w:name="page12"/>
      <w:bookmarkEnd w:id="21"/>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2.1.7 第七章 评审办法</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2.1.8 补充文件（如有）</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2.2、竞争性磋商文件的解释权</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竞争性磋商文件的解释权归采购人和采购代理机构所有。</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2.3、竞争性磋商文件的质疑</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2.3.1 供应商认为竞争性磋商文件规定内容使自己的合法权益受到损害的，供应商可以提出书面质疑。</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2.3.2 质疑书须包括以下内容：</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（一）质疑人的名称、地址、邮政编码、联系人、联系电话；</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（二）被质疑采购项目名称、编号及采购内容；</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（三）具体的质疑事项及事实依据；</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（四）认为自己合法权益受到损害或可能受到损害的相关证据材料；</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（五）提出质疑的日期。</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2.3.3 质疑期限自供应商获得竞争性磋商文件之日起 3 个工作日内且在响应文件递交截止时间前向采购代理机构提出。</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2.3.4 质疑书中涉及的相关材料中有外文资料的，应当将与质疑相关的外文资料完整、客观、真实地翻译为中文，并注明翻译人员姓名、工作单位、联系方式等信息。</w:t>
      </w:r>
    </w:p>
    <w:p>
      <w:pPr>
        <w:spacing w:line="360" w:lineRule="auto"/>
        <w:ind w:firstLine="400" w:firstLineChars="200"/>
        <w:rPr>
          <w:rFonts w:ascii="宋体" w:hAnsi="宋体" w:cs="宋体"/>
          <w:color w:val="auto"/>
          <w:sz w:val="20"/>
          <w:szCs w:val="20"/>
          <w:highlight w:val="none"/>
        </w:rPr>
      </w:pPr>
      <w:r>
        <w:rPr>
          <w:rFonts w:hint="eastAsia" w:ascii="宋体" w:hAnsi="宋体" w:cs="宋体"/>
          <w:color w:val="auto"/>
          <w:sz w:val="20"/>
          <w:szCs w:val="20"/>
          <w:highlight w:val="none"/>
        </w:rPr>
        <w:t xml:space="preserve">2.3.5 </w:t>
      </w:r>
      <w:r>
        <w:rPr>
          <w:rFonts w:hint="eastAsia" w:ascii="宋体" w:hAnsi="宋体" w:cs="宋体"/>
          <w:color w:val="auto"/>
          <w:szCs w:val="21"/>
          <w:highlight w:val="none"/>
        </w:rPr>
        <w:t>质疑书必须署名，由法定代表人签字（或盖章）并加盖单位公章，否则不予受理。</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2.3.6 质疑书以直接提交、传真或邮寄方式提交（一式三份）。</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2.3.7 质疑书以传真形式提交后，同时须向采购代理机构提交质疑书原件，实际收到原件之日作为收到质疑的日期。</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2.4、竞争性磋商文件的澄清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 供应商对竞争性磋商文件如有疑问要求澄清，或认为有必要与采购代理机构进行技术交流，供应商需将书面资料在“供应商须知前附表”规定询疑截止时间前传真或送达至采购代理机构，同时将电子文件发至供应商须知前附表注明的邮箱（电子邮件与书面文件有不一致的，以书面文件为准），并与采购代理机构进行确认。采购代理机构有权对询疑截止时间后的收到疑问将不予受理、答复。</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2.4.2 供应商要求澄清的资料应加盖单位公章、写明日期。</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2.4.3 如有必要，采购代理机构和采购人对供应商所有要求澄清的问题都予以解答，澄清答复的文件为补充文件，作为竞争性磋商文件的组成部分，补充文件将以传真、网上公告等形式告知所有购买竞争性磋商文件的供应商，补充文件对供应商均有约束力。</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2.4.4 补充文件发出后，采购人原则上不改变竞争性磋商文件规定的响应文件递交截止时间及开标时间。供应商如认为补充文件内容影响响应文件编制，须延长响应文件递交截止时间的，必须在收到补充文件后 24 小时内将意见和理由以书面形式向采购代理机构提出，否则，采购代理机构视供应商完全接受并有足够的时间编制响应文件且按规定时间进行磋商。</w:t>
      </w:r>
    </w:p>
    <w:p>
      <w:pPr>
        <w:spacing w:line="360" w:lineRule="auto"/>
        <w:ind w:firstLine="420" w:firstLineChars="200"/>
        <w:rPr>
          <w:rFonts w:ascii="宋体" w:hAnsi="宋体" w:cs="宋体"/>
          <w:color w:val="auto"/>
          <w:sz w:val="20"/>
          <w:szCs w:val="20"/>
          <w:highlight w:val="none"/>
        </w:rPr>
      </w:pPr>
      <w:bookmarkStart w:id="22" w:name="page13"/>
      <w:bookmarkEnd w:id="22"/>
      <w:r>
        <w:rPr>
          <w:rFonts w:hint="eastAsia" w:ascii="宋体" w:hAnsi="宋体" w:cs="宋体"/>
          <w:color w:val="auto"/>
          <w:szCs w:val="21"/>
          <w:highlight w:val="none"/>
        </w:rPr>
        <w:t>2.4.5 供应商在收到补充文件后，应在 24 小时内以书面形式向采购代理机构确认已收到该补充文件。</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2.4.6 供应商在竞争性磋商文件规定的询疑截止时间前内未对竞争性磋商文件提出疑问的，采购代理机构将视其为无异议。</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2.4.7 当竞争性磋商文件与补充文件就同一内容的表述不一致时，以最后发出的书面文件为准。</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2.5、竞争性磋商文件的修改</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2.5.1 在响应文件提交的截止时间前，由于各种原因采购人可能以补充文件的形式修改完善竞争性磋商文件。</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2.5.2 补充文件作为竞争性磋商文件组成部分，补充文件将以传真、网上公告等形式告知所有购买竞争性磋商文件的供应商，补充文件对供应商均有约束力。</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2.5.3 补充文件发出后，采购人原则上不改变本文件规定的响应文件递交截止时间及开启时间。供应商如认为补充文件内容影响响应文件编制，须延长响应文件递交截止时间的，必须在收到补充文件后 24 小时内将意见和理由以书面形式向采购代理机构提出，否则，采购代理机构视供应商完全接受并有足够的时间编制响应文件且按规定时间进行磋商。</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2.5.4 供应商在收到补充文件后，应在 24 小时内以书面形式向采购代理机构确认已收到该补充文件。</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2.5.5 供应商收到补充文件后，对补充文件如有疑问要求澄清，应在 24 小时内将书面</w:t>
      </w:r>
      <w:r>
        <w:rPr>
          <w:rFonts w:hint="eastAsia" w:ascii="宋体" w:hAnsi="宋体" w:cs="宋体"/>
          <w:color w:val="auto"/>
          <w:sz w:val="20"/>
          <w:szCs w:val="20"/>
          <w:highlight w:val="none"/>
        </w:rPr>
        <w:t>资料传</w:t>
      </w:r>
      <w:r>
        <w:rPr>
          <w:rFonts w:hint="eastAsia" w:ascii="宋体" w:hAnsi="宋体" w:cs="宋体"/>
          <w:color w:val="auto"/>
          <w:szCs w:val="21"/>
          <w:highlight w:val="none"/>
        </w:rPr>
        <w:t>真或送达至采购代理机构，同时将电子文件发至供应商须知前附表注明的邮箱（</w:t>
      </w:r>
      <w:r>
        <w:rPr>
          <w:rFonts w:hint="eastAsia" w:ascii="宋体" w:hAnsi="宋体" w:cs="宋体"/>
          <w:color w:val="auto"/>
          <w:sz w:val="20"/>
          <w:szCs w:val="20"/>
          <w:highlight w:val="none"/>
        </w:rPr>
        <w:t>电子</w:t>
      </w:r>
      <w:r>
        <w:rPr>
          <w:rFonts w:hint="eastAsia" w:ascii="宋体" w:hAnsi="宋体" w:cs="宋体"/>
          <w:color w:val="auto"/>
          <w:szCs w:val="21"/>
          <w:highlight w:val="none"/>
        </w:rPr>
        <w:t>邮件与书面文件有不一致的，以书面文件为准），并与采购代理机构进行确认。</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2.5.6 供应商要求澄清的资料应加盖单位公章、写明日期。</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2.5.7 对补充文件的澄清答复按 2.4 款规定。</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2.5.8 当竞争性磋商文件与补充文件就同一内容的表述不一致时，以最后发出的书面文件为准。</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2.5.9 任何口头答复均不属于竞争性磋商文件的组成部分。</w:t>
      </w:r>
    </w:p>
    <w:p>
      <w:pPr>
        <w:spacing w:line="360" w:lineRule="auto"/>
        <w:ind w:firstLine="422" w:firstLineChars="200"/>
        <w:outlineLvl w:val="1"/>
        <w:rPr>
          <w:rFonts w:ascii="宋体" w:hAnsi="宋体" w:cs="宋体"/>
          <w:color w:val="auto"/>
          <w:sz w:val="20"/>
          <w:szCs w:val="20"/>
          <w:highlight w:val="none"/>
        </w:rPr>
      </w:pPr>
      <w:bookmarkStart w:id="23" w:name="_Toc3166_WPSOffice_Level2"/>
      <w:bookmarkStart w:id="24" w:name="_Toc27277_WPSOffice_Level2"/>
      <w:bookmarkStart w:id="25" w:name="_Toc13792"/>
      <w:r>
        <w:rPr>
          <w:rFonts w:hint="eastAsia" w:ascii="宋体" w:hAnsi="宋体" w:cs="宋体"/>
          <w:b/>
          <w:bCs/>
          <w:color w:val="auto"/>
          <w:szCs w:val="21"/>
          <w:highlight w:val="none"/>
        </w:rPr>
        <w:t>三、响应文件</w:t>
      </w:r>
      <w:bookmarkEnd w:id="23"/>
      <w:bookmarkEnd w:id="24"/>
      <w:bookmarkEnd w:id="25"/>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3.1、响应文件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3.1.1响应文件的形式：详见供应商须知前附表要求。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3.1.2供应商应仔细阅读竞争性磋商文件规定的所有内容，以保证能全面准确理解竞争性磋商文件，并按照竞争性磋商文件要求，详细编制响应文件，响应文件内容必须针对本次磋商响应。</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3.1.3供应商必须按竞争性磋商文件的要求提供相关资料，并对竞争性磋商文件中提出的所有内容要求给予实质性响应，须保证响应文件的准确、真实、明确。响应文件响应内容对竞争性磋商文件要求如有偏离均应填写偏离表，如不填写，采购人有权视作响应文件完全响应竞争性磋商文件要求。</w:t>
      </w:r>
    </w:p>
    <w:p>
      <w:pPr>
        <w:spacing w:line="360" w:lineRule="auto"/>
        <w:ind w:firstLine="422" w:firstLineChars="200"/>
        <w:rPr>
          <w:rFonts w:ascii="宋体" w:hAnsi="宋体" w:cs="宋体"/>
          <w:color w:val="auto"/>
          <w:sz w:val="20"/>
          <w:szCs w:val="20"/>
          <w:highlight w:val="none"/>
        </w:rPr>
      </w:pPr>
      <w:r>
        <w:rPr>
          <w:rFonts w:hint="eastAsia" w:ascii="宋体" w:hAnsi="宋体" w:cs="宋体"/>
          <w:b/>
          <w:bCs/>
          <w:color w:val="auto"/>
          <w:szCs w:val="21"/>
          <w:highlight w:val="none"/>
        </w:rPr>
        <w:t>3.2、响应文件组成</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3.2.1 响应文件报价文件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 报价函；</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 初次报价一览表；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 工程量清单报价</w:t>
      </w:r>
      <w:bookmarkStart w:id="26" w:name="page14"/>
      <w:bookmarkEnd w:id="26"/>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 中小企业（监狱）声明函及其相关的充分的证明材料、残疾人福利性单位声明函。</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3.2.2 响应文件商务、技术文件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商务文件：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（1）法定代表人资格证明书或附有法定代表人资格证明书的法定代表人授权书；</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（2）资格审查资料；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（3）供应商声明函；</w:t>
      </w:r>
    </w:p>
    <w:p>
      <w:pPr>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（4）公司基本情况介绍；</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（5）供应商类似工程业绩；</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技术文件：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（1）施工方案；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（2）质量保证措施；（根据评分表要求制作、格式自拟）</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（3）拟投入的主要施工机械设备情况、主要施工机械计划；</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（4）工期承诺、进度控制措施及施工质量控制措施；</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（5）投入本项目的工程技术管理人员的专业配置情况；附表三、附表四、附表五</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（6）关键工序、复杂环节的相应技术措施；</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（7）安全文明施工保证措施；</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（8）材料设备进场计划及施工计划情况；</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（9）应急处置方案及售后服务；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（10）主要材料品牌表；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（11）供应商认为需要提供的资料。</w:t>
      </w:r>
    </w:p>
    <w:p>
      <w:pPr>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采用文字表述外可附下列图表，图表及格式要求附后，没有图表的可格式自拟。</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附表一  拟投入的主要施工设备表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附表二  拟配备的试验和检测仪器设备表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附表三  项目管理班子配备情况表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附表四、项目经理简历表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附表五、技术负责人简历表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附表六、劳动力计划表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附表七、计划开、竣工日期和施工进度网络图或横道图</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3.3、响应文件的编制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3.3.1供应商应先安装“政采云电子交易客户端”，并按照磋商文件中规定的 “响应文件格式”中提供的格式和“政府采购云平台”的要求，通过“政采云电子交易客户端”编制并加密响应文件。其中《商务技术文件》中不得出现本项目投标报价，如因供应商原因提前泄露投标报价，是供应商的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3.3.2响应文件应当对磋商文件规定的内容进行明确，对磋商文件规定的实质性内容应当作出响应。</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3.3.3响应文件由供应商的法定代表人或其委托代理人签字（或盖章）、盖单位公章。响应文件应尽量避免涂改、行间插字或删除，如果出现上述情况，改动之处应加盖单位公章或由响应文件签署人签字（或盖章）确认。签字或盖章的具体要求见“供应商须知前附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3.3.4响应文件份数要求详见“供应商须知前附表”。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3.3.5响应文件应编制目录，供应商没有按照本章3.2款的要求提供全部资料，或者没有仔细阅读磋商文件，或者没有对磋商文件在各方面的要求作出实质性响应是供应商的风险，由此造成的一切后果由供应商自行承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3.3.6由于字迹模糊或表达不清引起的后果由供应商负责。</w:t>
      </w:r>
    </w:p>
    <w:p>
      <w:pPr>
        <w:pStyle w:val="53"/>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3.4、磋商报价</w:t>
      </w:r>
    </w:p>
    <w:p>
      <w:pPr>
        <w:pStyle w:val="53"/>
        <w:spacing w:line="360" w:lineRule="auto"/>
        <w:ind w:firstLine="420"/>
        <w:rPr>
          <w:rFonts w:ascii="宋体" w:hAnsi="宋体" w:cs="宋体"/>
          <w:color w:val="auto"/>
          <w:szCs w:val="21"/>
          <w:highlight w:val="none"/>
          <w:u w:val="thick"/>
        </w:rPr>
      </w:pPr>
      <w:r>
        <w:rPr>
          <w:rFonts w:hint="eastAsia" w:ascii="宋体" w:hAnsi="宋体" w:cs="宋体"/>
          <w:color w:val="auto"/>
          <w:szCs w:val="21"/>
          <w:highlight w:val="none"/>
        </w:rPr>
        <w:t>3.4.1 ▲</w:t>
      </w:r>
      <w:r>
        <w:rPr>
          <w:rFonts w:hint="eastAsia" w:ascii="宋体" w:hAnsi="宋体" w:cs="宋体"/>
          <w:b/>
          <w:color w:val="auto"/>
          <w:szCs w:val="21"/>
          <w:highlight w:val="none"/>
          <w:u w:val="thick"/>
        </w:rPr>
        <w:t>本次磋商报价为含税人民币价</w:t>
      </w:r>
      <w:r>
        <w:rPr>
          <w:rFonts w:hint="eastAsia" w:ascii="宋体" w:hAnsi="宋体" w:cs="宋体"/>
          <w:color w:val="auto"/>
          <w:szCs w:val="21"/>
          <w:highlight w:val="none"/>
          <w:u w:val="thick"/>
        </w:rPr>
        <w:t>。</w:t>
      </w:r>
    </w:p>
    <w:p>
      <w:pPr>
        <w:pStyle w:val="53"/>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3.4.2 磋商报价</w:t>
      </w:r>
      <w:r>
        <w:rPr>
          <w:rFonts w:hint="eastAsia" w:ascii="宋体" w:hAnsi="宋体" w:cs="宋体"/>
          <w:snapToGrid w:val="0"/>
          <w:color w:val="auto"/>
          <w:szCs w:val="21"/>
          <w:highlight w:val="none"/>
        </w:rPr>
        <w:t>投标报价以人民币为结算币种，</w:t>
      </w:r>
      <w:r>
        <w:rPr>
          <w:rFonts w:hint="eastAsia" w:ascii="宋体" w:hAnsi="宋体" w:cs="宋体"/>
          <w:color w:val="auto"/>
          <w:szCs w:val="21"/>
          <w:highlight w:val="none"/>
        </w:rPr>
        <w:t>投标报价包括完成所有产品供货及履行所有规定服务所产生的全部费用及采购代理服务费。产品及服务须达到竞争性磋商文件规定的质量标准及使用要求。</w:t>
      </w:r>
    </w:p>
    <w:p>
      <w:pPr>
        <w:pStyle w:val="53"/>
        <w:spacing w:line="360" w:lineRule="auto"/>
        <w:ind w:firstLine="420"/>
        <w:rPr>
          <w:rFonts w:ascii="宋体" w:hAnsi="宋体" w:cs="宋体"/>
          <w:b/>
          <w:bCs/>
          <w:color w:val="auto"/>
          <w:szCs w:val="21"/>
          <w:highlight w:val="none"/>
          <w:u w:val="thick"/>
        </w:rPr>
      </w:pPr>
      <w:r>
        <w:rPr>
          <w:rFonts w:hint="eastAsia" w:ascii="宋体" w:hAnsi="宋体" w:cs="宋体"/>
          <w:color w:val="auto"/>
          <w:szCs w:val="21"/>
          <w:highlight w:val="none"/>
        </w:rPr>
        <w:t>3.4.3 ▲</w:t>
      </w:r>
      <w:r>
        <w:rPr>
          <w:rFonts w:hint="eastAsia" w:ascii="宋体" w:hAnsi="宋体" w:cs="宋体"/>
          <w:b/>
          <w:color w:val="auto"/>
          <w:szCs w:val="21"/>
          <w:highlight w:val="none"/>
          <w:u w:val="thick"/>
        </w:rPr>
        <w:t>所投标项最后一轮报价只允许有一个报价，不接受有选择报价的响应文件。</w:t>
      </w:r>
    </w:p>
    <w:p>
      <w:pPr>
        <w:pStyle w:val="53"/>
        <w:spacing w:line="360" w:lineRule="auto"/>
        <w:ind w:firstLine="420"/>
        <w:rPr>
          <w:rFonts w:ascii="宋体" w:hAnsi="宋体" w:cs="宋体"/>
          <w:b/>
          <w:color w:val="auto"/>
          <w:szCs w:val="21"/>
          <w:highlight w:val="none"/>
        </w:rPr>
      </w:pPr>
      <w:r>
        <w:rPr>
          <w:rFonts w:hint="eastAsia" w:ascii="宋体" w:hAnsi="宋体" w:cs="宋体"/>
          <w:color w:val="auto"/>
          <w:szCs w:val="21"/>
          <w:highlight w:val="none"/>
        </w:rPr>
        <w:t>3.5、</w:t>
      </w:r>
      <w:r>
        <w:rPr>
          <w:rFonts w:hint="eastAsia" w:ascii="宋体" w:hAnsi="宋体" w:cs="宋体"/>
          <w:b/>
          <w:color w:val="auto"/>
          <w:szCs w:val="21"/>
          <w:highlight w:val="none"/>
        </w:rPr>
        <w:t>供应商部分不良行为的处理</w:t>
      </w:r>
    </w:p>
    <w:p>
      <w:pPr>
        <w:pStyle w:val="53"/>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3.5.1投标截止时间后，在投标有效期内，供应商不能撤销响应文件。供应商强行撤销响应文件的，应按采购预算金额的2%赔偿对采购组织机构造成损失。</w:t>
      </w:r>
    </w:p>
    <w:p>
      <w:pPr>
        <w:pStyle w:val="53"/>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3.5.2中标或者成交后，供应商拒绝签订合同的，采购人可以按照评审报告推荐的中标或者成交候选人名单排序，确定下一候选人为中标或者成交供应商，也可以重新开展政府采购活动。供应商中标或者成交后拒绝签订合同的，应按采购预算金额的2%对采购人进行赔偿；赔偿金额不足以弥补采购人损失的，供应商应继续承担超过部分的损失。</w:t>
      </w:r>
    </w:p>
    <w:p>
      <w:pPr>
        <w:pStyle w:val="53"/>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3.5.3存在下列行为的，采购代理机构将其失信行为上报政府采购主管部门，由主管部门按有关规定对其违法失信行为记录进行公开：</w:t>
      </w:r>
    </w:p>
    <w:p>
      <w:pPr>
        <w:pStyle w:val="53"/>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1）中标或者成交后，拒绝签订政府采购合同的；</w:t>
      </w:r>
    </w:p>
    <w:p>
      <w:pPr>
        <w:pStyle w:val="53"/>
        <w:spacing w:line="360" w:lineRule="auto"/>
        <w:ind w:firstLine="420" w:firstLineChars="0"/>
        <w:rPr>
          <w:rFonts w:ascii="宋体" w:hAnsi="宋体" w:cs="宋体"/>
          <w:color w:val="auto"/>
          <w:szCs w:val="21"/>
          <w:highlight w:val="none"/>
        </w:rPr>
      </w:pPr>
      <w:r>
        <w:rPr>
          <w:rFonts w:hint="eastAsia" w:ascii="宋体" w:hAnsi="宋体" w:cs="宋体"/>
          <w:color w:val="auto"/>
          <w:szCs w:val="21"/>
          <w:highlight w:val="none"/>
        </w:rPr>
        <w:t>2）投标有效期内撤销响应文件的。</w:t>
      </w:r>
    </w:p>
    <w:p>
      <w:pPr>
        <w:pStyle w:val="53"/>
        <w:spacing w:line="360" w:lineRule="auto"/>
        <w:ind w:firstLine="420" w:firstLineChars="0"/>
        <w:rPr>
          <w:rFonts w:ascii="宋体" w:hAnsi="宋体" w:cs="宋体"/>
          <w:color w:val="auto"/>
          <w:szCs w:val="21"/>
          <w:highlight w:val="none"/>
        </w:rPr>
      </w:pPr>
      <w:r>
        <w:rPr>
          <w:rFonts w:hint="eastAsia" w:ascii="宋体" w:hAnsi="宋体" w:cs="宋体"/>
          <w:color w:val="auto"/>
          <w:szCs w:val="21"/>
          <w:highlight w:val="none"/>
        </w:rPr>
        <w:t>3.6、响应文件有效期</w:t>
      </w:r>
    </w:p>
    <w:p>
      <w:pPr>
        <w:pStyle w:val="53"/>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3.6.1 响应文件有效期按“供应商须知前附表”规定，响应文件应在该有效期内保持有效。合同签订后，响应文件作为合同附件，响应文件有效期同合同有效期。</w:t>
      </w:r>
    </w:p>
    <w:p>
      <w:pPr>
        <w:pStyle w:val="53"/>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3.6.2 在特殊情况下，采购人可与供应商协商延长响应文件有效期，这种要求和答复均应以网上公告或书面形式进行。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3.6.3 供应商可拒绝接受延期要求。同意延长有效期的供应商不能修改响应文件。</w:t>
      </w:r>
    </w:p>
    <w:p>
      <w:pPr>
        <w:spacing w:line="360" w:lineRule="auto"/>
        <w:ind w:firstLine="422" w:firstLineChars="200"/>
        <w:outlineLvl w:val="1"/>
        <w:rPr>
          <w:rFonts w:ascii="宋体" w:hAnsi="宋体" w:cs="宋体"/>
          <w:color w:val="auto"/>
          <w:szCs w:val="21"/>
          <w:highlight w:val="none"/>
        </w:rPr>
      </w:pPr>
      <w:bookmarkStart w:id="27" w:name="_Toc30544"/>
      <w:bookmarkStart w:id="28" w:name="_Toc18155_WPSOffice_Level2"/>
      <w:bookmarkStart w:id="29" w:name="_Toc10590_WPSOffice_Level2"/>
      <w:r>
        <w:rPr>
          <w:rFonts w:hint="eastAsia" w:ascii="宋体" w:hAnsi="宋体" w:cs="宋体"/>
          <w:b/>
          <w:bCs/>
          <w:color w:val="auto"/>
          <w:szCs w:val="21"/>
          <w:highlight w:val="none"/>
        </w:rPr>
        <w:t>四、磋商响应</w:t>
      </w:r>
      <w:bookmarkEnd w:id="27"/>
      <w:bookmarkEnd w:id="28"/>
      <w:bookmarkEnd w:id="29"/>
    </w:p>
    <w:p>
      <w:pPr>
        <w:pStyle w:val="53"/>
        <w:spacing w:line="360" w:lineRule="auto"/>
        <w:ind w:firstLine="422"/>
        <w:rPr>
          <w:rFonts w:ascii="宋体" w:hAnsi="宋体" w:cs="宋体"/>
          <w:color w:val="auto"/>
          <w:szCs w:val="21"/>
          <w:highlight w:val="none"/>
          <w:lang w:bidi="ar"/>
        </w:rPr>
      </w:pPr>
      <w:r>
        <w:rPr>
          <w:rFonts w:hint="eastAsia" w:ascii="宋体" w:hAnsi="宋体" w:cs="宋体"/>
          <w:b/>
          <w:color w:val="auto"/>
          <w:szCs w:val="21"/>
          <w:highlight w:val="none"/>
        </w:rPr>
        <w:t>4.1、“电子加密响应文件”的上传、递交时间及地点：</w:t>
      </w:r>
    </w:p>
    <w:p>
      <w:pPr>
        <w:pStyle w:val="53"/>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b/>
          <w:bCs/>
          <w:color w:val="auto"/>
          <w:szCs w:val="21"/>
          <w:highlight w:val="none"/>
        </w:rPr>
        <w:t>1</w:t>
      </w:r>
      <w:r>
        <w:rPr>
          <w:rFonts w:hint="eastAsia" w:ascii="宋体" w:hAnsi="宋体" w:cs="宋体"/>
          <w:color w:val="auto"/>
          <w:szCs w:val="21"/>
          <w:highlight w:val="none"/>
        </w:rPr>
        <w:t>.1</w:t>
      </w:r>
      <w:r>
        <w:rPr>
          <w:rFonts w:hint="eastAsia" w:ascii="宋体" w:hAnsi="宋体" w:cs="宋体"/>
          <w:b/>
          <w:color w:val="auto"/>
          <w:szCs w:val="21"/>
          <w:highlight w:val="none"/>
        </w:rPr>
        <w:t>磋商响应供应商应在投标截止时间前将“电子加密响应文件”成功上传递交至“政府采购云平台”，否则投标无效。</w:t>
      </w:r>
    </w:p>
    <w:p>
      <w:pPr>
        <w:pStyle w:val="53"/>
        <w:spacing w:line="360" w:lineRule="auto"/>
        <w:ind w:firstLine="420"/>
        <w:rPr>
          <w:rFonts w:ascii="宋体" w:hAnsi="宋体" w:cs="宋体"/>
          <w:b/>
          <w:color w:val="auto"/>
          <w:szCs w:val="21"/>
          <w:highlight w:val="none"/>
        </w:rPr>
      </w:pPr>
      <w:r>
        <w:rPr>
          <w:rFonts w:hint="eastAsia" w:ascii="宋体" w:hAnsi="宋体" w:cs="宋体"/>
          <w:color w:val="auto"/>
          <w:szCs w:val="21"/>
          <w:highlight w:val="none"/>
        </w:rPr>
        <w:t>4.</w:t>
      </w:r>
      <w:r>
        <w:rPr>
          <w:rFonts w:hint="eastAsia" w:ascii="宋体" w:hAnsi="宋体" w:cs="宋体"/>
          <w:b/>
          <w:bCs/>
          <w:color w:val="auto"/>
          <w:szCs w:val="21"/>
          <w:highlight w:val="none"/>
        </w:rPr>
        <w:t>1</w:t>
      </w:r>
      <w:r>
        <w:rPr>
          <w:rFonts w:hint="eastAsia" w:ascii="宋体" w:hAnsi="宋体" w:cs="宋体"/>
          <w:b/>
          <w:color w:val="auto"/>
          <w:szCs w:val="21"/>
          <w:highlight w:val="none"/>
        </w:rPr>
        <w:t>.2“电子加密响应文件”成功上传递交后，供应商可自行打印响应文件接收回执。</w:t>
      </w:r>
    </w:p>
    <w:p>
      <w:pPr>
        <w:pStyle w:val="53"/>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4.2、“备份响应文件”的密封包装、递交：</w:t>
      </w:r>
    </w:p>
    <w:p>
      <w:pPr>
        <w:pStyle w:val="53"/>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4.2.1磋商响应供应商在“政府采购云平台”完成“电子加密响应文件”的上传递交后，还可以（EMS邮寄形式）在投标截止时间前递交以介质（U盘）存储的 “备份响应文件”（一份）；</w:t>
      </w:r>
    </w:p>
    <w:p>
      <w:pPr>
        <w:pStyle w:val="53"/>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4.2.2“备份响应文件”应当密封包装，并在包装上标注投标项目名称、投标单位名称并加盖公章。没有密封包装或者逾期邮寄送达至投标地点的“备份响应文件”将不予接收；</w:t>
      </w:r>
    </w:p>
    <w:p>
      <w:pPr>
        <w:pStyle w:val="53"/>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4.2.3通过“政府采购云平台”成功上传递交的“电子加密响应文件”已按时解密的，“备份响应文件”自动失效。投标截止时间前，磋商响应供应商仅递交了“备份响应文件”而未将“电子加密响应文件”成功上传至“政府采购云平台”的，投标无效。</w:t>
      </w:r>
    </w:p>
    <w:p>
      <w:pPr>
        <w:pStyle w:val="53"/>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4.2.4采购人如因故推迟响应文件递交截止时间，应以更正公告形式通知所有供应商。在这种情况下，采购人和供应商的权利和义务将受到新的响应文件提交的截止时间的约束。</w:t>
      </w:r>
    </w:p>
    <w:p>
      <w:pPr>
        <w:pStyle w:val="53"/>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4.3、响应文件的修改和撤回</w:t>
      </w:r>
    </w:p>
    <w:p>
      <w:pPr>
        <w:pStyle w:val="53"/>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4.3.1供应商在网上递交递交响应文件以后如必须修改或撤回响应文件，必须在响应文件提交的截止时间以前在网上撤回响应文件，修改并重新递交电子响应文件，如已递交备份响应文件的，应同时将撤标通知邮寄到达或送达采购代理机构，并同时重新邮寄备份响应文件。</w:t>
      </w:r>
      <w:r>
        <w:rPr>
          <w:rFonts w:hint="eastAsia" w:ascii="宋体" w:hAnsi="宋体" w:cs="宋体"/>
          <w:b/>
          <w:color w:val="auto"/>
          <w:szCs w:val="21"/>
          <w:highlight w:val="none"/>
        </w:rPr>
        <w:t>投标截止时间后，供应商不得撤回、修改《响应文件》。</w:t>
      </w:r>
    </w:p>
    <w:p>
      <w:pPr>
        <w:pStyle w:val="53"/>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4.4备选磋商方案</w:t>
      </w:r>
    </w:p>
    <w:p>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供应商不得提交备选响应方案，否则，响应文件将被判定为无效标。与“电子加密响应文件”同时生成的“备份响应文件”不是投标备选（替代）方案。</w:t>
      </w:r>
    </w:p>
    <w:p>
      <w:pPr>
        <w:spacing w:line="168" w:lineRule="exact"/>
        <w:rPr>
          <w:rFonts w:ascii="宋体" w:hAnsi="宋体" w:cs="宋体"/>
          <w:color w:val="auto"/>
          <w:szCs w:val="21"/>
          <w:highlight w:val="none"/>
        </w:rPr>
      </w:pPr>
    </w:p>
    <w:p>
      <w:pPr>
        <w:spacing w:line="360" w:lineRule="auto"/>
        <w:ind w:firstLine="422" w:firstLineChars="200"/>
        <w:outlineLvl w:val="1"/>
        <w:rPr>
          <w:rFonts w:ascii="宋体" w:hAnsi="宋体" w:cs="宋体"/>
          <w:color w:val="auto"/>
          <w:szCs w:val="21"/>
          <w:highlight w:val="none"/>
        </w:rPr>
      </w:pPr>
      <w:bookmarkStart w:id="30" w:name="_Toc23684_WPSOffice_Level2"/>
      <w:bookmarkStart w:id="31" w:name="_Toc17782"/>
      <w:bookmarkStart w:id="32" w:name="_Toc26605_WPSOffice_Level2"/>
      <w:r>
        <w:rPr>
          <w:rFonts w:hint="eastAsia" w:ascii="宋体" w:hAnsi="宋体" w:cs="宋体"/>
          <w:b/>
          <w:bCs/>
          <w:color w:val="auto"/>
          <w:szCs w:val="21"/>
          <w:highlight w:val="none"/>
        </w:rPr>
        <w:t>五、响应文件的开启、评审及合同签订</w:t>
      </w:r>
      <w:bookmarkEnd w:id="30"/>
      <w:bookmarkEnd w:id="31"/>
      <w:bookmarkEnd w:id="32"/>
    </w:p>
    <w:p>
      <w:pPr>
        <w:pStyle w:val="53"/>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5.1、开标</w:t>
      </w:r>
    </w:p>
    <w:p>
      <w:pPr>
        <w:pStyle w:val="53"/>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5.1.1开标形式</w:t>
      </w:r>
    </w:p>
    <w:p>
      <w:pPr>
        <w:pStyle w:val="53"/>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采购组织机构将按照采购文件规定的时间通过“政府采购云平台”组织开标、开启响应文件，所有供应商均应当准时在线参加。</w:t>
      </w:r>
    </w:p>
    <w:p>
      <w:pPr>
        <w:pStyle w:val="53"/>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 xml:space="preserve">5.1.2开标准备 </w:t>
      </w:r>
    </w:p>
    <w:p>
      <w:pPr>
        <w:pStyle w:val="53"/>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开标的准备工作由采购组织机构负责落实；</w:t>
      </w:r>
    </w:p>
    <w:p>
      <w:pPr>
        <w:pStyle w:val="53"/>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采购组织机构将按照磋商文件规定的时间通过“政府采购云平台”组织开标、开启响应文件，所有供应商均应当准时在线参加（因供应商需要及时进行标书在线解密）。供应商如不在线参加的，视同认可开标结果，事后不得对开标结果提出异议，同时供应商因未在线参加开标而导致响应文件无法按时解密等一切后果由供应商自己承担。</w:t>
      </w:r>
    </w:p>
    <w:p>
      <w:pPr>
        <w:pStyle w:val="53"/>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5.1.3</w:t>
      </w:r>
      <w:r>
        <w:rPr>
          <w:rFonts w:hint="eastAsia" w:ascii="宋体" w:hAnsi="宋体" w:cs="宋体"/>
          <w:b/>
          <w:color w:val="auto"/>
          <w:szCs w:val="21"/>
          <w:highlight w:val="none"/>
        </w:rPr>
        <w:t>开标流程(两阶段)</w:t>
      </w:r>
    </w:p>
    <w:p>
      <w:pPr>
        <w:pStyle w:val="53"/>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5.1.3.1开标第一阶段</w:t>
      </w:r>
    </w:p>
    <w:p>
      <w:pPr>
        <w:pStyle w:val="53"/>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向各供应商发出电子加密响应文件【开始解密】通知，由供应商按磋商文件规定的时间内自行进行响应文件解密。供应商在规定的时间内无法完成已递交的“电子加密响应文件”解密的，如已按规定递交了备份响应文件的，将由采购组织机构按“政府采购云平台”操作规范将备份响应文件上传至“政府采购云平台”，上传成功后，“电子加密响应文件”自动失效；</w:t>
      </w:r>
    </w:p>
    <w:p>
      <w:pPr>
        <w:pStyle w:val="53"/>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（2）响应文件解密结束，通过邮件形式发送各供应商组织签署《政府采购活动现场确认声明书》；</w:t>
      </w:r>
    </w:p>
    <w:p>
      <w:pPr>
        <w:pStyle w:val="53"/>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（3）开启商务技术响应文件，进入符合性审查（包括资格审查）；</w:t>
      </w:r>
    </w:p>
    <w:p>
      <w:pPr>
        <w:pStyle w:val="53"/>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（4）符合性审查通过的供应商的商务技术文件进入商务技术评审；</w:t>
      </w:r>
    </w:p>
    <w:p>
      <w:pPr>
        <w:pStyle w:val="53"/>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（5）第一阶段开标结束。</w:t>
      </w:r>
    </w:p>
    <w:p>
      <w:pPr>
        <w:pStyle w:val="53"/>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5.1.3.2开标大会第二阶段</w:t>
      </w:r>
    </w:p>
    <w:p>
      <w:pPr>
        <w:pStyle w:val="53"/>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符合性审查、商务技术评审结束后，举行开标大会第二阶段会议。首先通过发送邮件形式公布符合性审查、商务技术评审无效供应商名称及理由；公布经商务技术评审后有效供应商的名单，同时公布其商务技术部分得分情况。</w:t>
      </w:r>
    </w:p>
    <w:p>
      <w:pPr>
        <w:pStyle w:val="53"/>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（2）开启符合性审查、商务技术评审有效供应商的《报价文件》，并汇总录入评标系统。结束后，由磋商小组对报价的合理性、准确性等进行审查核实，并在线进行磋商报价及评审。</w:t>
      </w:r>
    </w:p>
    <w:p>
      <w:pPr>
        <w:pStyle w:val="53"/>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（3）评审结束后，通过发送邮件形式公布中标候选人名单，及采购人最终确定成交供应商名单的时间和公告方式等。</w:t>
      </w:r>
    </w:p>
    <w:p>
      <w:pPr>
        <w:pStyle w:val="53"/>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特别说明：如遇“政府采购云平台”电子化开标或评审程序调整的，按调整后程序执行。</w:t>
      </w:r>
    </w:p>
    <w:p>
      <w:pPr>
        <w:pStyle w:val="53"/>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5.1.4开标时，响应文件中的开标一览表内容与响应文件中明细表内容不一致的，以开标一览表为准；响应文件的大写金额和小写金额不一致的，以大写金额为准；对不同文字文本响应文件的解释发生异议的，以中文文本为准。</w:t>
      </w:r>
    </w:p>
    <w:p>
      <w:pPr>
        <w:pStyle w:val="53"/>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5.2响应文件符合性评审</w:t>
      </w:r>
    </w:p>
    <w:p>
      <w:pPr>
        <w:pStyle w:val="53"/>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5.2.1磋商小组将首先审查每份响应文件是否实质上响应了竞争性磋商文件的要求，实质性响应的响应文件是指响应文件符合竞争性磋商文件规定的实质性内容、条件和规定。</w:t>
      </w:r>
    </w:p>
    <w:p>
      <w:pPr>
        <w:pStyle w:val="53"/>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5.2.2重大偏离或保留是指将会影响到竞争性磋商文件规定的服务范围、质量标准，或会给合同中规定的采购人的权利和供应商的责任造成实质性限制，而纠正这些偏离或保留将对其他提交了实质性响应的响应文件的供应商产生不公平影响的。</w:t>
      </w:r>
    </w:p>
    <w:p>
      <w:pPr>
        <w:pStyle w:val="53"/>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5.2.3细微偏离是指响应文件对竞争性磋商文件的非实质性内容存在不完全响应或不响应。</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5.2.4重大偏离和保留、细微偏离由磋商小组界定。符合性评审时如发现响应文件与竞争性磋商文件要求有重大偏离和保留，其响应文件将被作无效标处理。供应商不得通过修正或撤消不符合竞争性磋商文件要求的重大偏离和保留从而使其响应文件实质性响应竞争性磋商文件要求。但允许响应文件在实质性满足竞争性磋商文件要求的前提下出现的细微偏差，在详细评审时可按评审办法对细微偏差做出不利于该供应商的评审。</w:t>
      </w:r>
    </w:p>
    <w:p>
      <w:pPr>
        <w:spacing w:line="360" w:lineRule="auto"/>
        <w:ind w:firstLine="422" w:firstLineChars="200"/>
        <w:outlineLvl w:val="1"/>
        <w:rPr>
          <w:rFonts w:ascii="宋体" w:hAnsi="宋体" w:cs="宋体"/>
          <w:color w:val="auto"/>
          <w:szCs w:val="21"/>
          <w:highlight w:val="none"/>
        </w:rPr>
      </w:pPr>
      <w:bookmarkStart w:id="33" w:name="_Toc28950"/>
      <w:bookmarkStart w:id="34" w:name="_Toc25899_WPSOffice_Level2"/>
      <w:bookmarkStart w:id="35" w:name="_Toc7403_WPSOffice_Level2"/>
      <w:r>
        <w:rPr>
          <w:rFonts w:hint="eastAsia" w:ascii="宋体" w:hAnsi="宋体" w:cs="宋体"/>
          <w:b/>
          <w:bCs/>
          <w:color w:val="auto"/>
          <w:szCs w:val="21"/>
          <w:highlight w:val="none"/>
        </w:rPr>
        <w:t>六、磋商</w:t>
      </w:r>
      <w:bookmarkEnd w:id="33"/>
      <w:bookmarkEnd w:id="34"/>
      <w:bookmarkEnd w:id="35"/>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6.1、符合性评审工作内容：具体详见评审办法。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依据法律法规及竞争性磋商文件的规定，对响应文件中的提供的资格证明材料进行审查，以确定供应商是否具备磋商资格。</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依据竞争性磋商文件的规定，从响应文件的有效性、完整性和对竞争性磋商文件的响应程度进行审查，以确定是否对竞争性磋商文件的实质性要求作出响应。</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6.2、响应文件的澄清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6.2.1磋商小组可要求供应商对响应文件中含义不明确、同类问题表述不一致、有明显的文字和计算错误的内容等进行澄清并做出答复。澄清以通过“政府采购云平台”在线询标的形式进行。要求供应商在规定的时间内作出必要的澄清、说明或者补正，供应商人澄清、说明或补正时间为30分钟以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6.2.2 供应商对响应文件的澄清不得超出响应文件的范围或者改变响应文件的实质性内容。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6.3、错误修正：详见评审办法。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6.4、磋商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6.4.1 采购人将按相关规定组织磋商小组，对响应文件进行审查、比较和评价。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6.4.2 评审原则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次评审采用综合评分法，在最大限度的满足竞争性磋商文件实质性要求的前提下，按竞争性磋商文件中规定各项评审因素进行综合评审后，以评审总得分最高的供应商作为成交候选供应商或成交供应商。采购人将把成交通知书授予最佳供应商，但最低报价不是成交的保证。</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6.4.3评审办法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评审办法详见第三章。</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6.5、废标</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在采购中，出现下列情形之一的，应予废标：</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（1）出现影响采购公正的违法、违规行为的；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（2）符合专业条件的供应商或者对磋商文件作实质响应的供应商不足三家的；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（3）供应商的报价均超过了采购预算，采购人不能支付的；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（4）因重大变故，采购任务取消的。</w:t>
      </w:r>
    </w:p>
    <w:p>
      <w:pPr>
        <w:pStyle w:val="53"/>
        <w:adjustRightInd w:val="0"/>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b/>
          <w:color w:val="auto"/>
          <w:szCs w:val="21"/>
          <w:highlight w:val="none"/>
        </w:rPr>
        <w:t>电子交易平台无法正常运行，无法保证电子交易的公平、公正和安全的情况。</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6.6、确认采购结果</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评审结束后，根据磋商小组推荐，采购人按政府采购有关规定确定成交供应商。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6.7、结果公告</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在采购人确认采购结果后，采购代理机构按相关政府采购规定将成交结果发布在政府采购网上进行公告，公告期为1个工作日。采购人、采购代理机构及磋商小组对未成交的供应商不作落标原因解释。</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6.8、采购过程、采购结果质疑</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6.8.1供应商认为采购过程、采购结果使自己的合法权益受到损害的，供应商可以提出书面质疑。</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6.8.2质疑书须包括以下内容：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（1）质疑人的名称、地址、邮政编码、联系人、联系电话，以及被质疑人名称及联系方式；</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（2）被质疑采购项目名称、编号及采购内容；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（3）具体的质疑事项及事实依据；</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（4）认为自己合法权益受到损害或可能受到损害的相关证据材料；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（5）提出质疑的日期。</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6.8.3采购过程的质疑期限自各采购程序环节结束之日起计算，7个工作日内向采购代理机构提出，逾期提出不予受理。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采购结果的质疑期限自采购结果公告（包括结果公示、结果变更公告等）之日起计算，7个工作日内向采购代理机构提出，逾期提出不予受理。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6.8.4质疑书中涉及的相关材料中有外文资料的，应当将与质疑相关的外文资料完整、客观、真实地翻译为中文，并注明翻译人员姓名、工作单位、联系方式等信息。</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6.8.5质疑书必须署名，由法定代表人签字（或盖章）并加盖单位公章，否则不予受理。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6.8.6质疑书以直接提交、传真或邮寄方式提交（一式三份）。</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6.8.7质疑书以传真形式提交后，同时须向采购代理机构提交质疑书原件，采购代理机构以收到原件之日作为收到质疑日。</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6.9、发出成交通知书</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6.9.1采购人及采购代理机构将以书面形式向成交供应商发出成交通知书。</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6.10、签订合同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6.10.1 成交供应商应在接到成交通知书后按成交通知书规定的时间、地点与采购人签订合同。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6.10.2竞争性磋商文件及补充文件、成交供应商的响应文件及磋商修改文件、评审过程中有关澄清文件和成交通知书均作为合同附件。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6.10.3拒签合同的责任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成交供应商接到成交通知书后，在规定时间内借故否认已经承诺的条件而拒签合同者，以磋商违约处理，并赔偿采购人由此造成的直接经济损失。采购人将向政府采购监管部门进行汇报。</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6.11、履约保证金</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成交供应商在签订合同后按“供应商须知前附表”规定的缴纳履约保证金,合同执行完毕后退还。</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6.12、采购代理服务费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本次采购代理服务费按“供应商须知前附表”规定收取。</w:t>
      </w:r>
    </w:p>
    <w:p>
      <w:pPr>
        <w:rPr>
          <w:rFonts w:ascii="宋体" w:hAnsi="宋体" w:cs="宋体"/>
          <w:color w:val="auto"/>
          <w:highlight w:val="none"/>
        </w:rPr>
        <w:sectPr>
          <w:pgSz w:w="11900" w:h="16838"/>
          <w:pgMar w:top="1440" w:right="1440" w:bottom="401" w:left="1440" w:header="567" w:footer="567" w:gutter="0"/>
          <w:cols w:equalWidth="0" w:num="1">
            <w:col w:w="9026"/>
          </w:cols>
        </w:sectPr>
      </w:pPr>
    </w:p>
    <w:p>
      <w:pPr>
        <w:spacing w:line="1" w:lineRule="exact"/>
        <w:rPr>
          <w:rFonts w:ascii="宋体" w:hAnsi="宋体" w:cs="宋体"/>
          <w:color w:val="auto"/>
          <w:sz w:val="20"/>
          <w:szCs w:val="20"/>
          <w:highlight w:val="none"/>
        </w:rPr>
      </w:pPr>
      <w:bookmarkStart w:id="36" w:name="page22"/>
      <w:bookmarkEnd w:id="36"/>
    </w:p>
    <w:p>
      <w:pPr>
        <w:tabs>
          <w:tab w:val="left" w:pos="320"/>
        </w:tabs>
        <w:spacing w:line="366" w:lineRule="exact"/>
        <w:jc w:val="center"/>
        <w:outlineLvl w:val="0"/>
        <w:rPr>
          <w:rFonts w:ascii="宋体" w:hAnsi="宋体" w:cs="宋体"/>
          <w:color w:val="auto"/>
          <w:sz w:val="20"/>
          <w:szCs w:val="20"/>
          <w:highlight w:val="none"/>
        </w:rPr>
      </w:pPr>
      <w:bookmarkStart w:id="37" w:name="_Toc5609_WPSOffice_Level1"/>
      <w:bookmarkStart w:id="38" w:name="_Toc944"/>
      <w:r>
        <w:rPr>
          <w:rFonts w:hint="eastAsia" w:ascii="宋体" w:hAnsi="宋体" w:cs="宋体"/>
          <w:b/>
          <w:bCs/>
          <w:color w:val="auto"/>
          <w:sz w:val="32"/>
          <w:szCs w:val="32"/>
          <w:highlight w:val="none"/>
        </w:rPr>
        <w:t>第四章  采购内容及技术要求</w:t>
      </w:r>
      <w:bookmarkEnd w:id="37"/>
      <w:bookmarkEnd w:id="38"/>
    </w:p>
    <w:p>
      <w:pPr>
        <w:spacing w:line="298" w:lineRule="exact"/>
        <w:rPr>
          <w:rFonts w:ascii="宋体" w:hAnsi="宋体" w:cs="宋体"/>
          <w:color w:val="auto"/>
          <w:sz w:val="20"/>
          <w:szCs w:val="20"/>
          <w:highlight w:val="none"/>
        </w:rPr>
      </w:pPr>
    </w:p>
    <w:p>
      <w:pPr>
        <w:pStyle w:val="4"/>
        <w:rPr>
          <w:rFonts w:ascii="宋体" w:hAnsi="宋体" w:cs="宋体"/>
          <w:color w:val="auto"/>
          <w:sz w:val="21"/>
          <w:szCs w:val="21"/>
          <w:highlight w:val="none"/>
        </w:rPr>
      </w:pPr>
      <w:bookmarkStart w:id="39" w:name="_Toc1247_WPSOffice_Level2"/>
      <w:bookmarkStart w:id="40" w:name="_Toc17509"/>
      <w:bookmarkStart w:id="41" w:name="_Toc1984_WPSOffice_Level2"/>
      <w:bookmarkStart w:id="42" w:name="_Toc442102512"/>
      <w:bookmarkStart w:id="43" w:name="_Toc420505109"/>
      <w:bookmarkStart w:id="44" w:name="_Toc519000561"/>
      <w:bookmarkStart w:id="45" w:name="_Toc14746_WPSOffice_Level2"/>
      <w:r>
        <w:rPr>
          <w:rFonts w:hint="eastAsia" w:ascii="宋体" w:hAnsi="宋体" w:cs="宋体"/>
          <w:color w:val="auto"/>
          <w:sz w:val="21"/>
          <w:szCs w:val="21"/>
          <w:highlight w:val="none"/>
        </w:rPr>
        <w:t>一、项目概况</w:t>
      </w:r>
      <w:bookmarkEnd w:id="39"/>
      <w:bookmarkEnd w:id="40"/>
      <w:bookmarkEnd w:id="41"/>
    </w:p>
    <w:p>
      <w:pPr>
        <w:spacing w:line="360" w:lineRule="auto"/>
        <w:ind w:firstLine="420"/>
        <w:rPr>
          <w:rFonts w:ascii="宋体" w:hAnsi="宋体" w:cs="宋体"/>
          <w:b/>
          <w:bCs/>
          <w:color w:val="auto"/>
          <w:szCs w:val="21"/>
          <w:highlight w:val="none"/>
        </w:rPr>
      </w:pPr>
      <w:r>
        <w:rPr>
          <w:rFonts w:hint="eastAsia" w:ascii="宋体" w:hAnsi="宋体" w:cs="宋体"/>
          <w:b/>
          <w:bCs/>
          <w:color w:val="auto"/>
          <w:szCs w:val="21"/>
          <w:highlight w:val="none"/>
        </w:rPr>
        <w:t>1、项目简介</w:t>
      </w:r>
    </w:p>
    <w:p>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本项目为</w:t>
      </w:r>
      <w:r>
        <w:rPr>
          <w:rFonts w:hint="eastAsia" w:ascii="宋体" w:hAnsi="宋体" w:cs="宋体"/>
          <w:color w:val="auto"/>
          <w:szCs w:val="21"/>
          <w:highlight w:val="none"/>
          <w:lang w:eastAsia="zh-CN"/>
        </w:rPr>
        <w:t>教学大楼西侧卫生间改造工程</w:t>
      </w:r>
      <w:r>
        <w:rPr>
          <w:rFonts w:hint="eastAsia" w:ascii="宋体" w:hAnsi="宋体" w:cs="宋体"/>
          <w:color w:val="auto"/>
          <w:szCs w:val="21"/>
          <w:highlight w:val="none"/>
        </w:rPr>
        <w:t>，位于浙江农林大学衣锦校区。</w:t>
      </w:r>
    </w:p>
    <w:p>
      <w:pPr>
        <w:spacing w:line="360" w:lineRule="auto"/>
        <w:ind w:firstLine="420"/>
        <w:rPr>
          <w:rFonts w:ascii="宋体" w:hAnsi="宋体" w:cs="宋体"/>
          <w:b/>
          <w:bCs/>
          <w:color w:val="auto"/>
          <w:szCs w:val="21"/>
          <w:highlight w:val="none"/>
        </w:rPr>
      </w:pPr>
      <w:r>
        <w:rPr>
          <w:rFonts w:hint="eastAsia" w:ascii="宋体" w:hAnsi="宋体" w:cs="宋体"/>
          <w:b/>
          <w:bCs/>
          <w:color w:val="auto"/>
          <w:szCs w:val="21"/>
          <w:highlight w:val="none"/>
        </w:rPr>
        <w:t>2、施工工期</w:t>
      </w:r>
    </w:p>
    <w:p>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工期为30日历天。</w:t>
      </w:r>
    </w:p>
    <w:p>
      <w:pPr>
        <w:spacing w:line="360" w:lineRule="auto"/>
        <w:ind w:firstLine="420"/>
        <w:rPr>
          <w:rFonts w:ascii="宋体" w:hAnsi="宋体" w:cs="宋体"/>
          <w:b/>
          <w:bCs/>
          <w:color w:val="auto"/>
          <w:szCs w:val="21"/>
          <w:highlight w:val="none"/>
        </w:rPr>
      </w:pPr>
      <w:r>
        <w:rPr>
          <w:rFonts w:hint="eastAsia" w:ascii="宋体" w:hAnsi="宋体" w:cs="宋体"/>
          <w:b/>
          <w:bCs/>
          <w:color w:val="auto"/>
          <w:szCs w:val="21"/>
          <w:highlight w:val="none"/>
        </w:rPr>
        <w:t>3、工程内容</w:t>
      </w:r>
    </w:p>
    <w:p>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详见图纸及工程量清单。</w:t>
      </w:r>
    </w:p>
    <w:p>
      <w:pPr>
        <w:spacing w:line="360" w:lineRule="auto"/>
        <w:ind w:firstLine="420"/>
        <w:rPr>
          <w:rFonts w:ascii="宋体" w:hAnsi="宋体" w:cs="宋体"/>
          <w:b/>
          <w:bCs/>
          <w:color w:val="auto"/>
          <w:szCs w:val="21"/>
          <w:highlight w:val="none"/>
        </w:rPr>
      </w:pPr>
      <w:r>
        <w:rPr>
          <w:rFonts w:hint="eastAsia" w:ascii="宋体" w:hAnsi="宋体" w:cs="宋体"/>
          <w:b/>
          <w:bCs/>
          <w:color w:val="auto"/>
          <w:szCs w:val="21"/>
          <w:highlight w:val="none"/>
        </w:rPr>
        <w:t>4、质保期</w:t>
      </w:r>
    </w:p>
    <w:p>
      <w:pPr>
        <w:spacing w:line="360" w:lineRule="auto"/>
        <w:ind w:firstLine="819" w:firstLineChars="390"/>
        <w:rPr>
          <w:rFonts w:ascii="宋体" w:hAnsi="宋体" w:cs="宋体"/>
          <w:color w:val="auto"/>
          <w:szCs w:val="21"/>
          <w:highlight w:val="none"/>
        </w:rPr>
      </w:pPr>
      <w:r>
        <w:rPr>
          <w:rFonts w:hint="eastAsia" w:ascii="宋体" w:hAnsi="宋体" w:cs="宋体"/>
          <w:color w:val="auto"/>
          <w:szCs w:val="21"/>
          <w:highlight w:val="none"/>
        </w:rPr>
        <w:t>2年（防水防漏5年，</w:t>
      </w:r>
      <w:r>
        <w:rPr>
          <w:rFonts w:hint="eastAsia" w:ascii="宋体" w:hAnsi="宋体" w:cs="宋体"/>
          <w:color w:val="auto"/>
          <w:spacing w:val="-6"/>
          <w:szCs w:val="21"/>
          <w:highlight w:val="none"/>
        </w:rPr>
        <w:t>技术要求里另有注明的以技术要求为准</w:t>
      </w:r>
      <w:r>
        <w:rPr>
          <w:rFonts w:hint="eastAsia" w:ascii="宋体" w:hAnsi="宋体" w:cs="宋体"/>
          <w:color w:val="auto"/>
          <w:szCs w:val="21"/>
          <w:highlight w:val="none"/>
        </w:rPr>
        <w:t>）</w:t>
      </w:r>
    </w:p>
    <w:p>
      <w:pPr>
        <w:spacing w:line="360" w:lineRule="auto"/>
        <w:ind w:firstLine="420"/>
        <w:rPr>
          <w:rFonts w:ascii="宋体" w:hAnsi="宋体" w:cs="宋体"/>
          <w:b/>
          <w:bCs/>
          <w:color w:val="auto"/>
          <w:szCs w:val="21"/>
          <w:highlight w:val="none"/>
        </w:rPr>
      </w:pPr>
      <w:r>
        <w:rPr>
          <w:rFonts w:hint="eastAsia" w:ascii="宋体" w:hAnsi="宋体" w:cs="宋体"/>
          <w:b/>
          <w:bCs/>
          <w:color w:val="auto"/>
          <w:szCs w:val="21"/>
          <w:highlight w:val="none"/>
        </w:rPr>
        <w:t>5、履约保证金</w:t>
      </w:r>
    </w:p>
    <w:p>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（1）成交供应商向采购方提供履约担保，担保方式为：</w:t>
      </w:r>
      <w:r>
        <w:rPr>
          <w:rFonts w:hint="eastAsia" w:ascii="宋体" w:hAnsi="宋体" w:cs="宋体"/>
          <w:color w:val="auto"/>
          <w:szCs w:val="21"/>
          <w:highlight w:val="none"/>
          <w:u w:val="single"/>
        </w:rPr>
        <w:t xml:space="preserve">  银行汇票或转帐支票或现金支票  </w:t>
      </w:r>
      <w:r>
        <w:rPr>
          <w:rFonts w:hint="eastAsia" w:ascii="宋体" w:hAnsi="宋体" w:cs="宋体"/>
          <w:color w:val="auto"/>
          <w:szCs w:val="21"/>
          <w:highlight w:val="none"/>
        </w:rPr>
        <w:t>担保合同作为本合同附件。担保额度：合同价的2.5%。成交供应商在合同协议签订前3天内，应按合同规定向采购人提交履约保证金。</w:t>
      </w:r>
    </w:p>
    <w:p>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（2）双方约定的其他担保事项：履约担保金中40%作为质量担保，30%作为工期进度担保，剩余30%作为文明施工担保。</w:t>
      </w:r>
    </w:p>
    <w:p>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（3）如成交供应商原因造成合同中止，履约担保金不返还。</w:t>
      </w:r>
    </w:p>
    <w:p>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（4）如成交供应商不能按磋商承诺和合同要求履约，采购人将有权扣除相应甚至全部履约保证金。</w:t>
      </w:r>
    </w:p>
    <w:p>
      <w:pPr>
        <w:spacing w:line="360" w:lineRule="auto"/>
        <w:ind w:firstLine="420"/>
        <w:rPr>
          <w:rFonts w:ascii="宋体" w:hAnsi="宋体" w:cs="宋体"/>
          <w:b/>
          <w:bCs/>
          <w:color w:val="auto"/>
          <w:szCs w:val="21"/>
          <w:highlight w:val="none"/>
        </w:rPr>
      </w:pPr>
      <w:r>
        <w:rPr>
          <w:rFonts w:hint="eastAsia" w:ascii="宋体" w:hAnsi="宋体" w:cs="宋体"/>
          <w:b/>
          <w:bCs/>
          <w:color w:val="auto"/>
          <w:szCs w:val="21"/>
          <w:highlight w:val="none"/>
        </w:rPr>
        <w:t>6、付款方式</w:t>
      </w:r>
    </w:p>
    <w:p>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u w:val="single"/>
        </w:rPr>
        <w:t>承包人实际完成合同工程量60%时（经监理及发包人审定）支付合同金额的</w:t>
      </w:r>
      <w:r>
        <w:rPr>
          <w:rFonts w:ascii="宋体" w:hAnsi="宋体" w:cs="宋体"/>
          <w:color w:val="auto"/>
          <w:szCs w:val="21"/>
          <w:highlight w:val="none"/>
          <w:u w:val="single"/>
        </w:rPr>
        <w:t>5</w:t>
      </w:r>
      <w:r>
        <w:rPr>
          <w:rFonts w:hint="eastAsia" w:ascii="宋体" w:hAnsi="宋体" w:cs="宋体"/>
          <w:color w:val="auto"/>
          <w:szCs w:val="21"/>
          <w:highlight w:val="none"/>
          <w:u w:val="single"/>
        </w:rPr>
        <w:t>0%的进度款，工程竣工验收合格后支付至合同金额的80%，待竣工结算审计后以结算审计为准支付至审计价格的97.5%；同时按合同履约核实情况，结算并返回履约保证金（无息，如有违约并扣除违约款）；审计价2.5%作为质量保修金，保修期满二年后无质量问题返回1.5%质保金，剩余1%在保修期结束后（5年后）全额返回（均不计利息）。</w:t>
      </w:r>
    </w:p>
    <w:p>
      <w:pPr>
        <w:pStyle w:val="4"/>
        <w:rPr>
          <w:rFonts w:ascii="宋体" w:hAnsi="宋体" w:cs="宋体"/>
          <w:color w:val="auto"/>
          <w:sz w:val="21"/>
          <w:szCs w:val="21"/>
          <w:highlight w:val="none"/>
        </w:rPr>
      </w:pPr>
      <w:bookmarkStart w:id="46" w:name="_Toc11756"/>
      <w:bookmarkStart w:id="47" w:name="_Toc9286_WPSOffice_Level2"/>
      <w:bookmarkStart w:id="48" w:name="_Toc22756_WPSOffice_Level2"/>
      <w:r>
        <w:rPr>
          <w:rFonts w:hint="eastAsia" w:ascii="宋体" w:hAnsi="宋体" w:cs="宋体"/>
          <w:color w:val="auto"/>
          <w:sz w:val="21"/>
          <w:szCs w:val="21"/>
          <w:highlight w:val="none"/>
        </w:rPr>
        <w:t>二、规范要求</w:t>
      </w:r>
      <w:bookmarkEnd w:id="42"/>
      <w:bookmarkEnd w:id="43"/>
      <w:bookmarkEnd w:id="44"/>
      <w:bookmarkEnd w:id="46"/>
      <w:bookmarkEnd w:id="47"/>
      <w:bookmarkEnd w:id="48"/>
    </w:p>
    <w:p>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1、依据设计施工图纸和技术文件要求，本工程项目的材料、设备、施工必须达到以下现行中华人民共和国及省、市、行业的一切有关法规、规范的要求，如下述标准及规范要求有出入则以较严格者为准。</w:t>
      </w:r>
    </w:p>
    <w:p>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 xml:space="preserve">《建筑结构荷载规范》（GBJ50009-2012） </w:t>
      </w:r>
    </w:p>
    <w:p>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《钢结构设计规范》GB50017--2017《钢结构焊接规范》（GB50661-2011）</w:t>
      </w:r>
    </w:p>
    <w:p>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《钢结构工程施工及验收规范》（GB50205-2001）</w:t>
      </w:r>
    </w:p>
    <w:p>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《建筑钢结构防腐蚀技术规程》（JGJ/T251-2011）</w:t>
      </w:r>
    </w:p>
    <w:p>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《民用建筑工程室内环境污染控制规范》GB50325—2010</w:t>
      </w:r>
    </w:p>
    <w:p>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《建筑设计防火规范》GB50016-2014</w:t>
      </w:r>
    </w:p>
    <w:p>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《民用建筑设计通则》GB50352-2005</w:t>
      </w:r>
    </w:p>
    <w:p>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《建筑内部装修设计防火规范》GB50222—2001</w:t>
      </w:r>
    </w:p>
    <w:p>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以及不限于上述罗列的其它的相关规范。</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1.2、以上技术规范由供应商自备，如有不足之处或未能达到国家最新标准时，供应商应使施工及选用的设备和材料符合最新版本的国家标准、规范。</w:t>
      </w:r>
    </w:p>
    <w:p>
      <w:pPr>
        <w:pStyle w:val="4"/>
        <w:rPr>
          <w:rFonts w:ascii="宋体" w:hAnsi="宋体" w:cs="宋体"/>
          <w:color w:val="auto"/>
          <w:sz w:val="21"/>
          <w:szCs w:val="21"/>
          <w:highlight w:val="none"/>
        </w:rPr>
      </w:pPr>
      <w:bookmarkStart w:id="49" w:name="_Toc66769195"/>
      <w:bookmarkStart w:id="50" w:name="_Toc442102513"/>
      <w:bookmarkStart w:id="51" w:name="_Toc28373"/>
      <w:bookmarkStart w:id="52" w:name="_Toc420505110"/>
      <w:bookmarkStart w:id="53" w:name="_Toc229386804"/>
      <w:bookmarkStart w:id="54" w:name="_Toc7970_WPSOffice_Level2"/>
      <w:bookmarkStart w:id="55" w:name="_Toc5922_WPSOffice_Level2"/>
      <w:bookmarkStart w:id="56" w:name="_Toc519000562"/>
      <w:r>
        <w:rPr>
          <w:rFonts w:hint="eastAsia" w:ascii="宋体" w:hAnsi="宋体" w:cs="宋体"/>
          <w:color w:val="auto"/>
          <w:sz w:val="21"/>
          <w:szCs w:val="21"/>
          <w:highlight w:val="none"/>
        </w:rPr>
        <w:t>三、施工要求</w:t>
      </w:r>
      <w:bookmarkEnd w:id="49"/>
      <w:bookmarkEnd w:id="50"/>
      <w:bookmarkEnd w:id="51"/>
      <w:bookmarkEnd w:id="52"/>
      <w:bookmarkEnd w:id="53"/>
      <w:bookmarkEnd w:id="54"/>
      <w:bookmarkEnd w:id="55"/>
      <w:bookmarkEnd w:id="56"/>
    </w:p>
    <w:p>
      <w:pPr>
        <w:pStyle w:val="50"/>
        <w:spacing w:before="120" w:after="120" w:line="360" w:lineRule="auto"/>
        <w:ind w:firstLine="420"/>
        <w:rPr>
          <w:rFonts w:ascii="宋体" w:hAnsi="宋体" w:cs="宋体"/>
          <w:color w:val="auto"/>
          <w:sz w:val="21"/>
          <w:highlight w:val="none"/>
        </w:rPr>
      </w:pPr>
      <w:r>
        <w:rPr>
          <w:rFonts w:hint="eastAsia" w:ascii="宋体" w:hAnsi="宋体" w:cs="宋体"/>
          <w:color w:val="auto"/>
          <w:sz w:val="21"/>
          <w:highlight w:val="none"/>
        </w:rPr>
        <w:t>1、本工程施工严格按照规范要求进行施工，达到各项拟定的设计指标。</w:t>
      </w:r>
    </w:p>
    <w:p>
      <w:pPr>
        <w:pStyle w:val="50"/>
        <w:spacing w:before="120" w:after="120" w:line="360" w:lineRule="auto"/>
        <w:ind w:firstLine="420"/>
        <w:rPr>
          <w:rFonts w:ascii="宋体" w:hAnsi="宋体" w:cs="宋体"/>
          <w:color w:val="auto"/>
          <w:sz w:val="21"/>
          <w:highlight w:val="none"/>
        </w:rPr>
      </w:pPr>
      <w:r>
        <w:rPr>
          <w:rFonts w:hint="eastAsia" w:ascii="宋体" w:hAnsi="宋体" w:cs="宋体"/>
          <w:color w:val="auto"/>
          <w:sz w:val="21"/>
          <w:highlight w:val="none"/>
        </w:rPr>
        <w:t>2、本工程施工必须严格按照招标说明、工程技术要求及行业规范进行施工，并无条件地接受采购人全方位、全过程的监督管理。</w:t>
      </w:r>
    </w:p>
    <w:p>
      <w:pPr>
        <w:pStyle w:val="50"/>
        <w:spacing w:before="120" w:after="120" w:line="360" w:lineRule="auto"/>
        <w:ind w:firstLine="420"/>
        <w:rPr>
          <w:rFonts w:ascii="宋体" w:hAnsi="宋体" w:cs="宋体"/>
          <w:color w:val="auto"/>
          <w:sz w:val="21"/>
          <w:highlight w:val="none"/>
        </w:rPr>
      </w:pPr>
      <w:r>
        <w:rPr>
          <w:rFonts w:hint="eastAsia" w:ascii="宋体" w:hAnsi="宋体" w:cs="宋体"/>
          <w:color w:val="auto"/>
          <w:sz w:val="21"/>
          <w:highlight w:val="none"/>
        </w:rPr>
        <w:t>3、所有材料设备必须在检验合格经采购人同意后，方可用于本工程。</w:t>
      </w:r>
    </w:p>
    <w:p>
      <w:pPr>
        <w:pStyle w:val="50"/>
        <w:spacing w:before="120" w:after="120" w:line="360" w:lineRule="auto"/>
        <w:ind w:firstLine="420"/>
        <w:rPr>
          <w:rFonts w:ascii="宋体" w:hAnsi="宋体" w:cs="宋体"/>
          <w:color w:val="auto"/>
          <w:sz w:val="21"/>
          <w:highlight w:val="none"/>
        </w:rPr>
      </w:pPr>
      <w:r>
        <w:rPr>
          <w:rFonts w:hint="eastAsia" w:ascii="宋体" w:hAnsi="宋体" w:cs="宋体"/>
          <w:color w:val="auto"/>
          <w:sz w:val="21"/>
          <w:highlight w:val="none"/>
        </w:rPr>
        <w:t>4、隐蔽工程必须经采购人检查、验收后，方可进行下一道工序。</w:t>
      </w:r>
    </w:p>
    <w:p>
      <w:pPr>
        <w:pStyle w:val="50"/>
        <w:spacing w:before="120" w:after="120" w:line="360" w:lineRule="auto"/>
        <w:ind w:firstLine="420"/>
        <w:rPr>
          <w:rFonts w:ascii="宋体" w:hAnsi="宋体" w:cs="宋体"/>
          <w:color w:val="auto"/>
          <w:sz w:val="21"/>
          <w:highlight w:val="none"/>
        </w:rPr>
      </w:pPr>
      <w:r>
        <w:rPr>
          <w:rFonts w:hint="eastAsia" w:ascii="宋体" w:hAnsi="宋体" w:cs="宋体"/>
          <w:color w:val="auto"/>
          <w:sz w:val="21"/>
          <w:highlight w:val="none"/>
        </w:rPr>
        <w:t>5、在免费保修期内，成交供应商对有缺陷的部位必须无偿地给予修理与更换，并承担一切由此引起的对采购人或第三者的直接损失，除非该缺陷是由于人为破坏或合同规定的不可抗因素造成的损坏。</w:t>
      </w:r>
    </w:p>
    <w:p>
      <w:pPr>
        <w:pStyle w:val="50"/>
        <w:spacing w:before="120" w:after="120" w:line="360" w:lineRule="auto"/>
        <w:ind w:firstLine="420"/>
        <w:rPr>
          <w:rFonts w:ascii="宋体" w:hAnsi="宋体" w:cs="宋体"/>
          <w:color w:val="auto"/>
          <w:sz w:val="21"/>
          <w:highlight w:val="none"/>
        </w:rPr>
      </w:pPr>
      <w:r>
        <w:rPr>
          <w:rFonts w:hint="eastAsia" w:ascii="宋体" w:hAnsi="宋体" w:cs="宋体"/>
          <w:color w:val="auto"/>
          <w:sz w:val="21"/>
          <w:highlight w:val="none"/>
        </w:rPr>
        <w:t>6、成交供应商必须对所承包的工程的质量负全部责任，其责任不因其他材料生产商提供的保证书而减轻或更改。</w:t>
      </w:r>
    </w:p>
    <w:p>
      <w:pPr>
        <w:pStyle w:val="50"/>
        <w:spacing w:before="120" w:after="120" w:line="360" w:lineRule="auto"/>
        <w:ind w:firstLine="420"/>
        <w:rPr>
          <w:rFonts w:ascii="宋体" w:hAnsi="宋体" w:cs="宋体"/>
          <w:color w:val="auto"/>
          <w:sz w:val="21"/>
          <w:highlight w:val="none"/>
        </w:rPr>
      </w:pPr>
      <w:r>
        <w:rPr>
          <w:rFonts w:hint="eastAsia" w:ascii="宋体" w:hAnsi="宋体" w:cs="宋体"/>
          <w:color w:val="auto"/>
          <w:sz w:val="21"/>
          <w:highlight w:val="none"/>
        </w:rPr>
        <w:t>7、施工时注意做好必要的劳动保护工作。</w:t>
      </w:r>
    </w:p>
    <w:p>
      <w:pPr>
        <w:pStyle w:val="4"/>
        <w:rPr>
          <w:rFonts w:ascii="宋体" w:hAnsi="宋体" w:cs="宋体"/>
          <w:color w:val="auto"/>
          <w:sz w:val="21"/>
          <w:szCs w:val="21"/>
          <w:highlight w:val="none"/>
        </w:rPr>
      </w:pPr>
      <w:bookmarkStart w:id="57" w:name="_Toc29259"/>
      <w:bookmarkStart w:id="58" w:name="_Toc10614_WPSOffice_Level2"/>
      <w:bookmarkStart w:id="59" w:name="_Toc29299_WPSOffice_Level2"/>
      <w:bookmarkStart w:id="60" w:name="_Toc519000563"/>
      <w:bookmarkStart w:id="61" w:name="_Toc442102514"/>
      <w:bookmarkStart w:id="62" w:name="_Toc66769196"/>
      <w:bookmarkStart w:id="63" w:name="_Toc420505111"/>
      <w:bookmarkStart w:id="64" w:name="_Toc229386805"/>
      <w:r>
        <w:rPr>
          <w:rFonts w:hint="eastAsia" w:ascii="宋体" w:hAnsi="宋体" w:cs="宋体"/>
          <w:color w:val="auto"/>
          <w:sz w:val="21"/>
          <w:szCs w:val="21"/>
          <w:highlight w:val="none"/>
        </w:rPr>
        <w:t>四、材料质量要求</w:t>
      </w:r>
      <w:bookmarkEnd w:id="57"/>
      <w:bookmarkEnd w:id="58"/>
      <w:bookmarkEnd w:id="59"/>
      <w:bookmarkEnd w:id="60"/>
      <w:bookmarkEnd w:id="61"/>
      <w:bookmarkEnd w:id="62"/>
      <w:bookmarkEnd w:id="63"/>
      <w:bookmarkEnd w:id="64"/>
    </w:p>
    <w:p>
      <w:pPr>
        <w:pStyle w:val="50"/>
        <w:spacing w:before="120" w:after="120" w:line="360" w:lineRule="auto"/>
        <w:ind w:firstLine="420"/>
        <w:rPr>
          <w:rFonts w:ascii="宋体" w:hAnsi="宋体" w:cs="宋体"/>
          <w:color w:val="auto"/>
          <w:sz w:val="21"/>
          <w:highlight w:val="none"/>
        </w:rPr>
      </w:pPr>
      <w:r>
        <w:rPr>
          <w:rFonts w:hint="eastAsia" w:ascii="宋体" w:hAnsi="宋体" w:cs="宋体"/>
          <w:color w:val="auto"/>
          <w:sz w:val="21"/>
          <w:highlight w:val="none"/>
        </w:rPr>
        <w:t>1、本工程使用的原材料必须符合设计要求和施工规范的规定。</w:t>
      </w:r>
    </w:p>
    <w:p>
      <w:pPr>
        <w:pStyle w:val="50"/>
        <w:numPr>
          <w:ilvl w:val="1"/>
          <w:numId w:val="0"/>
        </w:numPr>
        <w:tabs>
          <w:tab w:val="left" w:pos="780"/>
        </w:tabs>
        <w:spacing w:before="120" w:after="120" w:line="360" w:lineRule="auto"/>
        <w:ind w:firstLine="420" w:firstLineChars="200"/>
        <w:rPr>
          <w:rFonts w:ascii="宋体" w:hAnsi="宋体" w:cs="宋体"/>
          <w:color w:val="auto"/>
          <w:sz w:val="21"/>
          <w:highlight w:val="none"/>
        </w:rPr>
      </w:pPr>
      <w:r>
        <w:rPr>
          <w:rFonts w:hint="eastAsia" w:ascii="宋体" w:hAnsi="宋体" w:cs="宋体"/>
          <w:color w:val="auto"/>
          <w:sz w:val="21"/>
          <w:highlight w:val="none"/>
        </w:rPr>
        <w:t>2、实际施工过程中，采购方将严格检查验收进场原材料的合格证及质保书，如发现实样与质保书不符，应立即取样进行复查，对不合格的材料严禁用于本工程。</w:t>
      </w:r>
    </w:p>
    <w:p>
      <w:pPr>
        <w:pStyle w:val="50"/>
        <w:spacing w:before="120" w:after="120" w:line="360" w:lineRule="auto"/>
        <w:ind w:firstLine="420"/>
        <w:rPr>
          <w:rFonts w:ascii="宋体" w:hAnsi="宋体" w:cs="宋体"/>
          <w:color w:val="auto"/>
          <w:sz w:val="21"/>
          <w:highlight w:val="none"/>
        </w:rPr>
      </w:pPr>
      <w:r>
        <w:rPr>
          <w:rFonts w:hint="eastAsia" w:ascii="宋体" w:hAnsi="宋体" w:cs="宋体"/>
          <w:color w:val="auto"/>
          <w:sz w:val="21"/>
          <w:highlight w:val="none"/>
        </w:rPr>
        <w:t>3、本工程涉及的主要材料及零星材料，各磋商供应商须根据采购人要求及规范进行选材并报价，所有材料要求采用在行业内有一定知名度的品牌(磋商文件已定品牌的按磋商文件)，材料生产厂家必须通过ISO质量认证，并符合环保要求，严禁选择不合设计要求的低档材料进行投标报价及组织施工实施。</w:t>
      </w:r>
    </w:p>
    <w:p>
      <w:pPr>
        <w:pStyle w:val="50"/>
        <w:spacing w:before="120" w:after="120" w:line="360" w:lineRule="auto"/>
        <w:ind w:firstLine="422"/>
        <w:rPr>
          <w:rFonts w:ascii="宋体" w:hAnsi="宋体" w:cs="宋体"/>
          <w:b/>
          <w:color w:val="auto"/>
          <w:sz w:val="21"/>
          <w:highlight w:val="none"/>
        </w:rPr>
      </w:pPr>
      <w:r>
        <w:rPr>
          <w:rFonts w:hint="eastAsia" w:ascii="宋体" w:hAnsi="宋体" w:cs="宋体"/>
          <w:b/>
          <w:color w:val="auto"/>
          <w:sz w:val="21"/>
          <w:highlight w:val="none"/>
        </w:rPr>
        <w:t>4、磋商供应商应按“主要材料（设备）推荐品牌”要求投标报价，并在响应文件主要材料品牌表里明确品牌、规格、型号、单位等。如磋商供应商没有按磋商文件要求进行选择，或没有明确注明，或所选材料设备的材质、规格、档次与磋商文件要求的存在明显差别，或虽按磋商文件推荐的材料品牌选择但该材料因某种原因停产或其他原因而不能供应的，或虽注明品牌未注明型号、规格的，则实际施工过程中采购人有权在磋商文件推荐的材料品牌范围内自行确定品牌和规格，且投标价格不予调整。</w:t>
      </w:r>
    </w:p>
    <w:p>
      <w:pPr>
        <w:pStyle w:val="50"/>
        <w:spacing w:before="120" w:after="120" w:line="360" w:lineRule="auto"/>
        <w:ind w:firstLine="422"/>
        <w:jc w:val="center"/>
        <w:rPr>
          <w:rFonts w:ascii="宋体" w:hAnsi="宋体" w:cs="宋体"/>
          <w:b/>
          <w:color w:val="auto"/>
          <w:sz w:val="21"/>
          <w:highlight w:val="none"/>
        </w:rPr>
      </w:pPr>
    </w:p>
    <w:p>
      <w:pPr>
        <w:pStyle w:val="50"/>
        <w:spacing w:before="120" w:after="120" w:line="360" w:lineRule="auto"/>
        <w:ind w:firstLine="422"/>
        <w:jc w:val="center"/>
        <w:rPr>
          <w:rFonts w:ascii="宋体" w:hAnsi="宋体" w:cs="宋体"/>
          <w:color w:val="auto"/>
          <w:sz w:val="21"/>
          <w:highlight w:val="none"/>
        </w:rPr>
      </w:pPr>
      <w:r>
        <w:rPr>
          <w:rFonts w:hint="eastAsia" w:ascii="宋体" w:hAnsi="宋体" w:cs="宋体"/>
          <w:b/>
          <w:color w:val="auto"/>
          <w:sz w:val="21"/>
          <w:highlight w:val="none"/>
        </w:rPr>
        <w:t>主要材料推荐品牌表</w:t>
      </w:r>
    </w:p>
    <w:tbl>
      <w:tblPr>
        <w:tblStyle w:val="19"/>
        <w:tblW w:w="5002" w:type="pct"/>
        <w:tblInd w:w="0" w:type="dxa"/>
        <w:tblLayout w:type="autofit"/>
        <w:tblCellMar>
          <w:top w:w="0" w:type="dxa"/>
          <w:left w:w="0" w:type="dxa"/>
          <w:bottom w:w="0" w:type="dxa"/>
          <w:right w:w="0" w:type="dxa"/>
        </w:tblCellMar>
      </w:tblPr>
      <w:tblGrid>
        <w:gridCol w:w="4737"/>
        <w:gridCol w:w="4323"/>
      </w:tblGrid>
      <w:tr>
        <w:tblPrEx>
          <w:tblCellMar>
            <w:top w:w="0" w:type="dxa"/>
            <w:left w:w="0" w:type="dxa"/>
            <w:bottom w:w="0" w:type="dxa"/>
            <w:right w:w="0" w:type="dxa"/>
          </w:tblCellMar>
        </w:tblPrEx>
        <w:trPr>
          <w:trHeight w:val="540" w:hRule="atLeast"/>
        </w:trPr>
        <w:tc>
          <w:tcPr>
            <w:tcW w:w="261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b/>
                <w:color w:val="auto"/>
                <w:szCs w:val="21"/>
                <w:highlight w:val="none"/>
              </w:rPr>
            </w:pPr>
            <w:bookmarkStart w:id="65" w:name="_Toc519000564"/>
            <w:bookmarkStart w:id="66" w:name="_Toc91422889"/>
            <w:bookmarkStart w:id="67" w:name="_Toc420505112"/>
            <w:bookmarkStart w:id="68" w:name="_Toc229386806"/>
            <w:bookmarkStart w:id="69" w:name="_Toc442102515"/>
            <w:r>
              <w:rPr>
                <w:rFonts w:hint="eastAsia" w:ascii="宋体" w:hAnsi="宋体" w:cs="宋体"/>
                <w:b/>
                <w:color w:val="auto"/>
                <w:szCs w:val="21"/>
                <w:highlight w:val="none"/>
                <w:lang w:bidi="ar"/>
              </w:rPr>
              <w:t>材料或设备名称</w:t>
            </w:r>
          </w:p>
        </w:tc>
        <w:tc>
          <w:tcPr>
            <w:tcW w:w="23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b/>
                <w:color w:val="auto"/>
                <w:szCs w:val="21"/>
                <w:highlight w:val="none"/>
              </w:rPr>
            </w:pPr>
            <w:r>
              <w:rPr>
                <w:rFonts w:hint="eastAsia" w:ascii="宋体" w:hAnsi="宋体" w:cs="宋体"/>
                <w:b/>
                <w:color w:val="auto"/>
                <w:szCs w:val="21"/>
                <w:highlight w:val="none"/>
                <w:lang w:bidi="ar"/>
              </w:rPr>
              <w:t>品牌</w:t>
            </w:r>
          </w:p>
        </w:tc>
      </w:tr>
      <w:tr>
        <w:tblPrEx>
          <w:tblCellMar>
            <w:top w:w="0" w:type="dxa"/>
            <w:left w:w="0" w:type="dxa"/>
            <w:bottom w:w="0" w:type="dxa"/>
            <w:right w:w="0" w:type="dxa"/>
          </w:tblCellMar>
        </w:tblPrEx>
        <w:trPr>
          <w:trHeight w:val="540" w:hRule="atLeast"/>
        </w:trPr>
        <w:tc>
          <w:tcPr>
            <w:tcW w:w="261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瓷砖</w:t>
            </w:r>
          </w:p>
        </w:tc>
        <w:tc>
          <w:tcPr>
            <w:tcW w:w="23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鹰牌</w:t>
            </w:r>
            <w:r>
              <w:rPr>
                <w:rFonts w:hint="eastAsia" w:ascii="宋体" w:hAnsi="宋体" w:cs="宋体"/>
                <w:color w:val="auto"/>
                <w:szCs w:val="21"/>
                <w:highlight w:val="none"/>
                <w:lang w:eastAsia="zh-CN"/>
              </w:rPr>
              <w:t>、星杰、宏宇陶瓷</w:t>
            </w:r>
          </w:p>
        </w:tc>
      </w:tr>
      <w:tr>
        <w:tblPrEx>
          <w:tblCellMar>
            <w:top w:w="0" w:type="dxa"/>
            <w:left w:w="0" w:type="dxa"/>
            <w:bottom w:w="0" w:type="dxa"/>
            <w:right w:w="0" w:type="dxa"/>
          </w:tblCellMar>
        </w:tblPrEx>
        <w:trPr>
          <w:trHeight w:val="540" w:hRule="atLeast"/>
        </w:trPr>
        <w:tc>
          <w:tcPr>
            <w:tcW w:w="261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防滑地砖</w:t>
            </w:r>
          </w:p>
        </w:tc>
        <w:tc>
          <w:tcPr>
            <w:tcW w:w="23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樊亨</w:t>
            </w:r>
            <w:r>
              <w:rPr>
                <w:rFonts w:hint="eastAsia" w:ascii="宋体" w:hAnsi="宋体" w:cs="宋体"/>
                <w:color w:val="auto"/>
                <w:szCs w:val="21"/>
                <w:highlight w:val="none"/>
                <w:lang w:eastAsia="zh-CN"/>
              </w:rPr>
              <w:t>、宏宇陶瓷、鹰牌</w:t>
            </w:r>
          </w:p>
        </w:tc>
      </w:tr>
      <w:tr>
        <w:tblPrEx>
          <w:tblCellMar>
            <w:top w:w="0" w:type="dxa"/>
            <w:left w:w="0" w:type="dxa"/>
            <w:bottom w:w="0" w:type="dxa"/>
            <w:right w:w="0" w:type="dxa"/>
          </w:tblCellMar>
        </w:tblPrEx>
        <w:trPr>
          <w:trHeight w:val="540" w:hRule="atLeast"/>
        </w:trPr>
        <w:tc>
          <w:tcPr>
            <w:tcW w:w="261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铝扣板吊顶</w:t>
            </w:r>
          </w:p>
        </w:tc>
        <w:tc>
          <w:tcPr>
            <w:tcW w:w="23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美克莱</w:t>
            </w:r>
            <w:r>
              <w:rPr>
                <w:rFonts w:hint="eastAsia" w:ascii="宋体" w:hAnsi="宋体" w:cs="宋体"/>
                <w:color w:val="auto"/>
                <w:szCs w:val="21"/>
                <w:highlight w:val="none"/>
                <w:lang w:eastAsia="zh-CN"/>
              </w:rPr>
              <w:t>、金顶、科莱思诚</w:t>
            </w:r>
          </w:p>
        </w:tc>
      </w:tr>
      <w:tr>
        <w:tblPrEx>
          <w:tblCellMar>
            <w:top w:w="0" w:type="dxa"/>
            <w:left w:w="0" w:type="dxa"/>
            <w:bottom w:w="0" w:type="dxa"/>
            <w:right w:w="0" w:type="dxa"/>
          </w:tblCellMar>
        </w:tblPrEx>
        <w:trPr>
          <w:trHeight w:val="540" w:hRule="atLeast"/>
        </w:trPr>
        <w:tc>
          <w:tcPr>
            <w:tcW w:w="261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洗漱盆</w:t>
            </w:r>
          </w:p>
        </w:tc>
        <w:tc>
          <w:tcPr>
            <w:tcW w:w="23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箭牌</w:t>
            </w:r>
            <w:r>
              <w:rPr>
                <w:rFonts w:hint="eastAsia" w:ascii="宋体" w:hAnsi="宋体" w:cs="宋体"/>
                <w:color w:val="auto"/>
                <w:szCs w:val="21"/>
                <w:highlight w:val="none"/>
                <w:lang w:eastAsia="zh-CN"/>
              </w:rPr>
              <w:t>、惠达、科勒</w:t>
            </w:r>
          </w:p>
        </w:tc>
      </w:tr>
      <w:tr>
        <w:tblPrEx>
          <w:tblCellMar>
            <w:top w:w="0" w:type="dxa"/>
            <w:left w:w="0" w:type="dxa"/>
            <w:bottom w:w="0" w:type="dxa"/>
            <w:right w:w="0" w:type="dxa"/>
          </w:tblCellMar>
        </w:tblPrEx>
        <w:trPr>
          <w:trHeight w:val="540" w:hRule="atLeast"/>
        </w:trPr>
        <w:tc>
          <w:tcPr>
            <w:tcW w:w="261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瓷蹲式大便器</w:t>
            </w:r>
          </w:p>
        </w:tc>
        <w:tc>
          <w:tcPr>
            <w:tcW w:w="23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auto"/>
                <w:szCs w:val="21"/>
                <w:highlight w:val="none"/>
              </w:rPr>
            </w:pPr>
            <w:r>
              <w:rPr>
                <w:rFonts w:hint="eastAsia" w:ascii="宋体" w:hAnsi="宋体" w:cs="宋体"/>
                <w:color w:val="auto"/>
                <w:szCs w:val="21"/>
                <w:highlight w:val="none"/>
              </w:rPr>
              <w:t>箭牌</w:t>
            </w:r>
            <w:r>
              <w:rPr>
                <w:rFonts w:hint="eastAsia" w:ascii="宋体" w:hAnsi="宋体" w:cs="宋体"/>
                <w:color w:val="auto"/>
                <w:szCs w:val="21"/>
                <w:highlight w:val="none"/>
                <w:lang w:eastAsia="zh-CN"/>
              </w:rPr>
              <w:t>、惠达、申鹭达</w:t>
            </w:r>
          </w:p>
        </w:tc>
      </w:tr>
      <w:tr>
        <w:tblPrEx>
          <w:tblCellMar>
            <w:top w:w="0" w:type="dxa"/>
            <w:left w:w="0" w:type="dxa"/>
            <w:bottom w:w="0" w:type="dxa"/>
            <w:right w:w="0" w:type="dxa"/>
          </w:tblCellMar>
        </w:tblPrEx>
        <w:trPr>
          <w:trHeight w:val="540" w:hRule="atLeast"/>
        </w:trPr>
        <w:tc>
          <w:tcPr>
            <w:tcW w:w="261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挂式小便器</w:t>
            </w:r>
          </w:p>
        </w:tc>
        <w:tc>
          <w:tcPr>
            <w:tcW w:w="23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申鹭达</w:t>
            </w:r>
            <w:r>
              <w:rPr>
                <w:rFonts w:hint="eastAsia" w:ascii="宋体" w:hAnsi="宋体" w:cs="宋体"/>
                <w:color w:val="auto"/>
                <w:szCs w:val="21"/>
                <w:highlight w:val="none"/>
                <w:lang w:eastAsia="zh-CN"/>
              </w:rPr>
              <w:t>、箭牌、九牧王</w:t>
            </w:r>
          </w:p>
        </w:tc>
      </w:tr>
    </w:tbl>
    <w:p>
      <w:pPr>
        <w:spacing w:line="320" w:lineRule="exact"/>
        <w:rPr>
          <w:rFonts w:ascii="宋体" w:hAnsi="宋体" w:cs="宋体"/>
          <w:b/>
          <w:bCs/>
          <w:color w:val="auto"/>
          <w:sz w:val="20"/>
          <w:szCs w:val="20"/>
          <w:highlight w:val="none"/>
          <w:u w:val="single"/>
        </w:rPr>
      </w:pPr>
    </w:p>
    <w:p>
      <w:pPr>
        <w:spacing w:line="320" w:lineRule="exact"/>
        <w:rPr>
          <w:rFonts w:ascii="宋体" w:hAnsi="宋体" w:cs="宋体"/>
          <w:b/>
          <w:bCs/>
          <w:color w:val="auto"/>
          <w:sz w:val="20"/>
          <w:szCs w:val="20"/>
          <w:highlight w:val="none"/>
          <w:u w:val="single"/>
        </w:rPr>
      </w:pPr>
      <w:r>
        <w:rPr>
          <w:rFonts w:hint="eastAsia" w:ascii="宋体" w:hAnsi="宋体" w:cs="宋体"/>
          <w:b/>
          <w:bCs/>
          <w:color w:val="auto"/>
          <w:sz w:val="20"/>
          <w:szCs w:val="20"/>
          <w:highlight w:val="none"/>
          <w:u w:val="single"/>
        </w:rPr>
        <w:t>关于推荐品牌：</w:t>
      </w:r>
    </w:p>
    <w:p>
      <w:pPr>
        <w:spacing w:line="320" w:lineRule="exact"/>
        <w:ind w:firstLine="402" w:firstLineChars="200"/>
        <w:rPr>
          <w:rFonts w:ascii="宋体" w:hAnsi="宋体" w:cs="宋体"/>
          <w:b/>
          <w:bCs/>
          <w:color w:val="auto"/>
          <w:sz w:val="20"/>
          <w:szCs w:val="20"/>
          <w:highlight w:val="none"/>
          <w:u w:val="single"/>
        </w:rPr>
      </w:pPr>
      <w:r>
        <w:rPr>
          <w:rFonts w:hint="eastAsia" w:ascii="宋体" w:hAnsi="宋体" w:cs="宋体"/>
          <w:b/>
          <w:bCs/>
          <w:color w:val="auto"/>
          <w:sz w:val="20"/>
          <w:szCs w:val="20"/>
          <w:highlight w:val="none"/>
          <w:u w:val="single"/>
        </w:rPr>
        <w:t>①磋商文件中对主要材料设备品牌、厂家、规格、型号有推荐的，磋商响应供应商应采用并选用其中高档产品，或选用与招标人推荐的品牌相当及以上的中高档产品，如磋商响应供应商所选材料设备的材质、规格、颜色、档次与磋商文件及施工图纸要求的存在明显差别，或虽按磋商文件推荐的材料品牌选择但该材料因某种原因停产或其他原因而不能供应的，则实际施工过程中招标人有权在磋商文件推荐的材料品牌中自行确定，且投标价格不予调整。</w:t>
      </w:r>
    </w:p>
    <w:p>
      <w:pPr>
        <w:spacing w:line="320" w:lineRule="exact"/>
        <w:ind w:firstLine="402" w:firstLineChars="200"/>
        <w:rPr>
          <w:rFonts w:ascii="宋体" w:hAnsi="宋体" w:cs="宋体"/>
          <w:b/>
          <w:bCs/>
          <w:color w:val="auto"/>
          <w:sz w:val="20"/>
          <w:szCs w:val="20"/>
          <w:highlight w:val="none"/>
          <w:u w:val="single"/>
        </w:rPr>
      </w:pPr>
      <w:r>
        <w:rPr>
          <w:rFonts w:hint="eastAsia" w:ascii="宋体" w:hAnsi="宋体" w:cs="宋体"/>
          <w:b/>
          <w:bCs/>
          <w:color w:val="auto"/>
          <w:sz w:val="20"/>
          <w:szCs w:val="20"/>
          <w:highlight w:val="none"/>
          <w:u w:val="single"/>
        </w:rPr>
        <w:t>②磋商文件中对材料的品牌、规格、型号没有具体规定的，由磋商响应供应商按磋商文件及施工图的要求按中高档进行投标报价，并在“ 主要材料品牌一览表“的投标品牌一栏里注明所选材料设备的品牌、规格、型号，若磋商响应供应商没有进行注明的，则招标人有权指定品牌，投标价格不调整。</w:t>
      </w:r>
    </w:p>
    <w:p>
      <w:pPr>
        <w:spacing w:line="320" w:lineRule="exact"/>
        <w:ind w:firstLine="402" w:firstLineChars="200"/>
        <w:rPr>
          <w:rFonts w:ascii="宋体" w:hAnsi="宋体" w:cs="宋体"/>
          <w:b/>
          <w:bCs/>
          <w:color w:val="auto"/>
          <w:sz w:val="20"/>
          <w:szCs w:val="20"/>
          <w:highlight w:val="none"/>
          <w:u w:val="single"/>
        </w:rPr>
      </w:pPr>
      <w:r>
        <w:rPr>
          <w:rFonts w:hint="eastAsia" w:ascii="宋体" w:hAnsi="宋体" w:cs="宋体"/>
          <w:b/>
          <w:bCs/>
          <w:color w:val="auto"/>
          <w:sz w:val="20"/>
          <w:szCs w:val="20"/>
          <w:highlight w:val="none"/>
          <w:u w:val="single"/>
        </w:rPr>
        <w:t>③发包人有权根据实际情况在发包人推荐的供应商（厂家）或品牌范围内进行调整，承包人须接受调整，并不得因此而要求调价。</w:t>
      </w:r>
    </w:p>
    <w:p>
      <w:pPr>
        <w:spacing w:line="320" w:lineRule="exact"/>
        <w:ind w:firstLine="402" w:firstLineChars="200"/>
        <w:rPr>
          <w:rFonts w:ascii="宋体" w:hAnsi="宋体" w:cs="宋体"/>
          <w:b/>
          <w:bCs/>
          <w:color w:val="auto"/>
          <w:sz w:val="20"/>
          <w:szCs w:val="20"/>
          <w:highlight w:val="none"/>
          <w:u w:val="single"/>
        </w:rPr>
      </w:pPr>
      <w:r>
        <w:rPr>
          <w:rFonts w:hint="eastAsia" w:ascii="宋体" w:hAnsi="宋体" w:cs="宋体"/>
          <w:b/>
          <w:bCs/>
          <w:color w:val="auto"/>
          <w:sz w:val="20"/>
          <w:szCs w:val="20"/>
          <w:highlight w:val="none"/>
          <w:u w:val="single"/>
        </w:rPr>
        <w:t>④若磋商响应供应商未明确品牌，招标人将在此表 “推荐品牌或厂家”中指定品牌及型号，投标报价不予调整。</w:t>
      </w:r>
    </w:p>
    <w:p>
      <w:pPr>
        <w:spacing w:line="320" w:lineRule="exact"/>
        <w:ind w:firstLine="402" w:firstLineChars="200"/>
        <w:rPr>
          <w:rFonts w:ascii="宋体" w:hAnsi="宋体" w:cs="宋体"/>
          <w:b/>
          <w:bCs/>
          <w:color w:val="auto"/>
          <w:sz w:val="20"/>
          <w:szCs w:val="20"/>
          <w:highlight w:val="none"/>
          <w:u w:val="single"/>
        </w:rPr>
      </w:pPr>
      <w:r>
        <w:rPr>
          <w:rFonts w:hint="eastAsia" w:ascii="宋体" w:hAnsi="宋体" w:cs="宋体"/>
          <w:b/>
          <w:bCs/>
          <w:color w:val="auto"/>
          <w:sz w:val="20"/>
          <w:szCs w:val="20"/>
          <w:highlight w:val="none"/>
          <w:u w:val="single"/>
        </w:rPr>
        <w:t>⑤如本表选型与设计说明及招标图有矛盾的，一律以本表为准；</w:t>
      </w:r>
    </w:p>
    <w:p>
      <w:pPr>
        <w:spacing w:line="320" w:lineRule="exact"/>
        <w:ind w:firstLine="402" w:firstLineChars="200"/>
        <w:rPr>
          <w:rFonts w:ascii="宋体" w:hAnsi="宋体" w:cs="宋体"/>
          <w:b/>
          <w:bCs/>
          <w:color w:val="auto"/>
          <w:sz w:val="32"/>
          <w:szCs w:val="32"/>
          <w:highlight w:val="none"/>
        </w:rPr>
      </w:pPr>
      <w:r>
        <w:rPr>
          <w:rFonts w:hint="eastAsia" w:ascii="宋体" w:hAnsi="宋体" w:cs="宋体"/>
          <w:b/>
          <w:bCs/>
          <w:color w:val="auto"/>
          <w:sz w:val="20"/>
          <w:szCs w:val="20"/>
          <w:highlight w:val="none"/>
          <w:u w:val="single"/>
        </w:rPr>
        <w:t>⑦磋商响应供应商在响应文件中若提供了招标人推荐品牌外的产品，应同时提供相当于招标人推荐品牌产品的证明材料。评标时，评标专家应根据磋商响应供应商的证明材料及专业水平进行谨慎评标，对推荐品牌外产品能否满足招标人要求作出明确说明，对于未提供相关证明材料或提供的证明材料依据不足时，评标专家在详细说明的情况下可认定技术参数不满足。</w:t>
      </w:r>
    </w:p>
    <w:p>
      <w:pPr>
        <w:tabs>
          <w:tab w:val="left" w:pos="300"/>
        </w:tabs>
        <w:spacing w:line="366" w:lineRule="exact"/>
        <w:rPr>
          <w:rFonts w:ascii="宋体" w:hAnsi="宋体" w:cs="宋体"/>
          <w:b/>
          <w:bCs/>
          <w:color w:val="auto"/>
          <w:sz w:val="32"/>
          <w:szCs w:val="32"/>
          <w:highlight w:val="none"/>
        </w:rPr>
      </w:pPr>
    </w:p>
    <w:p>
      <w:pPr>
        <w:pStyle w:val="4"/>
        <w:rPr>
          <w:rFonts w:ascii="宋体" w:hAnsi="宋体" w:cs="宋体"/>
          <w:color w:val="auto"/>
          <w:sz w:val="21"/>
          <w:szCs w:val="21"/>
          <w:highlight w:val="none"/>
        </w:rPr>
      </w:pPr>
      <w:bookmarkStart w:id="70" w:name="_Toc5425_WPSOffice_Level2"/>
      <w:bookmarkStart w:id="71" w:name="_Toc6474"/>
      <w:bookmarkStart w:id="72" w:name="_Toc3986_WPSOffice_Level2"/>
      <w:r>
        <w:rPr>
          <w:rFonts w:hint="eastAsia" w:ascii="宋体" w:hAnsi="宋体" w:cs="宋体"/>
          <w:color w:val="auto"/>
          <w:sz w:val="21"/>
          <w:szCs w:val="21"/>
          <w:highlight w:val="none"/>
        </w:rPr>
        <w:t>五、工程管理的要求</w:t>
      </w:r>
      <w:bookmarkEnd w:id="65"/>
      <w:bookmarkEnd w:id="66"/>
      <w:bookmarkEnd w:id="67"/>
      <w:bookmarkEnd w:id="68"/>
      <w:bookmarkEnd w:id="69"/>
      <w:bookmarkEnd w:id="70"/>
      <w:bookmarkEnd w:id="71"/>
      <w:bookmarkEnd w:id="72"/>
    </w:p>
    <w:p>
      <w:pPr>
        <w:pStyle w:val="50"/>
        <w:spacing w:before="120" w:after="120" w:line="360" w:lineRule="auto"/>
        <w:ind w:firstLine="420"/>
        <w:rPr>
          <w:rFonts w:ascii="宋体" w:hAnsi="宋体" w:cs="宋体"/>
          <w:color w:val="auto"/>
          <w:sz w:val="21"/>
          <w:highlight w:val="none"/>
        </w:rPr>
      </w:pPr>
      <w:r>
        <w:rPr>
          <w:rFonts w:hint="eastAsia" w:ascii="宋体" w:hAnsi="宋体" w:cs="宋体"/>
          <w:color w:val="auto"/>
          <w:sz w:val="21"/>
          <w:highlight w:val="none"/>
        </w:rPr>
        <w:t>1、本工程发包范围内的工程项目，未经采购人同意一律不得分包。一经发现立即取消承包资格，作违约处理，并承担由此引起的一切经济损失。</w:t>
      </w:r>
    </w:p>
    <w:p>
      <w:pPr>
        <w:pStyle w:val="50"/>
        <w:spacing w:before="120" w:after="120" w:line="360" w:lineRule="auto"/>
        <w:ind w:firstLine="420"/>
        <w:rPr>
          <w:rFonts w:ascii="宋体" w:hAnsi="宋体" w:cs="宋体"/>
          <w:color w:val="auto"/>
          <w:sz w:val="21"/>
          <w:highlight w:val="none"/>
        </w:rPr>
      </w:pPr>
      <w:r>
        <w:rPr>
          <w:rFonts w:hint="eastAsia" w:ascii="宋体" w:hAnsi="宋体" w:cs="宋体"/>
          <w:color w:val="auto"/>
          <w:sz w:val="21"/>
          <w:highlight w:val="none"/>
        </w:rPr>
        <w:t>2、成交供应商应严格按已确认施工技术方案组织施工，并无条件地接受采购人代表对施工质量的监督和管理。</w:t>
      </w:r>
    </w:p>
    <w:p>
      <w:pPr>
        <w:pStyle w:val="50"/>
        <w:spacing w:before="120" w:after="120" w:line="360" w:lineRule="auto"/>
        <w:ind w:firstLine="420"/>
        <w:rPr>
          <w:rFonts w:ascii="宋体" w:hAnsi="宋体" w:cs="宋体"/>
          <w:color w:val="auto"/>
          <w:sz w:val="21"/>
          <w:highlight w:val="none"/>
        </w:rPr>
      </w:pPr>
      <w:r>
        <w:rPr>
          <w:rFonts w:hint="eastAsia" w:ascii="宋体" w:hAnsi="宋体" w:cs="宋体"/>
          <w:color w:val="auto"/>
          <w:sz w:val="21"/>
          <w:highlight w:val="none"/>
        </w:rPr>
        <w:t>3、成交供应商在工程施工全过程中要认真做好产品保护。因失窃或失火造成的损失均由承包方负责，凡由此而损及采购人利益时，采购人将向中标施工单位索赔。</w:t>
      </w:r>
    </w:p>
    <w:p>
      <w:pPr>
        <w:pStyle w:val="4"/>
        <w:rPr>
          <w:rFonts w:ascii="宋体" w:hAnsi="宋体" w:cs="宋体"/>
          <w:color w:val="auto"/>
          <w:sz w:val="21"/>
          <w:szCs w:val="21"/>
          <w:highlight w:val="none"/>
        </w:rPr>
      </w:pPr>
      <w:bookmarkStart w:id="73" w:name="_Toc6004_WPSOffice_Level2"/>
      <w:bookmarkStart w:id="74" w:name="_Toc32648_WPSOffice_Level2"/>
      <w:bookmarkStart w:id="75" w:name="_Toc17502"/>
      <w:r>
        <w:rPr>
          <w:rFonts w:hint="eastAsia" w:ascii="宋体" w:hAnsi="宋体" w:cs="宋体"/>
          <w:color w:val="auto"/>
          <w:sz w:val="21"/>
          <w:szCs w:val="21"/>
          <w:highlight w:val="none"/>
        </w:rPr>
        <w:t>六、其它要求</w:t>
      </w:r>
      <w:bookmarkEnd w:id="73"/>
      <w:bookmarkEnd w:id="74"/>
      <w:bookmarkEnd w:id="75"/>
    </w:p>
    <w:p>
      <w:pP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u w:val="single"/>
        </w:rPr>
        <w:t>清单中计量单位为“项”的子目请投标单位自行踏勘现场综合报价，作为专业承包商</w:t>
      </w:r>
      <w:bookmarkStart w:id="76" w:name="page23"/>
      <w:bookmarkEnd w:id="76"/>
      <w:r>
        <w:rPr>
          <w:rFonts w:hint="eastAsia" w:ascii="宋体" w:hAnsi="宋体" w:cs="宋体"/>
          <w:b/>
          <w:bCs/>
          <w:color w:val="auto"/>
          <w:szCs w:val="21"/>
          <w:highlight w:val="none"/>
          <w:u w:val="single"/>
        </w:rPr>
        <w:t>投标时有义务和责任认真踏勘施工现场，认真核对工程量清单中施工内容和工程量，对项目需求进行深化、细化、完善和调整，中标后任何因现场勘查不足、图纸、工程量清单等不足或深化后的方案而造成的额外工程量变更均不得调整中标金额。</w:t>
      </w:r>
    </w:p>
    <w:p>
      <w:pPr>
        <w:spacing w:line="360" w:lineRule="auto"/>
        <w:ind w:right="366" w:firstLine="420" w:firstLineChars="200"/>
        <w:rPr>
          <w:rFonts w:ascii="宋体" w:hAnsi="宋体" w:cs="宋体"/>
          <w:color w:val="auto"/>
          <w:szCs w:val="21"/>
          <w:highlight w:val="none"/>
        </w:rPr>
      </w:pPr>
      <w:r>
        <w:rPr>
          <w:rFonts w:hint="eastAsia" w:ascii="宋体" w:hAnsi="宋体" w:cs="宋体"/>
          <w:color w:val="auto"/>
          <w:szCs w:val="21"/>
          <w:highlight w:val="none"/>
        </w:rPr>
        <w:t>1、成交供应商施工前，要制定详细的施工方案和进度计划，经建设单位批准后方可开工。否则不允许开工，造成工期延误由施工方负责。</w:t>
      </w:r>
    </w:p>
    <w:p>
      <w:pPr>
        <w:spacing w:line="360" w:lineRule="auto"/>
        <w:ind w:right="346" w:firstLine="420" w:firstLineChars="200"/>
        <w:rPr>
          <w:rFonts w:ascii="宋体" w:hAnsi="宋体" w:cs="宋体"/>
          <w:color w:val="auto"/>
          <w:szCs w:val="21"/>
          <w:highlight w:val="none"/>
        </w:rPr>
      </w:pPr>
      <w:r>
        <w:rPr>
          <w:rFonts w:hint="eastAsia" w:ascii="宋体" w:hAnsi="宋体" w:cs="宋体"/>
          <w:color w:val="auto"/>
          <w:szCs w:val="21"/>
          <w:highlight w:val="none"/>
        </w:rPr>
        <w:t>2、施工过程做好隐蔽工程的验收，每个分项工程、检验批经建设单位验收合格后方可隐蔽。未经隐蔽工程验收就擅自隐蔽，建设单位有权进行剥露检查，发生费用由施工方负责。</w:t>
      </w:r>
    </w:p>
    <w:p>
      <w:pPr>
        <w:spacing w:line="360" w:lineRule="auto"/>
        <w:ind w:right="346" w:firstLine="420" w:firstLineChars="200"/>
        <w:rPr>
          <w:rFonts w:ascii="宋体" w:hAnsi="宋体" w:cs="宋体"/>
          <w:color w:val="auto"/>
          <w:szCs w:val="21"/>
          <w:highlight w:val="none"/>
        </w:rPr>
      </w:pPr>
      <w:r>
        <w:rPr>
          <w:rFonts w:hint="eastAsia" w:ascii="宋体" w:hAnsi="宋体" w:cs="宋体"/>
          <w:color w:val="auto"/>
          <w:szCs w:val="21"/>
          <w:highlight w:val="none"/>
        </w:rPr>
        <w:t>3、工程中使用材料必须是环保无污染材料，并进行防火处理。进场必须提供合格证和检测报告，按照验收规范要求进行材料复试的，由建设单位抽样进行复试，确保材料符合设计要求，达到防火、环保要求。</w:t>
      </w:r>
    </w:p>
    <w:p>
      <w:pPr>
        <w:spacing w:line="360" w:lineRule="auto"/>
        <w:ind w:right="346" w:firstLine="420" w:firstLineChars="200"/>
        <w:rPr>
          <w:rFonts w:ascii="宋体" w:hAnsi="宋体" w:cs="宋体"/>
          <w:color w:val="auto"/>
          <w:szCs w:val="21"/>
          <w:highlight w:val="none"/>
        </w:rPr>
      </w:pPr>
      <w:r>
        <w:rPr>
          <w:rFonts w:hint="eastAsia" w:ascii="宋体" w:hAnsi="宋体" w:cs="宋体"/>
          <w:color w:val="auto"/>
          <w:szCs w:val="21"/>
          <w:highlight w:val="none"/>
        </w:rPr>
        <w:t>4、工程中使用材料在施工前，必须向建设单位提供样品、做样板，经建设单位确认后方可施工。否则返工发生费用施工方自付。</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5、工程使用材料、设备要建立档案，分部分项工程建立工程验收档案。工程完工后，向建设单位移交工程档案，档案资料不齐全、不符合要求，工程不予结算。</w:t>
      </w:r>
      <w:bookmarkStart w:id="77" w:name="page25"/>
      <w:bookmarkEnd w:id="77"/>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6、工程结束后施工方在自检合格基础上，报建设单位验收。建设单位组织设计、施工相关参与方进行验收，相关设备、仪器等功能检测要求进行现场试验和检测，验收合格方可投入使用。</w:t>
      </w:r>
    </w:p>
    <w:p>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7、开工前承包人提供的项目管理班子成员须经发包人审核同意。项目经理、施工员、安全员等必须符合投标书中的承诺，管理力量的配备不得低于投标文件中的承诺，否则视作承包人违约，发包人没收履约保证金。工程实施中，承包人提出更换管理人员，无论发包人是否同意，视作承包人违约，处5万元/人/次（发包人要求除外），同时拟更换的人员须经发包人书面同意。</w:t>
      </w:r>
    </w:p>
    <w:p>
      <w:pPr>
        <w:spacing w:line="360" w:lineRule="auto"/>
        <w:ind w:firstLine="422" w:firstLineChars="200"/>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8、增加的联系单按照合同规定的下浮率计算后结算。</w:t>
      </w:r>
    </w:p>
    <w:p>
      <w:pPr>
        <w:pStyle w:val="26"/>
        <w:rPr>
          <w:rFonts w:hint="eastAsia" w:ascii="宋体" w:hAnsi="宋体" w:cs="宋体"/>
          <w:b/>
          <w:bCs/>
          <w:color w:val="auto"/>
          <w:szCs w:val="21"/>
          <w:highlight w:val="none"/>
          <w:lang w:val="en-US" w:eastAsia="zh-CN"/>
        </w:rPr>
      </w:pPr>
    </w:p>
    <w:p>
      <w:pPr>
        <w:pStyle w:val="28"/>
        <w:rPr>
          <w:rFonts w:hint="eastAsia" w:ascii="宋体" w:hAnsi="宋体" w:cs="宋体"/>
          <w:b/>
          <w:bCs/>
          <w:color w:val="auto"/>
          <w:szCs w:val="21"/>
          <w:highlight w:val="none"/>
          <w:lang w:val="en-US" w:eastAsia="zh-CN"/>
        </w:rPr>
      </w:pPr>
    </w:p>
    <w:p>
      <w:pPr>
        <w:rPr>
          <w:rFonts w:hint="eastAsia" w:ascii="宋体" w:hAnsi="宋体" w:cs="宋体"/>
          <w:b/>
          <w:bCs/>
          <w:color w:val="auto"/>
          <w:szCs w:val="21"/>
          <w:highlight w:val="none"/>
          <w:lang w:val="en-US" w:eastAsia="zh-CN"/>
        </w:rPr>
      </w:pPr>
    </w:p>
    <w:p>
      <w:pPr>
        <w:pStyle w:val="4"/>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七、样品要求</w:t>
      </w:r>
    </w:p>
    <w:p>
      <w:pPr>
        <w:widowControl/>
        <w:spacing w:line="360" w:lineRule="auto"/>
        <w:ind w:right="346"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1、本项目要求在投标时提供以下样品：</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5"/>
        <w:gridCol w:w="2935"/>
        <w:gridCol w:w="2084"/>
        <w:gridCol w:w="3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序号</w:t>
            </w:r>
          </w:p>
        </w:tc>
        <w:tc>
          <w:tcPr>
            <w:tcW w:w="2935" w:type="dxa"/>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名称</w:t>
            </w:r>
          </w:p>
        </w:tc>
        <w:tc>
          <w:tcPr>
            <w:tcW w:w="2084" w:type="dxa"/>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数量</w:t>
            </w:r>
          </w:p>
        </w:tc>
        <w:tc>
          <w:tcPr>
            <w:tcW w:w="3290" w:type="dxa"/>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2935" w:type="dxa"/>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瓷砖</w:t>
            </w:r>
          </w:p>
        </w:tc>
        <w:tc>
          <w:tcPr>
            <w:tcW w:w="2084" w:type="dxa"/>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3290" w:type="dxa"/>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500*500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2935" w:type="dxa"/>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防滑地砖</w:t>
            </w:r>
          </w:p>
        </w:tc>
        <w:tc>
          <w:tcPr>
            <w:tcW w:w="2084" w:type="dxa"/>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3290" w:type="dxa"/>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600*600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2935" w:type="dxa"/>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瓷蹲式大便器</w:t>
            </w:r>
          </w:p>
        </w:tc>
        <w:tc>
          <w:tcPr>
            <w:tcW w:w="2084" w:type="dxa"/>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3290" w:type="dxa"/>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cs="宋体"/>
                <w:color w:val="auto"/>
                <w:szCs w:val="21"/>
                <w:highlight w:val="none"/>
                <w:lang w:val="en-US" w:eastAsia="zh-CN"/>
              </w:rPr>
            </w:pPr>
          </w:p>
        </w:tc>
      </w:tr>
    </w:tbl>
    <w:p>
      <w:pPr>
        <w:widowControl/>
        <w:spacing w:line="360" w:lineRule="auto"/>
        <w:ind w:right="346" w:firstLine="420" w:firstLineChars="200"/>
        <w:rPr>
          <w:rFonts w:hint="eastAsia" w:ascii="宋体" w:hAnsi="宋体" w:cs="宋体"/>
          <w:color w:val="auto"/>
          <w:szCs w:val="21"/>
          <w:highlight w:val="none"/>
          <w:lang w:val="en-US" w:eastAsia="zh-CN"/>
        </w:rPr>
      </w:pPr>
    </w:p>
    <w:p>
      <w:pPr>
        <w:widowControl/>
        <w:spacing w:line="360" w:lineRule="auto"/>
        <w:ind w:right="346"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cs="宋体"/>
          <w:snapToGrid w:val="0"/>
          <w:color w:val="auto"/>
          <w:kern w:val="0"/>
          <w:highlight w:val="none"/>
        </w:rPr>
        <w:t>样品上不得出现任何投标单位名称、标志，否则投标无效</w:t>
      </w:r>
    </w:p>
    <w:p>
      <w:pPr>
        <w:widowControl/>
        <w:spacing w:line="360" w:lineRule="auto"/>
        <w:ind w:right="346"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3、样品递交时间及地点：投标截止时间前送交到开标现场（招标人于开标前半个小时开始接收），逾期送达将予以拒收。</w:t>
      </w:r>
    </w:p>
    <w:p>
      <w:pPr>
        <w:widowControl/>
        <w:spacing w:line="360" w:lineRule="auto"/>
        <w:ind w:right="346"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4、中标供应商的样品将被封存作为履约验收的参考，未中标供应商的样品在采购活动结束后3个工作日内自行撤回，逾期将作废弃处理。</w:t>
      </w:r>
    </w:p>
    <w:p>
      <w:pPr>
        <w:widowControl/>
        <w:spacing w:line="360" w:lineRule="auto"/>
        <w:ind w:right="346" w:firstLine="420" w:firstLineChars="200"/>
        <w:rPr>
          <w:rFonts w:hint="eastAsia" w:ascii="宋体" w:hAnsi="宋体" w:cs="宋体"/>
          <w:color w:val="auto"/>
          <w:szCs w:val="21"/>
          <w:highlight w:val="none"/>
          <w:lang w:val="en-US" w:eastAsia="zh-CN"/>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所有样品费用由供应商承担，样品评审时可能对相关样品进行破坏性试验，如样品遭到破坏导致的损失由供应商自行承担，投标时请充分考虑当中风险。</w:t>
      </w:r>
    </w:p>
    <w:p>
      <w:pPr>
        <w:widowControl/>
        <w:spacing w:line="360" w:lineRule="auto"/>
        <w:ind w:right="346"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6、未提供样品的，样品分为0分。</w:t>
      </w:r>
    </w:p>
    <w:p>
      <w:pPr>
        <w:pStyle w:val="28"/>
        <w:rPr>
          <w:rFonts w:hint="eastAsia" w:ascii="宋体" w:hAnsi="宋体" w:cs="宋体"/>
          <w:b/>
          <w:bCs/>
          <w:color w:val="auto"/>
          <w:szCs w:val="21"/>
          <w:highlight w:val="none"/>
          <w:lang w:val="en-US" w:eastAsia="zh-CN"/>
        </w:rPr>
      </w:pPr>
    </w:p>
    <w:p>
      <w:pPr>
        <w:rPr>
          <w:rFonts w:hint="eastAsia"/>
          <w:color w:val="auto"/>
          <w:highlight w:val="none"/>
          <w:lang w:val="en-US" w:eastAsia="zh-CN"/>
        </w:rPr>
        <w:sectPr>
          <w:pgSz w:w="11900" w:h="16838"/>
          <w:pgMar w:top="1440" w:right="1440" w:bottom="158" w:left="1440" w:header="567" w:footer="567" w:gutter="0"/>
          <w:cols w:equalWidth="0" w:num="1">
            <w:col w:w="9026"/>
          </w:cols>
        </w:sectPr>
      </w:pPr>
    </w:p>
    <w:p>
      <w:pPr>
        <w:spacing w:line="360" w:lineRule="auto"/>
        <w:ind w:right="6"/>
        <w:jc w:val="center"/>
        <w:rPr>
          <w:rFonts w:ascii="宋体" w:hAnsi="宋体" w:cs="宋体"/>
          <w:color w:val="auto"/>
          <w:szCs w:val="21"/>
          <w:highlight w:val="none"/>
        </w:rPr>
      </w:pPr>
      <w:bookmarkStart w:id="78" w:name="_Toc3801_WPSOffice_Level2"/>
      <w:bookmarkStart w:id="79" w:name="_Toc23745_WPSOffice_Level2"/>
      <w:r>
        <w:rPr>
          <w:rFonts w:hint="eastAsia" w:ascii="宋体" w:hAnsi="宋体" w:cs="宋体"/>
          <w:b/>
          <w:bCs/>
          <w:color w:val="auto"/>
          <w:sz w:val="32"/>
          <w:szCs w:val="32"/>
          <w:highlight w:val="none"/>
        </w:rPr>
        <w:t>工程量清单编制说明</w:t>
      </w:r>
      <w:bookmarkEnd w:id="45"/>
      <w:bookmarkEnd w:id="78"/>
      <w:bookmarkEnd w:id="79"/>
    </w:p>
    <w:p>
      <w:pPr>
        <w:spacing w:line="360" w:lineRule="auto"/>
        <w:ind w:firstLine="482" w:firstLineChars="20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一、工程概况</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浙江农林大学教学大楼西侧卫生间改造工程位于浙江农林大学东湖校区，主要内容为教学楼西侧一至八层卫生间（一层为架空层，共计</w:t>
      </w:r>
      <w:r>
        <w:rPr>
          <w:rFonts w:ascii="宋体" w:hAnsi="宋体"/>
          <w:color w:val="auto"/>
          <w:sz w:val="24"/>
          <w:highlight w:val="none"/>
        </w:rPr>
        <w:t>16</w:t>
      </w:r>
      <w:r>
        <w:rPr>
          <w:rFonts w:hint="eastAsia" w:ascii="宋体" w:hAnsi="宋体"/>
          <w:color w:val="auto"/>
          <w:sz w:val="24"/>
          <w:highlight w:val="none"/>
        </w:rPr>
        <w:t>间）二次装修改造工程。</w:t>
      </w:r>
    </w:p>
    <w:p>
      <w:pPr>
        <w:spacing w:line="360" w:lineRule="auto"/>
        <w:ind w:firstLine="482" w:firstLineChars="20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二、编制范围</w:t>
      </w:r>
    </w:p>
    <w:p>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按施工图纸及委托单位明确的范围进行编制。</w:t>
      </w:r>
    </w:p>
    <w:p>
      <w:pPr>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bCs/>
          <w:color w:val="auto"/>
          <w:sz w:val="24"/>
          <w:szCs w:val="24"/>
          <w:highlight w:val="none"/>
        </w:rPr>
        <w:t>三、编制依据</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1、建设单位提供的由帝豪建设有限公司设计的施工图及相关技术规范文件。</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2、招标文件及补充文件、设计补充文件、查询单及回复、协调会议纪要。</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3、《建设工程工程量清单计价规范》（GB50</w:t>
      </w:r>
      <w:r>
        <w:rPr>
          <w:rFonts w:ascii="宋体" w:hAnsi="宋体" w:cs="宋体"/>
          <w:color w:val="auto"/>
          <w:sz w:val="24"/>
          <w:szCs w:val="24"/>
          <w:highlight w:val="none"/>
        </w:rPr>
        <w:t>500</w:t>
      </w:r>
      <w:r>
        <w:rPr>
          <w:rFonts w:hint="eastAsia" w:ascii="宋体" w:hAnsi="宋体" w:cs="宋体"/>
          <w:color w:val="auto"/>
          <w:sz w:val="24"/>
          <w:szCs w:val="24"/>
          <w:highlight w:val="none"/>
        </w:rPr>
        <w:t>-2013）及浙江省补充条款、《浙江省建设工程计价规则》2018版、《浙江省建设工程工程量清单计价指引》。</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4、《浙江省建筑工程预算定额》、《浙江省建设工程施工机械台班费用定额》等2018版计价依据及省、市相关计价管理规定。</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5、省、市造价信息及市场询价信息。</w:t>
      </w:r>
    </w:p>
    <w:p>
      <w:pPr>
        <w:spacing w:line="360" w:lineRule="auto"/>
        <w:ind w:firstLine="482" w:firstLineChars="20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四、编制说明</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1、分部分项工程量清单数量根据《建设工程工程量清单计价规范（GB50</w:t>
      </w:r>
      <w:r>
        <w:rPr>
          <w:rFonts w:ascii="宋体" w:hAnsi="宋体" w:cs="宋体"/>
          <w:color w:val="auto"/>
          <w:sz w:val="24"/>
          <w:szCs w:val="24"/>
          <w:highlight w:val="none"/>
        </w:rPr>
        <w:t>500</w:t>
      </w:r>
      <w:r>
        <w:rPr>
          <w:rFonts w:hint="eastAsia" w:ascii="宋体" w:hAnsi="宋体" w:cs="宋体"/>
          <w:color w:val="auto"/>
          <w:sz w:val="24"/>
          <w:szCs w:val="24"/>
          <w:highlight w:val="none"/>
        </w:rPr>
        <w:t>-2013）计算规则计算确定。</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2、预算书采用综合单价法计价，人工、材料、机械等消耗量按照2018版计价依据确定，人工、材料价格及相关费率计取情况如下：</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（1）人工单价按照杭建造价投资办规定20</w:t>
      </w:r>
      <w:r>
        <w:rPr>
          <w:rFonts w:ascii="宋体" w:hAnsi="宋体" w:cs="宋体"/>
          <w:color w:val="auto"/>
          <w:sz w:val="24"/>
          <w:szCs w:val="24"/>
          <w:highlight w:val="none"/>
        </w:rPr>
        <w:t>20</w:t>
      </w:r>
      <w:r>
        <w:rPr>
          <w:rFonts w:hint="eastAsia" w:ascii="宋体" w:hAnsi="宋体" w:cs="宋体"/>
          <w:color w:val="auto"/>
          <w:sz w:val="24"/>
          <w:szCs w:val="24"/>
          <w:highlight w:val="none"/>
        </w:rPr>
        <w:t>年</w:t>
      </w:r>
      <w:r>
        <w:rPr>
          <w:rFonts w:ascii="宋体" w:hAnsi="宋体" w:cs="宋体"/>
          <w:color w:val="auto"/>
          <w:sz w:val="24"/>
          <w:szCs w:val="24"/>
          <w:highlight w:val="none"/>
        </w:rPr>
        <w:t>4</w:t>
      </w:r>
      <w:r>
        <w:rPr>
          <w:rFonts w:hint="eastAsia" w:ascii="宋体" w:hAnsi="宋体" w:cs="宋体"/>
          <w:color w:val="auto"/>
          <w:sz w:val="24"/>
          <w:szCs w:val="24"/>
          <w:highlight w:val="none"/>
        </w:rPr>
        <w:t>期信息价计取，人工信息价与定额差价部分只计取税金，人工价格信息详见主要工日表。</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（2）材料单价按照浙江省第20</w:t>
      </w:r>
      <w:r>
        <w:rPr>
          <w:rFonts w:ascii="宋体" w:hAnsi="宋体" w:cs="宋体"/>
          <w:color w:val="auto"/>
          <w:sz w:val="24"/>
          <w:szCs w:val="24"/>
          <w:highlight w:val="none"/>
        </w:rPr>
        <w:t>20</w:t>
      </w:r>
      <w:r>
        <w:rPr>
          <w:rFonts w:hint="eastAsia" w:ascii="宋体" w:hAnsi="宋体" w:cs="宋体"/>
          <w:color w:val="auto"/>
          <w:sz w:val="24"/>
          <w:szCs w:val="24"/>
          <w:highlight w:val="none"/>
        </w:rPr>
        <w:t>年</w:t>
      </w:r>
      <w:r>
        <w:rPr>
          <w:rFonts w:ascii="宋体" w:hAnsi="宋体" w:cs="宋体"/>
          <w:color w:val="auto"/>
          <w:sz w:val="24"/>
          <w:szCs w:val="24"/>
          <w:highlight w:val="none"/>
        </w:rPr>
        <w:t>4</w:t>
      </w:r>
      <w:r>
        <w:rPr>
          <w:rFonts w:hint="eastAsia" w:ascii="宋体" w:hAnsi="宋体" w:cs="宋体"/>
          <w:color w:val="auto"/>
          <w:sz w:val="24"/>
          <w:szCs w:val="24"/>
          <w:highlight w:val="none"/>
        </w:rPr>
        <w:t>期造价信息，临安区或杭州市第20</w:t>
      </w:r>
      <w:r>
        <w:rPr>
          <w:rFonts w:ascii="宋体" w:hAnsi="宋体" w:cs="宋体"/>
          <w:color w:val="auto"/>
          <w:sz w:val="24"/>
          <w:szCs w:val="24"/>
          <w:highlight w:val="none"/>
        </w:rPr>
        <w:t>20</w:t>
      </w:r>
      <w:r>
        <w:rPr>
          <w:rFonts w:hint="eastAsia" w:ascii="宋体" w:hAnsi="宋体" w:cs="宋体"/>
          <w:color w:val="auto"/>
          <w:sz w:val="24"/>
          <w:szCs w:val="24"/>
          <w:highlight w:val="none"/>
        </w:rPr>
        <w:t>年</w:t>
      </w:r>
      <w:r>
        <w:rPr>
          <w:rFonts w:ascii="宋体" w:hAnsi="宋体" w:cs="宋体"/>
          <w:color w:val="auto"/>
          <w:sz w:val="24"/>
          <w:szCs w:val="24"/>
          <w:highlight w:val="none"/>
        </w:rPr>
        <w:t>4</w:t>
      </w:r>
      <w:r>
        <w:rPr>
          <w:rFonts w:hint="eastAsia" w:ascii="宋体" w:hAnsi="宋体" w:cs="宋体"/>
          <w:color w:val="auto"/>
          <w:sz w:val="24"/>
          <w:szCs w:val="24"/>
          <w:highlight w:val="none"/>
        </w:rPr>
        <w:t>期造价信息，无价材料参照省市信息副刊及市场询价信息计入，主要材料价格信息及材料暂定价情况详见主要材料表。</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（3)各项取费按《浙江省建设工程施工费用定额》（201</w:t>
      </w:r>
      <w:r>
        <w:rPr>
          <w:rFonts w:ascii="宋体" w:hAnsi="宋体" w:cs="宋体"/>
          <w:color w:val="auto"/>
          <w:sz w:val="24"/>
          <w:szCs w:val="24"/>
          <w:highlight w:val="none"/>
        </w:rPr>
        <w:t>8</w:t>
      </w:r>
      <w:r>
        <w:rPr>
          <w:rFonts w:hint="eastAsia" w:ascii="宋体" w:hAnsi="宋体" w:cs="宋体"/>
          <w:color w:val="auto"/>
          <w:sz w:val="24"/>
          <w:szCs w:val="24"/>
          <w:highlight w:val="none"/>
        </w:rPr>
        <w:t>版）道路工程中值计取，具体计取如下表：</w:t>
      </w:r>
    </w:p>
    <w:tbl>
      <w:tblPr>
        <w:tblStyle w:val="19"/>
        <w:tblW w:w="861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02"/>
        <w:gridCol w:w="1936"/>
        <w:gridCol w:w="4890"/>
        <w:gridCol w:w="108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02" w:type="dxa"/>
            <w:noWrap w:val="0"/>
            <w:vAlign w:val="center"/>
          </w:tcPr>
          <w:p>
            <w:pPr>
              <w:snapToGrid w:val="0"/>
              <w:jc w:val="center"/>
              <w:rPr>
                <w:rFonts w:hint="eastAsia" w:ascii="宋体" w:hAnsi="宋体"/>
                <w:color w:val="auto"/>
                <w:sz w:val="24"/>
                <w:highlight w:val="none"/>
              </w:rPr>
            </w:pPr>
            <w:r>
              <w:rPr>
                <w:rFonts w:hint="eastAsia" w:ascii="宋体" w:hAnsi="宋体"/>
                <w:color w:val="auto"/>
                <w:sz w:val="24"/>
                <w:highlight w:val="none"/>
              </w:rPr>
              <w:t>序号</w:t>
            </w:r>
          </w:p>
        </w:tc>
        <w:tc>
          <w:tcPr>
            <w:tcW w:w="1936" w:type="dxa"/>
            <w:noWrap w:val="0"/>
            <w:vAlign w:val="center"/>
          </w:tcPr>
          <w:p>
            <w:pPr>
              <w:snapToGrid w:val="0"/>
              <w:jc w:val="center"/>
              <w:rPr>
                <w:rFonts w:hint="eastAsia" w:ascii="宋体" w:hAnsi="宋体"/>
                <w:color w:val="auto"/>
                <w:sz w:val="24"/>
                <w:highlight w:val="none"/>
              </w:rPr>
            </w:pPr>
            <w:r>
              <w:rPr>
                <w:rFonts w:hint="eastAsia" w:ascii="宋体" w:hAnsi="宋体"/>
                <w:color w:val="auto"/>
                <w:sz w:val="24"/>
                <w:highlight w:val="none"/>
              </w:rPr>
              <w:t>费用名称</w:t>
            </w:r>
          </w:p>
        </w:tc>
        <w:tc>
          <w:tcPr>
            <w:tcW w:w="4890" w:type="dxa"/>
            <w:noWrap w:val="0"/>
            <w:vAlign w:val="center"/>
          </w:tcPr>
          <w:p>
            <w:pPr>
              <w:snapToGrid w:val="0"/>
              <w:jc w:val="center"/>
              <w:rPr>
                <w:rFonts w:hint="eastAsia" w:ascii="宋体" w:hAnsi="宋体"/>
                <w:color w:val="auto"/>
                <w:sz w:val="24"/>
                <w:highlight w:val="none"/>
              </w:rPr>
            </w:pPr>
            <w:r>
              <w:rPr>
                <w:rFonts w:hint="eastAsia" w:ascii="宋体" w:hAnsi="宋体"/>
                <w:color w:val="auto"/>
                <w:sz w:val="24"/>
                <w:highlight w:val="none"/>
              </w:rPr>
              <w:t>计算基数</w:t>
            </w:r>
          </w:p>
        </w:tc>
        <w:tc>
          <w:tcPr>
            <w:tcW w:w="1083" w:type="dxa"/>
            <w:noWrap w:val="0"/>
            <w:vAlign w:val="center"/>
          </w:tcPr>
          <w:p>
            <w:pPr>
              <w:snapToGrid w:val="0"/>
              <w:jc w:val="center"/>
              <w:rPr>
                <w:rFonts w:hint="eastAsia" w:ascii="宋体" w:hAnsi="宋体"/>
                <w:color w:val="auto"/>
                <w:sz w:val="24"/>
                <w:highlight w:val="none"/>
              </w:rPr>
            </w:pPr>
            <w:r>
              <w:rPr>
                <w:rFonts w:hint="eastAsia" w:ascii="宋体" w:hAnsi="宋体"/>
                <w:color w:val="auto"/>
                <w:sz w:val="24"/>
                <w:highlight w:val="none"/>
              </w:rPr>
              <w:t>费率%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02" w:type="dxa"/>
            <w:noWrap w:val="0"/>
            <w:vAlign w:val="center"/>
          </w:tcPr>
          <w:p>
            <w:pPr>
              <w:snapToGrid w:val="0"/>
              <w:jc w:val="center"/>
              <w:rPr>
                <w:rFonts w:hint="eastAsia" w:ascii="宋体" w:hAnsi="宋体"/>
                <w:color w:val="auto"/>
                <w:sz w:val="24"/>
                <w:highlight w:val="none"/>
              </w:rPr>
            </w:pPr>
            <w:r>
              <w:rPr>
                <w:rFonts w:hint="eastAsia" w:ascii="宋体" w:hAnsi="宋体"/>
                <w:color w:val="auto"/>
                <w:sz w:val="24"/>
                <w:highlight w:val="none"/>
              </w:rPr>
              <w:t>1</w:t>
            </w:r>
          </w:p>
        </w:tc>
        <w:tc>
          <w:tcPr>
            <w:tcW w:w="1936" w:type="dxa"/>
            <w:noWrap w:val="0"/>
            <w:vAlign w:val="center"/>
          </w:tcPr>
          <w:p>
            <w:pPr>
              <w:jc w:val="left"/>
              <w:rPr>
                <w:rFonts w:ascii="宋体" w:hAnsi="宋体"/>
                <w:color w:val="auto"/>
                <w:szCs w:val="21"/>
                <w:highlight w:val="none"/>
              </w:rPr>
            </w:pPr>
            <w:r>
              <w:rPr>
                <w:rFonts w:ascii="宋体" w:hAnsi="宋体"/>
                <w:color w:val="auto"/>
                <w:szCs w:val="21"/>
                <w:highlight w:val="none"/>
              </w:rPr>
              <w:t>安全文明施工费</w:t>
            </w:r>
          </w:p>
        </w:tc>
        <w:tc>
          <w:tcPr>
            <w:tcW w:w="4890" w:type="dxa"/>
            <w:noWrap w:val="0"/>
            <w:vAlign w:val="center"/>
          </w:tcPr>
          <w:p>
            <w:pPr>
              <w:jc w:val="left"/>
              <w:rPr>
                <w:rFonts w:hint="eastAsia" w:ascii="宋体" w:hAnsi="宋体"/>
                <w:color w:val="auto"/>
                <w:szCs w:val="21"/>
                <w:highlight w:val="none"/>
              </w:rPr>
            </w:pPr>
            <w:r>
              <w:rPr>
                <w:rFonts w:hint="eastAsia" w:ascii="宋体" w:hAnsi="宋体"/>
                <w:color w:val="auto"/>
                <w:szCs w:val="21"/>
                <w:highlight w:val="none"/>
              </w:rPr>
              <w:t>人工费+机械费</w:t>
            </w:r>
          </w:p>
        </w:tc>
        <w:tc>
          <w:tcPr>
            <w:tcW w:w="1083" w:type="dxa"/>
            <w:noWrap w:val="0"/>
            <w:vAlign w:val="center"/>
          </w:tcPr>
          <w:p>
            <w:pPr>
              <w:snapToGrid w:val="0"/>
              <w:jc w:val="center"/>
              <w:rPr>
                <w:rFonts w:hint="eastAsia" w:ascii="宋体" w:hAnsi="宋体"/>
                <w:color w:val="auto"/>
                <w:sz w:val="24"/>
                <w:highlight w:val="none"/>
              </w:rPr>
            </w:pPr>
            <w:r>
              <w:rPr>
                <w:rFonts w:ascii="宋体" w:hAnsi="宋体"/>
                <w:color w:val="auto"/>
                <w:sz w:val="24"/>
                <w:highlight w:val="none"/>
              </w:rPr>
              <w:t>8.51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02" w:type="dxa"/>
            <w:noWrap w:val="0"/>
            <w:vAlign w:val="center"/>
          </w:tcPr>
          <w:p>
            <w:pPr>
              <w:snapToGrid w:val="0"/>
              <w:jc w:val="center"/>
              <w:rPr>
                <w:rFonts w:hint="eastAsia" w:ascii="宋体" w:hAnsi="宋体"/>
                <w:color w:val="auto"/>
                <w:sz w:val="24"/>
                <w:highlight w:val="none"/>
              </w:rPr>
            </w:pPr>
            <w:r>
              <w:rPr>
                <w:rFonts w:ascii="宋体" w:hAnsi="宋体"/>
                <w:color w:val="auto"/>
                <w:sz w:val="24"/>
                <w:highlight w:val="none"/>
              </w:rPr>
              <w:t>2</w:t>
            </w:r>
          </w:p>
        </w:tc>
        <w:tc>
          <w:tcPr>
            <w:tcW w:w="1936" w:type="dxa"/>
            <w:noWrap w:val="0"/>
            <w:vAlign w:val="center"/>
          </w:tcPr>
          <w:p>
            <w:pPr>
              <w:jc w:val="left"/>
              <w:rPr>
                <w:rFonts w:hint="eastAsia" w:ascii="宋体" w:hAnsi="宋体"/>
                <w:color w:val="auto"/>
                <w:szCs w:val="21"/>
                <w:highlight w:val="none"/>
              </w:rPr>
            </w:pPr>
            <w:r>
              <w:rPr>
                <w:rFonts w:hint="eastAsia" w:ascii="宋体" w:hAnsi="宋体"/>
                <w:color w:val="auto"/>
                <w:szCs w:val="21"/>
                <w:highlight w:val="none"/>
              </w:rPr>
              <w:t>企业管理费</w:t>
            </w:r>
          </w:p>
        </w:tc>
        <w:tc>
          <w:tcPr>
            <w:tcW w:w="4890" w:type="dxa"/>
            <w:noWrap w:val="0"/>
            <w:vAlign w:val="center"/>
          </w:tcPr>
          <w:p>
            <w:pPr>
              <w:jc w:val="left"/>
              <w:rPr>
                <w:rFonts w:hint="eastAsia" w:ascii="宋体" w:hAnsi="宋体"/>
                <w:color w:val="auto"/>
                <w:szCs w:val="21"/>
                <w:highlight w:val="none"/>
              </w:rPr>
            </w:pPr>
            <w:r>
              <w:rPr>
                <w:rFonts w:hint="eastAsia" w:ascii="宋体" w:hAnsi="宋体"/>
                <w:color w:val="auto"/>
                <w:szCs w:val="21"/>
                <w:highlight w:val="none"/>
              </w:rPr>
              <w:t>人工费+机械费</w:t>
            </w:r>
          </w:p>
        </w:tc>
        <w:tc>
          <w:tcPr>
            <w:tcW w:w="1083" w:type="dxa"/>
            <w:noWrap w:val="0"/>
            <w:vAlign w:val="center"/>
          </w:tcPr>
          <w:p>
            <w:pPr>
              <w:snapToGrid w:val="0"/>
              <w:jc w:val="center"/>
              <w:rPr>
                <w:rFonts w:hint="eastAsia" w:ascii="宋体" w:hAnsi="宋体"/>
                <w:color w:val="auto"/>
                <w:sz w:val="24"/>
                <w:highlight w:val="none"/>
              </w:rPr>
            </w:pPr>
            <w:r>
              <w:rPr>
                <w:rFonts w:ascii="宋体" w:hAnsi="宋体"/>
                <w:color w:val="auto"/>
                <w:sz w:val="24"/>
                <w:highlight w:val="none"/>
              </w:rPr>
              <w:t>17.04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02" w:type="dxa"/>
            <w:noWrap w:val="0"/>
            <w:vAlign w:val="center"/>
          </w:tcPr>
          <w:p>
            <w:pPr>
              <w:snapToGrid w:val="0"/>
              <w:jc w:val="center"/>
              <w:rPr>
                <w:rFonts w:hint="eastAsia" w:ascii="宋体" w:hAnsi="宋体"/>
                <w:color w:val="auto"/>
                <w:sz w:val="24"/>
                <w:highlight w:val="none"/>
              </w:rPr>
            </w:pPr>
            <w:r>
              <w:rPr>
                <w:rFonts w:ascii="宋体" w:hAnsi="宋体"/>
                <w:color w:val="auto"/>
                <w:sz w:val="24"/>
                <w:highlight w:val="none"/>
              </w:rPr>
              <w:t>3</w:t>
            </w:r>
          </w:p>
        </w:tc>
        <w:tc>
          <w:tcPr>
            <w:tcW w:w="1936" w:type="dxa"/>
            <w:noWrap w:val="0"/>
            <w:vAlign w:val="center"/>
          </w:tcPr>
          <w:p>
            <w:pPr>
              <w:jc w:val="left"/>
              <w:rPr>
                <w:rFonts w:hint="eastAsia" w:ascii="宋体" w:hAnsi="宋体"/>
                <w:color w:val="auto"/>
                <w:szCs w:val="21"/>
                <w:highlight w:val="none"/>
              </w:rPr>
            </w:pPr>
            <w:r>
              <w:rPr>
                <w:rFonts w:hint="eastAsia" w:ascii="宋体" w:hAnsi="宋体"/>
                <w:color w:val="auto"/>
                <w:szCs w:val="21"/>
                <w:highlight w:val="none"/>
              </w:rPr>
              <w:t>利润</w:t>
            </w:r>
          </w:p>
        </w:tc>
        <w:tc>
          <w:tcPr>
            <w:tcW w:w="4890" w:type="dxa"/>
            <w:noWrap w:val="0"/>
            <w:vAlign w:val="center"/>
          </w:tcPr>
          <w:p>
            <w:pPr>
              <w:jc w:val="left"/>
              <w:rPr>
                <w:rFonts w:hint="eastAsia" w:ascii="宋体" w:hAnsi="宋体"/>
                <w:color w:val="auto"/>
                <w:szCs w:val="21"/>
                <w:highlight w:val="none"/>
              </w:rPr>
            </w:pPr>
            <w:r>
              <w:rPr>
                <w:rFonts w:hint="eastAsia" w:ascii="宋体" w:hAnsi="宋体"/>
                <w:color w:val="auto"/>
                <w:szCs w:val="21"/>
                <w:highlight w:val="none"/>
              </w:rPr>
              <w:t>人工费+机械费</w:t>
            </w:r>
          </w:p>
        </w:tc>
        <w:tc>
          <w:tcPr>
            <w:tcW w:w="1083" w:type="dxa"/>
            <w:noWrap w:val="0"/>
            <w:vAlign w:val="center"/>
          </w:tcPr>
          <w:p>
            <w:pPr>
              <w:snapToGrid w:val="0"/>
              <w:jc w:val="center"/>
              <w:rPr>
                <w:rFonts w:hint="eastAsia" w:ascii="宋体" w:hAnsi="宋体"/>
                <w:color w:val="auto"/>
                <w:sz w:val="24"/>
                <w:highlight w:val="none"/>
              </w:rPr>
            </w:pPr>
            <w:r>
              <w:rPr>
                <w:rFonts w:ascii="宋体" w:hAnsi="宋体"/>
                <w:color w:val="auto"/>
                <w:sz w:val="24"/>
                <w:highlight w:val="none"/>
              </w:rPr>
              <w:t>9.99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02" w:type="dxa"/>
            <w:noWrap w:val="0"/>
            <w:vAlign w:val="center"/>
          </w:tcPr>
          <w:p>
            <w:pPr>
              <w:snapToGrid w:val="0"/>
              <w:jc w:val="center"/>
              <w:rPr>
                <w:rFonts w:hint="eastAsia" w:ascii="宋体" w:hAnsi="宋体"/>
                <w:color w:val="auto"/>
                <w:sz w:val="24"/>
                <w:highlight w:val="none"/>
              </w:rPr>
            </w:pPr>
            <w:r>
              <w:rPr>
                <w:rFonts w:ascii="宋体" w:hAnsi="宋体"/>
                <w:color w:val="auto"/>
                <w:sz w:val="24"/>
                <w:highlight w:val="none"/>
              </w:rPr>
              <w:t>4</w:t>
            </w:r>
          </w:p>
        </w:tc>
        <w:tc>
          <w:tcPr>
            <w:tcW w:w="1936" w:type="dxa"/>
            <w:noWrap w:val="0"/>
            <w:vAlign w:val="center"/>
          </w:tcPr>
          <w:p>
            <w:pPr>
              <w:jc w:val="left"/>
              <w:rPr>
                <w:rFonts w:hint="eastAsia" w:ascii="宋体" w:hAnsi="宋体"/>
                <w:color w:val="auto"/>
                <w:szCs w:val="21"/>
                <w:highlight w:val="none"/>
              </w:rPr>
            </w:pPr>
            <w:r>
              <w:rPr>
                <w:rFonts w:hint="eastAsia" w:ascii="宋体" w:hAnsi="宋体"/>
                <w:color w:val="auto"/>
                <w:szCs w:val="21"/>
                <w:highlight w:val="none"/>
              </w:rPr>
              <w:t>规费</w:t>
            </w:r>
          </w:p>
        </w:tc>
        <w:tc>
          <w:tcPr>
            <w:tcW w:w="4890" w:type="dxa"/>
            <w:noWrap w:val="0"/>
            <w:vAlign w:val="center"/>
          </w:tcPr>
          <w:p>
            <w:pPr>
              <w:jc w:val="left"/>
              <w:rPr>
                <w:rFonts w:ascii="宋体" w:hAnsi="宋体"/>
                <w:color w:val="auto"/>
                <w:szCs w:val="21"/>
                <w:highlight w:val="none"/>
              </w:rPr>
            </w:pPr>
            <w:r>
              <w:rPr>
                <w:rFonts w:hint="eastAsia" w:ascii="宋体" w:hAnsi="宋体"/>
                <w:color w:val="auto"/>
                <w:szCs w:val="21"/>
                <w:highlight w:val="none"/>
              </w:rPr>
              <w:t>人工费+机械费</w:t>
            </w:r>
          </w:p>
        </w:tc>
        <w:tc>
          <w:tcPr>
            <w:tcW w:w="1083" w:type="dxa"/>
            <w:noWrap w:val="0"/>
            <w:vAlign w:val="center"/>
          </w:tcPr>
          <w:p>
            <w:pPr>
              <w:snapToGrid w:val="0"/>
              <w:jc w:val="center"/>
              <w:rPr>
                <w:rFonts w:hint="eastAsia" w:ascii="宋体" w:hAnsi="宋体"/>
                <w:color w:val="auto"/>
                <w:sz w:val="24"/>
                <w:highlight w:val="none"/>
              </w:rPr>
            </w:pPr>
            <w:r>
              <w:rPr>
                <w:rFonts w:ascii="宋体" w:hAnsi="宋体"/>
                <w:color w:val="auto"/>
                <w:sz w:val="24"/>
                <w:highlight w:val="none"/>
              </w:rPr>
              <w:t>18.75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02" w:type="dxa"/>
            <w:noWrap w:val="0"/>
            <w:vAlign w:val="center"/>
          </w:tcPr>
          <w:p>
            <w:pPr>
              <w:snapToGrid w:val="0"/>
              <w:jc w:val="center"/>
              <w:rPr>
                <w:rFonts w:hint="eastAsia" w:ascii="宋体" w:hAnsi="宋体"/>
                <w:color w:val="auto"/>
                <w:sz w:val="24"/>
                <w:highlight w:val="none"/>
              </w:rPr>
            </w:pPr>
            <w:r>
              <w:rPr>
                <w:rFonts w:ascii="宋体" w:hAnsi="宋体"/>
                <w:color w:val="auto"/>
                <w:sz w:val="24"/>
                <w:highlight w:val="none"/>
              </w:rPr>
              <w:t>5</w:t>
            </w:r>
          </w:p>
        </w:tc>
        <w:tc>
          <w:tcPr>
            <w:tcW w:w="1936" w:type="dxa"/>
            <w:noWrap w:val="0"/>
            <w:vAlign w:val="center"/>
          </w:tcPr>
          <w:p>
            <w:pPr>
              <w:jc w:val="left"/>
              <w:rPr>
                <w:rFonts w:hint="eastAsia" w:ascii="宋体" w:hAnsi="宋体"/>
                <w:color w:val="auto"/>
                <w:szCs w:val="21"/>
                <w:highlight w:val="none"/>
              </w:rPr>
            </w:pPr>
            <w:r>
              <w:rPr>
                <w:rFonts w:hint="eastAsia" w:ascii="宋体" w:hAnsi="宋体"/>
                <w:color w:val="auto"/>
                <w:szCs w:val="21"/>
                <w:highlight w:val="none"/>
              </w:rPr>
              <w:t>税金</w:t>
            </w:r>
          </w:p>
        </w:tc>
        <w:tc>
          <w:tcPr>
            <w:tcW w:w="4890" w:type="dxa"/>
            <w:noWrap w:val="0"/>
            <w:vAlign w:val="center"/>
          </w:tcPr>
          <w:p>
            <w:pPr>
              <w:snapToGrid w:val="0"/>
              <w:jc w:val="left"/>
              <w:rPr>
                <w:rFonts w:hint="eastAsia" w:ascii="宋体" w:hAnsi="宋体"/>
                <w:color w:val="auto"/>
                <w:sz w:val="24"/>
                <w:highlight w:val="none"/>
              </w:rPr>
            </w:pPr>
            <w:r>
              <w:rPr>
                <w:rFonts w:hint="eastAsia" w:ascii="宋体" w:hAnsi="宋体"/>
                <w:color w:val="auto"/>
                <w:szCs w:val="21"/>
                <w:highlight w:val="none"/>
              </w:rPr>
              <w:t>直接费+综合费用+规费+民工工伤保险</w:t>
            </w:r>
          </w:p>
        </w:tc>
        <w:tc>
          <w:tcPr>
            <w:tcW w:w="1083" w:type="dxa"/>
            <w:noWrap w:val="0"/>
            <w:vAlign w:val="center"/>
          </w:tcPr>
          <w:p>
            <w:pPr>
              <w:snapToGrid w:val="0"/>
              <w:jc w:val="center"/>
              <w:rPr>
                <w:rFonts w:hint="eastAsia" w:ascii="宋体" w:hAnsi="宋体"/>
                <w:color w:val="auto"/>
                <w:sz w:val="24"/>
                <w:highlight w:val="none"/>
              </w:rPr>
            </w:pPr>
            <w:r>
              <w:rPr>
                <w:rFonts w:hint="eastAsia" w:ascii="宋体" w:hAnsi="宋体"/>
                <w:color w:val="auto"/>
                <w:sz w:val="24"/>
                <w:highlight w:val="none"/>
              </w:rPr>
              <w:t>9</w:t>
            </w:r>
            <w:r>
              <w:rPr>
                <w:rFonts w:ascii="宋体" w:hAnsi="宋体"/>
                <w:color w:val="auto"/>
                <w:sz w:val="24"/>
                <w:highlight w:val="none"/>
              </w:rPr>
              <w:t>.00</w:t>
            </w:r>
          </w:p>
        </w:tc>
      </w:tr>
    </w:tbl>
    <w:p>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3、甲供材料情况：无。</w:t>
      </w:r>
    </w:p>
    <w:p>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4、本预算书含暂定费用情况：无。</w:t>
      </w:r>
    </w:p>
    <w:p>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5、施工图纸未明确部分，本预算书按以下内容计入：</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（1）根据文件规定本工程所有砂浆采用预拌砂浆，预算中已按预拌砂浆计入，强度等级参《浙江省建筑工程节能预算定额》第141页"预拌砂浆与传统砂浆分类对应参考表"；</w:t>
      </w:r>
    </w:p>
    <w:p>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（2）规费、税金及施工组织措施费均按相关文件规定计取；</w:t>
      </w:r>
    </w:p>
    <w:p>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（3）垃圾外运运距暂按10km计入，实际情况由投标单位自行考虑；</w:t>
      </w:r>
    </w:p>
    <w:p>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（4）经业主确认，图纸中所涉及面砖、地砖、铝扣板吊顶、洁具等部分主要材料单价参考相应品牌计入，详见主要材料价格表。</w:t>
      </w:r>
    </w:p>
    <w:p>
      <w:pPr>
        <w:rPr>
          <w:rFonts w:ascii="宋体" w:hAnsi="宋体" w:cs="宋体"/>
          <w:color w:val="auto"/>
          <w:highlight w:val="none"/>
        </w:rPr>
      </w:pPr>
    </w:p>
    <w:p>
      <w:pPr>
        <w:spacing w:line="360" w:lineRule="auto"/>
        <w:ind w:firstLine="420" w:firstLineChars="200"/>
        <w:rPr>
          <w:rFonts w:ascii="宋体" w:hAnsi="宋体" w:cs="宋体"/>
          <w:color w:val="auto"/>
          <w:highlight w:val="none"/>
        </w:rPr>
        <w:sectPr>
          <w:pgSz w:w="11900" w:h="16838"/>
          <w:pgMar w:top="1440" w:right="1440" w:bottom="158" w:left="1440" w:header="567" w:footer="567" w:gutter="0"/>
          <w:cols w:equalWidth="0" w:num="1">
            <w:col w:w="9026"/>
          </w:cols>
        </w:sectPr>
      </w:pPr>
    </w:p>
    <w:p>
      <w:pPr>
        <w:tabs>
          <w:tab w:val="left" w:pos="300"/>
        </w:tabs>
        <w:spacing w:line="366" w:lineRule="exact"/>
        <w:jc w:val="center"/>
        <w:outlineLvl w:val="0"/>
        <w:rPr>
          <w:rFonts w:ascii="宋体" w:hAnsi="宋体" w:cs="宋体"/>
          <w:color w:val="auto"/>
          <w:sz w:val="20"/>
          <w:szCs w:val="20"/>
          <w:highlight w:val="none"/>
        </w:rPr>
      </w:pPr>
      <w:bookmarkStart w:id="80" w:name="_Toc1627"/>
      <w:bookmarkStart w:id="81" w:name="_Toc23564_WPSOffice_Level1"/>
      <w:r>
        <w:rPr>
          <w:rFonts w:hint="eastAsia" w:ascii="宋体" w:hAnsi="宋体" w:cs="宋体"/>
          <w:b/>
          <w:bCs/>
          <w:color w:val="auto"/>
          <w:sz w:val="32"/>
          <w:szCs w:val="32"/>
          <w:highlight w:val="none"/>
        </w:rPr>
        <w:t>第五章  合同条款</w:t>
      </w:r>
      <w:bookmarkEnd w:id="80"/>
      <w:bookmarkEnd w:id="81"/>
    </w:p>
    <w:p>
      <w:pPr>
        <w:jc w:val="center"/>
        <w:rPr>
          <w:rFonts w:ascii="宋体" w:hAnsi="宋体" w:cs="宋体"/>
          <w:b/>
          <w:bCs/>
          <w:color w:val="auto"/>
          <w:sz w:val="32"/>
          <w:szCs w:val="32"/>
          <w:highlight w:val="none"/>
        </w:rPr>
      </w:pPr>
      <w:bookmarkStart w:id="82" w:name="_Toc5198_WPSOffice_Level2"/>
      <w:bookmarkStart w:id="83" w:name="_Toc5281"/>
      <w:bookmarkStart w:id="84" w:name="_Toc534620501"/>
      <w:bookmarkStart w:id="85" w:name="_Toc359576784"/>
      <w:bookmarkStart w:id="86" w:name="_Toc359576785"/>
    </w:p>
    <w:p>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浙江农林大学                 项目政府采购合同</w:t>
      </w:r>
      <w:bookmarkEnd w:id="82"/>
      <w:bookmarkEnd w:id="83"/>
    </w:p>
    <w:p>
      <w:pPr>
        <w:spacing w:line="360" w:lineRule="auto"/>
        <w:ind w:firstLine="458"/>
        <w:rPr>
          <w:rFonts w:ascii="宋体" w:hAnsi="宋体" w:cs="宋体"/>
          <w:color w:val="auto"/>
          <w:szCs w:val="21"/>
          <w:highlight w:val="none"/>
        </w:rPr>
      </w:pPr>
      <w:r>
        <w:rPr>
          <w:rFonts w:hint="eastAsia" w:ascii="宋体" w:hAnsi="宋体" w:cs="宋体"/>
          <w:color w:val="auto"/>
          <w:szCs w:val="21"/>
          <w:highlight w:val="none"/>
        </w:rPr>
        <w:t xml:space="preserve">项目编号：                           合同编号:  </w:t>
      </w:r>
    </w:p>
    <w:p>
      <w:pPr>
        <w:spacing w:line="360" w:lineRule="auto"/>
        <w:ind w:firstLine="458"/>
        <w:rPr>
          <w:rFonts w:ascii="宋体" w:hAnsi="宋体" w:cs="宋体"/>
          <w:color w:val="auto"/>
          <w:szCs w:val="21"/>
          <w:highlight w:val="none"/>
        </w:rPr>
      </w:pPr>
      <w:r>
        <w:rPr>
          <w:rFonts w:hint="eastAsia" w:ascii="宋体" w:hAnsi="宋体" w:cs="宋体"/>
          <w:color w:val="auto"/>
          <w:szCs w:val="21"/>
          <w:highlight w:val="none"/>
        </w:rPr>
        <w:t xml:space="preserve">确认书编号： </w:t>
      </w:r>
    </w:p>
    <w:p>
      <w:pPr>
        <w:spacing w:line="360" w:lineRule="auto"/>
        <w:ind w:firstLine="458"/>
        <w:rPr>
          <w:rFonts w:ascii="宋体" w:hAnsi="宋体" w:cs="宋体"/>
          <w:color w:val="auto"/>
          <w:szCs w:val="21"/>
          <w:highlight w:val="none"/>
        </w:rPr>
      </w:pPr>
      <w:r>
        <w:rPr>
          <w:rFonts w:hint="eastAsia" w:ascii="宋体" w:hAnsi="宋体" w:cs="宋体"/>
          <w:color w:val="auto"/>
          <w:szCs w:val="21"/>
          <w:highlight w:val="none"/>
        </w:rPr>
        <w:t>甲方（采购人）：浙江农林大学</w:t>
      </w:r>
    </w:p>
    <w:p>
      <w:pPr>
        <w:spacing w:line="360" w:lineRule="auto"/>
        <w:ind w:firstLine="458"/>
        <w:rPr>
          <w:rFonts w:ascii="宋体" w:hAnsi="宋体" w:cs="宋体"/>
          <w:color w:val="auto"/>
          <w:szCs w:val="21"/>
          <w:highlight w:val="none"/>
        </w:rPr>
      </w:pPr>
      <w:r>
        <w:rPr>
          <w:rFonts w:hint="eastAsia" w:ascii="宋体" w:hAnsi="宋体" w:cs="宋体"/>
          <w:color w:val="auto"/>
          <w:szCs w:val="21"/>
          <w:highlight w:val="none"/>
        </w:rPr>
        <w:t xml:space="preserve">乙方（成交供应商）：  </w:t>
      </w:r>
    </w:p>
    <w:p>
      <w:pPr>
        <w:spacing w:line="360" w:lineRule="auto"/>
        <w:ind w:firstLine="458"/>
        <w:rPr>
          <w:rFonts w:ascii="宋体" w:hAnsi="宋体" w:cs="宋体"/>
          <w:color w:val="auto"/>
          <w:szCs w:val="21"/>
          <w:highlight w:val="none"/>
        </w:rPr>
      </w:pPr>
      <w:r>
        <w:rPr>
          <w:rFonts w:hint="eastAsia" w:ascii="宋体" w:hAnsi="宋体" w:cs="宋体"/>
          <w:color w:val="auto"/>
          <w:szCs w:val="21"/>
          <w:highlight w:val="none"/>
        </w:rPr>
        <w:t xml:space="preserve">鉴证方（采购代理机构）：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签约时间、地点： 年   月    日，浙江农林大学</w:t>
      </w:r>
    </w:p>
    <w:p>
      <w:pPr>
        <w:spacing w:line="360" w:lineRule="auto"/>
        <w:ind w:firstLine="458"/>
        <w:rPr>
          <w:rFonts w:ascii="宋体" w:hAnsi="宋体" w:cs="宋体"/>
          <w:color w:val="auto"/>
          <w:szCs w:val="21"/>
          <w:highlight w:val="none"/>
        </w:rPr>
      </w:pPr>
      <w:r>
        <w:rPr>
          <w:rFonts w:hint="eastAsia" w:ascii="宋体" w:hAnsi="宋体" w:cs="宋体"/>
          <w:color w:val="auto"/>
          <w:szCs w:val="21"/>
          <w:highlight w:val="none"/>
        </w:rPr>
        <w:t xml:space="preserve">浙江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受浙江农林大学委托公开招标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，经过招标，确定为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供货单位。经协商双方就本采购事项达成以下条款：</w:t>
      </w:r>
    </w:p>
    <w:p>
      <w:pPr>
        <w:spacing w:line="360" w:lineRule="auto"/>
        <w:jc w:val="center"/>
        <w:rPr>
          <w:rFonts w:ascii="宋体" w:hAnsi="宋体" w:cs="宋体"/>
          <w:color w:val="auto"/>
          <w:szCs w:val="21"/>
          <w:highlight w:val="none"/>
        </w:rPr>
      </w:pPr>
      <w:bookmarkStart w:id="87" w:name="_Toc11422_WPSOffice_Level2"/>
      <w:r>
        <w:rPr>
          <w:rFonts w:hint="eastAsia" w:ascii="宋体" w:hAnsi="宋体" w:cs="宋体"/>
          <w:color w:val="auto"/>
          <w:szCs w:val="21"/>
          <w:highlight w:val="none"/>
        </w:rPr>
        <w:t>第一节合同协议书</w:t>
      </w:r>
      <w:bookmarkEnd w:id="87"/>
    </w:p>
    <w:p>
      <w:pPr>
        <w:tabs>
          <w:tab w:val="left" w:pos="1134"/>
        </w:tabs>
        <w:spacing w:line="360" w:lineRule="auto"/>
        <w:ind w:firstLine="420"/>
        <w:rPr>
          <w:rFonts w:ascii="宋体" w:hAnsi="宋体" w:cs="宋体"/>
          <w:color w:val="auto"/>
          <w:szCs w:val="21"/>
          <w:highlight w:val="none"/>
        </w:rPr>
      </w:pPr>
      <w:r>
        <w:rPr>
          <w:rFonts w:hint="eastAsia" w:ascii="宋体" w:hAnsi="宋体" w:cs="宋体"/>
          <w:color w:val="auto"/>
          <w:szCs w:val="21"/>
          <w:highlight w:val="none"/>
          <w:u w:val="single"/>
        </w:rPr>
        <w:t>浙江农林大学</w:t>
      </w:r>
      <w:r>
        <w:rPr>
          <w:rFonts w:hint="eastAsia" w:ascii="宋体" w:hAnsi="宋体" w:cs="宋体"/>
          <w:color w:val="auto"/>
          <w:szCs w:val="21"/>
          <w:highlight w:val="none"/>
        </w:rPr>
        <w:t>(以下简称“发包人”)为实施</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，已接受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(以下简称“承包人”)对该项目施工的投标。发包人和承包人共同达成如下协议。</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1.工程概况：</w:t>
      </w:r>
    </w:p>
    <w:p>
      <w:pPr>
        <w:spacing w:line="360" w:lineRule="auto"/>
        <w:ind w:left="426"/>
        <w:rPr>
          <w:rFonts w:ascii="宋体" w:hAnsi="宋体" w:cs="宋体"/>
          <w:color w:val="auto"/>
          <w:szCs w:val="21"/>
          <w:highlight w:val="none"/>
        </w:rPr>
      </w:pPr>
      <w:r>
        <w:rPr>
          <w:rFonts w:hint="eastAsia" w:ascii="宋体" w:hAnsi="宋体" w:cs="宋体"/>
          <w:color w:val="auto"/>
          <w:szCs w:val="21"/>
          <w:highlight w:val="none"/>
        </w:rPr>
        <w:t xml:space="preserve">1.1工程名称： </w:t>
      </w:r>
    </w:p>
    <w:p>
      <w:pPr>
        <w:spacing w:line="360" w:lineRule="auto"/>
        <w:ind w:left="426"/>
        <w:rPr>
          <w:rFonts w:ascii="宋体" w:hAnsi="宋体" w:cs="宋体"/>
          <w:color w:val="auto"/>
          <w:szCs w:val="21"/>
          <w:highlight w:val="none"/>
        </w:rPr>
      </w:pPr>
      <w:r>
        <w:rPr>
          <w:rFonts w:hint="eastAsia" w:ascii="宋体" w:hAnsi="宋体" w:cs="宋体"/>
          <w:color w:val="auto"/>
          <w:szCs w:val="21"/>
          <w:highlight w:val="none"/>
        </w:rPr>
        <w:t xml:space="preserve">1.2资金来源： </w:t>
      </w:r>
    </w:p>
    <w:p>
      <w:pPr>
        <w:spacing w:line="360" w:lineRule="auto"/>
        <w:ind w:left="426"/>
        <w:rPr>
          <w:rFonts w:ascii="宋体" w:hAnsi="宋体" w:cs="宋体"/>
          <w:color w:val="auto"/>
          <w:szCs w:val="21"/>
          <w:highlight w:val="none"/>
        </w:rPr>
      </w:pPr>
      <w:r>
        <w:rPr>
          <w:rFonts w:hint="eastAsia" w:ascii="宋体" w:hAnsi="宋体" w:cs="宋体"/>
          <w:color w:val="auto"/>
          <w:szCs w:val="21"/>
          <w:highlight w:val="none"/>
        </w:rPr>
        <w:t xml:space="preserve">1.3工程地点： </w:t>
      </w:r>
    </w:p>
    <w:p>
      <w:pPr>
        <w:spacing w:line="360" w:lineRule="auto"/>
        <w:ind w:left="426"/>
        <w:rPr>
          <w:rFonts w:ascii="宋体" w:hAnsi="宋体" w:cs="宋体"/>
          <w:color w:val="auto"/>
          <w:szCs w:val="21"/>
          <w:highlight w:val="none"/>
        </w:rPr>
      </w:pPr>
      <w:r>
        <w:rPr>
          <w:rFonts w:hint="eastAsia" w:ascii="宋体" w:hAnsi="宋体" w:cs="宋体"/>
          <w:color w:val="auto"/>
          <w:szCs w:val="21"/>
          <w:highlight w:val="none"/>
        </w:rPr>
        <w:t xml:space="preserve">1.4承包范围： </w:t>
      </w:r>
    </w:p>
    <w:p>
      <w:pPr>
        <w:spacing w:line="360" w:lineRule="auto"/>
        <w:ind w:left="426"/>
        <w:rPr>
          <w:rFonts w:ascii="宋体" w:hAnsi="宋体" w:cs="宋体"/>
          <w:color w:val="auto"/>
          <w:szCs w:val="21"/>
          <w:highlight w:val="none"/>
        </w:rPr>
      </w:pPr>
      <w:r>
        <w:rPr>
          <w:rFonts w:hint="eastAsia" w:ascii="宋体" w:hAnsi="宋体" w:cs="宋体"/>
          <w:color w:val="auto"/>
          <w:szCs w:val="21"/>
          <w:highlight w:val="none"/>
        </w:rPr>
        <w:t xml:space="preserve">1.5承包方式： </w:t>
      </w:r>
    </w:p>
    <w:p>
      <w:pPr>
        <w:spacing w:line="360" w:lineRule="auto"/>
        <w:ind w:left="426"/>
        <w:rPr>
          <w:rFonts w:ascii="宋体" w:hAnsi="宋体" w:cs="宋体"/>
          <w:color w:val="auto"/>
          <w:szCs w:val="21"/>
          <w:highlight w:val="none"/>
        </w:rPr>
      </w:pPr>
      <w:r>
        <w:rPr>
          <w:rFonts w:hint="eastAsia" w:ascii="宋体" w:hAnsi="宋体" w:cs="宋体"/>
          <w:color w:val="auto"/>
          <w:szCs w:val="21"/>
          <w:highlight w:val="none"/>
        </w:rPr>
        <w:t xml:space="preserve">2.签约合同价：人民币(大写)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ind w:left="426"/>
        <w:rPr>
          <w:rFonts w:ascii="宋体" w:hAnsi="宋体" w:cs="宋体"/>
          <w:color w:val="auto"/>
          <w:szCs w:val="21"/>
          <w:highlight w:val="none"/>
        </w:rPr>
      </w:pPr>
      <w:r>
        <w:rPr>
          <w:rFonts w:hint="eastAsia" w:ascii="宋体" w:hAnsi="宋体" w:cs="宋体"/>
          <w:color w:val="auto"/>
          <w:szCs w:val="21"/>
          <w:highlight w:val="none"/>
        </w:rPr>
        <w:t xml:space="preserve">3.承包人项目负责人： </w:t>
      </w:r>
    </w:p>
    <w:p>
      <w:pPr>
        <w:spacing w:line="360" w:lineRule="auto"/>
        <w:ind w:left="426"/>
        <w:rPr>
          <w:rFonts w:ascii="宋体" w:hAnsi="宋体" w:cs="宋体"/>
          <w:color w:val="auto"/>
          <w:szCs w:val="21"/>
          <w:highlight w:val="none"/>
        </w:rPr>
      </w:pPr>
      <w:r>
        <w:rPr>
          <w:rFonts w:hint="eastAsia" w:ascii="宋体" w:hAnsi="宋体" w:cs="宋体"/>
          <w:color w:val="auto"/>
          <w:szCs w:val="21"/>
          <w:highlight w:val="none"/>
        </w:rPr>
        <w:t>4.工程质量符合</w:t>
      </w:r>
      <w:r>
        <w:rPr>
          <w:rFonts w:hint="eastAsia" w:ascii="宋体" w:hAnsi="宋体" w:cs="宋体"/>
          <w:color w:val="auto"/>
          <w:szCs w:val="21"/>
          <w:highlight w:val="none"/>
          <w:u w:val="single"/>
        </w:rPr>
        <w:t>合格</w:t>
      </w:r>
      <w:r>
        <w:rPr>
          <w:rFonts w:hint="eastAsia" w:ascii="宋体" w:hAnsi="宋体" w:cs="宋体"/>
          <w:color w:val="auto"/>
          <w:szCs w:val="21"/>
          <w:highlight w:val="none"/>
        </w:rPr>
        <w:t>标准。</w:t>
      </w:r>
    </w:p>
    <w:p>
      <w:pPr>
        <w:spacing w:line="360" w:lineRule="auto"/>
        <w:ind w:left="426"/>
        <w:rPr>
          <w:rFonts w:ascii="宋体" w:hAnsi="宋体" w:cs="宋体"/>
          <w:color w:val="auto"/>
          <w:szCs w:val="21"/>
          <w:highlight w:val="none"/>
        </w:rPr>
      </w:pPr>
      <w:r>
        <w:rPr>
          <w:rFonts w:hint="eastAsia" w:ascii="宋体" w:hAnsi="宋体" w:cs="宋体"/>
          <w:color w:val="auto"/>
          <w:szCs w:val="21"/>
          <w:highlight w:val="none"/>
        </w:rPr>
        <w:t>5.承包人承诺按合同约定承担工程的实施、完成及缺陷修复。</w:t>
      </w:r>
    </w:p>
    <w:p>
      <w:pPr>
        <w:spacing w:line="360" w:lineRule="auto"/>
        <w:ind w:left="426"/>
        <w:rPr>
          <w:rFonts w:ascii="宋体" w:hAnsi="宋体" w:cs="宋体"/>
          <w:color w:val="auto"/>
          <w:szCs w:val="21"/>
          <w:highlight w:val="none"/>
        </w:rPr>
      </w:pPr>
      <w:r>
        <w:rPr>
          <w:rFonts w:hint="eastAsia" w:ascii="宋体" w:hAnsi="宋体" w:cs="宋体"/>
          <w:color w:val="auto"/>
          <w:szCs w:val="21"/>
          <w:highlight w:val="none"/>
        </w:rPr>
        <w:t>6.发包人承诺按合同约定的条件、时间和方式向承包人支付合同价款。</w:t>
      </w:r>
    </w:p>
    <w:p>
      <w:pPr>
        <w:spacing w:line="360" w:lineRule="auto"/>
        <w:ind w:left="426"/>
        <w:rPr>
          <w:rFonts w:ascii="宋体" w:hAnsi="宋体" w:cs="宋体"/>
          <w:color w:val="auto"/>
          <w:szCs w:val="21"/>
          <w:highlight w:val="none"/>
        </w:rPr>
      </w:pPr>
      <w:r>
        <w:rPr>
          <w:rFonts w:hint="eastAsia" w:ascii="宋体" w:hAnsi="宋体" w:cs="宋体"/>
          <w:color w:val="auto"/>
          <w:szCs w:val="21"/>
          <w:highlight w:val="none"/>
        </w:rPr>
        <w:t>7.承包人应按照监理人指示开工，工期为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日历天。</w:t>
      </w:r>
    </w:p>
    <w:p>
      <w:pPr>
        <w:spacing w:line="360" w:lineRule="auto"/>
        <w:ind w:left="426"/>
        <w:rPr>
          <w:rFonts w:ascii="宋体" w:hAnsi="宋体" w:cs="宋体"/>
          <w:color w:val="auto"/>
          <w:szCs w:val="21"/>
          <w:highlight w:val="none"/>
        </w:rPr>
      </w:pPr>
      <w:r>
        <w:rPr>
          <w:rFonts w:hint="eastAsia" w:ascii="宋体" w:hAnsi="宋体" w:cs="宋体"/>
          <w:color w:val="auto"/>
          <w:szCs w:val="21"/>
          <w:highlight w:val="none"/>
        </w:rPr>
        <w:t>8. 本协议书与下列文件一起构成合同文件</w:t>
      </w:r>
    </w:p>
    <w:p>
      <w:pPr>
        <w:spacing w:line="360" w:lineRule="auto"/>
        <w:ind w:left="426"/>
        <w:rPr>
          <w:rFonts w:ascii="宋体" w:hAnsi="宋体" w:cs="宋体"/>
          <w:color w:val="auto"/>
          <w:szCs w:val="21"/>
          <w:highlight w:val="none"/>
        </w:rPr>
      </w:pPr>
      <w:r>
        <w:rPr>
          <w:rFonts w:hint="eastAsia" w:ascii="宋体" w:hAnsi="宋体" w:cs="宋体"/>
          <w:color w:val="auto"/>
          <w:szCs w:val="21"/>
          <w:highlight w:val="none"/>
        </w:rPr>
        <w:t>8.1中标通知书；</w:t>
      </w:r>
    </w:p>
    <w:p>
      <w:pPr>
        <w:tabs>
          <w:tab w:val="left" w:pos="1134"/>
        </w:tabs>
        <w:ind w:left="720"/>
        <w:rPr>
          <w:rFonts w:ascii="宋体" w:hAnsi="宋体" w:cs="宋体"/>
          <w:color w:val="auto"/>
          <w:szCs w:val="21"/>
          <w:highlight w:val="none"/>
        </w:rPr>
      </w:pPr>
      <w:r>
        <w:rPr>
          <w:rFonts w:hint="eastAsia" w:ascii="宋体" w:hAnsi="宋体" w:cs="宋体"/>
          <w:color w:val="auto"/>
          <w:szCs w:val="21"/>
          <w:highlight w:val="none"/>
        </w:rPr>
        <w:t>8.2采购文件及其补充文件；</w:t>
      </w:r>
    </w:p>
    <w:p>
      <w:pPr>
        <w:tabs>
          <w:tab w:val="left" w:pos="1134"/>
        </w:tabs>
        <w:rPr>
          <w:rFonts w:ascii="宋体" w:hAnsi="宋体" w:cs="宋体"/>
          <w:color w:val="auto"/>
          <w:szCs w:val="21"/>
          <w:highlight w:val="none"/>
        </w:rPr>
      </w:pPr>
      <w:r>
        <w:rPr>
          <w:rFonts w:hint="eastAsia" w:ascii="宋体" w:hAnsi="宋体" w:cs="宋体"/>
          <w:color w:val="auto"/>
          <w:szCs w:val="21"/>
          <w:highlight w:val="none"/>
        </w:rPr>
        <w:t xml:space="preserve">       8.3投标函及投标函附录；</w:t>
      </w:r>
    </w:p>
    <w:p>
      <w:pPr>
        <w:tabs>
          <w:tab w:val="left" w:pos="1134"/>
        </w:tabs>
        <w:rPr>
          <w:rFonts w:ascii="宋体" w:hAnsi="宋体" w:cs="宋体"/>
          <w:color w:val="auto"/>
          <w:szCs w:val="21"/>
          <w:highlight w:val="none"/>
        </w:rPr>
      </w:pPr>
      <w:r>
        <w:rPr>
          <w:rFonts w:hint="eastAsia" w:ascii="宋体" w:hAnsi="宋体" w:cs="宋体"/>
          <w:color w:val="auto"/>
          <w:szCs w:val="21"/>
          <w:highlight w:val="none"/>
        </w:rPr>
        <w:t xml:space="preserve">       8.4专用合同条款；</w:t>
      </w:r>
    </w:p>
    <w:p>
      <w:pPr>
        <w:tabs>
          <w:tab w:val="left" w:pos="1134"/>
        </w:tabs>
        <w:rPr>
          <w:rFonts w:ascii="宋体" w:hAnsi="宋体" w:cs="宋体"/>
          <w:color w:val="auto"/>
          <w:szCs w:val="21"/>
          <w:highlight w:val="none"/>
        </w:rPr>
      </w:pPr>
      <w:r>
        <w:rPr>
          <w:rFonts w:hint="eastAsia" w:ascii="宋体" w:hAnsi="宋体" w:cs="宋体"/>
          <w:color w:val="auto"/>
          <w:szCs w:val="21"/>
          <w:highlight w:val="none"/>
        </w:rPr>
        <w:t xml:space="preserve">       8.5通用合同条款；</w:t>
      </w:r>
    </w:p>
    <w:p>
      <w:pPr>
        <w:tabs>
          <w:tab w:val="left" w:pos="1134"/>
        </w:tabs>
        <w:rPr>
          <w:rFonts w:ascii="宋体" w:hAnsi="宋体" w:cs="宋体"/>
          <w:color w:val="auto"/>
          <w:szCs w:val="21"/>
          <w:highlight w:val="none"/>
        </w:rPr>
      </w:pPr>
      <w:r>
        <w:rPr>
          <w:rFonts w:hint="eastAsia" w:ascii="宋体" w:hAnsi="宋体" w:cs="宋体"/>
          <w:color w:val="auto"/>
          <w:szCs w:val="21"/>
          <w:highlight w:val="none"/>
        </w:rPr>
        <w:t xml:space="preserve">       8.6标准、规范及有关技术文件；</w:t>
      </w:r>
    </w:p>
    <w:p>
      <w:pPr>
        <w:tabs>
          <w:tab w:val="left" w:pos="1134"/>
        </w:tabs>
        <w:rPr>
          <w:rFonts w:ascii="宋体" w:hAnsi="宋体" w:cs="宋体"/>
          <w:color w:val="auto"/>
          <w:szCs w:val="21"/>
          <w:highlight w:val="none"/>
        </w:rPr>
      </w:pPr>
      <w:r>
        <w:rPr>
          <w:rFonts w:hint="eastAsia" w:ascii="宋体" w:hAnsi="宋体" w:cs="宋体"/>
          <w:color w:val="auto"/>
          <w:szCs w:val="21"/>
          <w:highlight w:val="none"/>
        </w:rPr>
        <w:t xml:space="preserve">       8.7变更文件；</w:t>
      </w:r>
    </w:p>
    <w:p>
      <w:pPr>
        <w:tabs>
          <w:tab w:val="left" w:pos="1134"/>
        </w:tabs>
        <w:rPr>
          <w:rFonts w:ascii="宋体" w:hAnsi="宋体" w:cs="宋体"/>
          <w:color w:val="auto"/>
          <w:szCs w:val="21"/>
          <w:highlight w:val="none"/>
        </w:rPr>
      </w:pPr>
      <w:r>
        <w:rPr>
          <w:rFonts w:hint="eastAsia" w:ascii="宋体" w:hAnsi="宋体" w:cs="宋体"/>
          <w:color w:val="auto"/>
          <w:szCs w:val="21"/>
          <w:highlight w:val="none"/>
        </w:rPr>
        <w:t xml:space="preserve">       8.8已标价工程量清单； </w:t>
      </w:r>
    </w:p>
    <w:p>
      <w:pPr>
        <w:tabs>
          <w:tab w:val="left" w:pos="1134"/>
        </w:tabs>
        <w:rPr>
          <w:rFonts w:ascii="宋体" w:hAnsi="宋体" w:cs="宋体"/>
          <w:color w:val="auto"/>
          <w:szCs w:val="21"/>
          <w:highlight w:val="none"/>
        </w:rPr>
      </w:pPr>
      <w:r>
        <w:rPr>
          <w:rFonts w:hint="eastAsia" w:ascii="宋体" w:hAnsi="宋体" w:cs="宋体"/>
          <w:color w:val="auto"/>
          <w:szCs w:val="21"/>
          <w:highlight w:val="none"/>
        </w:rPr>
        <w:t xml:space="preserve">       8.9响应文件；</w:t>
      </w:r>
    </w:p>
    <w:p>
      <w:pPr>
        <w:tabs>
          <w:tab w:val="left" w:pos="1134"/>
        </w:tabs>
        <w:rPr>
          <w:rFonts w:ascii="宋体" w:hAnsi="宋体" w:cs="宋体"/>
          <w:color w:val="auto"/>
          <w:szCs w:val="21"/>
          <w:highlight w:val="none"/>
        </w:rPr>
      </w:pPr>
      <w:r>
        <w:rPr>
          <w:rFonts w:hint="eastAsia" w:ascii="宋体" w:hAnsi="宋体" w:cs="宋体"/>
          <w:color w:val="auto"/>
          <w:szCs w:val="21"/>
          <w:highlight w:val="none"/>
        </w:rPr>
        <w:t xml:space="preserve">       8.10其他合同文件。</w:t>
      </w:r>
    </w:p>
    <w:p>
      <w:pPr>
        <w:spacing w:line="360" w:lineRule="auto"/>
        <w:ind w:left="426"/>
        <w:rPr>
          <w:rFonts w:ascii="宋体" w:hAnsi="宋体" w:cs="宋体"/>
          <w:color w:val="auto"/>
          <w:szCs w:val="21"/>
          <w:highlight w:val="none"/>
        </w:rPr>
      </w:pPr>
      <w:r>
        <w:rPr>
          <w:rFonts w:hint="eastAsia" w:ascii="宋体" w:hAnsi="宋体" w:cs="宋体"/>
          <w:color w:val="auto"/>
          <w:szCs w:val="21"/>
          <w:highlight w:val="none"/>
        </w:rPr>
        <w:t>9. 上述文件互相补充和解释，如有不明确或不一致之处，以合同约定次序在先者为准。</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10本协议书一</w:t>
      </w:r>
      <w:r>
        <w:rPr>
          <w:rFonts w:hint="eastAsia" w:ascii="宋体" w:hAnsi="宋体" w:cs="宋体"/>
          <w:color w:val="auto"/>
          <w:szCs w:val="21"/>
          <w:highlight w:val="none"/>
          <w:u w:val="single"/>
        </w:rPr>
        <w:t>一式玖份，甲方柒份，乙方壹份，招标代理机构壹份。</w:t>
      </w:r>
    </w:p>
    <w:p>
      <w:pPr>
        <w:spacing w:line="360" w:lineRule="auto"/>
        <w:ind w:left="426"/>
        <w:rPr>
          <w:rFonts w:ascii="宋体" w:hAnsi="宋体" w:cs="宋体"/>
          <w:color w:val="auto"/>
          <w:szCs w:val="21"/>
          <w:highlight w:val="none"/>
        </w:rPr>
      </w:pPr>
      <w:r>
        <w:rPr>
          <w:rFonts w:hint="eastAsia" w:ascii="宋体" w:hAnsi="宋体" w:cs="宋体"/>
          <w:color w:val="auto"/>
          <w:szCs w:val="21"/>
          <w:highlight w:val="none"/>
        </w:rPr>
        <w:t>11.合同未尽事宜，双方另行签订补充协议。补充协议是合同的组成部分。</w:t>
      </w:r>
    </w:p>
    <w:p>
      <w:pPr>
        <w:spacing w:line="360" w:lineRule="auto"/>
        <w:ind w:left="426"/>
        <w:rPr>
          <w:rFonts w:ascii="宋体" w:hAnsi="宋体" w:cs="宋体"/>
          <w:color w:val="auto"/>
          <w:szCs w:val="21"/>
          <w:highlight w:val="none"/>
        </w:rPr>
      </w:pPr>
    </w:p>
    <w:p>
      <w:pPr>
        <w:spacing w:line="360" w:lineRule="auto"/>
        <w:ind w:left="426"/>
        <w:rPr>
          <w:rFonts w:ascii="宋体" w:hAnsi="宋体" w:cs="宋体"/>
          <w:color w:val="auto"/>
          <w:szCs w:val="21"/>
          <w:highlight w:val="none"/>
        </w:rPr>
      </w:pPr>
    </w:p>
    <w:p>
      <w:pPr>
        <w:spacing w:line="360" w:lineRule="auto"/>
        <w:ind w:left="426"/>
        <w:rPr>
          <w:rFonts w:ascii="宋体" w:hAnsi="宋体" w:cs="宋体"/>
          <w:color w:val="auto"/>
          <w:szCs w:val="21"/>
          <w:highlight w:val="none"/>
        </w:rPr>
      </w:pPr>
    </w:p>
    <w:tbl>
      <w:tblPr>
        <w:tblStyle w:val="19"/>
        <w:tblW w:w="9240" w:type="dxa"/>
        <w:tblInd w:w="288" w:type="dxa"/>
        <w:tblLayout w:type="fixed"/>
        <w:tblCellMar>
          <w:top w:w="0" w:type="dxa"/>
          <w:left w:w="108" w:type="dxa"/>
          <w:bottom w:w="0" w:type="dxa"/>
          <w:right w:w="108" w:type="dxa"/>
        </w:tblCellMar>
      </w:tblPr>
      <w:tblGrid>
        <w:gridCol w:w="4581"/>
        <w:gridCol w:w="4659"/>
      </w:tblGrid>
      <w:tr>
        <w:tblPrEx>
          <w:tblCellMar>
            <w:top w:w="0" w:type="dxa"/>
            <w:left w:w="108" w:type="dxa"/>
            <w:bottom w:w="0" w:type="dxa"/>
            <w:right w:w="108" w:type="dxa"/>
          </w:tblCellMar>
        </w:tblPrEx>
        <w:trPr>
          <w:trHeight w:val="513" w:hRule="atLeast"/>
        </w:trPr>
        <w:tc>
          <w:tcPr>
            <w:tcW w:w="4581" w:type="dxa"/>
            <w:vAlign w:val="bottom"/>
          </w:tcPr>
          <w:p>
            <w:pPr>
              <w:pStyle w:val="54"/>
              <w:tabs>
                <w:tab w:val="left" w:pos="8100"/>
              </w:tabs>
              <w:ind w:left="0" w:right="77"/>
              <w:rPr>
                <w:rFonts w:ascii="宋体" w:hAnsi="宋体" w:cs="宋体"/>
                <w:color w:val="auto"/>
                <w:sz w:val="21"/>
                <w:szCs w:val="21"/>
                <w:highlight w:val="none"/>
              </w:rPr>
            </w:pPr>
            <w:r>
              <w:rPr>
                <w:rFonts w:hint="eastAsia" w:ascii="宋体" w:hAnsi="宋体" w:cs="宋体"/>
                <w:color w:val="auto"/>
                <w:sz w:val="21"/>
                <w:szCs w:val="21"/>
                <w:highlight w:val="none"/>
              </w:rPr>
              <w:t>发包人：</w:t>
            </w:r>
            <w:r>
              <w:rPr>
                <w:rFonts w:hint="eastAsia" w:ascii="宋体" w:hAnsi="宋体" w:cs="宋体"/>
                <w:color w:val="auto"/>
                <w:sz w:val="21"/>
                <w:szCs w:val="21"/>
                <w:highlight w:val="none"/>
                <w:u w:val="single"/>
              </w:rPr>
              <w:t xml:space="preserve">                        (盖章)</w:t>
            </w:r>
          </w:p>
        </w:tc>
        <w:tc>
          <w:tcPr>
            <w:tcW w:w="4659" w:type="dxa"/>
            <w:vAlign w:val="bottom"/>
          </w:tcPr>
          <w:p>
            <w:pPr>
              <w:pStyle w:val="54"/>
              <w:tabs>
                <w:tab w:val="left" w:pos="8100"/>
              </w:tabs>
              <w:ind w:left="0" w:right="77"/>
              <w:rPr>
                <w:rFonts w:ascii="宋体" w:hAnsi="宋体" w:cs="宋体"/>
                <w:color w:val="auto"/>
                <w:sz w:val="21"/>
                <w:szCs w:val="21"/>
                <w:highlight w:val="none"/>
              </w:rPr>
            </w:pPr>
            <w:r>
              <w:rPr>
                <w:rFonts w:hint="eastAsia" w:ascii="宋体" w:hAnsi="宋体" w:cs="宋体"/>
                <w:color w:val="auto"/>
                <w:sz w:val="21"/>
                <w:szCs w:val="21"/>
                <w:highlight w:val="none"/>
              </w:rPr>
              <w:t>承包人：</w:t>
            </w:r>
            <w:r>
              <w:rPr>
                <w:rFonts w:hint="eastAsia" w:ascii="宋体" w:hAnsi="宋体" w:cs="宋体"/>
                <w:color w:val="auto"/>
                <w:sz w:val="21"/>
                <w:szCs w:val="21"/>
                <w:highlight w:val="none"/>
                <w:u w:val="single"/>
              </w:rPr>
              <w:t xml:space="preserve">                         (盖章)</w:t>
            </w:r>
          </w:p>
        </w:tc>
      </w:tr>
      <w:tr>
        <w:tblPrEx>
          <w:tblCellMar>
            <w:top w:w="0" w:type="dxa"/>
            <w:left w:w="108" w:type="dxa"/>
            <w:bottom w:w="0" w:type="dxa"/>
            <w:right w:w="108" w:type="dxa"/>
          </w:tblCellMar>
        </w:tblPrEx>
        <w:trPr>
          <w:trHeight w:val="513" w:hRule="atLeast"/>
        </w:trPr>
        <w:tc>
          <w:tcPr>
            <w:tcW w:w="4581" w:type="dxa"/>
            <w:vAlign w:val="bottom"/>
          </w:tcPr>
          <w:p>
            <w:pPr>
              <w:pStyle w:val="54"/>
              <w:tabs>
                <w:tab w:val="left" w:pos="8100"/>
              </w:tabs>
              <w:ind w:left="0" w:right="77"/>
              <w:rPr>
                <w:rFonts w:ascii="宋体" w:hAnsi="宋体" w:cs="宋体"/>
                <w:color w:val="auto"/>
                <w:sz w:val="21"/>
                <w:szCs w:val="21"/>
                <w:highlight w:val="none"/>
              </w:rPr>
            </w:pPr>
            <w:r>
              <w:rPr>
                <w:rFonts w:hint="eastAsia" w:ascii="宋体" w:hAnsi="宋体" w:cs="宋体"/>
                <w:color w:val="auto"/>
                <w:sz w:val="21"/>
                <w:szCs w:val="21"/>
                <w:highlight w:val="none"/>
              </w:rPr>
              <w:t>法定代表人或其委托代理人：</w:t>
            </w:r>
            <w:r>
              <w:rPr>
                <w:rFonts w:hint="eastAsia" w:ascii="宋体" w:hAnsi="宋体" w:cs="宋体"/>
                <w:color w:val="auto"/>
                <w:sz w:val="21"/>
                <w:szCs w:val="21"/>
                <w:highlight w:val="none"/>
                <w:u w:val="single"/>
              </w:rPr>
              <w:t xml:space="preserve">         (签字)</w:t>
            </w:r>
          </w:p>
        </w:tc>
        <w:tc>
          <w:tcPr>
            <w:tcW w:w="4659" w:type="dxa"/>
            <w:vAlign w:val="bottom"/>
          </w:tcPr>
          <w:p>
            <w:pPr>
              <w:pStyle w:val="54"/>
              <w:tabs>
                <w:tab w:val="left" w:pos="8100"/>
              </w:tabs>
              <w:ind w:left="0" w:right="77"/>
              <w:rPr>
                <w:rFonts w:ascii="宋体" w:hAnsi="宋体" w:cs="宋体"/>
                <w:color w:val="auto"/>
                <w:sz w:val="21"/>
                <w:szCs w:val="21"/>
                <w:highlight w:val="none"/>
              </w:rPr>
            </w:pPr>
            <w:r>
              <w:rPr>
                <w:rFonts w:hint="eastAsia" w:ascii="宋体" w:hAnsi="宋体" w:cs="宋体"/>
                <w:color w:val="auto"/>
                <w:sz w:val="21"/>
                <w:szCs w:val="21"/>
                <w:highlight w:val="none"/>
              </w:rPr>
              <w:t>法定代表人或其委托代理人</w:t>
            </w:r>
            <w:r>
              <w:rPr>
                <w:rFonts w:hint="eastAsia" w:ascii="宋体" w:hAnsi="宋体" w:cs="宋体"/>
                <w:color w:val="auto"/>
                <w:sz w:val="21"/>
                <w:szCs w:val="21"/>
                <w:highlight w:val="none"/>
                <w:u w:val="single"/>
              </w:rPr>
              <w:t>：        (签字)</w:t>
            </w:r>
          </w:p>
        </w:tc>
      </w:tr>
      <w:tr>
        <w:tblPrEx>
          <w:tblCellMar>
            <w:top w:w="0" w:type="dxa"/>
            <w:left w:w="108" w:type="dxa"/>
            <w:bottom w:w="0" w:type="dxa"/>
            <w:right w:w="108" w:type="dxa"/>
          </w:tblCellMar>
        </w:tblPrEx>
        <w:trPr>
          <w:trHeight w:val="513" w:hRule="atLeast"/>
        </w:trPr>
        <w:tc>
          <w:tcPr>
            <w:tcW w:w="4581" w:type="dxa"/>
            <w:vAlign w:val="bottom"/>
          </w:tcPr>
          <w:p>
            <w:pPr>
              <w:pStyle w:val="54"/>
              <w:tabs>
                <w:tab w:val="left" w:pos="8100"/>
              </w:tabs>
              <w:ind w:left="0" w:right="77"/>
              <w:rPr>
                <w:rFonts w:ascii="宋体" w:hAnsi="宋体" w:cs="宋体"/>
                <w:color w:val="auto"/>
                <w:sz w:val="21"/>
                <w:szCs w:val="21"/>
                <w:highlight w:val="none"/>
              </w:rPr>
            </w:pPr>
            <w:r>
              <w:rPr>
                <w:rFonts w:hint="eastAsia" w:ascii="宋体" w:hAnsi="宋体" w:cs="宋体"/>
                <w:color w:val="auto"/>
                <w:sz w:val="21"/>
                <w:szCs w:val="21"/>
                <w:highlight w:val="none"/>
              </w:rPr>
              <w:t xml:space="preserve">                    年  月  日</w:t>
            </w:r>
          </w:p>
        </w:tc>
        <w:tc>
          <w:tcPr>
            <w:tcW w:w="4659" w:type="dxa"/>
            <w:vAlign w:val="bottom"/>
          </w:tcPr>
          <w:p>
            <w:pPr>
              <w:pStyle w:val="54"/>
              <w:tabs>
                <w:tab w:val="left" w:pos="8100"/>
              </w:tabs>
              <w:ind w:left="0" w:right="77"/>
              <w:rPr>
                <w:rFonts w:ascii="宋体" w:hAnsi="宋体" w:cs="宋体"/>
                <w:color w:val="auto"/>
                <w:sz w:val="21"/>
                <w:szCs w:val="21"/>
                <w:highlight w:val="none"/>
              </w:rPr>
            </w:pPr>
            <w:r>
              <w:rPr>
                <w:rFonts w:hint="eastAsia" w:ascii="宋体" w:hAnsi="宋体" w:cs="宋体"/>
                <w:color w:val="auto"/>
                <w:sz w:val="21"/>
                <w:szCs w:val="21"/>
                <w:highlight w:val="none"/>
              </w:rPr>
              <w:t xml:space="preserve">                         年  月  日</w:t>
            </w:r>
          </w:p>
        </w:tc>
      </w:tr>
      <w:tr>
        <w:tblPrEx>
          <w:tblCellMar>
            <w:top w:w="0" w:type="dxa"/>
            <w:left w:w="108" w:type="dxa"/>
            <w:bottom w:w="0" w:type="dxa"/>
            <w:right w:w="108" w:type="dxa"/>
          </w:tblCellMar>
        </w:tblPrEx>
        <w:trPr>
          <w:gridAfter w:val="1"/>
          <w:wAfter w:w="4659" w:type="dxa"/>
          <w:trHeight w:val="658" w:hRule="atLeast"/>
        </w:trPr>
        <w:tc>
          <w:tcPr>
            <w:tcW w:w="4581" w:type="dxa"/>
            <w:vAlign w:val="bottom"/>
          </w:tcPr>
          <w:p>
            <w:pPr>
              <w:pStyle w:val="54"/>
              <w:tabs>
                <w:tab w:val="left" w:pos="8100"/>
              </w:tabs>
              <w:ind w:left="0" w:right="77"/>
              <w:jc w:val="both"/>
              <w:rPr>
                <w:rFonts w:ascii="宋体" w:hAnsi="宋体" w:cs="宋体"/>
                <w:color w:val="auto"/>
                <w:sz w:val="21"/>
                <w:szCs w:val="21"/>
                <w:highlight w:val="none"/>
              </w:rPr>
            </w:pPr>
          </w:p>
          <w:p>
            <w:pPr>
              <w:pStyle w:val="54"/>
              <w:tabs>
                <w:tab w:val="left" w:pos="8100"/>
              </w:tabs>
              <w:ind w:left="0" w:right="77"/>
              <w:jc w:val="both"/>
              <w:rPr>
                <w:rFonts w:ascii="宋体" w:hAnsi="宋体" w:cs="宋体"/>
                <w:color w:val="auto"/>
                <w:sz w:val="21"/>
                <w:szCs w:val="21"/>
                <w:highlight w:val="none"/>
              </w:rPr>
            </w:pPr>
          </w:p>
          <w:p>
            <w:pPr>
              <w:pStyle w:val="54"/>
              <w:tabs>
                <w:tab w:val="left" w:pos="8100"/>
              </w:tabs>
              <w:ind w:left="0" w:right="77"/>
              <w:jc w:val="both"/>
              <w:rPr>
                <w:rFonts w:ascii="宋体" w:hAnsi="宋体" w:cs="宋体"/>
                <w:color w:val="auto"/>
                <w:sz w:val="21"/>
                <w:szCs w:val="21"/>
                <w:highlight w:val="none"/>
              </w:rPr>
            </w:pPr>
            <w:r>
              <w:rPr>
                <w:rFonts w:hint="eastAsia" w:ascii="宋体" w:hAnsi="宋体" w:cs="宋体"/>
                <w:color w:val="auto"/>
                <w:sz w:val="21"/>
                <w:szCs w:val="21"/>
                <w:highlight w:val="none"/>
              </w:rPr>
              <w:t xml:space="preserve">采购代理机构： </w:t>
            </w:r>
          </w:p>
        </w:tc>
      </w:tr>
      <w:tr>
        <w:tblPrEx>
          <w:tblCellMar>
            <w:top w:w="0" w:type="dxa"/>
            <w:left w:w="108" w:type="dxa"/>
            <w:bottom w:w="0" w:type="dxa"/>
            <w:right w:w="108" w:type="dxa"/>
          </w:tblCellMar>
        </w:tblPrEx>
        <w:trPr>
          <w:gridAfter w:val="1"/>
          <w:wAfter w:w="4659" w:type="dxa"/>
          <w:trHeight w:val="513" w:hRule="atLeast"/>
        </w:trPr>
        <w:tc>
          <w:tcPr>
            <w:tcW w:w="4581" w:type="dxa"/>
            <w:vAlign w:val="bottom"/>
          </w:tcPr>
          <w:p>
            <w:pPr>
              <w:pStyle w:val="54"/>
              <w:tabs>
                <w:tab w:val="left" w:pos="8100"/>
              </w:tabs>
              <w:ind w:left="0" w:right="77"/>
              <w:rPr>
                <w:rFonts w:ascii="宋体" w:hAnsi="宋体" w:cs="宋体"/>
                <w:color w:val="auto"/>
                <w:sz w:val="21"/>
                <w:szCs w:val="21"/>
                <w:highlight w:val="none"/>
              </w:rPr>
            </w:pPr>
            <w:r>
              <w:rPr>
                <w:rFonts w:hint="eastAsia" w:ascii="宋体" w:hAnsi="宋体" w:cs="宋体"/>
                <w:color w:val="auto"/>
                <w:sz w:val="21"/>
                <w:szCs w:val="21"/>
                <w:highlight w:val="none"/>
              </w:rPr>
              <w:t>采购代理机构代表：</w:t>
            </w:r>
            <w:r>
              <w:rPr>
                <w:rFonts w:hint="eastAsia" w:ascii="宋体" w:hAnsi="宋体" w:cs="宋体"/>
                <w:color w:val="auto"/>
                <w:sz w:val="21"/>
                <w:szCs w:val="21"/>
                <w:highlight w:val="none"/>
                <w:u w:val="single"/>
              </w:rPr>
              <w:t>（签字）</w:t>
            </w:r>
          </w:p>
        </w:tc>
      </w:tr>
      <w:tr>
        <w:tblPrEx>
          <w:tblCellMar>
            <w:top w:w="0" w:type="dxa"/>
            <w:left w:w="108" w:type="dxa"/>
            <w:bottom w:w="0" w:type="dxa"/>
            <w:right w:w="108" w:type="dxa"/>
          </w:tblCellMar>
        </w:tblPrEx>
        <w:trPr>
          <w:gridAfter w:val="1"/>
          <w:wAfter w:w="4659" w:type="dxa"/>
          <w:trHeight w:val="513" w:hRule="atLeast"/>
        </w:trPr>
        <w:tc>
          <w:tcPr>
            <w:tcW w:w="4581" w:type="dxa"/>
            <w:vAlign w:val="bottom"/>
          </w:tcPr>
          <w:p>
            <w:pPr>
              <w:pStyle w:val="54"/>
              <w:tabs>
                <w:tab w:val="left" w:pos="8100"/>
              </w:tabs>
              <w:ind w:left="0" w:right="77"/>
              <w:rPr>
                <w:rFonts w:ascii="宋体" w:hAnsi="宋体" w:cs="宋体"/>
                <w:color w:val="auto"/>
                <w:sz w:val="21"/>
                <w:szCs w:val="21"/>
                <w:highlight w:val="none"/>
              </w:rPr>
            </w:pPr>
            <w:r>
              <w:rPr>
                <w:rFonts w:hint="eastAsia" w:ascii="宋体" w:hAnsi="宋体" w:cs="宋体"/>
                <w:color w:val="auto"/>
                <w:sz w:val="21"/>
                <w:szCs w:val="21"/>
                <w:highlight w:val="none"/>
              </w:rPr>
              <w:t>·                  年    月   日</w:t>
            </w:r>
          </w:p>
        </w:tc>
      </w:tr>
    </w:tbl>
    <w:p>
      <w:pPr>
        <w:pStyle w:val="55"/>
        <w:jc w:val="center"/>
        <w:rPr>
          <w:rFonts w:ascii="宋体" w:hAnsi="宋体"/>
          <w:color w:val="auto"/>
          <w:sz w:val="21"/>
          <w:szCs w:val="21"/>
          <w:highlight w:val="none"/>
        </w:rPr>
      </w:pPr>
      <w:r>
        <w:rPr>
          <w:rFonts w:hint="eastAsia" w:ascii="宋体" w:hAnsi="宋体"/>
          <w:color w:val="auto"/>
          <w:sz w:val="21"/>
          <w:szCs w:val="21"/>
          <w:highlight w:val="none"/>
        </w:rPr>
        <w:br w:type="page"/>
      </w:r>
      <w:bookmarkStart w:id="88" w:name="_Toc23766_WPSOffice_Level2"/>
      <w:bookmarkStart w:id="89" w:name="_Toc19559"/>
      <w:r>
        <w:rPr>
          <w:rFonts w:hint="eastAsia" w:ascii="宋体" w:hAnsi="宋体"/>
          <w:color w:val="auto"/>
          <w:sz w:val="21"/>
          <w:szCs w:val="21"/>
          <w:highlight w:val="none"/>
        </w:rPr>
        <w:t>第二节通用合同条款</w:t>
      </w:r>
      <w:bookmarkEnd w:id="88"/>
      <w:bookmarkEnd w:id="89"/>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一、词语定义及合同文件</w:t>
      </w:r>
      <w:r>
        <w:rPr>
          <w:rFonts w:hint="eastAsia" w:ascii="宋体" w:hAnsi="宋体" w:cs="宋体"/>
          <w:color w:val="auto"/>
          <w:szCs w:val="21"/>
          <w:highlight w:val="none"/>
        </w:rPr>
        <w:br w:type="textWrapping"/>
      </w:r>
      <w:r>
        <w:rPr>
          <w:rFonts w:hint="eastAsia" w:ascii="宋体" w:hAnsi="宋体" w:cs="宋体"/>
          <w:color w:val="auto"/>
          <w:szCs w:val="21"/>
          <w:highlight w:val="none"/>
        </w:rPr>
        <w:t>　　1.词语定义</w:t>
      </w:r>
      <w:r>
        <w:rPr>
          <w:rFonts w:hint="eastAsia" w:ascii="宋体" w:hAnsi="宋体" w:cs="宋体"/>
          <w:color w:val="auto"/>
          <w:szCs w:val="21"/>
          <w:highlight w:val="none"/>
        </w:rPr>
        <w:br w:type="textWrapping"/>
      </w:r>
      <w:r>
        <w:rPr>
          <w:rFonts w:hint="eastAsia" w:ascii="宋体" w:hAnsi="宋体" w:cs="宋体"/>
          <w:color w:val="auto"/>
          <w:szCs w:val="21"/>
          <w:highlight w:val="none"/>
        </w:rPr>
        <w:t>　　下列词语除专用条款另有约定外，应具有本条所赋予的定义：</w:t>
      </w:r>
      <w:r>
        <w:rPr>
          <w:rFonts w:hint="eastAsia" w:ascii="宋体" w:hAnsi="宋体" w:cs="宋体"/>
          <w:color w:val="auto"/>
          <w:szCs w:val="21"/>
          <w:highlight w:val="none"/>
        </w:rPr>
        <w:br w:type="textWrapping"/>
      </w:r>
      <w:r>
        <w:rPr>
          <w:rFonts w:hint="eastAsia" w:ascii="宋体" w:hAnsi="宋体" w:cs="宋体"/>
          <w:color w:val="auto"/>
          <w:szCs w:val="21"/>
          <w:highlight w:val="none"/>
        </w:rPr>
        <w:t>　　1.1通用条款：是根据法律、行政法规规定及建设工程施工的需要订方，通用于建设工程施工的条款。</w:t>
      </w:r>
      <w:r>
        <w:rPr>
          <w:rFonts w:hint="eastAsia" w:ascii="宋体" w:hAnsi="宋体" w:cs="宋体"/>
          <w:color w:val="auto"/>
          <w:szCs w:val="21"/>
          <w:highlight w:val="none"/>
        </w:rPr>
        <w:br w:type="textWrapping"/>
      </w:r>
      <w:r>
        <w:rPr>
          <w:rFonts w:hint="eastAsia" w:ascii="宋体" w:hAnsi="宋体" w:cs="宋体"/>
          <w:color w:val="auto"/>
          <w:szCs w:val="21"/>
          <w:highlight w:val="none"/>
        </w:rPr>
        <w:t>　　1.2专用条款：是发包人与承包人根据法律、行政法规规定，结合具体工程实际，经协商达成一致意见的条款，是对通用条款的具体化、补充或修改。</w:t>
      </w:r>
      <w:r>
        <w:rPr>
          <w:rFonts w:hint="eastAsia" w:ascii="宋体" w:hAnsi="宋体" w:cs="宋体"/>
          <w:color w:val="auto"/>
          <w:szCs w:val="21"/>
          <w:highlight w:val="none"/>
        </w:rPr>
        <w:br w:type="textWrapping"/>
      </w:r>
      <w:r>
        <w:rPr>
          <w:rFonts w:hint="eastAsia" w:ascii="宋体" w:hAnsi="宋体" w:cs="宋体"/>
          <w:color w:val="auto"/>
          <w:szCs w:val="21"/>
          <w:highlight w:val="none"/>
        </w:rPr>
        <w:t>　　1.3发包人：指在协议书中约定，具有工程发包主体资格和支付工程价款能力的当事人以及取得该当事人资格的合法继承人。</w:t>
      </w:r>
      <w:r>
        <w:rPr>
          <w:rFonts w:hint="eastAsia" w:ascii="宋体" w:hAnsi="宋体" w:cs="宋体"/>
          <w:color w:val="auto"/>
          <w:szCs w:val="21"/>
          <w:highlight w:val="none"/>
        </w:rPr>
        <w:br w:type="textWrapping"/>
      </w:r>
      <w:r>
        <w:rPr>
          <w:rFonts w:hint="eastAsia" w:ascii="宋体" w:hAnsi="宋体" w:cs="宋体"/>
          <w:color w:val="auto"/>
          <w:szCs w:val="21"/>
          <w:highlight w:val="none"/>
        </w:rPr>
        <w:t>　　1.4承包人：指在协议书中约定，被发包人接受的具有工程施工承包主体资格的当事人以及取得该当事人资格的合法继承人。</w:t>
      </w:r>
      <w:r>
        <w:rPr>
          <w:rFonts w:hint="eastAsia" w:ascii="宋体" w:hAnsi="宋体" w:cs="宋体"/>
          <w:color w:val="auto"/>
          <w:szCs w:val="21"/>
          <w:highlight w:val="none"/>
        </w:rPr>
        <w:br w:type="textWrapping"/>
      </w:r>
      <w:r>
        <w:rPr>
          <w:rFonts w:hint="eastAsia" w:ascii="宋体" w:hAnsi="宋体" w:cs="宋体"/>
          <w:color w:val="auto"/>
          <w:szCs w:val="21"/>
          <w:highlight w:val="none"/>
        </w:rPr>
        <w:t>　　1.5项目经理：指承包人在专用条款中指定的负责施工管理和合同履行的代表。</w:t>
      </w:r>
      <w:r>
        <w:rPr>
          <w:rFonts w:hint="eastAsia" w:ascii="宋体" w:hAnsi="宋体" w:cs="宋体"/>
          <w:color w:val="auto"/>
          <w:szCs w:val="21"/>
          <w:highlight w:val="none"/>
        </w:rPr>
        <w:br w:type="textWrapping"/>
      </w:r>
      <w:r>
        <w:rPr>
          <w:rFonts w:hint="eastAsia" w:ascii="宋体" w:hAnsi="宋体" w:cs="宋体"/>
          <w:color w:val="auto"/>
          <w:szCs w:val="21"/>
          <w:highlight w:val="none"/>
        </w:rPr>
        <w:t>　　1.6设计单位：指发包人委托的负责本工程设计并取得相应工程设计资质等级证书的单位。</w:t>
      </w:r>
      <w:r>
        <w:rPr>
          <w:rFonts w:hint="eastAsia" w:ascii="宋体" w:hAnsi="宋体" w:cs="宋体"/>
          <w:color w:val="auto"/>
          <w:szCs w:val="21"/>
          <w:highlight w:val="none"/>
        </w:rPr>
        <w:br w:type="textWrapping"/>
      </w:r>
      <w:r>
        <w:rPr>
          <w:rFonts w:hint="eastAsia" w:ascii="宋体" w:hAnsi="宋体" w:cs="宋体"/>
          <w:color w:val="auto"/>
          <w:szCs w:val="21"/>
          <w:highlight w:val="none"/>
        </w:rPr>
        <w:t>　　1.7监理单位：指发包人委托的负责本工程监理并取得相应工程监理资质等级证书的单位。</w:t>
      </w:r>
      <w:r>
        <w:rPr>
          <w:rFonts w:hint="eastAsia" w:ascii="宋体" w:hAnsi="宋体" w:cs="宋体"/>
          <w:color w:val="auto"/>
          <w:szCs w:val="21"/>
          <w:highlight w:val="none"/>
        </w:rPr>
        <w:br w:type="textWrapping"/>
      </w:r>
      <w:r>
        <w:rPr>
          <w:rFonts w:hint="eastAsia" w:ascii="宋体" w:hAnsi="宋体" w:cs="宋体"/>
          <w:color w:val="auto"/>
          <w:szCs w:val="21"/>
          <w:highlight w:val="none"/>
        </w:rPr>
        <w:t>　　1.8工程师：指本工程监理单位委派的总监理工程师或发包人指定的履行本合同的代表，其具体身份和职权由发包人承包人在专用条款中约定。</w:t>
      </w:r>
      <w:r>
        <w:rPr>
          <w:rFonts w:hint="eastAsia" w:ascii="宋体" w:hAnsi="宋体" w:cs="宋体"/>
          <w:color w:val="auto"/>
          <w:szCs w:val="21"/>
          <w:highlight w:val="none"/>
        </w:rPr>
        <w:br w:type="textWrapping"/>
      </w:r>
      <w:r>
        <w:rPr>
          <w:rFonts w:hint="eastAsia" w:ascii="宋体" w:hAnsi="宋体" w:cs="宋体"/>
          <w:color w:val="auto"/>
          <w:szCs w:val="21"/>
          <w:highlight w:val="none"/>
        </w:rPr>
        <w:t>　　1.9工程造价管理部门：指国务院有关部门、县级以上人民政府建设行政主管部门或其委托的工程造价管理机构。</w:t>
      </w:r>
      <w:r>
        <w:rPr>
          <w:rFonts w:hint="eastAsia" w:ascii="宋体" w:hAnsi="宋体" w:cs="宋体"/>
          <w:color w:val="auto"/>
          <w:szCs w:val="21"/>
          <w:highlight w:val="none"/>
        </w:rPr>
        <w:br w:type="textWrapping"/>
      </w:r>
      <w:r>
        <w:rPr>
          <w:rFonts w:hint="eastAsia" w:ascii="宋体" w:hAnsi="宋体" w:cs="宋体"/>
          <w:color w:val="auto"/>
          <w:szCs w:val="21"/>
          <w:highlight w:val="none"/>
        </w:rPr>
        <w:t>　　1.10工程：指发包人承包人在协议书中约定的承包范围内的工程。</w:t>
      </w:r>
      <w:r>
        <w:rPr>
          <w:rFonts w:hint="eastAsia" w:ascii="宋体" w:hAnsi="宋体" w:cs="宋体"/>
          <w:color w:val="auto"/>
          <w:szCs w:val="21"/>
          <w:highlight w:val="none"/>
        </w:rPr>
        <w:br w:type="textWrapping"/>
      </w:r>
      <w:r>
        <w:rPr>
          <w:rFonts w:hint="eastAsia" w:ascii="宋体" w:hAnsi="宋体" w:cs="宋体"/>
          <w:color w:val="auto"/>
          <w:szCs w:val="21"/>
          <w:highlight w:val="none"/>
        </w:rPr>
        <w:t>　　1.11合同价款：指发包人承包人在协议书中约定，发包人用以支付承包人按照合同约定完成承包范围内全部工程并承担质量保修责任的款项。</w:t>
      </w:r>
      <w:r>
        <w:rPr>
          <w:rFonts w:hint="eastAsia" w:ascii="宋体" w:hAnsi="宋体" w:cs="宋体"/>
          <w:color w:val="auto"/>
          <w:szCs w:val="21"/>
          <w:highlight w:val="none"/>
        </w:rPr>
        <w:br w:type="textWrapping"/>
      </w:r>
      <w:r>
        <w:rPr>
          <w:rFonts w:hint="eastAsia" w:ascii="宋体" w:hAnsi="宋体" w:cs="宋体"/>
          <w:color w:val="auto"/>
          <w:szCs w:val="21"/>
          <w:highlight w:val="none"/>
        </w:rPr>
        <w:t>　　1.12追加合同价款：指在合同履行中发生需要增加合同价款的情况，经发包人确认后按计算合同价款的方法增加的合同价款。</w:t>
      </w:r>
      <w:r>
        <w:rPr>
          <w:rFonts w:hint="eastAsia" w:ascii="宋体" w:hAnsi="宋体" w:cs="宋体"/>
          <w:color w:val="auto"/>
          <w:szCs w:val="21"/>
          <w:highlight w:val="none"/>
        </w:rPr>
        <w:br w:type="textWrapping"/>
      </w:r>
      <w:r>
        <w:rPr>
          <w:rFonts w:hint="eastAsia" w:ascii="宋体" w:hAnsi="宋体" w:cs="宋体"/>
          <w:color w:val="auto"/>
          <w:szCs w:val="21"/>
          <w:highlight w:val="none"/>
        </w:rPr>
        <w:t>　　1.13费用：指不包含在合同价款之内的应当由发包人或承包人承担的经济支出。</w:t>
      </w:r>
      <w:r>
        <w:rPr>
          <w:rFonts w:hint="eastAsia" w:ascii="宋体" w:hAnsi="宋体" w:cs="宋体"/>
          <w:color w:val="auto"/>
          <w:szCs w:val="21"/>
          <w:highlight w:val="none"/>
        </w:rPr>
        <w:br w:type="textWrapping"/>
      </w:r>
      <w:r>
        <w:rPr>
          <w:rFonts w:hint="eastAsia" w:ascii="宋体" w:hAnsi="宋体" w:cs="宋体"/>
          <w:color w:val="auto"/>
          <w:szCs w:val="21"/>
          <w:highlight w:val="none"/>
        </w:rPr>
        <w:t>　　1.14工期；指发包人承包人在协议书中约定，按总日历天数（包括法定节假日）计算的承包天数。</w:t>
      </w:r>
      <w:r>
        <w:rPr>
          <w:rFonts w:hint="eastAsia" w:ascii="宋体" w:hAnsi="宋体" w:cs="宋体"/>
          <w:color w:val="auto"/>
          <w:szCs w:val="21"/>
          <w:highlight w:val="none"/>
        </w:rPr>
        <w:br w:type="textWrapping"/>
      </w:r>
      <w:r>
        <w:rPr>
          <w:rFonts w:hint="eastAsia" w:ascii="宋体" w:hAnsi="宋体" w:cs="宋体"/>
          <w:color w:val="auto"/>
          <w:szCs w:val="21"/>
          <w:highlight w:val="none"/>
        </w:rPr>
        <w:t>　　1.15开工日期：指发包人承包人在协议书中约定，承包人开始施工的绝对或相对的日期。</w:t>
      </w:r>
      <w:r>
        <w:rPr>
          <w:rFonts w:hint="eastAsia" w:ascii="宋体" w:hAnsi="宋体" w:cs="宋体"/>
          <w:color w:val="auto"/>
          <w:szCs w:val="21"/>
          <w:highlight w:val="none"/>
        </w:rPr>
        <w:br w:type="textWrapping"/>
      </w:r>
      <w:r>
        <w:rPr>
          <w:rFonts w:hint="eastAsia" w:ascii="宋体" w:hAnsi="宋体" w:cs="宋体"/>
          <w:color w:val="auto"/>
          <w:szCs w:val="21"/>
          <w:highlight w:val="none"/>
        </w:rPr>
        <w:t>　　1.16竣工日期：指发包人承包人在协议书中约定，承包人完成承包范围内工程的绝对或相对的日期。</w:t>
      </w:r>
      <w:r>
        <w:rPr>
          <w:rFonts w:hint="eastAsia" w:ascii="宋体" w:hAnsi="宋体" w:cs="宋体"/>
          <w:color w:val="auto"/>
          <w:szCs w:val="21"/>
          <w:highlight w:val="none"/>
        </w:rPr>
        <w:br w:type="textWrapping"/>
      </w:r>
      <w:r>
        <w:rPr>
          <w:rFonts w:hint="eastAsia" w:ascii="宋体" w:hAnsi="宋体" w:cs="宋体"/>
          <w:color w:val="auto"/>
          <w:szCs w:val="21"/>
          <w:highlight w:val="none"/>
        </w:rPr>
        <w:t>　　1.17图纸：指由发包人提供或由承包人提供并经发包人批准，满足承包人施工需要的所有图纸（包括配套说明和有关资料）。</w:t>
      </w:r>
      <w:r>
        <w:rPr>
          <w:rFonts w:hint="eastAsia" w:ascii="宋体" w:hAnsi="宋体" w:cs="宋体"/>
          <w:color w:val="auto"/>
          <w:szCs w:val="21"/>
          <w:highlight w:val="none"/>
        </w:rPr>
        <w:br w:type="textWrapping"/>
      </w:r>
      <w:r>
        <w:rPr>
          <w:rFonts w:hint="eastAsia" w:ascii="宋体" w:hAnsi="宋体" w:cs="宋体"/>
          <w:color w:val="auto"/>
          <w:szCs w:val="21"/>
          <w:highlight w:val="none"/>
        </w:rPr>
        <w:t>　　1.18施工场地：指由发包人提供的用于工程施工的场所以及发包人在图纸中具体指定的供施工使用的任何其他场所。</w:t>
      </w:r>
      <w:r>
        <w:rPr>
          <w:rFonts w:hint="eastAsia" w:ascii="宋体" w:hAnsi="宋体" w:cs="宋体"/>
          <w:color w:val="auto"/>
          <w:szCs w:val="21"/>
          <w:highlight w:val="none"/>
        </w:rPr>
        <w:br w:type="textWrapping"/>
      </w:r>
      <w:r>
        <w:rPr>
          <w:rFonts w:hint="eastAsia" w:ascii="宋体" w:hAnsi="宋体" w:cs="宋体"/>
          <w:color w:val="auto"/>
          <w:szCs w:val="21"/>
          <w:highlight w:val="none"/>
        </w:rPr>
        <w:t>　　1.19书面形式：指合同书、信件和数据电文（包括电报、电传、传真、电子数据交换和电子邮件）等可以有形地表现所载内容的形式。</w:t>
      </w:r>
      <w:r>
        <w:rPr>
          <w:rFonts w:hint="eastAsia" w:ascii="宋体" w:hAnsi="宋体" w:cs="宋体"/>
          <w:color w:val="auto"/>
          <w:szCs w:val="21"/>
          <w:highlight w:val="none"/>
        </w:rPr>
        <w:br w:type="textWrapping"/>
      </w:r>
      <w:r>
        <w:rPr>
          <w:rFonts w:hint="eastAsia" w:ascii="宋体" w:hAnsi="宋体" w:cs="宋体"/>
          <w:color w:val="auto"/>
          <w:szCs w:val="21"/>
          <w:highlight w:val="none"/>
        </w:rPr>
        <w:t>　　1.20违约责任：指合同一方不履行合同义务或履行合同义务不符合约定所应承担的责任。</w:t>
      </w:r>
      <w:r>
        <w:rPr>
          <w:rFonts w:hint="eastAsia" w:ascii="宋体" w:hAnsi="宋体" w:cs="宋体"/>
          <w:color w:val="auto"/>
          <w:szCs w:val="21"/>
          <w:highlight w:val="none"/>
        </w:rPr>
        <w:br w:type="textWrapping"/>
      </w:r>
      <w:r>
        <w:rPr>
          <w:rFonts w:hint="eastAsia" w:ascii="宋体" w:hAnsi="宋体" w:cs="宋体"/>
          <w:color w:val="auto"/>
          <w:szCs w:val="21"/>
          <w:highlight w:val="none"/>
        </w:rPr>
        <w:t>　　1.21索赔：指在合同履行过程中，对于并非自己的过错，而是应由对方承担责任的情况造成的实际损失，向对方提出经济补偿和（或）工期顺延的要求。</w:t>
      </w:r>
      <w:r>
        <w:rPr>
          <w:rFonts w:hint="eastAsia" w:ascii="宋体" w:hAnsi="宋体" w:cs="宋体"/>
          <w:color w:val="auto"/>
          <w:szCs w:val="21"/>
          <w:highlight w:val="none"/>
        </w:rPr>
        <w:br w:type="textWrapping"/>
      </w:r>
      <w:r>
        <w:rPr>
          <w:rFonts w:hint="eastAsia" w:ascii="宋体" w:hAnsi="宋体" w:cs="宋体"/>
          <w:color w:val="auto"/>
          <w:szCs w:val="21"/>
          <w:highlight w:val="none"/>
        </w:rPr>
        <w:t>　　1.22不可抗力：指不能预见、不能避免并不能克服的客观情况。</w:t>
      </w:r>
      <w:r>
        <w:rPr>
          <w:rFonts w:hint="eastAsia" w:ascii="宋体" w:hAnsi="宋体" w:cs="宋体"/>
          <w:color w:val="auto"/>
          <w:szCs w:val="21"/>
          <w:highlight w:val="none"/>
        </w:rPr>
        <w:br w:type="textWrapping"/>
      </w:r>
      <w:r>
        <w:rPr>
          <w:rFonts w:hint="eastAsia" w:ascii="宋体" w:hAnsi="宋体" w:cs="宋体"/>
          <w:color w:val="auto"/>
          <w:szCs w:val="21"/>
          <w:highlight w:val="none"/>
        </w:rPr>
        <w:t>　　1.23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r>
        <w:rPr>
          <w:rFonts w:hint="eastAsia" w:ascii="宋体" w:hAnsi="宋体" w:cs="宋体"/>
          <w:color w:val="auto"/>
          <w:szCs w:val="21"/>
          <w:highlight w:val="none"/>
        </w:rPr>
        <w:br w:type="textWrapping"/>
      </w:r>
      <w:r>
        <w:rPr>
          <w:rFonts w:hint="eastAsia" w:ascii="宋体" w:hAnsi="宋体" w:cs="宋体"/>
          <w:color w:val="auto"/>
          <w:szCs w:val="21"/>
          <w:highlight w:val="none"/>
        </w:rPr>
        <w:t>　　2.合同文件及解释顺序</w:t>
      </w:r>
      <w:r>
        <w:rPr>
          <w:rFonts w:hint="eastAsia" w:ascii="宋体" w:hAnsi="宋体" w:cs="宋体"/>
          <w:color w:val="auto"/>
          <w:szCs w:val="21"/>
          <w:highlight w:val="none"/>
        </w:rPr>
        <w:br w:type="textWrapping"/>
      </w:r>
      <w:r>
        <w:rPr>
          <w:rFonts w:hint="eastAsia" w:ascii="宋体" w:hAnsi="宋体" w:cs="宋体"/>
          <w:color w:val="auto"/>
          <w:szCs w:val="21"/>
          <w:highlight w:val="none"/>
        </w:rPr>
        <w:t xml:space="preserve">    2.1合同文件应能相互解释，互为说明。除专用条款另有约定外，组成本合同的文件及优先解释顺序如下：</w:t>
      </w:r>
      <w:r>
        <w:rPr>
          <w:rFonts w:hint="eastAsia" w:ascii="宋体" w:hAnsi="宋体" w:cs="宋体"/>
          <w:color w:val="auto"/>
          <w:szCs w:val="21"/>
          <w:highlight w:val="none"/>
        </w:rPr>
        <w:br w:type="textWrapping"/>
      </w:r>
      <w:r>
        <w:rPr>
          <w:rFonts w:hint="eastAsia" w:ascii="宋体" w:hAnsi="宋体" w:cs="宋体"/>
          <w:color w:val="auto"/>
          <w:szCs w:val="21"/>
          <w:highlight w:val="none"/>
        </w:rPr>
        <w:t>　　（1）本合同协议书</w:t>
      </w:r>
      <w:r>
        <w:rPr>
          <w:rFonts w:hint="eastAsia" w:ascii="宋体" w:hAnsi="宋体" w:cs="宋体"/>
          <w:color w:val="auto"/>
          <w:szCs w:val="21"/>
          <w:highlight w:val="none"/>
        </w:rPr>
        <w:br w:type="textWrapping"/>
      </w:r>
      <w:r>
        <w:rPr>
          <w:rFonts w:hint="eastAsia" w:ascii="宋体" w:hAnsi="宋体" w:cs="宋体"/>
          <w:color w:val="auto"/>
          <w:szCs w:val="21"/>
          <w:highlight w:val="none"/>
        </w:rPr>
        <w:t>　　（2）中标通知书</w:t>
      </w:r>
      <w:r>
        <w:rPr>
          <w:rFonts w:hint="eastAsia" w:ascii="宋体" w:hAnsi="宋体" w:cs="宋体"/>
          <w:color w:val="auto"/>
          <w:szCs w:val="21"/>
          <w:highlight w:val="none"/>
        </w:rPr>
        <w:br w:type="textWrapping"/>
      </w:r>
      <w:r>
        <w:rPr>
          <w:rFonts w:hint="eastAsia" w:ascii="宋体" w:hAnsi="宋体" w:cs="宋体"/>
          <w:color w:val="auto"/>
          <w:szCs w:val="21"/>
          <w:highlight w:val="none"/>
        </w:rPr>
        <w:t>　　（3）投标书及其附件</w:t>
      </w:r>
      <w:r>
        <w:rPr>
          <w:rFonts w:hint="eastAsia" w:ascii="宋体" w:hAnsi="宋体" w:cs="宋体"/>
          <w:color w:val="auto"/>
          <w:szCs w:val="21"/>
          <w:highlight w:val="none"/>
        </w:rPr>
        <w:br w:type="textWrapping"/>
      </w:r>
      <w:r>
        <w:rPr>
          <w:rFonts w:hint="eastAsia" w:ascii="宋体" w:hAnsi="宋体" w:cs="宋体"/>
          <w:color w:val="auto"/>
          <w:szCs w:val="21"/>
          <w:highlight w:val="none"/>
        </w:rPr>
        <w:t>　　（4）本合同专用条款</w:t>
      </w:r>
      <w:r>
        <w:rPr>
          <w:rFonts w:hint="eastAsia" w:ascii="宋体" w:hAnsi="宋体" w:cs="宋体"/>
          <w:color w:val="auto"/>
          <w:szCs w:val="21"/>
          <w:highlight w:val="none"/>
        </w:rPr>
        <w:br w:type="textWrapping"/>
      </w:r>
      <w:r>
        <w:rPr>
          <w:rFonts w:hint="eastAsia" w:ascii="宋体" w:hAnsi="宋体" w:cs="宋体"/>
          <w:color w:val="auto"/>
          <w:szCs w:val="21"/>
          <w:highlight w:val="none"/>
        </w:rPr>
        <w:t>　　（5）本合同通用条款</w:t>
      </w:r>
      <w:r>
        <w:rPr>
          <w:rFonts w:hint="eastAsia" w:ascii="宋体" w:hAnsi="宋体" w:cs="宋体"/>
          <w:color w:val="auto"/>
          <w:szCs w:val="21"/>
          <w:highlight w:val="none"/>
        </w:rPr>
        <w:br w:type="textWrapping"/>
      </w:r>
      <w:r>
        <w:rPr>
          <w:rFonts w:hint="eastAsia" w:ascii="宋体" w:hAnsi="宋体" w:cs="宋体"/>
          <w:color w:val="auto"/>
          <w:szCs w:val="21"/>
          <w:highlight w:val="none"/>
        </w:rPr>
        <w:t>　　（6）标准、规范及有关技术文件</w:t>
      </w:r>
      <w:r>
        <w:rPr>
          <w:rFonts w:hint="eastAsia" w:ascii="宋体" w:hAnsi="宋体" w:cs="宋体"/>
          <w:color w:val="auto"/>
          <w:szCs w:val="21"/>
          <w:highlight w:val="none"/>
        </w:rPr>
        <w:br w:type="textWrapping"/>
      </w:r>
      <w:r>
        <w:rPr>
          <w:rFonts w:hint="eastAsia" w:ascii="宋体" w:hAnsi="宋体" w:cs="宋体"/>
          <w:color w:val="auto"/>
          <w:szCs w:val="21"/>
          <w:highlight w:val="none"/>
        </w:rPr>
        <w:t>　　（7）图纸</w:t>
      </w:r>
      <w:r>
        <w:rPr>
          <w:rFonts w:hint="eastAsia" w:ascii="宋体" w:hAnsi="宋体" w:cs="宋体"/>
          <w:color w:val="auto"/>
          <w:szCs w:val="21"/>
          <w:highlight w:val="none"/>
        </w:rPr>
        <w:br w:type="textWrapping"/>
      </w:r>
      <w:r>
        <w:rPr>
          <w:rFonts w:hint="eastAsia" w:ascii="宋体" w:hAnsi="宋体" w:cs="宋体"/>
          <w:color w:val="auto"/>
          <w:szCs w:val="21"/>
          <w:highlight w:val="none"/>
        </w:rPr>
        <w:t>　　（8）工程量清单</w:t>
      </w:r>
      <w:r>
        <w:rPr>
          <w:rFonts w:hint="eastAsia" w:ascii="宋体" w:hAnsi="宋体" w:cs="宋体"/>
          <w:color w:val="auto"/>
          <w:szCs w:val="21"/>
          <w:highlight w:val="none"/>
        </w:rPr>
        <w:br w:type="textWrapping"/>
      </w:r>
      <w:r>
        <w:rPr>
          <w:rFonts w:hint="eastAsia" w:ascii="宋体" w:hAnsi="宋体" w:cs="宋体"/>
          <w:color w:val="auto"/>
          <w:szCs w:val="21"/>
          <w:highlight w:val="none"/>
        </w:rPr>
        <w:t>　　（9）工程报价单或预算书</w:t>
      </w:r>
      <w:r>
        <w:rPr>
          <w:rFonts w:hint="eastAsia" w:ascii="宋体" w:hAnsi="宋体" w:cs="宋体"/>
          <w:color w:val="auto"/>
          <w:szCs w:val="21"/>
          <w:highlight w:val="none"/>
        </w:rPr>
        <w:br w:type="textWrapping"/>
      </w:r>
      <w:r>
        <w:rPr>
          <w:rFonts w:hint="eastAsia" w:ascii="宋体" w:hAnsi="宋体" w:cs="宋体"/>
          <w:color w:val="auto"/>
          <w:szCs w:val="21"/>
          <w:highlight w:val="none"/>
        </w:rPr>
        <w:t>　　合同履行中，发包人承包人有关工程的洽商、变更等书面协议或文件视为本合同的组成部分。</w:t>
      </w:r>
      <w:r>
        <w:rPr>
          <w:rFonts w:hint="eastAsia" w:ascii="宋体" w:hAnsi="宋体" w:cs="宋体"/>
          <w:color w:val="auto"/>
          <w:szCs w:val="21"/>
          <w:highlight w:val="none"/>
        </w:rPr>
        <w:br w:type="textWrapping"/>
      </w:r>
      <w:r>
        <w:rPr>
          <w:rFonts w:hint="eastAsia" w:ascii="宋体" w:hAnsi="宋体" w:cs="宋体"/>
          <w:color w:val="auto"/>
          <w:szCs w:val="21"/>
          <w:highlight w:val="none"/>
        </w:rPr>
        <w:t>　　2.2当合同文件内容含糊不清或不相一致时，在不影响工程正常进行的情况下，由发包人承包人协商解决。双方也可以提请负责监理的工程师作出解释。双方协商不成或不同意负责监理的工程师的解释时，按本通用条款条37条关于争议的约定处理。</w:t>
      </w:r>
      <w:r>
        <w:rPr>
          <w:rFonts w:hint="eastAsia" w:ascii="宋体" w:hAnsi="宋体" w:cs="宋体"/>
          <w:color w:val="auto"/>
          <w:szCs w:val="21"/>
          <w:highlight w:val="none"/>
        </w:rPr>
        <w:br w:type="textWrapping"/>
      </w:r>
      <w:r>
        <w:rPr>
          <w:rFonts w:hint="eastAsia" w:ascii="宋体" w:hAnsi="宋体" w:cs="宋体"/>
          <w:color w:val="auto"/>
          <w:szCs w:val="21"/>
          <w:highlight w:val="none"/>
        </w:rPr>
        <w:t>　　3.语言文字和适用法律、标准及规范</w:t>
      </w:r>
      <w:r>
        <w:rPr>
          <w:rFonts w:hint="eastAsia" w:ascii="宋体" w:hAnsi="宋体" w:cs="宋体"/>
          <w:color w:val="auto"/>
          <w:szCs w:val="21"/>
          <w:highlight w:val="none"/>
        </w:rPr>
        <w:br w:type="textWrapping"/>
      </w:r>
      <w:r>
        <w:rPr>
          <w:rFonts w:hint="eastAsia" w:ascii="宋体" w:hAnsi="宋体" w:cs="宋体"/>
          <w:color w:val="auto"/>
          <w:szCs w:val="21"/>
          <w:highlight w:val="none"/>
        </w:rPr>
        <w:t>　　3.1语言文字</w:t>
      </w:r>
      <w:r>
        <w:rPr>
          <w:rFonts w:hint="eastAsia" w:ascii="宋体" w:hAnsi="宋体" w:cs="宋体"/>
          <w:color w:val="auto"/>
          <w:szCs w:val="21"/>
          <w:highlight w:val="none"/>
        </w:rPr>
        <w:br w:type="textWrapping"/>
      </w:r>
      <w:r>
        <w:rPr>
          <w:rFonts w:hint="eastAsia" w:ascii="宋体" w:hAnsi="宋体" w:cs="宋体"/>
          <w:color w:val="auto"/>
          <w:szCs w:val="21"/>
          <w:highlight w:val="none"/>
        </w:rPr>
        <w:t>　　本合同文件使用汉语语言文字书写、解释和说明。如专用条款约定使用两种以上（含两种）语言文字时，汉语应为解释和说明本合同的标准语言文字。</w:t>
      </w:r>
      <w:r>
        <w:rPr>
          <w:rFonts w:hint="eastAsia" w:ascii="宋体" w:hAnsi="宋体" w:cs="宋体"/>
          <w:color w:val="auto"/>
          <w:szCs w:val="21"/>
          <w:highlight w:val="none"/>
        </w:rPr>
        <w:br w:type="textWrapping"/>
      </w:r>
      <w:r>
        <w:rPr>
          <w:rFonts w:hint="eastAsia" w:ascii="宋体" w:hAnsi="宋体" w:cs="宋体"/>
          <w:color w:val="auto"/>
          <w:szCs w:val="21"/>
          <w:highlight w:val="none"/>
        </w:rPr>
        <w:t>　　在少数民族地区，双方可以约定使用少数民族语言文字书写和解释、说明本合同。</w:t>
      </w:r>
      <w:r>
        <w:rPr>
          <w:rFonts w:hint="eastAsia" w:ascii="宋体" w:hAnsi="宋体" w:cs="宋体"/>
          <w:color w:val="auto"/>
          <w:szCs w:val="21"/>
          <w:highlight w:val="none"/>
        </w:rPr>
        <w:br w:type="textWrapping"/>
      </w:r>
      <w:r>
        <w:rPr>
          <w:rFonts w:hint="eastAsia" w:ascii="宋体" w:hAnsi="宋体" w:cs="宋体"/>
          <w:color w:val="auto"/>
          <w:szCs w:val="21"/>
          <w:highlight w:val="none"/>
        </w:rPr>
        <w:t>　　3.2适用法律和法规</w:t>
      </w:r>
      <w:r>
        <w:rPr>
          <w:rFonts w:hint="eastAsia" w:ascii="宋体" w:hAnsi="宋体" w:cs="宋体"/>
          <w:color w:val="auto"/>
          <w:szCs w:val="21"/>
          <w:highlight w:val="none"/>
        </w:rPr>
        <w:br w:type="textWrapping"/>
      </w:r>
      <w:r>
        <w:rPr>
          <w:rFonts w:hint="eastAsia" w:ascii="宋体" w:hAnsi="宋体" w:cs="宋体"/>
          <w:color w:val="auto"/>
          <w:szCs w:val="21"/>
          <w:highlight w:val="none"/>
        </w:rPr>
        <w:t>　　本合同文件适用国家的法律和行政法规。需要明示的法律、行政法规，由双方在专用条款中约定。</w:t>
      </w:r>
      <w:r>
        <w:rPr>
          <w:rFonts w:hint="eastAsia" w:ascii="宋体" w:hAnsi="宋体" w:cs="宋体"/>
          <w:color w:val="auto"/>
          <w:szCs w:val="21"/>
          <w:highlight w:val="none"/>
        </w:rPr>
        <w:br w:type="textWrapping"/>
      </w:r>
      <w:r>
        <w:rPr>
          <w:rFonts w:hint="eastAsia" w:ascii="宋体" w:hAnsi="宋体" w:cs="宋体"/>
          <w:color w:val="auto"/>
          <w:szCs w:val="21"/>
          <w:highlight w:val="none"/>
        </w:rPr>
        <w:t>　　3.3适用标准、规范</w:t>
      </w:r>
      <w:r>
        <w:rPr>
          <w:rFonts w:hint="eastAsia" w:ascii="宋体" w:hAnsi="宋体" w:cs="宋体"/>
          <w:color w:val="auto"/>
          <w:szCs w:val="21"/>
          <w:highlight w:val="none"/>
        </w:rPr>
        <w:br w:type="textWrapping"/>
      </w:r>
      <w:r>
        <w:rPr>
          <w:rFonts w:hint="eastAsia" w:ascii="宋体" w:hAnsi="宋体" w:cs="宋体"/>
          <w:color w:val="auto"/>
          <w:szCs w:val="21"/>
          <w:highlight w:val="none"/>
        </w:rPr>
        <w:t>　　双方在专用条款内约定适用国家标准、规范的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r>
        <w:rPr>
          <w:rFonts w:hint="eastAsia" w:ascii="宋体" w:hAnsi="宋体" w:cs="宋体"/>
          <w:color w:val="auto"/>
          <w:szCs w:val="21"/>
          <w:highlight w:val="none"/>
        </w:rPr>
        <w:br w:type="textWrapping"/>
      </w:r>
      <w:r>
        <w:rPr>
          <w:rFonts w:hint="eastAsia" w:ascii="宋体" w:hAnsi="宋体" w:cs="宋体"/>
          <w:color w:val="auto"/>
          <w:szCs w:val="21"/>
          <w:highlight w:val="none"/>
        </w:rPr>
        <w:t>　　国内没有相应标准、规范的，由发包人按专用条款约定的时间向承包人提出施工技术要求，承包人按约定的时间和要求提出施工工艺，经发包人认可后执行。发包人要求使用国外标准、规范的，应负责提供中文译本。</w:t>
      </w:r>
      <w:r>
        <w:rPr>
          <w:rFonts w:hint="eastAsia" w:ascii="宋体" w:hAnsi="宋体" w:cs="宋体"/>
          <w:color w:val="auto"/>
          <w:szCs w:val="21"/>
          <w:highlight w:val="none"/>
        </w:rPr>
        <w:br w:type="textWrapping"/>
      </w:r>
      <w:r>
        <w:rPr>
          <w:rFonts w:hint="eastAsia" w:ascii="宋体" w:hAnsi="宋体" w:cs="宋体"/>
          <w:color w:val="auto"/>
          <w:szCs w:val="21"/>
          <w:highlight w:val="none"/>
        </w:rPr>
        <w:t>　　本条所发生的购买、翻译标准、规范或制定施工工艺的费用，由发包人承担。</w:t>
      </w:r>
      <w:r>
        <w:rPr>
          <w:rFonts w:hint="eastAsia" w:ascii="宋体" w:hAnsi="宋体" w:cs="宋体"/>
          <w:color w:val="auto"/>
          <w:szCs w:val="21"/>
          <w:highlight w:val="none"/>
        </w:rPr>
        <w:br w:type="textWrapping"/>
      </w:r>
      <w:r>
        <w:rPr>
          <w:rFonts w:hint="eastAsia" w:ascii="宋体" w:hAnsi="宋体" w:cs="宋体"/>
          <w:color w:val="auto"/>
          <w:szCs w:val="21"/>
          <w:highlight w:val="none"/>
        </w:rPr>
        <w:t>　　4.图纸</w:t>
      </w:r>
      <w:r>
        <w:rPr>
          <w:rFonts w:hint="eastAsia" w:ascii="宋体" w:hAnsi="宋体" w:cs="宋体"/>
          <w:color w:val="auto"/>
          <w:szCs w:val="21"/>
          <w:highlight w:val="none"/>
        </w:rPr>
        <w:br w:type="textWrapping"/>
      </w:r>
      <w:r>
        <w:rPr>
          <w:rFonts w:hint="eastAsia" w:ascii="宋体" w:hAnsi="宋体" w:cs="宋体"/>
          <w:color w:val="auto"/>
          <w:szCs w:val="21"/>
          <w:highlight w:val="none"/>
        </w:rPr>
        <w:t>　　4.1发包人应按专用条款约定的日期和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r>
        <w:rPr>
          <w:rFonts w:hint="eastAsia" w:ascii="宋体" w:hAnsi="宋体" w:cs="宋体"/>
          <w:color w:val="auto"/>
          <w:szCs w:val="21"/>
          <w:highlight w:val="none"/>
        </w:rPr>
        <w:br w:type="textWrapping"/>
      </w:r>
      <w:r>
        <w:rPr>
          <w:rFonts w:hint="eastAsia" w:ascii="宋体" w:hAnsi="宋体" w:cs="宋体"/>
          <w:color w:val="auto"/>
          <w:szCs w:val="21"/>
          <w:highlight w:val="none"/>
        </w:rPr>
        <w:t>　　4.2承包人未经发包人同意，不得将本工程图纸转给第三人。工程质量保修期满后，除承包人存档需要的图纸外，应将全部图纸退还给发包人。</w:t>
      </w:r>
      <w:r>
        <w:rPr>
          <w:rFonts w:hint="eastAsia" w:ascii="宋体" w:hAnsi="宋体" w:cs="宋体"/>
          <w:color w:val="auto"/>
          <w:szCs w:val="21"/>
          <w:highlight w:val="none"/>
        </w:rPr>
        <w:br w:type="textWrapping"/>
      </w:r>
      <w:r>
        <w:rPr>
          <w:rFonts w:hint="eastAsia" w:ascii="宋体" w:hAnsi="宋体" w:cs="宋体"/>
          <w:color w:val="auto"/>
          <w:szCs w:val="21"/>
          <w:highlight w:val="none"/>
        </w:rPr>
        <w:t>　　4.3承包人应在施工现场保留一套完整图纸，供工程师及有关人员进行工程检查时使用。</w:t>
      </w:r>
      <w:r>
        <w:rPr>
          <w:rFonts w:hint="eastAsia" w:ascii="宋体" w:hAnsi="宋体" w:cs="宋体"/>
          <w:color w:val="auto"/>
          <w:szCs w:val="21"/>
          <w:highlight w:val="none"/>
        </w:rPr>
        <w:br w:type="textWrapping"/>
      </w:r>
      <w:r>
        <w:rPr>
          <w:rFonts w:hint="eastAsia" w:ascii="宋体" w:hAnsi="宋体" w:cs="宋体"/>
          <w:color w:val="auto"/>
          <w:szCs w:val="21"/>
          <w:highlight w:val="none"/>
        </w:rPr>
        <w:t>　　二、双方一般权利和义务</w:t>
      </w:r>
      <w:r>
        <w:rPr>
          <w:rFonts w:hint="eastAsia" w:ascii="宋体" w:hAnsi="宋体" w:cs="宋体"/>
          <w:color w:val="auto"/>
          <w:szCs w:val="21"/>
          <w:highlight w:val="none"/>
        </w:rPr>
        <w:br w:type="textWrapping"/>
      </w:r>
      <w:r>
        <w:rPr>
          <w:rFonts w:hint="eastAsia" w:ascii="宋体" w:hAnsi="宋体" w:cs="宋体"/>
          <w:color w:val="auto"/>
          <w:szCs w:val="21"/>
          <w:highlight w:val="none"/>
        </w:rPr>
        <w:t>　　5.工程师</w:t>
      </w:r>
      <w:r>
        <w:rPr>
          <w:rFonts w:hint="eastAsia" w:ascii="宋体" w:hAnsi="宋体" w:cs="宋体"/>
          <w:color w:val="auto"/>
          <w:szCs w:val="21"/>
          <w:highlight w:val="none"/>
        </w:rPr>
        <w:br w:type="textWrapping"/>
      </w:r>
      <w:r>
        <w:rPr>
          <w:rFonts w:hint="eastAsia" w:ascii="宋体" w:hAnsi="宋体" w:cs="宋体"/>
          <w:color w:val="auto"/>
          <w:szCs w:val="21"/>
          <w:highlight w:val="none"/>
        </w:rPr>
        <w:t>　　5.1实行工程监理的，发包人应在实施监理前将委托的监理单位名称、监理内容及监理权限以书面形式通知承包人。</w:t>
      </w:r>
      <w:r>
        <w:rPr>
          <w:rFonts w:hint="eastAsia" w:ascii="宋体" w:hAnsi="宋体" w:cs="宋体"/>
          <w:color w:val="auto"/>
          <w:szCs w:val="21"/>
          <w:highlight w:val="none"/>
        </w:rPr>
        <w:br w:type="textWrapping"/>
      </w:r>
      <w:r>
        <w:rPr>
          <w:rFonts w:hint="eastAsia" w:ascii="宋体" w:hAnsi="宋体" w:cs="宋体"/>
          <w:color w:val="auto"/>
          <w:szCs w:val="21"/>
          <w:highlight w:val="none"/>
        </w:rPr>
        <w:t>　　5.2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w:t>
      </w:r>
      <w:r>
        <w:rPr>
          <w:rFonts w:hint="eastAsia" w:ascii="宋体" w:hAnsi="宋体" w:cs="宋体"/>
          <w:color w:val="auto"/>
          <w:szCs w:val="21"/>
          <w:highlight w:val="none"/>
        </w:rPr>
        <w:br w:type="textWrapping"/>
      </w:r>
      <w:r>
        <w:rPr>
          <w:rFonts w:hint="eastAsia" w:ascii="宋体" w:hAnsi="宋体" w:cs="宋体"/>
          <w:color w:val="auto"/>
          <w:szCs w:val="21"/>
          <w:highlight w:val="none"/>
        </w:rPr>
        <w:t>　　5.3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w:t>
      </w:r>
      <w:r>
        <w:rPr>
          <w:rFonts w:hint="eastAsia" w:ascii="宋体" w:hAnsi="宋体" w:cs="宋体"/>
          <w:color w:val="auto"/>
          <w:szCs w:val="21"/>
          <w:highlight w:val="none"/>
        </w:rPr>
        <w:br w:type="textWrapping"/>
      </w:r>
      <w:r>
        <w:rPr>
          <w:rFonts w:hint="eastAsia" w:ascii="宋体" w:hAnsi="宋体" w:cs="宋体"/>
          <w:color w:val="auto"/>
          <w:szCs w:val="21"/>
          <w:highlight w:val="none"/>
        </w:rPr>
        <w:t>　　5.4合同履行中，发生影响发包人承包人双方权利或义务的事件时，负责监理的工程师应依据合同在其职权范围内客观公正地进行处理。一方对工程师的处理有异议时，按本通用条款条37条关于争议的约定处理。</w:t>
      </w:r>
      <w:r>
        <w:rPr>
          <w:rFonts w:hint="eastAsia" w:ascii="宋体" w:hAnsi="宋体" w:cs="宋体"/>
          <w:color w:val="auto"/>
          <w:szCs w:val="21"/>
          <w:highlight w:val="none"/>
        </w:rPr>
        <w:br w:type="textWrapping"/>
      </w:r>
      <w:r>
        <w:rPr>
          <w:rFonts w:hint="eastAsia" w:ascii="宋体" w:hAnsi="宋体" w:cs="宋体"/>
          <w:color w:val="auto"/>
          <w:szCs w:val="21"/>
          <w:highlight w:val="none"/>
        </w:rPr>
        <w:t>　　5.5除合同内有明确约定或经发包人同意外，负责监理的工程师无权解除本合同约定的承包人的任何权利与义务。</w:t>
      </w:r>
      <w:r>
        <w:rPr>
          <w:rFonts w:hint="eastAsia" w:ascii="宋体" w:hAnsi="宋体" w:cs="宋体"/>
          <w:color w:val="auto"/>
          <w:szCs w:val="21"/>
          <w:highlight w:val="none"/>
        </w:rPr>
        <w:br w:type="textWrapping"/>
      </w:r>
      <w:r>
        <w:rPr>
          <w:rFonts w:hint="eastAsia" w:ascii="宋体" w:hAnsi="宋体" w:cs="宋体"/>
          <w:color w:val="auto"/>
          <w:szCs w:val="21"/>
          <w:highlight w:val="none"/>
        </w:rPr>
        <w:t>　　5.6不实行工程监理的，本合同中工程师专指发包人派驻施工场地履行合同的代表，其具体职权由发包人在专用条款内写明。</w:t>
      </w:r>
      <w:r>
        <w:rPr>
          <w:rFonts w:hint="eastAsia" w:ascii="宋体" w:hAnsi="宋体" w:cs="宋体"/>
          <w:color w:val="auto"/>
          <w:szCs w:val="21"/>
          <w:highlight w:val="none"/>
        </w:rPr>
        <w:br w:type="textWrapping"/>
      </w:r>
      <w:r>
        <w:rPr>
          <w:rFonts w:hint="eastAsia" w:ascii="宋体" w:hAnsi="宋体" w:cs="宋体"/>
          <w:color w:val="auto"/>
          <w:szCs w:val="21"/>
          <w:highlight w:val="none"/>
        </w:rPr>
        <w:t>　　6.工程师的委派和指令</w:t>
      </w:r>
      <w:r>
        <w:rPr>
          <w:rFonts w:hint="eastAsia" w:ascii="宋体" w:hAnsi="宋体" w:cs="宋体"/>
          <w:color w:val="auto"/>
          <w:szCs w:val="21"/>
          <w:highlight w:val="none"/>
        </w:rPr>
        <w:br w:type="textWrapping"/>
      </w:r>
      <w:r>
        <w:rPr>
          <w:rFonts w:hint="eastAsia" w:ascii="宋体" w:hAnsi="宋体" w:cs="宋体"/>
          <w:color w:val="auto"/>
          <w:szCs w:val="21"/>
          <w:highlight w:val="none"/>
        </w:rPr>
        <w:t>　　6.1工程师可委派工程师代表，行使合同约定的自己的职权，并可在认为必要时撤回委派。委派和撤回均应提前7天以书面形式通知承包人，负责监理的工程师还应将委派和撤回通知发包人。委派书和撤回通知作为本合同附件。</w:t>
      </w:r>
      <w:r>
        <w:rPr>
          <w:rFonts w:hint="eastAsia" w:ascii="宋体" w:hAnsi="宋体" w:cs="宋体"/>
          <w:color w:val="auto"/>
          <w:szCs w:val="21"/>
          <w:highlight w:val="none"/>
        </w:rPr>
        <w:br w:type="textWrapping"/>
      </w:r>
      <w:r>
        <w:rPr>
          <w:rFonts w:hint="eastAsia" w:ascii="宋体" w:hAnsi="宋体" w:cs="宋体"/>
          <w:color w:val="auto"/>
          <w:szCs w:val="21"/>
          <w:highlight w:val="none"/>
        </w:rPr>
        <w:t>　　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r>
        <w:rPr>
          <w:rFonts w:hint="eastAsia" w:ascii="宋体" w:hAnsi="宋体" w:cs="宋体"/>
          <w:color w:val="auto"/>
          <w:szCs w:val="21"/>
          <w:highlight w:val="none"/>
        </w:rPr>
        <w:br w:type="textWrapping"/>
      </w:r>
      <w:r>
        <w:rPr>
          <w:rFonts w:hint="eastAsia" w:ascii="宋体" w:hAnsi="宋体" w:cs="宋体"/>
          <w:color w:val="auto"/>
          <w:szCs w:val="21"/>
          <w:highlight w:val="none"/>
        </w:rPr>
        <w:t>　　除工程师或工程师代表外，发包人派驻工地的其他人员均无权向承包人发出任何指令。</w:t>
      </w:r>
      <w:r>
        <w:rPr>
          <w:rFonts w:hint="eastAsia" w:ascii="宋体" w:hAnsi="宋体" w:cs="宋体"/>
          <w:color w:val="auto"/>
          <w:szCs w:val="21"/>
          <w:highlight w:val="none"/>
        </w:rPr>
        <w:br w:type="textWrapping"/>
      </w:r>
      <w:r>
        <w:rPr>
          <w:rFonts w:hint="eastAsia" w:ascii="宋体" w:hAnsi="宋体" w:cs="宋体"/>
          <w:color w:val="auto"/>
          <w:szCs w:val="21"/>
          <w:highlight w:val="none"/>
        </w:rPr>
        <w:t>　　6.2工程师的指令、通知由其本人签字后，以书面形式交给项目经理，项目经理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w:t>
      </w:r>
      <w:r>
        <w:rPr>
          <w:rFonts w:hint="eastAsia" w:ascii="宋体" w:hAnsi="宋体" w:cs="宋体"/>
          <w:color w:val="auto"/>
          <w:szCs w:val="21"/>
          <w:highlight w:val="none"/>
        </w:rPr>
        <w:br w:type="textWrapping"/>
      </w:r>
      <w:r>
        <w:rPr>
          <w:rFonts w:hint="eastAsia" w:ascii="宋体" w:hAnsi="宋体" w:cs="宋体"/>
          <w:color w:val="auto"/>
          <w:szCs w:val="21"/>
          <w:highlight w:val="none"/>
        </w:rPr>
        <w:t>承包人认为工程师指令不合理，应在收到指令后24小时内向工程师提出修改指令的书面报告，工程师在收到承包人报告后24小时内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r>
        <w:rPr>
          <w:rFonts w:hint="eastAsia" w:ascii="宋体" w:hAnsi="宋体" w:cs="宋体"/>
          <w:color w:val="auto"/>
          <w:szCs w:val="21"/>
          <w:highlight w:val="none"/>
        </w:rPr>
        <w:br w:type="textWrapping"/>
      </w:r>
      <w:r>
        <w:rPr>
          <w:rFonts w:hint="eastAsia" w:ascii="宋体" w:hAnsi="宋体" w:cs="宋体"/>
          <w:color w:val="auto"/>
          <w:szCs w:val="21"/>
          <w:highlight w:val="none"/>
        </w:rPr>
        <w:t>　　本款规定同样适用于由工程师代表发出的指令、通知。</w:t>
      </w:r>
      <w:r>
        <w:rPr>
          <w:rFonts w:hint="eastAsia" w:ascii="宋体" w:hAnsi="宋体" w:cs="宋体"/>
          <w:color w:val="auto"/>
          <w:szCs w:val="21"/>
          <w:highlight w:val="none"/>
        </w:rPr>
        <w:br w:type="textWrapping"/>
      </w:r>
      <w:r>
        <w:rPr>
          <w:rFonts w:hint="eastAsia" w:ascii="宋体" w:hAnsi="宋体" w:cs="宋体"/>
          <w:color w:val="auto"/>
          <w:szCs w:val="21"/>
          <w:highlight w:val="none"/>
        </w:rPr>
        <w:t>　　6.3工程师应按合同约定，及时向承包人提供所需指令、批准并履行约定的其他义务。由于工程师未能按合同约定履行义务造成工期延误，发包人应承担延误造成的追加合同价款，并赔偿承包人有关损失，顺延延误的工期。</w:t>
      </w:r>
      <w:r>
        <w:rPr>
          <w:rFonts w:hint="eastAsia" w:ascii="宋体" w:hAnsi="宋体" w:cs="宋体"/>
          <w:color w:val="auto"/>
          <w:szCs w:val="21"/>
          <w:highlight w:val="none"/>
        </w:rPr>
        <w:br w:type="textWrapping"/>
      </w:r>
      <w:r>
        <w:rPr>
          <w:rFonts w:hint="eastAsia" w:ascii="宋体" w:hAnsi="宋体" w:cs="宋体"/>
          <w:color w:val="auto"/>
          <w:szCs w:val="21"/>
          <w:highlight w:val="none"/>
        </w:rPr>
        <w:t>　　6.4如需更换工程师，发包人应至少提前7天以书面形式通知承包人，后任继续行使合同文件约定的前任的职权，履行前任的义务。</w:t>
      </w:r>
      <w:r>
        <w:rPr>
          <w:rFonts w:hint="eastAsia" w:ascii="宋体" w:hAnsi="宋体" w:cs="宋体"/>
          <w:color w:val="auto"/>
          <w:szCs w:val="21"/>
          <w:highlight w:val="none"/>
        </w:rPr>
        <w:br w:type="textWrapping"/>
      </w:r>
      <w:r>
        <w:rPr>
          <w:rFonts w:hint="eastAsia" w:ascii="宋体" w:hAnsi="宋体" w:cs="宋体"/>
          <w:color w:val="auto"/>
          <w:szCs w:val="21"/>
          <w:highlight w:val="none"/>
        </w:rPr>
        <w:t>　　7.项目经理</w:t>
      </w:r>
      <w:r>
        <w:rPr>
          <w:rFonts w:hint="eastAsia" w:ascii="宋体" w:hAnsi="宋体" w:cs="宋体"/>
          <w:color w:val="auto"/>
          <w:szCs w:val="21"/>
          <w:highlight w:val="none"/>
        </w:rPr>
        <w:br w:type="textWrapping"/>
      </w:r>
      <w:r>
        <w:rPr>
          <w:rFonts w:hint="eastAsia" w:ascii="宋体" w:hAnsi="宋体" w:cs="宋体"/>
          <w:color w:val="auto"/>
          <w:szCs w:val="21"/>
          <w:highlight w:val="none"/>
        </w:rPr>
        <w:t>　　7.1项目经理的姓名、职务在专用条款内写明。</w:t>
      </w:r>
      <w:r>
        <w:rPr>
          <w:rFonts w:hint="eastAsia" w:ascii="宋体" w:hAnsi="宋体" w:cs="宋体"/>
          <w:color w:val="auto"/>
          <w:szCs w:val="21"/>
          <w:highlight w:val="none"/>
        </w:rPr>
        <w:br w:type="textWrapping"/>
      </w:r>
      <w:r>
        <w:rPr>
          <w:rFonts w:hint="eastAsia" w:ascii="宋体" w:hAnsi="宋体" w:cs="宋体"/>
          <w:color w:val="auto"/>
          <w:szCs w:val="21"/>
          <w:highlight w:val="none"/>
        </w:rPr>
        <w:t>　　7.2承包人依据合同发出的通知，以书面形式由项目经理签字后送交工程师，工程师在回执上签署姓名和收到时间后生效。</w:t>
      </w:r>
      <w:r>
        <w:rPr>
          <w:rFonts w:hint="eastAsia" w:ascii="宋体" w:hAnsi="宋体" w:cs="宋体"/>
          <w:color w:val="auto"/>
          <w:szCs w:val="21"/>
          <w:highlight w:val="none"/>
        </w:rPr>
        <w:br w:type="textWrapping"/>
      </w:r>
      <w:r>
        <w:rPr>
          <w:rFonts w:hint="eastAsia" w:ascii="宋体" w:hAnsi="宋体" w:cs="宋体"/>
          <w:color w:val="auto"/>
          <w:szCs w:val="21"/>
          <w:highlight w:val="none"/>
        </w:rPr>
        <w:t>　　7.3项目经理按发包人认可的施工组织设计（施工方案）和工程师依据合同发出的指令组织施工。在情况紧急且无法与工程师联系时，项目经理应当采取保证人员生命和工程、财产安全的紧急措施，并在采取措施后48小时内向工程师送交报告。责任在发包人或第三人，由发包人承担由此发生的追加合同价款，相应顺延工期；责任在承包人，由承包人承担费用，不顺延工期。</w:t>
      </w:r>
      <w:r>
        <w:rPr>
          <w:rFonts w:hint="eastAsia" w:ascii="宋体" w:hAnsi="宋体" w:cs="宋体"/>
          <w:color w:val="auto"/>
          <w:szCs w:val="21"/>
          <w:highlight w:val="none"/>
        </w:rPr>
        <w:br w:type="textWrapping"/>
      </w:r>
      <w:r>
        <w:rPr>
          <w:rFonts w:hint="eastAsia" w:ascii="宋体" w:hAnsi="宋体" w:cs="宋体"/>
          <w:color w:val="auto"/>
          <w:szCs w:val="21"/>
          <w:highlight w:val="none"/>
        </w:rPr>
        <w:t>　　7.4承包人如需更换项目经理，应至少提前7天以书面形式通知发包人，并征得发包人同意。后任继续行使合同文件约定的前任的职权，履行前任的义务。</w:t>
      </w:r>
      <w:r>
        <w:rPr>
          <w:rFonts w:hint="eastAsia" w:ascii="宋体" w:hAnsi="宋体" w:cs="宋体"/>
          <w:color w:val="auto"/>
          <w:szCs w:val="21"/>
          <w:highlight w:val="none"/>
        </w:rPr>
        <w:br w:type="textWrapping"/>
      </w:r>
      <w:r>
        <w:rPr>
          <w:rFonts w:hint="eastAsia" w:ascii="宋体" w:hAnsi="宋体" w:cs="宋体"/>
          <w:color w:val="auto"/>
          <w:szCs w:val="21"/>
          <w:highlight w:val="none"/>
        </w:rPr>
        <w:t>　　7.5发包人可以与承包人协商，建议更换其认为不称职的项目经理。</w:t>
      </w:r>
      <w:r>
        <w:rPr>
          <w:rFonts w:hint="eastAsia" w:ascii="宋体" w:hAnsi="宋体" w:cs="宋体"/>
          <w:color w:val="auto"/>
          <w:szCs w:val="21"/>
          <w:highlight w:val="none"/>
        </w:rPr>
        <w:br w:type="textWrapping"/>
      </w:r>
      <w:r>
        <w:rPr>
          <w:rFonts w:hint="eastAsia" w:ascii="宋体" w:hAnsi="宋体" w:cs="宋体"/>
          <w:color w:val="auto"/>
          <w:szCs w:val="21"/>
          <w:highlight w:val="none"/>
        </w:rPr>
        <w:t>　　8.发包人工作</w:t>
      </w:r>
      <w:r>
        <w:rPr>
          <w:rFonts w:hint="eastAsia" w:ascii="宋体" w:hAnsi="宋体" w:cs="宋体"/>
          <w:color w:val="auto"/>
          <w:szCs w:val="21"/>
          <w:highlight w:val="none"/>
        </w:rPr>
        <w:br w:type="textWrapping"/>
      </w:r>
      <w:r>
        <w:rPr>
          <w:rFonts w:hint="eastAsia" w:ascii="宋体" w:hAnsi="宋体" w:cs="宋体"/>
          <w:color w:val="auto"/>
          <w:szCs w:val="21"/>
          <w:highlight w:val="none"/>
        </w:rPr>
        <w:t>　　8.1发包人按专用条款约定的内容和时间完成以下工作：</w:t>
      </w:r>
      <w:r>
        <w:rPr>
          <w:rFonts w:hint="eastAsia" w:ascii="宋体" w:hAnsi="宋体" w:cs="宋体"/>
          <w:color w:val="auto"/>
          <w:szCs w:val="21"/>
          <w:highlight w:val="none"/>
        </w:rPr>
        <w:br w:type="textWrapping"/>
      </w:r>
      <w:r>
        <w:rPr>
          <w:rFonts w:hint="eastAsia" w:ascii="宋体" w:hAnsi="宋体" w:cs="宋体"/>
          <w:color w:val="auto"/>
          <w:szCs w:val="21"/>
          <w:highlight w:val="none"/>
        </w:rPr>
        <w:t>　　（1）办理土地征用、拆迁补偿、平整施工场地等工作，使施工场地具备施工条件，在开工后继续负责解决以上事项遗留问题；</w:t>
      </w:r>
      <w:r>
        <w:rPr>
          <w:rFonts w:hint="eastAsia" w:ascii="宋体" w:hAnsi="宋体" w:cs="宋体"/>
          <w:color w:val="auto"/>
          <w:szCs w:val="21"/>
          <w:highlight w:val="none"/>
        </w:rPr>
        <w:br w:type="textWrapping"/>
      </w:r>
      <w:r>
        <w:rPr>
          <w:rFonts w:hint="eastAsia" w:ascii="宋体" w:hAnsi="宋体" w:cs="宋体"/>
          <w:color w:val="auto"/>
          <w:szCs w:val="21"/>
          <w:highlight w:val="none"/>
        </w:rPr>
        <w:t>　　（2）将施工所需水、电、电讯线路从施工场地外部接至专用条款约定地点，保证施工期间的需要；</w:t>
      </w:r>
      <w:r>
        <w:rPr>
          <w:rFonts w:hint="eastAsia" w:ascii="宋体" w:hAnsi="宋体" w:cs="宋体"/>
          <w:color w:val="auto"/>
          <w:szCs w:val="21"/>
          <w:highlight w:val="none"/>
        </w:rPr>
        <w:br w:type="textWrapping"/>
      </w:r>
      <w:r>
        <w:rPr>
          <w:rFonts w:hint="eastAsia" w:ascii="宋体" w:hAnsi="宋体" w:cs="宋体"/>
          <w:color w:val="auto"/>
          <w:szCs w:val="21"/>
          <w:highlight w:val="none"/>
        </w:rPr>
        <w:t>　　（3）开通施工场地与城乡公共道路的通道，以及专用条款约定的施工场地内的主要道路，满足施工运输的需要，保证施工期间的畅通；</w:t>
      </w:r>
      <w:r>
        <w:rPr>
          <w:rFonts w:hint="eastAsia" w:ascii="宋体" w:hAnsi="宋体" w:cs="宋体"/>
          <w:color w:val="auto"/>
          <w:szCs w:val="21"/>
          <w:highlight w:val="none"/>
        </w:rPr>
        <w:br w:type="textWrapping"/>
      </w:r>
      <w:r>
        <w:rPr>
          <w:rFonts w:hint="eastAsia" w:ascii="宋体" w:hAnsi="宋体" w:cs="宋体"/>
          <w:color w:val="auto"/>
          <w:szCs w:val="21"/>
          <w:highlight w:val="none"/>
        </w:rPr>
        <w:t>　　（4）向承包人提供施工场地的工程地质和地下管线资料，对资料的真实准确性负责；</w:t>
      </w:r>
      <w:r>
        <w:rPr>
          <w:rFonts w:hint="eastAsia" w:ascii="宋体" w:hAnsi="宋体" w:cs="宋体"/>
          <w:color w:val="auto"/>
          <w:szCs w:val="21"/>
          <w:highlight w:val="none"/>
        </w:rPr>
        <w:br w:type="textWrapping"/>
      </w:r>
      <w:r>
        <w:rPr>
          <w:rFonts w:hint="eastAsia" w:ascii="宋体" w:hAnsi="宋体" w:cs="宋体"/>
          <w:color w:val="auto"/>
          <w:szCs w:val="21"/>
          <w:highlight w:val="none"/>
        </w:rPr>
        <w:t>　　（5）办理施工许可证及其他施工所需证件、批件和临时用地、停水、停电、中断道路交通、爆破作业等的申请批准手续（证明承包人自身资质的证件除外）；</w:t>
      </w:r>
      <w:r>
        <w:rPr>
          <w:rFonts w:hint="eastAsia" w:ascii="宋体" w:hAnsi="宋体" w:cs="宋体"/>
          <w:color w:val="auto"/>
          <w:szCs w:val="21"/>
          <w:highlight w:val="none"/>
        </w:rPr>
        <w:br w:type="textWrapping"/>
      </w:r>
      <w:r>
        <w:rPr>
          <w:rFonts w:hint="eastAsia" w:ascii="宋体" w:hAnsi="宋体" w:cs="宋体"/>
          <w:color w:val="auto"/>
          <w:szCs w:val="21"/>
          <w:highlight w:val="none"/>
        </w:rPr>
        <w:t xml:space="preserve">    （6）确定水准点与座标控制点，以书面形式交给承包人，进行现场交验；</w:t>
      </w:r>
      <w:r>
        <w:rPr>
          <w:rFonts w:hint="eastAsia" w:ascii="宋体" w:hAnsi="宋体" w:cs="宋体"/>
          <w:color w:val="auto"/>
          <w:szCs w:val="21"/>
          <w:highlight w:val="none"/>
        </w:rPr>
        <w:br w:type="textWrapping"/>
      </w:r>
      <w:r>
        <w:rPr>
          <w:rFonts w:hint="eastAsia" w:ascii="宋体" w:hAnsi="宋体" w:cs="宋体"/>
          <w:color w:val="auto"/>
          <w:szCs w:val="21"/>
          <w:highlight w:val="none"/>
        </w:rPr>
        <w:t>　　（7）组织承包人和设计单位进行图纸会审和设计交底；</w:t>
      </w:r>
      <w:r>
        <w:rPr>
          <w:rFonts w:hint="eastAsia" w:ascii="宋体" w:hAnsi="宋体" w:cs="宋体"/>
          <w:color w:val="auto"/>
          <w:szCs w:val="21"/>
          <w:highlight w:val="none"/>
        </w:rPr>
        <w:br w:type="textWrapping"/>
      </w:r>
      <w:r>
        <w:rPr>
          <w:rFonts w:hint="eastAsia" w:ascii="宋体" w:hAnsi="宋体" w:cs="宋体"/>
          <w:color w:val="auto"/>
          <w:szCs w:val="21"/>
          <w:highlight w:val="none"/>
        </w:rPr>
        <w:t>　　（8）协调处理施工场地周围地下管线和邻近建筑物、构筑物（包括文物保护建筑）、古树名木的保护工作，承担有关费用；</w:t>
      </w:r>
      <w:r>
        <w:rPr>
          <w:rFonts w:hint="eastAsia" w:ascii="宋体" w:hAnsi="宋体" w:cs="宋体"/>
          <w:color w:val="auto"/>
          <w:szCs w:val="21"/>
          <w:highlight w:val="none"/>
        </w:rPr>
        <w:br w:type="textWrapping"/>
      </w:r>
      <w:r>
        <w:rPr>
          <w:rFonts w:hint="eastAsia" w:ascii="宋体" w:hAnsi="宋体" w:cs="宋体"/>
          <w:color w:val="auto"/>
          <w:szCs w:val="21"/>
          <w:highlight w:val="none"/>
        </w:rPr>
        <w:t>　　8.2发包人可以将8.1款部分工作委托承包人办理，双方在专用条款内约定，其费用由发包人承担。</w:t>
      </w:r>
      <w:r>
        <w:rPr>
          <w:rFonts w:hint="eastAsia" w:ascii="宋体" w:hAnsi="宋体" w:cs="宋体"/>
          <w:color w:val="auto"/>
          <w:szCs w:val="21"/>
          <w:highlight w:val="none"/>
        </w:rPr>
        <w:br w:type="textWrapping"/>
      </w:r>
      <w:r>
        <w:rPr>
          <w:rFonts w:hint="eastAsia" w:ascii="宋体" w:hAnsi="宋体" w:cs="宋体"/>
          <w:color w:val="auto"/>
          <w:szCs w:val="21"/>
          <w:highlight w:val="none"/>
        </w:rPr>
        <w:t>　　8.3发包人未能履行8.1款各项义务，导致工期延误或给承包人造成损失的，发包人赔偿承包人有关损失，顺延延误的工期。</w:t>
      </w:r>
    </w:p>
    <w:p>
      <w:pPr>
        <w:spacing w:line="360" w:lineRule="auto"/>
        <w:ind w:firstLine="420" w:firstLineChars="200"/>
        <w:rPr>
          <w:rFonts w:ascii="宋体" w:hAnsi="宋体" w:cs="宋体"/>
          <w:color w:val="auto"/>
          <w:szCs w:val="21"/>
          <w:highlight w:val="none"/>
        </w:rPr>
        <w:sectPr>
          <w:footerReference r:id="rId9" w:type="default"/>
          <w:pgSz w:w="11900" w:h="16838"/>
          <w:pgMar w:top="1440" w:right="1440" w:bottom="158" w:left="1440" w:header="567" w:footer="567" w:gutter="0"/>
          <w:cols w:equalWidth="0" w:num="1">
            <w:col w:w="9026"/>
          </w:cols>
        </w:sectPr>
      </w:pPr>
      <w:r>
        <w:rPr>
          <w:rFonts w:hint="eastAsia" w:ascii="宋体" w:hAnsi="宋体" w:cs="宋体"/>
          <w:color w:val="auto"/>
          <w:szCs w:val="21"/>
          <w:highlight w:val="none"/>
        </w:rPr>
        <w:t>（9）发包人应做的其他工作，双方在专用条款内约定。</w:t>
      </w:r>
      <w:r>
        <w:rPr>
          <w:rFonts w:hint="eastAsia" w:ascii="宋体" w:hAnsi="宋体" w:cs="宋体"/>
          <w:color w:val="auto"/>
          <w:szCs w:val="21"/>
          <w:highlight w:val="none"/>
        </w:rPr>
        <w:br w:type="textWrapping"/>
      </w:r>
      <w:r>
        <w:rPr>
          <w:rFonts w:hint="eastAsia" w:ascii="宋体" w:hAnsi="宋体" w:cs="宋体"/>
          <w:color w:val="auto"/>
          <w:szCs w:val="21"/>
          <w:highlight w:val="none"/>
        </w:rPr>
        <w:t>　　9.承包人工作</w:t>
      </w:r>
      <w:r>
        <w:rPr>
          <w:rFonts w:hint="eastAsia" w:ascii="宋体" w:hAnsi="宋体" w:cs="宋体"/>
          <w:color w:val="auto"/>
          <w:szCs w:val="21"/>
          <w:highlight w:val="none"/>
        </w:rPr>
        <w:br w:type="textWrapping"/>
      </w:r>
      <w:r>
        <w:rPr>
          <w:rFonts w:hint="eastAsia" w:ascii="宋体" w:hAnsi="宋体" w:cs="宋体"/>
          <w:color w:val="auto"/>
          <w:szCs w:val="21"/>
          <w:highlight w:val="none"/>
        </w:rPr>
        <w:t>　　9.1承包人按专用条款约定的内容和时间完成以下工作：</w:t>
      </w:r>
      <w:r>
        <w:rPr>
          <w:rFonts w:hint="eastAsia" w:ascii="宋体" w:hAnsi="宋体" w:cs="宋体"/>
          <w:color w:val="auto"/>
          <w:szCs w:val="21"/>
          <w:highlight w:val="none"/>
        </w:rPr>
        <w:br w:type="textWrapping"/>
      </w:r>
      <w:r>
        <w:rPr>
          <w:rFonts w:hint="eastAsia" w:ascii="宋体" w:hAnsi="宋体" w:cs="宋体"/>
          <w:color w:val="auto"/>
          <w:szCs w:val="21"/>
          <w:highlight w:val="none"/>
        </w:rPr>
        <w:t>　　（1）根据发包人委托，在其设计资质等级和业务允许的范围内，完成施工图设计或与工程配套的设计，经工程师确认后使用，发包人承担由此发生的费用；</w:t>
      </w:r>
      <w:r>
        <w:rPr>
          <w:rFonts w:hint="eastAsia" w:ascii="宋体" w:hAnsi="宋体" w:cs="宋体"/>
          <w:color w:val="auto"/>
          <w:szCs w:val="21"/>
          <w:highlight w:val="none"/>
        </w:rPr>
        <w:br w:type="textWrapping"/>
      </w:r>
      <w:r>
        <w:rPr>
          <w:rFonts w:hint="eastAsia" w:ascii="宋体" w:hAnsi="宋体" w:cs="宋体"/>
          <w:color w:val="auto"/>
          <w:szCs w:val="21"/>
          <w:highlight w:val="none"/>
        </w:rPr>
        <w:t>　　（2）向工程师提供年、季、月度工程进度计划及相应进度统计报表；</w:t>
      </w:r>
      <w:r>
        <w:rPr>
          <w:rFonts w:hint="eastAsia" w:ascii="宋体" w:hAnsi="宋体" w:cs="宋体"/>
          <w:color w:val="auto"/>
          <w:szCs w:val="21"/>
          <w:highlight w:val="none"/>
        </w:rPr>
        <w:br w:type="textWrapping"/>
      </w:r>
      <w:r>
        <w:rPr>
          <w:rFonts w:hint="eastAsia" w:ascii="宋体" w:hAnsi="宋体" w:cs="宋体"/>
          <w:color w:val="auto"/>
          <w:szCs w:val="21"/>
          <w:highlight w:val="none"/>
        </w:rPr>
        <w:t>　　（3）根据工程需要，提供和维修非夜间施工使用的照明、围栏设施，并负责安全保卫；</w:t>
      </w:r>
      <w:r>
        <w:rPr>
          <w:rFonts w:hint="eastAsia" w:ascii="宋体" w:hAnsi="宋体" w:cs="宋体"/>
          <w:color w:val="auto"/>
          <w:szCs w:val="21"/>
          <w:highlight w:val="none"/>
        </w:rPr>
        <w:br w:type="textWrapping"/>
      </w:r>
      <w:r>
        <w:rPr>
          <w:rFonts w:hint="eastAsia" w:ascii="宋体" w:hAnsi="宋体" w:cs="宋体"/>
          <w:color w:val="auto"/>
          <w:szCs w:val="21"/>
          <w:highlight w:val="none"/>
        </w:rPr>
        <w:t>　　（4）按专用条款约定的数量和要求，向发包人提供施工场地办公和生活的房屋及设施，发包人承担由此发生的费用；</w:t>
      </w:r>
      <w:r>
        <w:rPr>
          <w:rFonts w:hint="eastAsia" w:ascii="宋体" w:hAnsi="宋体" w:cs="宋体"/>
          <w:color w:val="auto"/>
          <w:szCs w:val="21"/>
          <w:highlight w:val="none"/>
        </w:rPr>
        <w:br w:type="textWrapping"/>
      </w:r>
      <w:r>
        <w:rPr>
          <w:rFonts w:hint="eastAsia" w:ascii="宋体" w:hAnsi="宋体" w:cs="宋体"/>
          <w:color w:val="auto"/>
          <w:szCs w:val="21"/>
          <w:highlight w:val="none"/>
        </w:rPr>
        <w:t>　　（5）遵守政府有关主管部门对施工场地交通、施工噪音以及环境保护和安全生产等的管理规定，按规定办理有关手续，并以书面形式通知发包人，发包人承担由此发生的费用，因承包人责任造成的罚款除外；</w:t>
      </w:r>
      <w:r>
        <w:rPr>
          <w:rFonts w:hint="eastAsia" w:ascii="宋体" w:hAnsi="宋体" w:cs="宋体"/>
          <w:color w:val="auto"/>
          <w:szCs w:val="21"/>
          <w:highlight w:val="none"/>
        </w:rPr>
        <w:br w:type="textWrapping"/>
      </w:r>
      <w:r>
        <w:rPr>
          <w:rFonts w:hint="eastAsia" w:ascii="宋体" w:hAnsi="宋体" w:cs="宋体"/>
          <w:color w:val="auto"/>
          <w:szCs w:val="21"/>
          <w:highlight w:val="none"/>
        </w:rPr>
        <w:t>　　（6）已竣工工程未交付发包人之前，承包人按专用条款约定负责已完工程的保护工作，保护期间发生损坏，承包人自费予以修复；发包人要求承包人采取特殊措施保护的工程部位和相应的追加合同价款，双方在专用条款内约定；</w:t>
      </w:r>
      <w:r>
        <w:rPr>
          <w:rFonts w:hint="eastAsia" w:ascii="宋体" w:hAnsi="宋体" w:cs="宋体"/>
          <w:color w:val="auto"/>
          <w:szCs w:val="21"/>
          <w:highlight w:val="none"/>
        </w:rPr>
        <w:br w:type="textWrapping"/>
      </w:r>
      <w:r>
        <w:rPr>
          <w:rFonts w:hint="eastAsia" w:ascii="宋体" w:hAnsi="宋体" w:cs="宋体"/>
          <w:color w:val="auto"/>
          <w:szCs w:val="21"/>
          <w:highlight w:val="none"/>
        </w:rPr>
        <w:t>　　（7）按专用条款约定做好施工场地地下管线和邻近建筑物、构筑物（包括文物保护建筑）、古树名木的保护工作；</w:t>
      </w:r>
      <w:r>
        <w:rPr>
          <w:rFonts w:hint="eastAsia" w:ascii="宋体" w:hAnsi="宋体" w:cs="宋体"/>
          <w:color w:val="auto"/>
          <w:szCs w:val="21"/>
          <w:highlight w:val="none"/>
        </w:rPr>
        <w:br w:type="textWrapping"/>
      </w:r>
      <w:r>
        <w:rPr>
          <w:rFonts w:hint="eastAsia" w:ascii="宋体" w:hAnsi="宋体" w:cs="宋体"/>
          <w:color w:val="auto"/>
          <w:szCs w:val="21"/>
          <w:highlight w:val="none"/>
        </w:rPr>
        <w:t>　　（8）保证施工场地清洁符合环境卫生管理的有关规定，交工前清理现场达到专用条款约定的要求，承担因自身原因违反有关规定造成的损失和罚款；</w:t>
      </w:r>
      <w:r>
        <w:rPr>
          <w:rFonts w:hint="eastAsia" w:ascii="宋体" w:hAnsi="宋体" w:cs="宋体"/>
          <w:color w:val="auto"/>
          <w:szCs w:val="21"/>
          <w:highlight w:val="none"/>
        </w:rPr>
        <w:br w:type="textWrapping"/>
      </w:r>
      <w:r>
        <w:rPr>
          <w:rFonts w:hint="eastAsia" w:ascii="宋体" w:hAnsi="宋体" w:cs="宋体"/>
          <w:color w:val="auto"/>
          <w:szCs w:val="21"/>
          <w:highlight w:val="none"/>
        </w:rPr>
        <w:t>　　（9）承包人应做的其他工作，双方在专用条款内约定。</w:t>
      </w:r>
      <w:r>
        <w:rPr>
          <w:rFonts w:hint="eastAsia" w:ascii="宋体" w:hAnsi="宋体" w:cs="宋体"/>
          <w:color w:val="auto"/>
          <w:szCs w:val="21"/>
          <w:highlight w:val="none"/>
        </w:rPr>
        <w:br w:type="textWrapping"/>
      </w:r>
      <w:r>
        <w:rPr>
          <w:rFonts w:hint="eastAsia" w:ascii="宋体" w:hAnsi="宋体" w:cs="宋体"/>
          <w:color w:val="auto"/>
          <w:szCs w:val="21"/>
          <w:highlight w:val="none"/>
        </w:rPr>
        <w:t>　　9.2承包人未能履行9.1款各项义务，造成发包人损失的，承包人赔偿发包人有关损失。</w:t>
      </w:r>
      <w:r>
        <w:rPr>
          <w:rFonts w:hint="eastAsia" w:ascii="宋体" w:hAnsi="宋体" w:cs="宋体"/>
          <w:color w:val="auto"/>
          <w:szCs w:val="21"/>
          <w:highlight w:val="none"/>
        </w:rPr>
        <w:br w:type="textWrapping"/>
      </w:r>
      <w:r>
        <w:rPr>
          <w:rFonts w:hint="eastAsia" w:ascii="宋体" w:hAnsi="宋体" w:cs="宋体"/>
          <w:color w:val="auto"/>
          <w:szCs w:val="21"/>
          <w:highlight w:val="none"/>
        </w:rPr>
        <w:t>　　三、施工组织设计和工期</w:t>
      </w:r>
      <w:r>
        <w:rPr>
          <w:rFonts w:hint="eastAsia" w:ascii="宋体" w:hAnsi="宋体" w:cs="宋体"/>
          <w:color w:val="auto"/>
          <w:szCs w:val="21"/>
          <w:highlight w:val="none"/>
        </w:rPr>
        <w:br w:type="textWrapping"/>
      </w:r>
      <w:r>
        <w:rPr>
          <w:rFonts w:hint="eastAsia" w:ascii="宋体" w:hAnsi="宋体" w:cs="宋体"/>
          <w:color w:val="auto"/>
          <w:szCs w:val="21"/>
          <w:highlight w:val="none"/>
        </w:rPr>
        <w:t>　　10.进度计划</w:t>
      </w:r>
      <w:r>
        <w:rPr>
          <w:rFonts w:hint="eastAsia" w:ascii="宋体" w:hAnsi="宋体" w:cs="宋体"/>
          <w:color w:val="auto"/>
          <w:szCs w:val="21"/>
          <w:highlight w:val="none"/>
        </w:rPr>
        <w:br w:type="textWrapping"/>
      </w:r>
      <w:r>
        <w:rPr>
          <w:rFonts w:hint="eastAsia" w:ascii="宋体" w:hAnsi="宋体" w:cs="宋体"/>
          <w:color w:val="auto"/>
          <w:szCs w:val="21"/>
          <w:highlight w:val="none"/>
        </w:rPr>
        <w:t>　　10.1承包人应按专用条款约定的日期，将施工组织设计和工程进度计划提交工程师，工程师按专用条款约定的时间予以确认或提出修改意见，逾期不确认也不提出书面意见的，视为同意。</w:t>
      </w:r>
      <w:r>
        <w:rPr>
          <w:rFonts w:hint="eastAsia" w:ascii="宋体" w:hAnsi="宋体" w:cs="宋体"/>
          <w:color w:val="auto"/>
          <w:szCs w:val="21"/>
          <w:highlight w:val="none"/>
        </w:rPr>
        <w:br w:type="textWrapping"/>
      </w:r>
      <w:r>
        <w:rPr>
          <w:rFonts w:hint="eastAsia" w:ascii="宋体" w:hAnsi="宋体" w:cs="宋体"/>
          <w:color w:val="auto"/>
          <w:szCs w:val="21"/>
          <w:highlight w:val="none"/>
        </w:rPr>
        <w:t>　　10.2群体工程中单位工程分期进行施工的，承包人应按照发包人提供图纸及有关资料的时间，按单位工程编制进度计划，其具体内容双方在专用条款中约定。</w:t>
      </w:r>
      <w:r>
        <w:rPr>
          <w:rFonts w:hint="eastAsia" w:ascii="宋体" w:hAnsi="宋体" w:cs="宋体"/>
          <w:color w:val="auto"/>
          <w:szCs w:val="21"/>
          <w:highlight w:val="none"/>
        </w:rPr>
        <w:br w:type="textWrapping"/>
      </w:r>
      <w:r>
        <w:rPr>
          <w:rFonts w:hint="eastAsia" w:ascii="宋体" w:hAnsi="宋体" w:cs="宋体"/>
          <w:color w:val="auto"/>
          <w:szCs w:val="21"/>
          <w:highlight w:val="none"/>
        </w:rPr>
        <w:t xml:space="preserve">    10.3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w:t>
      </w:r>
      <w:r>
        <w:rPr>
          <w:rFonts w:hint="eastAsia" w:ascii="宋体" w:hAnsi="宋体" w:cs="宋体"/>
          <w:color w:val="auto"/>
          <w:szCs w:val="21"/>
          <w:highlight w:val="none"/>
        </w:rPr>
        <w:br w:type="textWrapping"/>
      </w:r>
      <w:r>
        <w:rPr>
          <w:rFonts w:hint="eastAsia" w:ascii="宋体" w:hAnsi="宋体" w:cs="宋体"/>
          <w:color w:val="auto"/>
          <w:szCs w:val="21"/>
          <w:highlight w:val="none"/>
        </w:rPr>
        <w:t>　　11.开工及延期开工</w:t>
      </w:r>
      <w:r>
        <w:rPr>
          <w:rFonts w:hint="eastAsia" w:ascii="宋体" w:hAnsi="宋体" w:cs="宋体"/>
          <w:color w:val="auto"/>
          <w:szCs w:val="21"/>
          <w:highlight w:val="none"/>
        </w:rPr>
        <w:br w:type="textWrapping"/>
      </w:r>
      <w:r>
        <w:rPr>
          <w:rFonts w:hint="eastAsia" w:ascii="宋体" w:hAnsi="宋体" w:cs="宋体"/>
          <w:color w:val="auto"/>
          <w:szCs w:val="21"/>
          <w:highlight w:val="none"/>
        </w:rPr>
        <w:t>　　11.1承包人应当按照协议书约定的开工日期开工。承包人不能按时开工，应当不迟于协议书约定的开工日期前7天，以书面形式向工程师提出延期开工的理由和要求。工程师应当在接到延期开工申请后的48小时内以书面形式答复承包人。工程师在接到延期开工申请后48小时内不答复，视为同意承包人要求，工期相应顺延。工程师不同意延期要求或承包人未在规定时间内提出延期开工要求，工期不予顺延。</w:t>
      </w:r>
      <w:r>
        <w:rPr>
          <w:rFonts w:hint="eastAsia" w:ascii="宋体" w:hAnsi="宋体" w:cs="宋体"/>
          <w:color w:val="auto"/>
          <w:szCs w:val="21"/>
          <w:highlight w:val="none"/>
        </w:rPr>
        <w:br w:type="textWrapping"/>
      </w:r>
      <w:r>
        <w:rPr>
          <w:rFonts w:hint="eastAsia" w:ascii="宋体" w:hAnsi="宋体" w:cs="宋体"/>
          <w:color w:val="auto"/>
          <w:szCs w:val="21"/>
          <w:highlight w:val="none"/>
        </w:rPr>
        <w:t>　　11.2因发包人原因不能按照协议书约定的开工日期开工，工程师应以书面形式通知承包人，推迟开工日期。发包人赔偿承包人因延期开工造成的损失，并相应顺延工期。</w:t>
      </w:r>
      <w:r>
        <w:rPr>
          <w:rFonts w:hint="eastAsia" w:ascii="宋体" w:hAnsi="宋体" w:cs="宋体"/>
          <w:color w:val="auto"/>
          <w:szCs w:val="21"/>
          <w:highlight w:val="none"/>
        </w:rPr>
        <w:br w:type="textWrapping"/>
      </w:r>
      <w:r>
        <w:rPr>
          <w:rFonts w:hint="eastAsia" w:ascii="宋体" w:hAnsi="宋体" w:cs="宋体"/>
          <w:color w:val="auto"/>
          <w:szCs w:val="21"/>
          <w:highlight w:val="none"/>
        </w:rPr>
        <w:t>　　12.暂停施工</w:t>
      </w:r>
      <w:r>
        <w:rPr>
          <w:rFonts w:hint="eastAsia" w:ascii="宋体" w:hAnsi="宋体" w:cs="宋体"/>
          <w:color w:val="auto"/>
          <w:szCs w:val="21"/>
          <w:highlight w:val="none"/>
        </w:rPr>
        <w:br w:type="textWrapping"/>
      </w:r>
      <w:r>
        <w:rPr>
          <w:rFonts w:hint="eastAsia" w:ascii="宋体" w:hAnsi="宋体" w:cs="宋体"/>
          <w:color w:val="auto"/>
          <w:szCs w:val="21"/>
          <w:highlight w:val="none"/>
        </w:rPr>
        <w:t xml:space="preserve">　　工程师认为确有必要暂停施工时，应当以书面形式要求承包人暂停施工，并在提出要求后48小时内提出书面处理意见。承包人应当按工程师要求停止施工，并妥善保护已完工程。承包人实施工程师作出的处理意见后，可以书面形式提出复工要求，工程师应当在48小时内给予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 </w:t>
      </w:r>
      <w:r>
        <w:rPr>
          <w:rFonts w:hint="eastAsia" w:ascii="宋体" w:hAnsi="宋体" w:cs="宋体"/>
          <w:color w:val="auto"/>
          <w:szCs w:val="21"/>
          <w:highlight w:val="none"/>
        </w:rPr>
        <w:br w:type="textWrapping"/>
      </w:r>
      <w:r>
        <w:rPr>
          <w:rFonts w:hint="eastAsia" w:ascii="宋体" w:hAnsi="宋体" w:cs="宋体"/>
          <w:color w:val="auto"/>
          <w:szCs w:val="21"/>
          <w:highlight w:val="none"/>
        </w:rPr>
        <w:t>　　13.工期延误</w:t>
      </w:r>
      <w:r>
        <w:rPr>
          <w:rFonts w:hint="eastAsia" w:ascii="宋体" w:hAnsi="宋体" w:cs="宋体"/>
          <w:color w:val="auto"/>
          <w:szCs w:val="21"/>
          <w:highlight w:val="none"/>
        </w:rPr>
        <w:br w:type="textWrapping"/>
      </w:r>
      <w:r>
        <w:rPr>
          <w:rFonts w:hint="eastAsia" w:ascii="宋体" w:hAnsi="宋体" w:cs="宋体"/>
          <w:color w:val="auto"/>
          <w:szCs w:val="21"/>
          <w:highlight w:val="none"/>
        </w:rPr>
        <w:t>　　13.1因以下原因造成工期延误，经工程师确认，工期相应顺延：</w:t>
      </w:r>
      <w:r>
        <w:rPr>
          <w:rFonts w:hint="eastAsia" w:ascii="宋体" w:hAnsi="宋体" w:cs="宋体"/>
          <w:color w:val="auto"/>
          <w:szCs w:val="21"/>
          <w:highlight w:val="none"/>
        </w:rPr>
        <w:br w:type="textWrapping"/>
      </w:r>
      <w:r>
        <w:rPr>
          <w:rFonts w:hint="eastAsia" w:ascii="宋体" w:hAnsi="宋体" w:cs="宋体"/>
          <w:color w:val="auto"/>
          <w:szCs w:val="21"/>
          <w:highlight w:val="none"/>
        </w:rPr>
        <w:t>　　（1）发包人未能按专用条款的约定提供图纸及开工条件；</w:t>
      </w:r>
      <w:r>
        <w:rPr>
          <w:rFonts w:hint="eastAsia" w:ascii="宋体" w:hAnsi="宋体" w:cs="宋体"/>
          <w:color w:val="auto"/>
          <w:szCs w:val="21"/>
          <w:highlight w:val="none"/>
        </w:rPr>
        <w:br w:type="textWrapping"/>
      </w:r>
      <w:r>
        <w:rPr>
          <w:rFonts w:hint="eastAsia" w:ascii="宋体" w:hAnsi="宋体" w:cs="宋体"/>
          <w:color w:val="auto"/>
          <w:szCs w:val="21"/>
          <w:highlight w:val="none"/>
        </w:rPr>
        <w:t>　　（2）发包人未能按约定日期支付工程预付款、进度款，致使施工不能正常进行；</w:t>
      </w:r>
      <w:r>
        <w:rPr>
          <w:rFonts w:hint="eastAsia" w:ascii="宋体" w:hAnsi="宋体" w:cs="宋体"/>
          <w:color w:val="auto"/>
          <w:szCs w:val="21"/>
          <w:highlight w:val="none"/>
        </w:rPr>
        <w:br w:type="textWrapping"/>
      </w:r>
      <w:r>
        <w:rPr>
          <w:rFonts w:hint="eastAsia" w:ascii="宋体" w:hAnsi="宋体" w:cs="宋体"/>
          <w:color w:val="auto"/>
          <w:szCs w:val="21"/>
          <w:highlight w:val="none"/>
        </w:rPr>
        <w:t>　　（3）工程师未按合同约定提供所需指令、批准等，致使施工不能正常地行；</w:t>
      </w:r>
      <w:r>
        <w:rPr>
          <w:rFonts w:hint="eastAsia" w:ascii="宋体" w:hAnsi="宋体" w:cs="宋体"/>
          <w:color w:val="auto"/>
          <w:szCs w:val="21"/>
          <w:highlight w:val="none"/>
        </w:rPr>
        <w:br w:type="textWrapping"/>
      </w:r>
      <w:r>
        <w:rPr>
          <w:rFonts w:hint="eastAsia" w:ascii="宋体" w:hAnsi="宋体" w:cs="宋体"/>
          <w:color w:val="auto"/>
          <w:szCs w:val="21"/>
          <w:highlight w:val="none"/>
        </w:rPr>
        <w:t>　　（4）设计变更和工程量增加；</w:t>
      </w:r>
      <w:r>
        <w:rPr>
          <w:rFonts w:hint="eastAsia" w:ascii="宋体" w:hAnsi="宋体" w:cs="宋体"/>
          <w:color w:val="auto"/>
          <w:szCs w:val="21"/>
          <w:highlight w:val="none"/>
        </w:rPr>
        <w:br w:type="textWrapping"/>
      </w:r>
      <w:r>
        <w:rPr>
          <w:rFonts w:hint="eastAsia" w:ascii="宋体" w:hAnsi="宋体" w:cs="宋体"/>
          <w:color w:val="auto"/>
          <w:szCs w:val="21"/>
          <w:highlight w:val="none"/>
        </w:rPr>
        <w:t>　　（5）一周内非承包人原因停水、停电、停气造成停工累计超过8小时；</w:t>
      </w:r>
      <w:r>
        <w:rPr>
          <w:rFonts w:hint="eastAsia" w:ascii="宋体" w:hAnsi="宋体" w:cs="宋体"/>
          <w:color w:val="auto"/>
          <w:szCs w:val="21"/>
          <w:highlight w:val="none"/>
        </w:rPr>
        <w:br w:type="textWrapping"/>
      </w:r>
      <w:r>
        <w:rPr>
          <w:rFonts w:hint="eastAsia" w:ascii="宋体" w:hAnsi="宋体" w:cs="宋体"/>
          <w:color w:val="auto"/>
          <w:szCs w:val="21"/>
          <w:highlight w:val="none"/>
        </w:rPr>
        <w:t>　　（6）不可抗力；</w:t>
      </w:r>
      <w:r>
        <w:rPr>
          <w:rFonts w:hint="eastAsia" w:ascii="宋体" w:hAnsi="宋体" w:cs="宋体"/>
          <w:color w:val="auto"/>
          <w:szCs w:val="21"/>
          <w:highlight w:val="none"/>
        </w:rPr>
        <w:br w:type="textWrapping"/>
      </w:r>
      <w:r>
        <w:rPr>
          <w:rFonts w:hint="eastAsia" w:ascii="宋体" w:hAnsi="宋体" w:cs="宋体"/>
          <w:color w:val="auto"/>
          <w:szCs w:val="21"/>
          <w:highlight w:val="none"/>
        </w:rPr>
        <w:t>　　（7）专用条款中约定或工程师同意工期顺延的其他情况。</w:t>
      </w:r>
      <w:r>
        <w:rPr>
          <w:rFonts w:hint="eastAsia" w:ascii="宋体" w:hAnsi="宋体" w:cs="宋体"/>
          <w:color w:val="auto"/>
          <w:szCs w:val="21"/>
          <w:highlight w:val="none"/>
        </w:rPr>
        <w:br w:type="textWrapping"/>
      </w:r>
      <w:r>
        <w:rPr>
          <w:rFonts w:hint="eastAsia" w:ascii="宋体" w:hAnsi="宋体" w:cs="宋体"/>
          <w:color w:val="auto"/>
          <w:szCs w:val="21"/>
          <w:highlight w:val="none"/>
        </w:rPr>
        <w:t>　　13.2承包人在13.1款情况发生后14天内，就延误的工期以书面形式向工程师提出报告。工程师在收到报告后14天内予以确认，逾期不予确认也不提出修改意见，视为同意顺延工期。</w:t>
      </w:r>
      <w:r>
        <w:rPr>
          <w:rFonts w:hint="eastAsia" w:ascii="宋体" w:hAnsi="宋体" w:cs="宋体"/>
          <w:color w:val="auto"/>
          <w:szCs w:val="21"/>
          <w:highlight w:val="none"/>
        </w:rPr>
        <w:br w:type="textWrapping"/>
      </w:r>
      <w:r>
        <w:rPr>
          <w:rFonts w:hint="eastAsia" w:ascii="宋体" w:hAnsi="宋体" w:cs="宋体"/>
          <w:color w:val="auto"/>
          <w:szCs w:val="21"/>
          <w:highlight w:val="none"/>
        </w:rPr>
        <w:t>　　14工程竣工</w:t>
      </w:r>
      <w:r>
        <w:rPr>
          <w:rFonts w:hint="eastAsia" w:ascii="宋体" w:hAnsi="宋体" w:cs="宋体"/>
          <w:color w:val="auto"/>
          <w:szCs w:val="21"/>
          <w:highlight w:val="none"/>
        </w:rPr>
        <w:br w:type="textWrapping"/>
      </w:r>
      <w:r>
        <w:rPr>
          <w:rFonts w:hint="eastAsia" w:ascii="宋体" w:hAnsi="宋体" w:cs="宋体"/>
          <w:color w:val="auto"/>
          <w:szCs w:val="21"/>
          <w:highlight w:val="none"/>
        </w:rPr>
        <w:t>　　14.1承包人必须按照协议书约定的竣工日期或工程师同意顺延的工期竣工。</w:t>
      </w:r>
      <w:r>
        <w:rPr>
          <w:rFonts w:hint="eastAsia" w:ascii="宋体" w:hAnsi="宋体" w:cs="宋体"/>
          <w:color w:val="auto"/>
          <w:szCs w:val="21"/>
          <w:highlight w:val="none"/>
        </w:rPr>
        <w:br w:type="textWrapping"/>
      </w:r>
      <w:r>
        <w:rPr>
          <w:rFonts w:hint="eastAsia" w:ascii="宋体" w:hAnsi="宋体" w:cs="宋体"/>
          <w:color w:val="auto"/>
          <w:szCs w:val="21"/>
          <w:highlight w:val="none"/>
        </w:rPr>
        <w:t>　　14.2因承包人原因不能按照协议书约定的竣工日期或工程师同意顺延的工期竣工的，承包人承担违约责任。</w:t>
      </w:r>
      <w:r>
        <w:rPr>
          <w:rFonts w:hint="eastAsia" w:ascii="宋体" w:hAnsi="宋体" w:cs="宋体"/>
          <w:color w:val="auto"/>
          <w:szCs w:val="21"/>
          <w:highlight w:val="none"/>
        </w:rPr>
        <w:br w:type="textWrapping"/>
      </w:r>
      <w:r>
        <w:rPr>
          <w:rFonts w:hint="eastAsia" w:ascii="宋体" w:hAnsi="宋体" w:cs="宋体"/>
          <w:color w:val="auto"/>
          <w:szCs w:val="21"/>
          <w:highlight w:val="none"/>
        </w:rPr>
        <w:t xml:space="preserve">    14.3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r>
        <w:rPr>
          <w:rFonts w:hint="eastAsia" w:ascii="宋体" w:hAnsi="宋体" w:cs="宋体"/>
          <w:color w:val="auto"/>
          <w:szCs w:val="21"/>
          <w:highlight w:val="none"/>
        </w:rPr>
        <w:br w:type="textWrapping"/>
      </w:r>
      <w:r>
        <w:rPr>
          <w:rFonts w:hint="eastAsia" w:ascii="宋体" w:hAnsi="宋体" w:cs="宋体"/>
          <w:color w:val="auto"/>
          <w:szCs w:val="21"/>
          <w:highlight w:val="none"/>
        </w:rPr>
        <w:t>　　四、质量与检验</w:t>
      </w:r>
      <w:r>
        <w:rPr>
          <w:rFonts w:hint="eastAsia" w:ascii="宋体" w:hAnsi="宋体" w:cs="宋体"/>
          <w:color w:val="auto"/>
          <w:szCs w:val="21"/>
          <w:highlight w:val="none"/>
        </w:rPr>
        <w:br w:type="textWrapping"/>
      </w:r>
      <w:r>
        <w:rPr>
          <w:rFonts w:hint="eastAsia" w:ascii="宋体" w:hAnsi="宋体" w:cs="宋体"/>
          <w:color w:val="auto"/>
          <w:szCs w:val="21"/>
          <w:highlight w:val="none"/>
        </w:rPr>
        <w:t>　　15.工程质量</w:t>
      </w:r>
      <w:r>
        <w:rPr>
          <w:rFonts w:hint="eastAsia" w:ascii="宋体" w:hAnsi="宋体" w:cs="宋体"/>
          <w:color w:val="auto"/>
          <w:szCs w:val="21"/>
          <w:highlight w:val="none"/>
        </w:rPr>
        <w:br w:type="textWrapping"/>
      </w:r>
      <w:r>
        <w:rPr>
          <w:rFonts w:hint="eastAsia" w:ascii="宋体" w:hAnsi="宋体" w:cs="宋体"/>
          <w:color w:val="auto"/>
          <w:szCs w:val="21"/>
          <w:highlight w:val="none"/>
        </w:rPr>
        <w:t>　　15.1工程质量应当达到协议书约定的质量标准，质量标准的评定以国家或行业的质量检验评定标准为依据。因承包人原因工程质量达不到约定的质量标准，承包人承担违约责任。</w:t>
      </w:r>
      <w:r>
        <w:rPr>
          <w:rFonts w:hint="eastAsia" w:ascii="宋体" w:hAnsi="宋体" w:cs="宋体"/>
          <w:color w:val="auto"/>
          <w:szCs w:val="21"/>
          <w:highlight w:val="none"/>
        </w:rPr>
        <w:br w:type="textWrapping"/>
      </w:r>
      <w:r>
        <w:rPr>
          <w:rFonts w:hint="eastAsia" w:ascii="宋体" w:hAnsi="宋体" w:cs="宋体"/>
          <w:color w:val="auto"/>
          <w:szCs w:val="21"/>
          <w:highlight w:val="none"/>
        </w:rPr>
        <w:t>　　15.2双方对工程质量有争议，由双方同意的工程质量检测机构鉴定，所需费用及因此造成的损失，由责任方承担。双方均有责任，由双方根据其责任分别承担。</w:t>
      </w:r>
      <w:r>
        <w:rPr>
          <w:rFonts w:hint="eastAsia" w:ascii="宋体" w:hAnsi="宋体" w:cs="宋体"/>
          <w:color w:val="auto"/>
          <w:szCs w:val="21"/>
          <w:highlight w:val="none"/>
        </w:rPr>
        <w:br w:type="textWrapping"/>
      </w:r>
      <w:r>
        <w:rPr>
          <w:rFonts w:hint="eastAsia" w:ascii="宋体" w:hAnsi="宋体" w:cs="宋体"/>
          <w:color w:val="auto"/>
          <w:szCs w:val="21"/>
          <w:highlight w:val="none"/>
        </w:rPr>
        <w:t>　　16.检查和返工</w:t>
      </w:r>
      <w:r>
        <w:rPr>
          <w:rFonts w:hint="eastAsia" w:ascii="宋体" w:hAnsi="宋体" w:cs="宋体"/>
          <w:color w:val="auto"/>
          <w:szCs w:val="21"/>
          <w:highlight w:val="none"/>
        </w:rPr>
        <w:br w:type="textWrapping"/>
      </w:r>
      <w:r>
        <w:rPr>
          <w:rFonts w:hint="eastAsia" w:ascii="宋体" w:hAnsi="宋体" w:cs="宋体"/>
          <w:color w:val="auto"/>
          <w:szCs w:val="21"/>
          <w:highlight w:val="none"/>
        </w:rPr>
        <w:t>　　16.1承包人应认真按照标准、规范和设计图纸要求以及工程师依据合同发出的指令施工，随时接受工程师的检查检验，为检查检验提供便利条件。</w:t>
      </w:r>
      <w:r>
        <w:rPr>
          <w:rFonts w:hint="eastAsia" w:ascii="宋体" w:hAnsi="宋体" w:cs="宋体"/>
          <w:color w:val="auto"/>
          <w:szCs w:val="21"/>
          <w:highlight w:val="none"/>
        </w:rPr>
        <w:br w:type="textWrapping"/>
      </w:r>
      <w:r>
        <w:rPr>
          <w:rFonts w:hint="eastAsia" w:ascii="宋体" w:hAnsi="宋体" w:cs="宋体"/>
          <w:color w:val="auto"/>
          <w:szCs w:val="21"/>
          <w:highlight w:val="none"/>
        </w:rPr>
        <w:t>　　16.2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w:t>
      </w:r>
      <w:r>
        <w:rPr>
          <w:rFonts w:hint="eastAsia" w:ascii="宋体" w:hAnsi="宋体" w:cs="宋体"/>
          <w:color w:val="auto"/>
          <w:szCs w:val="21"/>
          <w:highlight w:val="none"/>
        </w:rPr>
        <w:br w:type="textWrapping"/>
      </w:r>
      <w:r>
        <w:rPr>
          <w:rFonts w:hint="eastAsia" w:ascii="宋体" w:hAnsi="宋体" w:cs="宋体"/>
          <w:color w:val="auto"/>
          <w:szCs w:val="21"/>
          <w:highlight w:val="none"/>
        </w:rPr>
        <w:t>　　16.3工程师的检查检验不应影响施工正常进行。如影响施工正常进行，检查检验不合格时，影响正常施工的费用由承包人承担。除此之外影响正常施工的追加合同价款由发包人承担，相应顺延工期。</w:t>
      </w:r>
      <w:r>
        <w:rPr>
          <w:rFonts w:hint="eastAsia" w:ascii="宋体" w:hAnsi="宋体" w:cs="宋体"/>
          <w:color w:val="auto"/>
          <w:szCs w:val="21"/>
          <w:highlight w:val="none"/>
        </w:rPr>
        <w:br w:type="textWrapping"/>
      </w:r>
      <w:r>
        <w:rPr>
          <w:rFonts w:hint="eastAsia" w:ascii="宋体" w:hAnsi="宋体" w:cs="宋体"/>
          <w:color w:val="auto"/>
          <w:szCs w:val="21"/>
          <w:highlight w:val="none"/>
        </w:rPr>
        <w:t>　　16.4因工程师指令失误或其他非承包人原因发生的追加合同价款，由发包人承担。</w:t>
      </w:r>
      <w:r>
        <w:rPr>
          <w:rFonts w:hint="eastAsia" w:ascii="宋体" w:hAnsi="宋体" w:cs="宋体"/>
          <w:color w:val="auto"/>
          <w:szCs w:val="21"/>
          <w:highlight w:val="none"/>
        </w:rPr>
        <w:br w:type="textWrapping"/>
      </w:r>
      <w:r>
        <w:rPr>
          <w:rFonts w:hint="eastAsia" w:ascii="宋体" w:hAnsi="宋体" w:cs="宋体"/>
          <w:color w:val="auto"/>
          <w:szCs w:val="21"/>
          <w:highlight w:val="none"/>
        </w:rPr>
        <w:t>　　17.隐蔽工程和中间验收</w:t>
      </w:r>
      <w:r>
        <w:rPr>
          <w:rFonts w:hint="eastAsia" w:ascii="宋体" w:hAnsi="宋体" w:cs="宋体"/>
          <w:color w:val="auto"/>
          <w:szCs w:val="21"/>
          <w:highlight w:val="none"/>
        </w:rPr>
        <w:br w:type="textWrapping"/>
      </w:r>
      <w:r>
        <w:rPr>
          <w:rFonts w:hint="eastAsia" w:ascii="宋体" w:hAnsi="宋体" w:cs="宋体"/>
          <w:color w:val="auto"/>
          <w:szCs w:val="21"/>
          <w:highlight w:val="none"/>
        </w:rPr>
        <w:t>　　17.1工程具备隐蔽条件或达到专用条款约定的中间验收部位，承包人进行自检，并在隐蔽或中间验收前48小时以书面形式通知工程师验收。通知包括隐蔽和中间验收的内容、验收时间和地点。承包人准备验收记录，验收合格，工程师在验收记录上签字后，承包人可进行隐蔽和继续施工。验收不合格，承包人在工程师限定的时间内修改后重新验收。</w:t>
      </w:r>
      <w:r>
        <w:rPr>
          <w:rFonts w:hint="eastAsia" w:ascii="宋体" w:hAnsi="宋体" w:cs="宋体"/>
          <w:color w:val="auto"/>
          <w:szCs w:val="21"/>
          <w:highlight w:val="none"/>
        </w:rPr>
        <w:br w:type="textWrapping"/>
      </w:r>
      <w:r>
        <w:rPr>
          <w:rFonts w:hint="eastAsia" w:ascii="宋体" w:hAnsi="宋体" w:cs="宋体"/>
          <w:color w:val="auto"/>
          <w:szCs w:val="21"/>
          <w:highlight w:val="none"/>
        </w:rPr>
        <w:t>　　17.2工程师不能按时进行验收，应在验收前24小时以书面形式向承包人提出延期要求，延期不能超过48小时。工程师未能按以上时间提出延期要求，不进行验收，承包人可自行组织验收，工程师应承认验收记录。</w:t>
      </w:r>
      <w:r>
        <w:rPr>
          <w:rFonts w:hint="eastAsia" w:ascii="宋体" w:hAnsi="宋体" w:cs="宋体"/>
          <w:color w:val="auto"/>
          <w:szCs w:val="21"/>
          <w:highlight w:val="none"/>
        </w:rPr>
        <w:br w:type="textWrapping"/>
      </w:r>
      <w:r>
        <w:rPr>
          <w:rFonts w:hint="eastAsia" w:ascii="宋体" w:hAnsi="宋体" w:cs="宋体"/>
          <w:color w:val="auto"/>
          <w:szCs w:val="21"/>
          <w:highlight w:val="none"/>
        </w:rPr>
        <w:t>　　17.3经工程师验收，工程质量符合标准、规范和设计图纸等要求，验收24小时后，工程师不在验收记录上签字，视为工程师已经认可验收记录，承包人可进行隐蔽或继续施工。</w:t>
      </w:r>
      <w:r>
        <w:rPr>
          <w:rFonts w:hint="eastAsia" w:ascii="宋体" w:hAnsi="宋体" w:cs="宋体"/>
          <w:color w:val="auto"/>
          <w:szCs w:val="21"/>
          <w:highlight w:val="none"/>
        </w:rPr>
        <w:br w:type="textWrapping"/>
      </w:r>
      <w:r>
        <w:rPr>
          <w:rFonts w:hint="eastAsia" w:ascii="宋体" w:hAnsi="宋体" w:cs="宋体"/>
          <w:color w:val="auto"/>
          <w:szCs w:val="21"/>
          <w:highlight w:val="none"/>
        </w:rPr>
        <w:t>　　18.重新检验</w:t>
      </w:r>
      <w:r>
        <w:rPr>
          <w:rFonts w:hint="eastAsia" w:ascii="宋体" w:hAnsi="宋体" w:cs="宋体"/>
          <w:color w:val="auto"/>
          <w:szCs w:val="21"/>
          <w:highlight w:val="none"/>
        </w:rPr>
        <w:br w:type="textWrapping"/>
      </w:r>
      <w:r>
        <w:rPr>
          <w:rFonts w:hint="eastAsia" w:ascii="宋体" w:hAnsi="宋体" w:cs="宋体"/>
          <w:color w:val="auto"/>
          <w:szCs w:val="21"/>
          <w:highlight w:val="none"/>
        </w:rPr>
        <w:t>　　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w:t>
      </w:r>
      <w:r>
        <w:rPr>
          <w:rFonts w:hint="eastAsia" w:ascii="宋体" w:hAnsi="宋体" w:cs="宋体"/>
          <w:color w:val="auto"/>
          <w:szCs w:val="21"/>
          <w:highlight w:val="none"/>
        </w:rPr>
        <w:br w:type="textWrapping"/>
      </w:r>
      <w:r>
        <w:rPr>
          <w:rFonts w:hint="eastAsia" w:ascii="宋体" w:hAnsi="宋体" w:cs="宋体"/>
          <w:color w:val="auto"/>
          <w:szCs w:val="21"/>
          <w:highlight w:val="none"/>
        </w:rPr>
        <w:t>　　19.工程试车</w:t>
      </w:r>
      <w:r>
        <w:rPr>
          <w:rFonts w:hint="eastAsia" w:ascii="宋体" w:hAnsi="宋体" w:cs="宋体"/>
          <w:color w:val="auto"/>
          <w:szCs w:val="21"/>
          <w:highlight w:val="none"/>
        </w:rPr>
        <w:br w:type="textWrapping"/>
      </w:r>
      <w:r>
        <w:rPr>
          <w:rFonts w:hint="eastAsia" w:ascii="宋体" w:hAnsi="宋体" w:cs="宋体"/>
          <w:color w:val="auto"/>
          <w:szCs w:val="21"/>
          <w:highlight w:val="none"/>
        </w:rPr>
        <w:t xml:space="preserve">    19.1双方约定需要试车的，试车内容应与承包人承包的安装范围相一致。</w:t>
      </w:r>
      <w:r>
        <w:rPr>
          <w:rFonts w:hint="eastAsia" w:ascii="宋体" w:hAnsi="宋体" w:cs="宋体"/>
          <w:color w:val="auto"/>
          <w:szCs w:val="21"/>
          <w:highlight w:val="none"/>
        </w:rPr>
        <w:br w:type="textWrapping"/>
      </w:r>
      <w:r>
        <w:rPr>
          <w:rFonts w:hint="eastAsia" w:ascii="宋体" w:hAnsi="宋体" w:cs="宋体"/>
          <w:color w:val="auto"/>
          <w:szCs w:val="21"/>
          <w:highlight w:val="none"/>
        </w:rPr>
        <w:t>　　19.2设备安装工程具备单机无负荷试车条件，承包人组织试车，并在试车前48小时以书面形式通知工程师。通知包括试车内容、时间、地点。承包人准备试车记录，发包人根据承包人要求为试车提供必要条件。试车合格，工程师在试车记录上签字。</w:t>
      </w:r>
      <w:r>
        <w:rPr>
          <w:rFonts w:hint="eastAsia" w:ascii="宋体" w:hAnsi="宋体" w:cs="宋体"/>
          <w:color w:val="auto"/>
          <w:szCs w:val="21"/>
          <w:highlight w:val="none"/>
        </w:rPr>
        <w:br w:type="textWrapping"/>
      </w:r>
      <w:r>
        <w:rPr>
          <w:rFonts w:hint="eastAsia" w:ascii="宋体" w:hAnsi="宋体" w:cs="宋体"/>
          <w:color w:val="auto"/>
          <w:szCs w:val="21"/>
          <w:highlight w:val="none"/>
        </w:rPr>
        <w:t>　　19.3工程师不能按时参加试车，须在开始试车前24小时以书面形式向承包人提出延期要求，延期不能超过48小时。工程师未能按以上时间提出延期要求，不参加试车，应承认试车记录。</w:t>
      </w:r>
      <w:r>
        <w:rPr>
          <w:rFonts w:hint="eastAsia" w:ascii="宋体" w:hAnsi="宋体" w:cs="宋体"/>
          <w:color w:val="auto"/>
          <w:szCs w:val="21"/>
          <w:highlight w:val="none"/>
        </w:rPr>
        <w:br w:type="textWrapping"/>
      </w:r>
      <w:r>
        <w:rPr>
          <w:rFonts w:hint="eastAsia" w:ascii="宋体" w:hAnsi="宋体" w:cs="宋体"/>
          <w:color w:val="auto"/>
          <w:szCs w:val="21"/>
          <w:highlight w:val="none"/>
        </w:rPr>
        <w:t>　　19.4设备安装工程具备无负荷联动试车条件，发包人组织试车，并在试车前48小时以书面形式通知承包人。通知包括试车内容、时间、地点和对承包人的要求，承包人按要求做好准备工作。试车合格，双方在试车记录上签字。</w:t>
      </w:r>
      <w:r>
        <w:rPr>
          <w:rFonts w:hint="eastAsia" w:ascii="宋体" w:hAnsi="宋体" w:cs="宋体"/>
          <w:color w:val="auto"/>
          <w:szCs w:val="21"/>
          <w:highlight w:val="none"/>
        </w:rPr>
        <w:br w:type="textWrapping"/>
      </w:r>
      <w:r>
        <w:rPr>
          <w:rFonts w:hint="eastAsia" w:ascii="宋体" w:hAnsi="宋体" w:cs="宋体"/>
          <w:color w:val="auto"/>
          <w:szCs w:val="21"/>
          <w:highlight w:val="none"/>
        </w:rPr>
        <w:t>　　19.5双方责任</w:t>
      </w:r>
      <w:r>
        <w:rPr>
          <w:rFonts w:hint="eastAsia" w:ascii="宋体" w:hAnsi="宋体" w:cs="宋体"/>
          <w:color w:val="auto"/>
          <w:szCs w:val="21"/>
          <w:highlight w:val="none"/>
        </w:rPr>
        <w:br w:type="textWrapping"/>
      </w:r>
      <w:r>
        <w:rPr>
          <w:rFonts w:hint="eastAsia" w:ascii="宋体" w:hAnsi="宋体" w:cs="宋体"/>
          <w:color w:val="auto"/>
          <w:szCs w:val="21"/>
          <w:highlight w:val="none"/>
        </w:rPr>
        <w:t>　　（1）由于设计原因试车达不到验收要求，发包人应要求设计单位修改设计，承包人按修改后的设计重新安装。发包人承担修改设计、拆除及重新安装的全部费用和追加合同价款，工期相应顺延。</w:t>
      </w:r>
      <w:r>
        <w:rPr>
          <w:rFonts w:hint="eastAsia" w:ascii="宋体" w:hAnsi="宋体" w:cs="宋体"/>
          <w:color w:val="auto"/>
          <w:szCs w:val="21"/>
          <w:highlight w:val="none"/>
        </w:rPr>
        <w:br w:type="textWrapping"/>
      </w:r>
      <w:r>
        <w:rPr>
          <w:rFonts w:hint="eastAsia" w:ascii="宋体" w:hAnsi="宋体" w:cs="宋体"/>
          <w:color w:val="auto"/>
          <w:szCs w:val="21"/>
          <w:highlight w:val="none"/>
        </w:rPr>
        <w:t>　　（2）由于设备制造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w:t>
      </w:r>
      <w:r>
        <w:rPr>
          <w:rFonts w:hint="eastAsia" w:ascii="宋体" w:hAnsi="宋体" w:cs="宋体"/>
          <w:color w:val="auto"/>
          <w:szCs w:val="21"/>
          <w:highlight w:val="none"/>
        </w:rPr>
        <w:br w:type="textWrapping"/>
      </w:r>
      <w:r>
        <w:rPr>
          <w:rFonts w:hint="eastAsia" w:ascii="宋体" w:hAnsi="宋体" w:cs="宋体"/>
          <w:color w:val="auto"/>
          <w:szCs w:val="21"/>
          <w:highlight w:val="none"/>
        </w:rPr>
        <w:t>　　（3）由于承包人施工原因试车达不到验收要求，承包人按工程师要求重新安装和试车，并承担重新安装和试车的费用，工期不予顺延。</w:t>
      </w:r>
      <w:r>
        <w:rPr>
          <w:rFonts w:hint="eastAsia" w:ascii="宋体" w:hAnsi="宋体" w:cs="宋体"/>
          <w:color w:val="auto"/>
          <w:szCs w:val="21"/>
          <w:highlight w:val="none"/>
        </w:rPr>
        <w:br w:type="textWrapping"/>
      </w:r>
      <w:r>
        <w:rPr>
          <w:rFonts w:hint="eastAsia" w:ascii="宋体" w:hAnsi="宋体" w:cs="宋体"/>
          <w:color w:val="auto"/>
          <w:szCs w:val="21"/>
          <w:highlight w:val="none"/>
        </w:rPr>
        <w:t>　　（4）试车费用除已包括在合同价款之内或专用条款另有约定外，均由发包人承担。</w:t>
      </w:r>
      <w:r>
        <w:rPr>
          <w:rFonts w:hint="eastAsia" w:ascii="宋体" w:hAnsi="宋体" w:cs="宋体"/>
          <w:color w:val="auto"/>
          <w:szCs w:val="21"/>
          <w:highlight w:val="none"/>
        </w:rPr>
        <w:br w:type="textWrapping"/>
      </w:r>
      <w:r>
        <w:rPr>
          <w:rFonts w:hint="eastAsia" w:ascii="宋体" w:hAnsi="宋体" w:cs="宋体"/>
          <w:color w:val="auto"/>
          <w:szCs w:val="21"/>
          <w:highlight w:val="none"/>
        </w:rPr>
        <w:t>　　（5）工程师在试车合格后不在试车记录上签字，试车结束24小时后，视为工程师已经认可试车记录，承包人可继续施工或办理竣工手续。</w:t>
      </w:r>
      <w:r>
        <w:rPr>
          <w:rFonts w:hint="eastAsia" w:ascii="宋体" w:hAnsi="宋体" w:cs="宋体"/>
          <w:color w:val="auto"/>
          <w:szCs w:val="21"/>
          <w:highlight w:val="none"/>
        </w:rPr>
        <w:br w:type="textWrapping"/>
      </w:r>
      <w:r>
        <w:rPr>
          <w:rFonts w:hint="eastAsia" w:ascii="宋体" w:hAnsi="宋体" w:cs="宋体"/>
          <w:color w:val="auto"/>
          <w:szCs w:val="21"/>
          <w:highlight w:val="none"/>
        </w:rPr>
        <w:t>　　19.6投料试车应在工程竣工验收后由发包人负责，如发包人要求在工程竣工验收前进行或需要承包人配合时，应征得承包人同意，另行签订补充协议。</w:t>
      </w:r>
      <w:r>
        <w:rPr>
          <w:rFonts w:hint="eastAsia" w:ascii="宋体" w:hAnsi="宋体" w:cs="宋体"/>
          <w:color w:val="auto"/>
          <w:szCs w:val="21"/>
          <w:highlight w:val="none"/>
        </w:rPr>
        <w:br w:type="textWrapping"/>
      </w:r>
      <w:r>
        <w:rPr>
          <w:rFonts w:hint="eastAsia" w:ascii="宋体" w:hAnsi="宋体" w:cs="宋体"/>
          <w:color w:val="auto"/>
          <w:szCs w:val="21"/>
          <w:highlight w:val="none"/>
        </w:rPr>
        <w:t>　　五、安全施工</w:t>
      </w:r>
      <w:r>
        <w:rPr>
          <w:rFonts w:hint="eastAsia" w:ascii="宋体" w:hAnsi="宋体" w:cs="宋体"/>
          <w:color w:val="auto"/>
          <w:szCs w:val="21"/>
          <w:highlight w:val="none"/>
        </w:rPr>
        <w:br w:type="textWrapping"/>
      </w:r>
      <w:r>
        <w:rPr>
          <w:rFonts w:hint="eastAsia" w:ascii="宋体" w:hAnsi="宋体" w:cs="宋体"/>
          <w:color w:val="auto"/>
          <w:szCs w:val="21"/>
          <w:highlight w:val="none"/>
        </w:rPr>
        <w:t>　　20.安全施工与检查</w:t>
      </w:r>
      <w:r>
        <w:rPr>
          <w:rFonts w:hint="eastAsia" w:ascii="宋体" w:hAnsi="宋体" w:cs="宋体"/>
          <w:color w:val="auto"/>
          <w:szCs w:val="21"/>
          <w:highlight w:val="none"/>
        </w:rPr>
        <w:br w:type="textWrapping"/>
      </w:r>
      <w:r>
        <w:rPr>
          <w:rFonts w:hint="eastAsia" w:ascii="宋体" w:hAnsi="宋体" w:cs="宋体"/>
          <w:color w:val="auto"/>
          <w:szCs w:val="21"/>
          <w:highlight w:val="none"/>
        </w:rPr>
        <w:t>　　20.1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r>
        <w:rPr>
          <w:rFonts w:hint="eastAsia" w:ascii="宋体" w:hAnsi="宋体" w:cs="宋体"/>
          <w:color w:val="auto"/>
          <w:szCs w:val="21"/>
          <w:highlight w:val="none"/>
        </w:rPr>
        <w:br w:type="textWrapping"/>
      </w:r>
      <w:r>
        <w:rPr>
          <w:rFonts w:hint="eastAsia" w:ascii="宋体" w:hAnsi="宋体" w:cs="宋体"/>
          <w:color w:val="auto"/>
          <w:szCs w:val="21"/>
          <w:highlight w:val="none"/>
        </w:rPr>
        <w:t>　　20.2发包人应对其在施工场地的工作人员进行安全教育，并对他们的安全负责。发包人不得要求承包人违反安全管理的规定进行施工。因发包人原因导致的安全事故，由发包人承担相应责任及发生的费用。</w:t>
      </w:r>
      <w:r>
        <w:rPr>
          <w:rFonts w:hint="eastAsia" w:ascii="宋体" w:hAnsi="宋体" w:cs="宋体"/>
          <w:color w:val="auto"/>
          <w:szCs w:val="21"/>
          <w:highlight w:val="none"/>
        </w:rPr>
        <w:br w:type="textWrapping"/>
      </w:r>
      <w:r>
        <w:rPr>
          <w:rFonts w:hint="eastAsia" w:ascii="宋体" w:hAnsi="宋体" w:cs="宋体"/>
          <w:color w:val="auto"/>
          <w:szCs w:val="21"/>
          <w:highlight w:val="none"/>
        </w:rPr>
        <w:t>　　21.安全防护</w:t>
      </w:r>
      <w:r>
        <w:rPr>
          <w:rFonts w:hint="eastAsia" w:ascii="宋体" w:hAnsi="宋体" w:cs="宋体"/>
          <w:color w:val="auto"/>
          <w:szCs w:val="21"/>
          <w:highlight w:val="none"/>
        </w:rPr>
        <w:br w:type="textWrapping"/>
      </w:r>
      <w:r>
        <w:rPr>
          <w:rFonts w:hint="eastAsia" w:ascii="宋体" w:hAnsi="宋体" w:cs="宋体"/>
          <w:color w:val="auto"/>
          <w:szCs w:val="21"/>
          <w:highlight w:val="none"/>
        </w:rPr>
        <w:t>　　21.1承包人在动力设备、输电线路、地下管道、密封防震车间、易燃易爆地段以及临街交通要道附近施工时，施工开始前应向工程师提出安全防护措施，经工程师认可后实施，防护措施费用由发包人承担。</w:t>
      </w:r>
      <w:r>
        <w:rPr>
          <w:rFonts w:hint="eastAsia" w:ascii="宋体" w:hAnsi="宋体" w:cs="宋体"/>
          <w:color w:val="auto"/>
          <w:szCs w:val="21"/>
          <w:highlight w:val="none"/>
        </w:rPr>
        <w:br w:type="textWrapping"/>
      </w:r>
      <w:r>
        <w:rPr>
          <w:rFonts w:hint="eastAsia" w:ascii="宋体" w:hAnsi="宋体" w:cs="宋体"/>
          <w:color w:val="auto"/>
          <w:szCs w:val="21"/>
          <w:highlight w:val="none"/>
        </w:rPr>
        <w:t>　　21.2实施爆破作业，在放射、毒害性环境中施工（含储存、运输、使用）及使用毒害性、腐蚀性物品施工时，承包人应在施工前14天以书面形式通知工程师，并提出相应的安全防护措施，经工程师认可后实施，由发包人承担安全防护措施费用。</w:t>
      </w:r>
      <w:r>
        <w:rPr>
          <w:rFonts w:hint="eastAsia" w:ascii="宋体" w:hAnsi="宋体" w:cs="宋体"/>
          <w:color w:val="auto"/>
          <w:szCs w:val="21"/>
          <w:highlight w:val="none"/>
        </w:rPr>
        <w:br w:type="textWrapping"/>
      </w:r>
      <w:r>
        <w:rPr>
          <w:rFonts w:hint="eastAsia" w:ascii="宋体" w:hAnsi="宋体" w:cs="宋体"/>
          <w:color w:val="auto"/>
          <w:szCs w:val="21"/>
          <w:highlight w:val="none"/>
        </w:rPr>
        <w:t>　　22.事故处理</w:t>
      </w:r>
      <w:r>
        <w:rPr>
          <w:rFonts w:hint="eastAsia" w:ascii="宋体" w:hAnsi="宋体" w:cs="宋体"/>
          <w:color w:val="auto"/>
          <w:szCs w:val="21"/>
          <w:highlight w:val="none"/>
        </w:rPr>
        <w:br w:type="textWrapping"/>
      </w:r>
      <w:r>
        <w:rPr>
          <w:rFonts w:hint="eastAsia" w:ascii="宋体" w:hAnsi="宋体" w:cs="宋体"/>
          <w:color w:val="auto"/>
          <w:szCs w:val="21"/>
          <w:highlight w:val="none"/>
        </w:rPr>
        <w:t>　　22.1发生重大伤亡及其他安全事故，承包人应按有关规定立即上报有关部门并通知工程师，同时按政府有关部门要求处理，由事故责任方承担发生的费用。</w:t>
      </w:r>
      <w:r>
        <w:rPr>
          <w:rFonts w:hint="eastAsia" w:ascii="宋体" w:hAnsi="宋体" w:cs="宋体"/>
          <w:color w:val="auto"/>
          <w:szCs w:val="21"/>
          <w:highlight w:val="none"/>
        </w:rPr>
        <w:br w:type="textWrapping"/>
      </w:r>
      <w:r>
        <w:rPr>
          <w:rFonts w:hint="eastAsia" w:ascii="宋体" w:hAnsi="宋体" w:cs="宋体"/>
          <w:color w:val="auto"/>
          <w:szCs w:val="21"/>
          <w:highlight w:val="none"/>
        </w:rPr>
        <w:t>　　22.2发包人承包人对事故责任有争议时，应按政府有关部门的认定处理。</w:t>
      </w:r>
      <w:r>
        <w:rPr>
          <w:rFonts w:hint="eastAsia" w:ascii="宋体" w:hAnsi="宋体" w:cs="宋体"/>
          <w:color w:val="auto"/>
          <w:szCs w:val="21"/>
          <w:highlight w:val="none"/>
        </w:rPr>
        <w:br w:type="textWrapping"/>
      </w:r>
      <w:r>
        <w:rPr>
          <w:rFonts w:hint="eastAsia" w:ascii="宋体" w:hAnsi="宋体" w:cs="宋体"/>
          <w:color w:val="auto"/>
          <w:szCs w:val="21"/>
          <w:highlight w:val="none"/>
        </w:rPr>
        <w:t>　　六、合同价款与支付</w:t>
      </w:r>
      <w:r>
        <w:rPr>
          <w:rFonts w:hint="eastAsia" w:ascii="宋体" w:hAnsi="宋体" w:cs="宋体"/>
          <w:color w:val="auto"/>
          <w:szCs w:val="21"/>
          <w:highlight w:val="none"/>
        </w:rPr>
        <w:br w:type="textWrapping"/>
      </w:r>
      <w:r>
        <w:rPr>
          <w:rFonts w:hint="eastAsia" w:ascii="宋体" w:hAnsi="宋体" w:cs="宋体"/>
          <w:color w:val="auto"/>
          <w:szCs w:val="21"/>
          <w:highlight w:val="none"/>
        </w:rPr>
        <w:t>　　23.合同价款及调整</w:t>
      </w:r>
      <w:r>
        <w:rPr>
          <w:rFonts w:hint="eastAsia" w:ascii="宋体" w:hAnsi="宋体" w:cs="宋体"/>
          <w:color w:val="auto"/>
          <w:szCs w:val="21"/>
          <w:highlight w:val="none"/>
        </w:rPr>
        <w:br w:type="textWrapping"/>
      </w:r>
      <w:r>
        <w:rPr>
          <w:rFonts w:hint="eastAsia" w:ascii="宋体" w:hAnsi="宋体" w:cs="宋体"/>
          <w:color w:val="auto"/>
          <w:szCs w:val="21"/>
          <w:highlight w:val="none"/>
        </w:rPr>
        <w:t>　　23.1招标工程的合同价款由发包人承包人依据中标通知书中的中标价格在协议书内约定。非招标工程的合同价款由发包人承包人依据工程预算书在协议书内约定。</w:t>
      </w:r>
      <w:r>
        <w:rPr>
          <w:rFonts w:hint="eastAsia" w:ascii="宋体" w:hAnsi="宋体" w:cs="宋体"/>
          <w:color w:val="auto"/>
          <w:szCs w:val="21"/>
          <w:highlight w:val="none"/>
        </w:rPr>
        <w:br w:type="textWrapping"/>
      </w:r>
      <w:r>
        <w:rPr>
          <w:rFonts w:hint="eastAsia" w:ascii="宋体" w:hAnsi="宋体" w:cs="宋体"/>
          <w:color w:val="auto"/>
          <w:szCs w:val="21"/>
          <w:highlight w:val="none"/>
        </w:rPr>
        <w:t>　　23.2合同价款在协议书内约定后，任何一方不得擅自改变。下列三种确定合同价款的方式，双方可在专用条款内约定采用其中一种：</w:t>
      </w:r>
      <w:r>
        <w:rPr>
          <w:rFonts w:hint="eastAsia" w:ascii="宋体" w:hAnsi="宋体" w:cs="宋体"/>
          <w:color w:val="auto"/>
          <w:szCs w:val="21"/>
          <w:highlight w:val="none"/>
        </w:rPr>
        <w:br w:type="textWrapping"/>
      </w:r>
      <w:r>
        <w:rPr>
          <w:rFonts w:hint="eastAsia" w:ascii="宋体" w:hAnsi="宋体" w:cs="宋体"/>
          <w:color w:val="auto"/>
          <w:szCs w:val="21"/>
          <w:highlight w:val="none"/>
        </w:rPr>
        <w:t>　　（1）固定价格合同。双方在专用条款内约定合同价款包含的风险范围和风险费用的计算方法，在约定的风险范围内合同价款不再调整。风险范围以外的合同价款调整方法，应当在专用条款内约定。</w:t>
      </w:r>
      <w:r>
        <w:rPr>
          <w:rFonts w:hint="eastAsia" w:ascii="宋体" w:hAnsi="宋体" w:cs="宋体"/>
          <w:color w:val="auto"/>
          <w:szCs w:val="21"/>
          <w:highlight w:val="none"/>
        </w:rPr>
        <w:br w:type="textWrapping"/>
      </w:r>
      <w:r>
        <w:rPr>
          <w:rFonts w:hint="eastAsia" w:ascii="宋体" w:hAnsi="宋体" w:cs="宋体"/>
          <w:color w:val="auto"/>
          <w:szCs w:val="21"/>
          <w:highlight w:val="none"/>
        </w:rPr>
        <w:t>　　（2）可调价格合同。合同价款可根据双方的约定而调整，双方在专用条款内约定合同价款调整方法。</w:t>
      </w:r>
      <w:r>
        <w:rPr>
          <w:rFonts w:hint="eastAsia" w:ascii="宋体" w:hAnsi="宋体" w:cs="宋体"/>
          <w:color w:val="auto"/>
          <w:szCs w:val="21"/>
          <w:highlight w:val="none"/>
        </w:rPr>
        <w:br w:type="textWrapping"/>
      </w:r>
      <w:r>
        <w:rPr>
          <w:rFonts w:hint="eastAsia" w:ascii="宋体" w:hAnsi="宋体" w:cs="宋体"/>
          <w:color w:val="auto"/>
          <w:szCs w:val="21"/>
          <w:highlight w:val="none"/>
        </w:rPr>
        <w:t>　　（3）成本加酬金合同。合同价款包括成本和酬金两部分，双方在专用条款内约定成本构成和酬金的计算方法。</w:t>
      </w:r>
      <w:r>
        <w:rPr>
          <w:rFonts w:hint="eastAsia" w:ascii="宋体" w:hAnsi="宋体" w:cs="宋体"/>
          <w:color w:val="auto"/>
          <w:szCs w:val="21"/>
          <w:highlight w:val="none"/>
        </w:rPr>
        <w:br w:type="textWrapping"/>
      </w:r>
      <w:r>
        <w:rPr>
          <w:rFonts w:hint="eastAsia" w:ascii="宋体" w:hAnsi="宋体" w:cs="宋体"/>
          <w:color w:val="auto"/>
          <w:szCs w:val="21"/>
          <w:highlight w:val="none"/>
        </w:rPr>
        <w:t>　　23.3可调价格合同中合同价款的调整因素包括：</w:t>
      </w:r>
      <w:r>
        <w:rPr>
          <w:rFonts w:hint="eastAsia" w:ascii="宋体" w:hAnsi="宋体" w:cs="宋体"/>
          <w:color w:val="auto"/>
          <w:szCs w:val="21"/>
          <w:highlight w:val="none"/>
        </w:rPr>
        <w:br w:type="textWrapping"/>
      </w:r>
      <w:r>
        <w:rPr>
          <w:rFonts w:hint="eastAsia" w:ascii="宋体" w:hAnsi="宋体" w:cs="宋体"/>
          <w:color w:val="auto"/>
          <w:szCs w:val="21"/>
          <w:highlight w:val="none"/>
        </w:rPr>
        <w:t>　　（1）法律、行政法规和国家有关政策变化影响合同价款；</w:t>
      </w:r>
      <w:r>
        <w:rPr>
          <w:rFonts w:hint="eastAsia" w:ascii="宋体" w:hAnsi="宋体" w:cs="宋体"/>
          <w:color w:val="auto"/>
          <w:szCs w:val="21"/>
          <w:highlight w:val="none"/>
        </w:rPr>
        <w:br w:type="textWrapping"/>
      </w:r>
      <w:r>
        <w:rPr>
          <w:rFonts w:hint="eastAsia" w:ascii="宋体" w:hAnsi="宋体" w:cs="宋体"/>
          <w:color w:val="auto"/>
          <w:szCs w:val="21"/>
          <w:highlight w:val="none"/>
        </w:rPr>
        <w:t>　　（2）工程造价管理部门公布的价格调整；</w:t>
      </w:r>
      <w:r>
        <w:rPr>
          <w:rFonts w:hint="eastAsia" w:ascii="宋体" w:hAnsi="宋体" w:cs="宋体"/>
          <w:color w:val="auto"/>
          <w:szCs w:val="21"/>
          <w:highlight w:val="none"/>
        </w:rPr>
        <w:br w:type="textWrapping"/>
      </w:r>
      <w:r>
        <w:rPr>
          <w:rFonts w:hint="eastAsia" w:ascii="宋体" w:hAnsi="宋体" w:cs="宋体"/>
          <w:color w:val="auto"/>
          <w:szCs w:val="21"/>
          <w:highlight w:val="none"/>
        </w:rPr>
        <w:t>　　（3）一周内非承包人原因停水、停电、停气造成停工累计超过8时；</w:t>
      </w:r>
      <w:r>
        <w:rPr>
          <w:rFonts w:hint="eastAsia" w:ascii="宋体" w:hAnsi="宋体" w:cs="宋体"/>
          <w:color w:val="auto"/>
          <w:szCs w:val="21"/>
          <w:highlight w:val="none"/>
        </w:rPr>
        <w:br w:type="textWrapping"/>
      </w:r>
      <w:r>
        <w:rPr>
          <w:rFonts w:hint="eastAsia" w:ascii="宋体" w:hAnsi="宋体" w:cs="宋体"/>
          <w:color w:val="auto"/>
          <w:szCs w:val="21"/>
          <w:highlight w:val="none"/>
        </w:rPr>
        <w:t>　　（4）双方约定的其他因素。</w:t>
      </w:r>
      <w:r>
        <w:rPr>
          <w:rFonts w:hint="eastAsia" w:ascii="宋体" w:hAnsi="宋体" w:cs="宋体"/>
          <w:color w:val="auto"/>
          <w:szCs w:val="21"/>
          <w:highlight w:val="none"/>
        </w:rPr>
        <w:br w:type="textWrapping"/>
      </w:r>
      <w:r>
        <w:rPr>
          <w:rFonts w:hint="eastAsia" w:ascii="宋体" w:hAnsi="宋体" w:cs="宋体"/>
          <w:color w:val="auto"/>
          <w:szCs w:val="21"/>
          <w:highlight w:val="none"/>
        </w:rPr>
        <w:t>　　23.4承包人应当在23.3款情况发生后14天内，将调整原因、金额以书面形式通知工程师，工程师确认调整金额后作为追加合同价款，与工程款同期支付。工程师收到承包人通知后14天内不予确认也不提出修改意见，视为已经同意该项调整。</w:t>
      </w:r>
      <w:r>
        <w:rPr>
          <w:rFonts w:hint="eastAsia" w:ascii="宋体" w:hAnsi="宋体" w:cs="宋体"/>
          <w:color w:val="auto"/>
          <w:szCs w:val="21"/>
          <w:highlight w:val="none"/>
        </w:rPr>
        <w:br w:type="textWrapping"/>
      </w:r>
      <w:r>
        <w:rPr>
          <w:rFonts w:hint="eastAsia" w:ascii="宋体" w:hAnsi="宋体" w:cs="宋体"/>
          <w:color w:val="auto"/>
          <w:szCs w:val="21"/>
          <w:highlight w:val="none"/>
        </w:rPr>
        <w:t>　　24.工程预付款</w:t>
      </w:r>
      <w:r>
        <w:rPr>
          <w:rFonts w:hint="eastAsia" w:ascii="宋体" w:hAnsi="宋体" w:cs="宋体"/>
          <w:color w:val="auto"/>
          <w:szCs w:val="21"/>
          <w:highlight w:val="none"/>
        </w:rPr>
        <w:br w:type="textWrapping"/>
      </w:r>
      <w:r>
        <w:rPr>
          <w:rFonts w:hint="eastAsia" w:ascii="宋体" w:hAnsi="宋体" w:cs="宋体"/>
          <w:color w:val="auto"/>
          <w:szCs w:val="21"/>
          <w:highlight w:val="none"/>
        </w:rPr>
        <w:t>　　实行工程预付款的，双方应当在专用条款内约定发包人向承包人预付工程款的时间和数额，开工后按约定的时间和比例逐次扣回。预付时间应不迟于约定的开工日期前7天。发包人不按约定预付，承包人在约定预付时间7天后向发包人发出要求预付的通知，发包人收到通知后仍不能按要求预付，承包人可在发出通知后7天停止施工，发包人应从约定应付之日起向承包人支付应付款的贷款利息，并承担违约责任。</w:t>
      </w:r>
      <w:r>
        <w:rPr>
          <w:rFonts w:hint="eastAsia" w:ascii="宋体" w:hAnsi="宋体" w:cs="宋体"/>
          <w:color w:val="auto"/>
          <w:szCs w:val="21"/>
          <w:highlight w:val="none"/>
        </w:rPr>
        <w:br w:type="textWrapping"/>
      </w:r>
      <w:r>
        <w:rPr>
          <w:rFonts w:hint="eastAsia" w:ascii="宋体" w:hAnsi="宋体" w:cs="宋体"/>
          <w:color w:val="auto"/>
          <w:szCs w:val="21"/>
          <w:highlight w:val="none"/>
        </w:rPr>
        <w:t>　　25.工程量的确认</w:t>
      </w:r>
      <w:r>
        <w:rPr>
          <w:rFonts w:hint="eastAsia" w:ascii="宋体" w:hAnsi="宋体" w:cs="宋体"/>
          <w:color w:val="auto"/>
          <w:szCs w:val="21"/>
          <w:highlight w:val="none"/>
        </w:rPr>
        <w:br w:type="textWrapping"/>
      </w:r>
      <w:r>
        <w:rPr>
          <w:rFonts w:hint="eastAsia" w:ascii="宋体" w:hAnsi="宋体" w:cs="宋体"/>
          <w:color w:val="auto"/>
          <w:szCs w:val="21"/>
          <w:highlight w:val="none"/>
        </w:rPr>
        <w:t>　　25.1承包人应按专用条款约定的时间，向工程师提交已完工程量的报告。工程师接到报告后7天内按设计图纸核实已完工程量（以下称计量），并在计量前24小时通知承包人，承包人为计量提供便利条件并派人参加。承包人收到通知后不参加计量，计量结果有效，作为工程价款支付的依据。</w:t>
      </w:r>
      <w:r>
        <w:rPr>
          <w:rFonts w:hint="eastAsia" w:ascii="宋体" w:hAnsi="宋体" w:cs="宋体"/>
          <w:color w:val="auto"/>
          <w:szCs w:val="21"/>
          <w:highlight w:val="none"/>
        </w:rPr>
        <w:br w:type="textWrapping"/>
      </w:r>
      <w:r>
        <w:rPr>
          <w:rFonts w:hint="eastAsia" w:ascii="宋体" w:hAnsi="宋体" w:cs="宋体"/>
          <w:color w:val="auto"/>
          <w:szCs w:val="21"/>
          <w:highlight w:val="none"/>
        </w:rPr>
        <w:t>　　25.2工程师收到承包人报告后７天内未进行计量，从第8天起，承包人报告中开列的工程量即视为被确认，作为工程价款支付的依据。工程师不按约定时间通知承包人，致使承包人未能参加计量，计量结果无效。</w:t>
      </w:r>
      <w:r>
        <w:rPr>
          <w:rFonts w:hint="eastAsia" w:ascii="宋体" w:hAnsi="宋体" w:cs="宋体"/>
          <w:color w:val="auto"/>
          <w:szCs w:val="21"/>
          <w:highlight w:val="none"/>
        </w:rPr>
        <w:br w:type="textWrapping"/>
      </w:r>
      <w:r>
        <w:rPr>
          <w:rFonts w:hint="eastAsia" w:ascii="宋体" w:hAnsi="宋体" w:cs="宋体"/>
          <w:color w:val="auto"/>
          <w:szCs w:val="21"/>
          <w:highlight w:val="none"/>
        </w:rPr>
        <w:t>　　25.3对承包人超出设计图纸范围和因承包人原因造成返工的工程量，工程师不予计量。</w:t>
      </w:r>
      <w:r>
        <w:rPr>
          <w:rFonts w:hint="eastAsia" w:ascii="宋体" w:hAnsi="宋体" w:cs="宋体"/>
          <w:color w:val="auto"/>
          <w:szCs w:val="21"/>
          <w:highlight w:val="none"/>
        </w:rPr>
        <w:br w:type="textWrapping"/>
      </w:r>
      <w:r>
        <w:rPr>
          <w:rFonts w:hint="eastAsia" w:ascii="宋体" w:hAnsi="宋体" w:cs="宋体"/>
          <w:color w:val="auto"/>
          <w:szCs w:val="21"/>
          <w:highlight w:val="none"/>
        </w:rPr>
        <w:t>　　26.工程款（进度款）支付</w:t>
      </w:r>
      <w:r>
        <w:rPr>
          <w:rFonts w:hint="eastAsia" w:ascii="宋体" w:hAnsi="宋体" w:cs="宋体"/>
          <w:color w:val="auto"/>
          <w:szCs w:val="21"/>
          <w:highlight w:val="none"/>
        </w:rPr>
        <w:br w:type="textWrapping"/>
      </w:r>
      <w:r>
        <w:rPr>
          <w:rFonts w:hint="eastAsia" w:ascii="宋体" w:hAnsi="宋体" w:cs="宋体"/>
          <w:color w:val="auto"/>
          <w:szCs w:val="21"/>
          <w:highlight w:val="none"/>
        </w:rPr>
        <w:t>　　26.1在确认计量结果后14天内，发包人应向承包人支付工程款（进度款）。按约定时间发包人应扣回的预付款，与工程款（进度款）同期结算。</w:t>
      </w:r>
      <w:r>
        <w:rPr>
          <w:rFonts w:hint="eastAsia" w:ascii="宋体" w:hAnsi="宋体" w:cs="宋体"/>
          <w:color w:val="auto"/>
          <w:szCs w:val="21"/>
          <w:highlight w:val="none"/>
        </w:rPr>
        <w:br w:type="textWrapping"/>
      </w:r>
      <w:r>
        <w:rPr>
          <w:rFonts w:hint="eastAsia" w:ascii="宋体" w:hAnsi="宋体" w:cs="宋体"/>
          <w:color w:val="auto"/>
          <w:szCs w:val="21"/>
          <w:highlight w:val="none"/>
        </w:rPr>
        <w:t>　　26.2本通用条款第23条确定调整的合同价款，第31条工程变更调整的合同价款及其他条款中约定的追加合同价款，应与工程款（进度款）同期调整支付。</w:t>
      </w:r>
      <w:r>
        <w:rPr>
          <w:rFonts w:hint="eastAsia" w:ascii="宋体" w:hAnsi="宋体" w:cs="宋体"/>
          <w:color w:val="auto"/>
          <w:szCs w:val="21"/>
          <w:highlight w:val="none"/>
        </w:rPr>
        <w:br w:type="textWrapping"/>
      </w:r>
      <w:r>
        <w:rPr>
          <w:rFonts w:hint="eastAsia" w:ascii="宋体" w:hAnsi="宋体" w:cs="宋体"/>
          <w:color w:val="auto"/>
          <w:szCs w:val="21"/>
          <w:highlight w:val="none"/>
        </w:rPr>
        <w:t>　　26.3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和从计量结果确认后第15天起应付款的贷款利息。</w:t>
      </w:r>
      <w:r>
        <w:rPr>
          <w:rFonts w:hint="eastAsia" w:ascii="宋体" w:hAnsi="宋体" w:cs="宋体"/>
          <w:color w:val="auto"/>
          <w:szCs w:val="21"/>
          <w:highlight w:val="none"/>
        </w:rPr>
        <w:br w:type="textWrapping"/>
      </w:r>
      <w:r>
        <w:rPr>
          <w:rFonts w:hint="eastAsia" w:ascii="宋体" w:hAnsi="宋体" w:cs="宋体"/>
          <w:color w:val="auto"/>
          <w:szCs w:val="21"/>
          <w:highlight w:val="none"/>
        </w:rPr>
        <w:t>　　26.4发包人不按合同约定支付工程款（进度款），双方又未达成延期付款协议，导致施工无法进行，承包人可停止施工，由发包人承担违约责任。</w:t>
      </w:r>
      <w:r>
        <w:rPr>
          <w:rFonts w:hint="eastAsia" w:ascii="宋体" w:hAnsi="宋体" w:cs="宋体"/>
          <w:color w:val="auto"/>
          <w:szCs w:val="21"/>
          <w:highlight w:val="none"/>
        </w:rPr>
        <w:br w:type="textWrapping"/>
      </w:r>
      <w:r>
        <w:rPr>
          <w:rFonts w:hint="eastAsia" w:ascii="宋体" w:hAnsi="宋体" w:cs="宋体"/>
          <w:color w:val="auto"/>
          <w:szCs w:val="21"/>
          <w:highlight w:val="none"/>
        </w:rPr>
        <w:t>　　七、材料设备供应</w:t>
      </w:r>
      <w:r>
        <w:rPr>
          <w:rFonts w:hint="eastAsia" w:ascii="宋体" w:hAnsi="宋体" w:cs="宋体"/>
          <w:color w:val="auto"/>
          <w:szCs w:val="21"/>
          <w:highlight w:val="none"/>
        </w:rPr>
        <w:br w:type="textWrapping"/>
      </w:r>
      <w:r>
        <w:rPr>
          <w:rFonts w:hint="eastAsia" w:ascii="宋体" w:hAnsi="宋体" w:cs="宋体"/>
          <w:color w:val="auto"/>
          <w:szCs w:val="21"/>
          <w:highlight w:val="none"/>
        </w:rPr>
        <w:t>　　27.发包人供应材料设备</w:t>
      </w:r>
      <w:r>
        <w:rPr>
          <w:rFonts w:hint="eastAsia" w:ascii="宋体" w:hAnsi="宋体" w:cs="宋体"/>
          <w:color w:val="auto"/>
          <w:szCs w:val="21"/>
          <w:highlight w:val="none"/>
        </w:rPr>
        <w:br w:type="textWrapping"/>
      </w:r>
      <w:r>
        <w:rPr>
          <w:rFonts w:hint="eastAsia" w:ascii="宋体" w:hAnsi="宋体" w:cs="宋体"/>
          <w:color w:val="auto"/>
          <w:szCs w:val="21"/>
          <w:highlight w:val="none"/>
        </w:rPr>
        <w:t>　　27.1实行发包人供应材料设备的，双方应当约定发包人供应材料设备的一览表，作为本合同附件（附件2）。一览表包括发包人供应材料设备的品种、规格、型号、数量、单价、质量等级、提供时间和地点。</w:t>
      </w:r>
      <w:r>
        <w:rPr>
          <w:rFonts w:hint="eastAsia" w:ascii="宋体" w:hAnsi="宋体" w:cs="宋体"/>
          <w:color w:val="auto"/>
          <w:szCs w:val="21"/>
          <w:highlight w:val="none"/>
        </w:rPr>
        <w:br w:type="textWrapping"/>
      </w:r>
      <w:r>
        <w:rPr>
          <w:rFonts w:hint="eastAsia" w:ascii="宋体" w:hAnsi="宋体" w:cs="宋体"/>
          <w:color w:val="auto"/>
          <w:szCs w:val="21"/>
          <w:highlight w:val="none"/>
        </w:rPr>
        <w:t>　　27.2发包人按一览表约定的内容提供材料设备，并向承包人提供产品合格证明，对其质量负责。发包人在所供材料设备到货前24小时，以书面形式通知承包人，由承包人派人与发包人共同清点。</w:t>
      </w:r>
      <w:r>
        <w:rPr>
          <w:rFonts w:hint="eastAsia" w:ascii="宋体" w:hAnsi="宋体" w:cs="宋体"/>
          <w:color w:val="auto"/>
          <w:szCs w:val="21"/>
          <w:highlight w:val="none"/>
        </w:rPr>
        <w:br w:type="textWrapping"/>
      </w:r>
      <w:r>
        <w:rPr>
          <w:rFonts w:hint="eastAsia" w:ascii="宋体" w:hAnsi="宋体" w:cs="宋体"/>
          <w:color w:val="auto"/>
          <w:szCs w:val="21"/>
          <w:highlight w:val="none"/>
        </w:rPr>
        <w:t>　　27.3发包人供应的材料设备，承包人派人参加清点后由承包人妥善保管，发包人支付相应保管费用。因承包人原因发生丢失损坏，由承包人负责赔偿。</w:t>
      </w:r>
      <w:r>
        <w:rPr>
          <w:rFonts w:hint="eastAsia" w:ascii="宋体" w:hAnsi="宋体" w:cs="宋体"/>
          <w:color w:val="auto"/>
          <w:szCs w:val="21"/>
          <w:highlight w:val="none"/>
        </w:rPr>
        <w:br w:type="textWrapping"/>
      </w:r>
      <w:r>
        <w:rPr>
          <w:rFonts w:hint="eastAsia" w:ascii="宋体" w:hAnsi="宋体" w:cs="宋体"/>
          <w:color w:val="auto"/>
          <w:szCs w:val="21"/>
          <w:highlight w:val="none"/>
        </w:rPr>
        <w:t>　　发包人未通知承包人清点，承包人不负责材料设备的保管，丢失损坏由发包人负责。</w:t>
      </w:r>
      <w:r>
        <w:rPr>
          <w:rFonts w:hint="eastAsia" w:ascii="宋体" w:hAnsi="宋体" w:cs="宋体"/>
          <w:color w:val="auto"/>
          <w:szCs w:val="21"/>
          <w:highlight w:val="none"/>
        </w:rPr>
        <w:br w:type="textWrapping"/>
      </w:r>
      <w:r>
        <w:rPr>
          <w:rFonts w:hint="eastAsia" w:ascii="宋体" w:hAnsi="宋体" w:cs="宋体"/>
          <w:color w:val="auto"/>
          <w:szCs w:val="21"/>
          <w:highlight w:val="none"/>
        </w:rPr>
        <w:t>　　27.4发包人供应的材料设备与一览表不符时，发包人承担有关责任。发包人应承担责任的具体内容，双方根据下列情况在专用条款内约定：</w:t>
      </w:r>
      <w:r>
        <w:rPr>
          <w:rFonts w:hint="eastAsia" w:ascii="宋体" w:hAnsi="宋体" w:cs="宋体"/>
          <w:color w:val="auto"/>
          <w:szCs w:val="21"/>
          <w:highlight w:val="none"/>
        </w:rPr>
        <w:br w:type="textWrapping"/>
      </w:r>
      <w:r>
        <w:rPr>
          <w:rFonts w:hint="eastAsia" w:ascii="宋体" w:hAnsi="宋体" w:cs="宋体"/>
          <w:color w:val="auto"/>
          <w:szCs w:val="21"/>
          <w:highlight w:val="none"/>
        </w:rPr>
        <w:t>　　（1）材料设备单价与一览表不符，由发包人承担所有价差；</w:t>
      </w:r>
      <w:r>
        <w:rPr>
          <w:rFonts w:hint="eastAsia" w:ascii="宋体" w:hAnsi="宋体" w:cs="宋体"/>
          <w:color w:val="auto"/>
          <w:szCs w:val="21"/>
          <w:highlight w:val="none"/>
        </w:rPr>
        <w:br w:type="textWrapping"/>
      </w:r>
      <w:r>
        <w:rPr>
          <w:rFonts w:hint="eastAsia" w:ascii="宋体" w:hAnsi="宋体" w:cs="宋体"/>
          <w:color w:val="auto"/>
          <w:szCs w:val="21"/>
          <w:highlight w:val="none"/>
        </w:rPr>
        <w:t xml:space="preserve">    （2）材料设备的品种、规格、型号、质量等级与一览表不符，承包人可拒绝接收保管，由发包人运出施工场地并重新采购；</w:t>
      </w:r>
      <w:r>
        <w:rPr>
          <w:rFonts w:hint="eastAsia" w:ascii="宋体" w:hAnsi="宋体" w:cs="宋体"/>
          <w:color w:val="auto"/>
          <w:szCs w:val="21"/>
          <w:highlight w:val="none"/>
        </w:rPr>
        <w:br w:type="textWrapping"/>
      </w:r>
      <w:r>
        <w:rPr>
          <w:rFonts w:hint="eastAsia" w:ascii="宋体" w:hAnsi="宋体" w:cs="宋体"/>
          <w:color w:val="auto"/>
          <w:szCs w:val="21"/>
          <w:highlight w:val="none"/>
        </w:rPr>
        <w:t>　　（3）发包人供应的材料规格、型号与一览表不符，经发包人同意，承包人可代为调剂串换，由发包人承担相应费用；</w:t>
      </w:r>
      <w:r>
        <w:rPr>
          <w:rFonts w:hint="eastAsia" w:ascii="宋体" w:hAnsi="宋体" w:cs="宋体"/>
          <w:color w:val="auto"/>
          <w:szCs w:val="21"/>
          <w:highlight w:val="none"/>
        </w:rPr>
        <w:br w:type="textWrapping"/>
      </w:r>
      <w:r>
        <w:rPr>
          <w:rFonts w:hint="eastAsia" w:ascii="宋体" w:hAnsi="宋体" w:cs="宋体"/>
          <w:color w:val="auto"/>
          <w:szCs w:val="21"/>
          <w:highlight w:val="none"/>
        </w:rPr>
        <w:t>　　（4）到货地点与一览表不符，由发包人负责运至一览表指定地点；</w:t>
      </w:r>
      <w:r>
        <w:rPr>
          <w:rFonts w:hint="eastAsia" w:ascii="宋体" w:hAnsi="宋体" w:cs="宋体"/>
          <w:color w:val="auto"/>
          <w:szCs w:val="21"/>
          <w:highlight w:val="none"/>
        </w:rPr>
        <w:br w:type="textWrapping"/>
      </w:r>
      <w:r>
        <w:rPr>
          <w:rFonts w:hint="eastAsia" w:ascii="宋体" w:hAnsi="宋体" w:cs="宋体"/>
          <w:color w:val="auto"/>
          <w:szCs w:val="21"/>
          <w:highlight w:val="none"/>
        </w:rPr>
        <w:t>　　（5）供应数量少于一览表约定的数量时，由发包人补齐，多于一览表约定数量时，发包人负责将多出部分运出施工场地；</w:t>
      </w:r>
      <w:r>
        <w:rPr>
          <w:rFonts w:hint="eastAsia" w:ascii="宋体" w:hAnsi="宋体" w:cs="宋体"/>
          <w:color w:val="auto"/>
          <w:szCs w:val="21"/>
          <w:highlight w:val="none"/>
        </w:rPr>
        <w:br w:type="textWrapping"/>
      </w:r>
      <w:r>
        <w:rPr>
          <w:rFonts w:hint="eastAsia" w:ascii="宋体" w:hAnsi="宋体" w:cs="宋体"/>
          <w:color w:val="auto"/>
          <w:szCs w:val="21"/>
          <w:highlight w:val="none"/>
        </w:rPr>
        <w:t>　　（6）到货时间早于一览表约定时间，由发包人承担因此发生的保管费用；到货时间迟于一览表约定的供应时间，发包人赔偿由此造成的承包人损失，造成工期延误的，相应顺延工期；</w:t>
      </w:r>
      <w:r>
        <w:rPr>
          <w:rFonts w:hint="eastAsia" w:ascii="宋体" w:hAnsi="宋体" w:cs="宋体"/>
          <w:color w:val="auto"/>
          <w:szCs w:val="21"/>
          <w:highlight w:val="none"/>
        </w:rPr>
        <w:br w:type="textWrapping"/>
      </w:r>
      <w:r>
        <w:rPr>
          <w:rFonts w:hint="eastAsia" w:ascii="宋体" w:hAnsi="宋体" w:cs="宋体"/>
          <w:color w:val="auto"/>
          <w:szCs w:val="21"/>
          <w:highlight w:val="none"/>
        </w:rPr>
        <w:t>　　27.5发包人供应的材料设备使用前，由承包人负责检验或试验，不合格的不得使用，检验或试验费用由发包人承担。</w:t>
      </w:r>
      <w:r>
        <w:rPr>
          <w:rFonts w:hint="eastAsia" w:ascii="宋体" w:hAnsi="宋体" w:cs="宋体"/>
          <w:color w:val="auto"/>
          <w:szCs w:val="21"/>
          <w:highlight w:val="none"/>
        </w:rPr>
        <w:br w:type="textWrapping"/>
      </w:r>
      <w:r>
        <w:rPr>
          <w:rFonts w:hint="eastAsia" w:ascii="宋体" w:hAnsi="宋体" w:cs="宋体"/>
          <w:color w:val="auto"/>
          <w:szCs w:val="21"/>
          <w:highlight w:val="none"/>
        </w:rPr>
        <w:t>　　27.6发包人供应材料设备的结算方法，双方在专用条款内约定。</w:t>
      </w:r>
      <w:r>
        <w:rPr>
          <w:rFonts w:hint="eastAsia" w:ascii="宋体" w:hAnsi="宋体" w:cs="宋体"/>
          <w:color w:val="auto"/>
          <w:szCs w:val="21"/>
          <w:highlight w:val="none"/>
        </w:rPr>
        <w:br w:type="textWrapping"/>
      </w:r>
      <w:r>
        <w:rPr>
          <w:rFonts w:hint="eastAsia" w:ascii="宋体" w:hAnsi="宋体" w:cs="宋体"/>
          <w:color w:val="auto"/>
          <w:szCs w:val="21"/>
          <w:highlight w:val="none"/>
        </w:rPr>
        <w:t>　　28.承包人采购材料设备</w:t>
      </w:r>
      <w:r>
        <w:rPr>
          <w:rFonts w:hint="eastAsia" w:ascii="宋体" w:hAnsi="宋体" w:cs="宋体"/>
          <w:color w:val="auto"/>
          <w:szCs w:val="21"/>
          <w:highlight w:val="none"/>
        </w:rPr>
        <w:br w:type="textWrapping"/>
      </w:r>
      <w:r>
        <w:rPr>
          <w:rFonts w:hint="eastAsia" w:ascii="宋体" w:hAnsi="宋体" w:cs="宋体"/>
          <w:color w:val="auto"/>
          <w:szCs w:val="21"/>
          <w:highlight w:val="none"/>
        </w:rPr>
        <w:t>　　28.1承包人负责采购材料设备的，应按照专用条款约定及设计和有关标准要求采购，并提供产品合格证明，对材料设备质量负责。承包人在材料设备到货前24小时通知工程师清点。</w:t>
      </w:r>
      <w:r>
        <w:rPr>
          <w:rFonts w:hint="eastAsia" w:ascii="宋体" w:hAnsi="宋体" w:cs="宋体"/>
          <w:color w:val="auto"/>
          <w:szCs w:val="21"/>
          <w:highlight w:val="none"/>
        </w:rPr>
        <w:br w:type="textWrapping"/>
      </w:r>
      <w:r>
        <w:rPr>
          <w:rFonts w:hint="eastAsia" w:ascii="宋体" w:hAnsi="宋体" w:cs="宋体"/>
          <w:color w:val="auto"/>
          <w:szCs w:val="21"/>
          <w:highlight w:val="none"/>
        </w:rPr>
        <w:t>　　28.2承包人采购的材料设备与设计或标准要求不符时，承包人应按工程师要求的时间运出施工场地，重新采购符合要求的产品，承担由此发生的费用，由此延误的工期不予顺延。</w:t>
      </w:r>
      <w:r>
        <w:rPr>
          <w:rFonts w:hint="eastAsia" w:ascii="宋体" w:hAnsi="宋体" w:cs="宋体"/>
          <w:color w:val="auto"/>
          <w:szCs w:val="21"/>
          <w:highlight w:val="none"/>
        </w:rPr>
        <w:br w:type="textWrapping"/>
      </w:r>
      <w:r>
        <w:rPr>
          <w:rFonts w:hint="eastAsia" w:ascii="宋体" w:hAnsi="宋体" w:cs="宋体"/>
          <w:color w:val="auto"/>
          <w:szCs w:val="21"/>
          <w:highlight w:val="none"/>
        </w:rPr>
        <w:t>　　28.3承包人采购的材料设备在使用前，承包人应按工程师的要求进行检验或试验，不合格的不得使用，检验或试验费用由承包人承担。</w:t>
      </w:r>
      <w:r>
        <w:rPr>
          <w:rFonts w:hint="eastAsia" w:ascii="宋体" w:hAnsi="宋体" w:cs="宋体"/>
          <w:color w:val="auto"/>
          <w:szCs w:val="21"/>
          <w:highlight w:val="none"/>
        </w:rPr>
        <w:br w:type="textWrapping"/>
      </w:r>
      <w:r>
        <w:rPr>
          <w:rFonts w:hint="eastAsia" w:ascii="宋体" w:hAnsi="宋体" w:cs="宋体"/>
          <w:color w:val="auto"/>
          <w:szCs w:val="21"/>
          <w:highlight w:val="none"/>
        </w:rPr>
        <w:t>　　28.4工程师发现承包人采购并使用不符合设计和标准要求的材料设备时，应要求承包人负责修复、拆除或重新采购，由承包人承担发生的费用，由此延误的工期不予顺延。</w:t>
      </w:r>
      <w:r>
        <w:rPr>
          <w:rFonts w:hint="eastAsia" w:ascii="宋体" w:hAnsi="宋体" w:cs="宋体"/>
          <w:color w:val="auto"/>
          <w:szCs w:val="21"/>
          <w:highlight w:val="none"/>
        </w:rPr>
        <w:br w:type="textWrapping"/>
      </w:r>
      <w:r>
        <w:rPr>
          <w:rFonts w:hint="eastAsia" w:ascii="宋体" w:hAnsi="宋体" w:cs="宋体"/>
          <w:color w:val="auto"/>
          <w:szCs w:val="21"/>
          <w:highlight w:val="none"/>
        </w:rPr>
        <w:t>　　28.5承包人需要使用代用材料时，应经工程师认可后才能使用，由此增减的合同价款双方以书面形式议定。</w:t>
      </w:r>
      <w:r>
        <w:rPr>
          <w:rFonts w:hint="eastAsia" w:ascii="宋体" w:hAnsi="宋体" w:cs="宋体"/>
          <w:color w:val="auto"/>
          <w:szCs w:val="21"/>
          <w:highlight w:val="none"/>
        </w:rPr>
        <w:br w:type="textWrapping"/>
      </w:r>
      <w:r>
        <w:rPr>
          <w:rFonts w:hint="eastAsia" w:ascii="宋体" w:hAnsi="宋体" w:cs="宋体"/>
          <w:color w:val="auto"/>
          <w:szCs w:val="21"/>
          <w:highlight w:val="none"/>
        </w:rPr>
        <w:t>　　28.6由承包人采购的材料设备，发包人不得指定生产厂或供应商。</w:t>
      </w:r>
      <w:r>
        <w:rPr>
          <w:rFonts w:hint="eastAsia" w:ascii="宋体" w:hAnsi="宋体" w:cs="宋体"/>
          <w:color w:val="auto"/>
          <w:szCs w:val="21"/>
          <w:highlight w:val="none"/>
        </w:rPr>
        <w:br w:type="textWrapping"/>
      </w:r>
      <w:r>
        <w:rPr>
          <w:rFonts w:hint="eastAsia" w:ascii="宋体" w:hAnsi="宋体" w:cs="宋体"/>
          <w:color w:val="auto"/>
          <w:szCs w:val="21"/>
          <w:highlight w:val="none"/>
        </w:rPr>
        <w:t>　　八、工程变更</w:t>
      </w:r>
      <w:r>
        <w:rPr>
          <w:rFonts w:hint="eastAsia" w:ascii="宋体" w:hAnsi="宋体" w:cs="宋体"/>
          <w:color w:val="auto"/>
          <w:szCs w:val="21"/>
          <w:highlight w:val="none"/>
        </w:rPr>
        <w:br w:type="textWrapping"/>
      </w:r>
      <w:r>
        <w:rPr>
          <w:rFonts w:hint="eastAsia" w:ascii="宋体" w:hAnsi="宋体" w:cs="宋体"/>
          <w:color w:val="auto"/>
          <w:szCs w:val="21"/>
          <w:highlight w:val="none"/>
        </w:rPr>
        <w:t>　　29.工程设计变更</w:t>
      </w:r>
      <w:r>
        <w:rPr>
          <w:rFonts w:hint="eastAsia" w:ascii="宋体" w:hAnsi="宋体" w:cs="宋体"/>
          <w:color w:val="auto"/>
          <w:szCs w:val="21"/>
          <w:highlight w:val="none"/>
        </w:rPr>
        <w:br w:type="textWrapping"/>
      </w:r>
      <w:r>
        <w:rPr>
          <w:rFonts w:hint="eastAsia" w:ascii="宋体" w:hAnsi="宋体" w:cs="宋体"/>
          <w:color w:val="auto"/>
          <w:szCs w:val="21"/>
          <w:highlight w:val="none"/>
        </w:rPr>
        <w:t>　　29.1施工中发包人需对原工程设计进行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w:t>
      </w:r>
      <w:r>
        <w:rPr>
          <w:rFonts w:hint="eastAsia" w:ascii="宋体" w:hAnsi="宋体" w:cs="宋体"/>
          <w:color w:val="auto"/>
          <w:szCs w:val="21"/>
          <w:highlight w:val="none"/>
        </w:rPr>
        <w:br w:type="textWrapping"/>
      </w:r>
      <w:r>
        <w:rPr>
          <w:rFonts w:hint="eastAsia" w:ascii="宋体" w:hAnsi="宋体" w:cs="宋体"/>
          <w:color w:val="auto"/>
          <w:szCs w:val="21"/>
          <w:highlight w:val="none"/>
        </w:rPr>
        <w:t>　　（1）更改工程有关部分的标高、基线、位置和尺寸；</w:t>
      </w:r>
      <w:r>
        <w:rPr>
          <w:rFonts w:hint="eastAsia" w:ascii="宋体" w:hAnsi="宋体" w:cs="宋体"/>
          <w:color w:val="auto"/>
          <w:szCs w:val="21"/>
          <w:highlight w:val="none"/>
        </w:rPr>
        <w:br w:type="textWrapping"/>
      </w:r>
      <w:r>
        <w:rPr>
          <w:rFonts w:hint="eastAsia" w:ascii="宋体" w:hAnsi="宋体" w:cs="宋体"/>
          <w:color w:val="auto"/>
          <w:szCs w:val="21"/>
          <w:highlight w:val="none"/>
        </w:rPr>
        <w:t>　　（2）增减合同中约定的工程量；</w:t>
      </w:r>
      <w:r>
        <w:rPr>
          <w:rFonts w:hint="eastAsia" w:ascii="宋体" w:hAnsi="宋体" w:cs="宋体"/>
          <w:color w:val="auto"/>
          <w:szCs w:val="21"/>
          <w:highlight w:val="none"/>
        </w:rPr>
        <w:br w:type="textWrapping"/>
      </w:r>
      <w:r>
        <w:rPr>
          <w:rFonts w:hint="eastAsia" w:ascii="宋体" w:hAnsi="宋体" w:cs="宋体"/>
          <w:color w:val="auto"/>
          <w:szCs w:val="21"/>
          <w:highlight w:val="none"/>
        </w:rPr>
        <w:t>　　（3）改变有关工程的施工时间和顺序；</w:t>
      </w:r>
      <w:r>
        <w:rPr>
          <w:rFonts w:hint="eastAsia" w:ascii="宋体" w:hAnsi="宋体" w:cs="宋体"/>
          <w:color w:val="auto"/>
          <w:szCs w:val="21"/>
          <w:highlight w:val="none"/>
        </w:rPr>
        <w:br w:type="textWrapping"/>
      </w:r>
      <w:r>
        <w:rPr>
          <w:rFonts w:hint="eastAsia" w:ascii="宋体" w:hAnsi="宋体" w:cs="宋体"/>
          <w:color w:val="auto"/>
          <w:szCs w:val="21"/>
          <w:highlight w:val="none"/>
          <w:lang w:eastAsia="zh-CN"/>
        </w:rPr>
        <w:t xml:space="preserve">  </w:t>
      </w:r>
      <w:r>
        <w:rPr>
          <w:rFonts w:hint="eastAsia" w:ascii="宋体" w:hAnsi="宋体" w:cs="宋体"/>
          <w:color w:val="auto"/>
          <w:szCs w:val="21"/>
          <w:highlight w:val="none"/>
        </w:rPr>
        <w:t>（4）其他有关工程变更需要的附加工作。</w:t>
      </w:r>
      <w:r>
        <w:rPr>
          <w:rFonts w:hint="eastAsia" w:ascii="宋体" w:hAnsi="宋体" w:cs="宋体"/>
          <w:color w:val="auto"/>
          <w:szCs w:val="21"/>
          <w:highlight w:val="none"/>
        </w:rPr>
        <w:br w:type="textWrapping"/>
      </w:r>
      <w:r>
        <w:rPr>
          <w:rFonts w:hint="eastAsia" w:ascii="宋体" w:hAnsi="宋体" w:cs="宋体"/>
          <w:color w:val="auto"/>
          <w:szCs w:val="21"/>
          <w:highlight w:val="none"/>
        </w:rPr>
        <w:t>　　因变更导致合同价款的增减及造成的承包人损失，由发包人承担，延误的工期相应顺延。</w:t>
      </w:r>
      <w:r>
        <w:rPr>
          <w:rFonts w:hint="eastAsia" w:ascii="宋体" w:hAnsi="宋体" w:cs="宋体"/>
          <w:color w:val="auto"/>
          <w:szCs w:val="21"/>
          <w:highlight w:val="none"/>
        </w:rPr>
        <w:br w:type="textWrapping"/>
      </w:r>
      <w:r>
        <w:rPr>
          <w:rFonts w:hint="eastAsia" w:ascii="宋体" w:hAnsi="宋体" w:cs="宋体"/>
          <w:color w:val="auto"/>
          <w:szCs w:val="21"/>
          <w:highlight w:val="none"/>
        </w:rPr>
        <w:t>　　29.2施工中承包人不得对原工程设计进行变更。因承包人擅自变更设计发生的费用和由此导致发包人的直接损失，由承包人承担，延误的工期不予顺延。</w:t>
      </w:r>
      <w:r>
        <w:rPr>
          <w:rFonts w:hint="eastAsia" w:ascii="宋体" w:hAnsi="宋体" w:cs="宋体"/>
          <w:color w:val="auto"/>
          <w:szCs w:val="21"/>
          <w:highlight w:val="none"/>
        </w:rPr>
        <w:br w:type="textWrapping"/>
      </w:r>
      <w:r>
        <w:rPr>
          <w:rFonts w:hint="eastAsia" w:ascii="宋体" w:hAnsi="宋体" w:cs="宋体"/>
          <w:color w:val="auto"/>
          <w:szCs w:val="21"/>
          <w:highlight w:val="none"/>
        </w:rPr>
        <w:t>　　29.3承包人在施工中提出的合理化建议涉及到对设计图纸或施工组织设计的更改及对材料、设备的换用，须经工程师同意，未经同意擅自更改或换用时，承包人承担由此发生的费用，并赔偿发包人的有关损失，延误的工期不予顺延。</w:t>
      </w:r>
      <w:r>
        <w:rPr>
          <w:rFonts w:hint="eastAsia" w:ascii="宋体" w:hAnsi="宋体" w:cs="宋体"/>
          <w:color w:val="auto"/>
          <w:szCs w:val="21"/>
          <w:highlight w:val="none"/>
        </w:rPr>
        <w:br w:type="textWrapping"/>
      </w:r>
      <w:r>
        <w:rPr>
          <w:rFonts w:hint="eastAsia" w:ascii="宋体" w:hAnsi="宋体" w:cs="宋体"/>
          <w:color w:val="auto"/>
          <w:szCs w:val="21"/>
          <w:highlight w:val="none"/>
        </w:rPr>
        <w:t>　　工程师同意采用承包人合理化建议，所发生的费用和获得的收益，发包人承包人另行约定分担或分享。</w:t>
      </w:r>
      <w:r>
        <w:rPr>
          <w:rFonts w:hint="eastAsia" w:ascii="宋体" w:hAnsi="宋体" w:cs="宋体"/>
          <w:color w:val="auto"/>
          <w:szCs w:val="21"/>
          <w:highlight w:val="none"/>
        </w:rPr>
        <w:br w:type="textWrapping"/>
      </w:r>
      <w:r>
        <w:rPr>
          <w:rFonts w:hint="eastAsia" w:ascii="宋体" w:hAnsi="宋体" w:cs="宋体"/>
          <w:color w:val="auto"/>
          <w:szCs w:val="21"/>
          <w:highlight w:val="none"/>
        </w:rPr>
        <w:t>　　30.其他变更</w:t>
      </w:r>
      <w:r>
        <w:rPr>
          <w:rFonts w:hint="eastAsia" w:ascii="宋体" w:hAnsi="宋体" w:cs="宋体"/>
          <w:color w:val="auto"/>
          <w:szCs w:val="21"/>
          <w:highlight w:val="none"/>
        </w:rPr>
        <w:br w:type="textWrapping"/>
      </w:r>
      <w:r>
        <w:rPr>
          <w:rFonts w:hint="eastAsia" w:ascii="宋体" w:hAnsi="宋体" w:cs="宋体"/>
          <w:color w:val="auto"/>
          <w:szCs w:val="21"/>
          <w:highlight w:val="none"/>
        </w:rPr>
        <w:t>　　合同履行中发包人要求变更工程质量标准及发生其他实质性变更，由双方协商解决。</w:t>
      </w:r>
      <w:r>
        <w:rPr>
          <w:rFonts w:hint="eastAsia" w:ascii="宋体" w:hAnsi="宋体" w:cs="宋体"/>
          <w:color w:val="auto"/>
          <w:szCs w:val="21"/>
          <w:highlight w:val="none"/>
        </w:rPr>
        <w:br w:type="textWrapping"/>
      </w:r>
      <w:r>
        <w:rPr>
          <w:rFonts w:hint="eastAsia" w:ascii="宋体" w:hAnsi="宋体" w:cs="宋体"/>
          <w:color w:val="auto"/>
          <w:szCs w:val="21"/>
          <w:highlight w:val="none"/>
        </w:rPr>
        <w:t>　　31.确定变更价款</w:t>
      </w:r>
      <w:r>
        <w:rPr>
          <w:rFonts w:hint="eastAsia" w:ascii="宋体" w:hAnsi="宋体" w:cs="宋体"/>
          <w:color w:val="auto"/>
          <w:szCs w:val="21"/>
          <w:highlight w:val="none"/>
        </w:rPr>
        <w:br w:type="textWrapping"/>
      </w:r>
      <w:r>
        <w:rPr>
          <w:rFonts w:hint="eastAsia" w:ascii="宋体" w:hAnsi="宋体" w:cs="宋体"/>
          <w:color w:val="auto"/>
          <w:szCs w:val="21"/>
          <w:highlight w:val="none"/>
        </w:rPr>
        <w:t>　　31.1承包人在工程变更确定后14天内，提出变更工程价款的报告，经工程师确认后调整合同价款。变更合同价款按下列方法进行：</w:t>
      </w:r>
      <w:r>
        <w:rPr>
          <w:rFonts w:hint="eastAsia" w:ascii="宋体" w:hAnsi="宋体" w:cs="宋体"/>
          <w:color w:val="auto"/>
          <w:szCs w:val="21"/>
          <w:highlight w:val="none"/>
        </w:rPr>
        <w:br w:type="textWrapping"/>
      </w:r>
      <w:r>
        <w:rPr>
          <w:rFonts w:hint="eastAsia" w:ascii="宋体" w:hAnsi="宋体" w:cs="宋体"/>
          <w:color w:val="auto"/>
          <w:szCs w:val="21"/>
          <w:highlight w:val="none"/>
        </w:rPr>
        <w:t>　　（1）合同中已有适用于变更工程的价格，按合同已有的价格变更合同价款；</w:t>
      </w:r>
      <w:r>
        <w:rPr>
          <w:rFonts w:hint="eastAsia" w:ascii="宋体" w:hAnsi="宋体" w:cs="宋体"/>
          <w:color w:val="auto"/>
          <w:szCs w:val="21"/>
          <w:highlight w:val="none"/>
        </w:rPr>
        <w:br w:type="textWrapping"/>
      </w:r>
      <w:r>
        <w:rPr>
          <w:rFonts w:hint="eastAsia" w:ascii="宋体" w:hAnsi="宋体" w:cs="宋体"/>
          <w:color w:val="auto"/>
          <w:szCs w:val="21"/>
          <w:highlight w:val="none"/>
        </w:rPr>
        <w:t>　　（2）合同中只有类似于变更工程的价格，可以参照类似价格变更合同价款；</w:t>
      </w:r>
      <w:r>
        <w:rPr>
          <w:rFonts w:hint="eastAsia" w:ascii="宋体" w:hAnsi="宋体" w:cs="宋体"/>
          <w:color w:val="auto"/>
          <w:szCs w:val="21"/>
          <w:highlight w:val="none"/>
        </w:rPr>
        <w:br w:type="textWrapping"/>
      </w:r>
      <w:r>
        <w:rPr>
          <w:rFonts w:hint="eastAsia" w:ascii="宋体" w:hAnsi="宋体" w:cs="宋体"/>
          <w:color w:val="auto"/>
          <w:szCs w:val="21"/>
          <w:highlight w:val="none"/>
        </w:rPr>
        <w:t>　　（3）合同中没有适用或类似于变更工程的价格，由承包人提出适当的变更价格，经工程师确认后执行。</w:t>
      </w:r>
      <w:r>
        <w:rPr>
          <w:rFonts w:hint="eastAsia" w:ascii="宋体" w:hAnsi="宋体" w:cs="宋体"/>
          <w:color w:val="auto"/>
          <w:szCs w:val="21"/>
          <w:highlight w:val="none"/>
        </w:rPr>
        <w:br w:type="textWrapping"/>
      </w:r>
      <w:r>
        <w:rPr>
          <w:rFonts w:hint="eastAsia" w:ascii="宋体" w:hAnsi="宋体" w:cs="宋体"/>
          <w:color w:val="auto"/>
          <w:szCs w:val="21"/>
          <w:highlight w:val="none"/>
        </w:rPr>
        <w:t>　　31.2承包人在双方确定变更后14天内不向工程师提出变更工程价款报告时，视为该项变更不涉及合同价款的变更。</w:t>
      </w:r>
      <w:r>
        <w:rPr>
          <w:rFonts w:hint="eastAsia" w:ascii="宋体" w:hAnsi="宋体" w:cs="宋体"/>
          <w:color w:val="auto"/>
          <w:szCs w:val="21"/>
          <w:highlight w:val="none"/>
        </w:rPr>
        <w:br w:type="textWrapping"/>
      </w:r>
      <w:r>
        <w:rPr>
          <w:rFonts w:hint="eastAsia" w:ascii="宋体" w:hAnsi="宋体" w:cs="宋体"/>
          <w:color w:val="auto"/>
          <w:szCs w:val="21"/>
          <w:highlight w:val="none"/>
        </w:rPr>
        <w:t>　　31.3工程师应在收到变更工程价款报告之日起14天内予以确认，工程师无正当理由不确认时，自变更工程价款报告送达之日起14天后视为变更工程价款报告已被确认。</w:t>
      </w:r>
      <w:r>
        <w:rPr>
          <w:rFonts w:hint="eastAsia" w:ascii="宋体" w:hAnsi="宋体" w:cs="宋体"/>
          <w:color w:val="auto"/>
          <w:szCs w:val="21"/>
          <w:highlight w:val="none"/>
        </w:rPr>
        <w:br w:type="textWrapping"/>
      </w:r>
      <w:r>
        <w:rPr>
          <w:rFonts w:hint="eastAsia" w:ascii="宋体" w:hAnsi="宋体" w:cs="宋体"/>
          <w:color w:val="auto"/>
          <w:szCs w:val="21"/>
          <w:highlight w:val="none"/>
        </w:rPr>
        <w:t>　　31.4工程师不同意承包人提出的变更价款，按本通用条款第37条关于争议的约定处理。</w:t>
      </w:r>
      <w:r>
        <w:rPr>
          <w:rFonts w:hint="eastAsia" w:ascii="宋体" w:hAnsi="宋体" w:cs="宋体"/>
          <w:color w:val="auto"/>
          <w:szCs w:val="21"/>
          <w:highlight w:val="none"/>
        </w:rPr>
        <w:br w:type="textWrapping"/>
      </w:r>
      <w:r>
        <w:rPr>
          <w:rFonts w:hint="eastAsia" w:ascii="宋体" w:hAnsi="宋体" w:cs="宋体"/>
          <w:color w:val="auto"/>
          <w:szCs w:val="21"/>
          <w:highlight w:val="none"/>
        </w:rPr>
        <w:t>　　31.5工程师确认增加的工程变更价款作为追加合同价款，与工程款同期支付。</w:t>
      </w:r>
      <w:r>
        <w:rPr>
          <w:rFonts w:hint="eastAsia" w:ascii="宋体" w:hAnsi="宋体" w:cs="宋体"/>
          <w:color w:val="auto"/>
          <w:szCs w:val="21"/>
          <w:highlight w:val="none"/>
        </w:rPr>
        <w:br w:type="textWrapping"/>
      </w:r>
      <w:r>
        <w:rPr>
          <w:rFonts w:hint="eastAsia" w:ascii="宋体" w:hAnsi="宋体" w:cs="宋体"/>
          <w:color w:val="auto"/>
          <w:szCs w:val="21"/>
          <w:highlight w:val="none"/>
        </w:rPr>
        <w:t>　　31.6因承包人自身原因导致的工程变更，承包人无权要求追加合同价款。</w:t>
      </w:r>
      <w:r>
        <w:rPr>
          <w:rFonts w:hint="eastAsia" w:ascii="宋体" w:hAnsi="宋体" w:cs="宋体"/>
          <w:color w:val="auto"/>
          <w:szCs w:val="21"/>
          <w:highlight w:val="none"/>
        </w:rPr>
        <w:br w:type="textWrapping"/>
      </w:r>
      <w:r>
        <w:rPr>
          <w:rFonts w:hint="eastAsia" w:ascii="宋体" w:hAnsi="宋体" w:cs="宋体"/>
          <w:color w:val="auto"/>
          <w:szCs w:val="21"/>
          <w:highlight w:val="none"/>
        </w:rPr>
        <w:t>　　九、竣工验收与结算</w:t>
      </w:r>
      <w:r>
        <w:rPr>
          <w:rFonts w:hint="eastAsia" w:ascii="宋体" w:hAnsi="宋体" w:cs="宋体"/>
          <w:color w:val="auto"/>
          <w:szCs w:val="21"/>
          <w:highlight w:val="none"/>
        </w:rPr>
        <w:br w:type="textWrapping"/>
      </w:r>
      <w:r>
        <w:rPr>
          <w:rFonts w:hint="eastAsia" w:ascii="宋体" w:hAnsi="宋体" w:cs="宋体"/>
          <w:color w:val="auto"/>
          <w:szCs w:val="21"/>
          <w:highlight w:val="none"/>
        </w:rPr>
        <w:t>　　32.竣工验收</w:t>
      </w:r>
      <w:r>
        <w:rPr>
          <w:rFonts w:hint="eastAsia" w:ascii="宋体" w:hAnsi="宋体" w:cs="宋体"/>
          <w:color w:val="auto"/>
          <w:szCs w:val="21"/>
          <w:highlight w:val="none"/>
        </w:rPr>
        <w:br w:type="textWrapping"/>
      </w:r>
      <w:r>
        <w:rPr>
          <w:rFonts w:hint="eastAsia" w:ascii="宋体" w:hAnsi="宋体" w:cs="宋体"/>
          <w:color w:val="auto"/>
          <w:szCs w:val="21"/>
          <w:highlight w:val="none"/>
        </w:rPr>
        <w:t>　　32.1工程具备竣工验收条件，承包人按国家工程竣工验收有关规定，向发包人提供完整竣工资料及竣工验收报告。双方约定由承包人提供竣工图的，应当在专用条款内约定提供的日期和份数。</w:t>
      </w:r>
      <w:r>
        <w:rPr>
          <w:rFonts w:hint="eastAsia" w:ascii="宋体" w:hAnsi="宋体" w:cs="宋体"/>
          <w:color w:val="auto"/>
          <w:szCs w:val="21"/>
          <w:highlight w:val="none"/>
        </w:rPr>
        <w:br w:type="textWrapping"/>
      </w:r>
      <w:r>
        <w:rPr>
          <w:rFonts w:hint="eastAsia" w:ascii="宋体" w:hAnsi="宋体" w:cs="宋体"/>
          <w:color w:val="auto"/>
          <w:szCs w:val="21"/>
          <w:highlight w:val="none"/>
        </w:rPr>
        <w:t>　　32.2发包人收到竣工验收报告后28天内组织有关单位验收，并在验收后14天内给予认可或提出修改意见。承包人按要求修改，并承担由自身原因造成修改的费用。</w:t>
      </w:r>
      <w:r>
        <w:rPr>
          <w:rFonts w:hint="eastAsia" w:ascii="宋体" w:hAnsi="宋体" w:cs="宋体"/>
          <w:color w:val="auto"/>
          <w:szCs w:val="21"/>
          <w:highlight w:val="none"/>
        </w:rPr>
        <w:br w:type="textWrapping"/>
      </w:r>
      <w:r>
        <w:rPr>
          <w:rFonts w:hint="eastAsia" w:ascii="宋体" w:hAnsi="宋体" w:cs="宋体"/>
          <w:color w:val="auto"/>
          <w:szCs w:val="21"/>
          <w:highlight w:val="none"/>
        </w:rPr>
        <w:t>　　32.3发包人收到承包人送交的竣工验收报告后28天内不组织验收，或验收后14天内不提出修改意见，视为竣工验收报告已被认可。</w:t>
      </w:r>
      <w:r>
        <w:rPr>
          <w:rFonts w:hint="eastAsia" w:ascii="宋体" w:hAnsi="宋体" w:cs="宋体"/>
          <w:color w:val="auto"/>
          <w:szCs w:val="21"/>
          <w:highlight w:val="none"/>
        </w:rPr>
        <w:br w:type="textWrapping"/>
      </w:r>
      <w:r>
        <w:rPr>
          <w:rFonts w:hint="eastAsia" w:ascii="宋体" w:hAnsi="宋体" w:cs="宋体"/>
          <w:color w:val="auto"/>
          <w:szCs w:val="21"/>
          <w:highlight w:val="none"/>
        </w:rPr>
        <w:t xml:space="preserve">    32.4工程竣工验收通过，承包人送交竣工验收报告的日期为实际竣工日期。工程按发包人要求修改后通过竣工验收的，实际竣工日期为承包人修改后提请发包人验收的日期。</w:t>
      </w:r>
      <w:r>
        <w:rPr>
          <w:rFonts w:hint="eastAsia" w:ascii="宋体" w:hAnsi="宋体" w:cs="宋体"/>
          <w:color w:val="auto"/>
          <w:szCs w:val="21"/>
          <w:highlight w:val="none"/>
        </w:rPr>
        <w:br w:type="textWrapping"/>
      </w:r>
      <w:r>
        <w:rPr>
          <w:rFonts w:hint="eastAsia" w:ascii="宋体" w:hAnsi="宋体" w:cs="宋体"/>
          <w:color w:val="auto"/>
          <w:szCs w:val="21"/>
          <w:highlight w:val="none"/>
        </w:rPr>
        <w:t>　　32.5发包人收到承包人竣工验收报告后28天内不组织验收，从第29天起承担工程保管及一切意外责任。</w:t>
      </w:r>
      <w:r>
        <w:rPr>
          <w:rFonts w:hint="eastAsia" w:ascii="宋体" w:hAnsi="宋体" w:cs="宋体"/>
          <w:color w:val="auto"/>
          <w:szCs w:val="21"/>
          <w:highlight w:val="none"/>
        </w:rPr>
        <w:br w:type="textWrapping"/>
      </w:r>
      <w:r>
        <w:rPr>
          <w:rFonts w:hint="eastAsia" w:ascii="宋体" w:hAnsi="宋体" w:cs="宋体"/>
          <w:color w:val="auto"/>
          <w:szCs w:val="21"/>
          <w:highlight w:val="none"/>
        </w:rPr>
        <w:t>　　32.6中间交工工程的范围和竣工时间，双方在专用条款内约定，其验收程序按本通用条款32.1款至32.4款办理。</w:t>
      </w:r>
      <w:r>
        <w:rPr>
          <w:rFonts w:hint="eastAsia" w:ascii="宋体" w:hAnsi="宋体" w:cs="宋体"/>
          <w:color w:val="auto"/>
          <w:szCs w:val="21"/>
          <w:highlight w:val="none"/>
        </w:rPr>
        <w:br w:type="textWrapping"/>
      </w:r>
      <w:r>
        <w:rPr>
          <w:rFonts w:hint="eastAsia" w:ascii="宋体" w:hAnsi="宋体" w:cs="宋体"/>
          <w:color w:val="auto"/>
          <w:szCs w:val="21"/>
          <w:highlight w:val="none"/>
        </w:rPr>
        <w:t>　　32.7因特殊原因，发包人要求部分单位工程或工程部位甩项竣工的，双方另行签订甩项竣工协议，明确双方责任和工程价款的支付方法。</w:t>
      </w:r>
      <w:r>
        <w:rPr>
          <w:rFonts w:hint="eastAsia" w:ascii="宋体" w:hAnsi="宋体" w:cs="宋体"/>
          <w:color w:val="auto"/>
          <w:szCs w:val="21"/>
          <w:highlight w:val="none"/>
        </w:rPr>
        <w:br w:type="textWrapping"/>
      </w:r>
      <w:r>
        <w:rPr>
          <w:rFonts w:hint="eastAsia" w:ascii="宋体" w:hAnsi="宋体" w:cs="宋体"/>
          <w:color w:val="auto"/>
          <w:szCs w:val="21"/>
          <w:highlight w:val="none"/>
        </w:rPr>
        <w:t>　　32.8工程未经竣工验收或竣工验收未通过的，发包人不得使用。发包人强行使用时，由此发生的质量问题及其他问题，由发包人承担责任。</w:t>
      </w:r>
      <w:r>
        <w:rPr>
          <w:rFonts w:hint="eastAsia" w:ascii="宋体" w:hAnsi="宋体" w:cs="宋体"/>
          <w:color w:val="auto"/>
          <w:szCs w:val="21"/>
          <w:highlight w:val="none"/>
        </w:rPr>
        <w:br w:type="textWrapping"/>
      </w:r>
      <w:r>
        <w:rPr>
          <w:rFonts w:hint="eastAsia" w:ascii="宋体" w:hAnsi="宋体" w:cs="宋体"/>
          <w:color w:val="auto"/>
          <w:szCs w:val="21"/>
          <w:highlight w:val="none"/>
        </w:rPr>
        <w:t>　　33.竣工结算</w:t>
      </w:r>
      <w:r>
        <w:rPr>
          <w:rFonts w:hint="eastAsia" w:ascii="宋体" w:hAnsi="宋体" w:cs="宋体"/>
          <w:color w:val="auto"/>
          <w:szCs w:val="21"/>
          <w:highlight w:val="none"/>
        </w:rPr>
        <w:br w:type="textWrapping"/>
      </w:r>
      <w:r>
        <w:rPr>
          <w:rFonts w:hint="eastAsia" w:ascii="宋体" w:hAnsi="宋体" w:cs="宋体"/>
          <w:color w:val="auto"/>
          <w:szCs w:val="21"/>
          <w:highlight w:val="none"/>
        </w:rPr>
        <w:t>　　33.1工程竣工验收报告经发包人认可后28天内，承包人向发包人递交竣工结算报告及完整的结算资料，双方按照协议书约定的合同价款及专用条款约定的合同价款调整内容，进行工程竣工结算。</w:t>
      </w:r>
      <w:r>
        <w:rPr>
          <w:rFonts w:hint="eastAsia" w:ascii="宋体" w:hAnsi="宋体" w:cs="宋体"/>
          <w:color w:val="auto"/>
          <w:szCs w:val="21"/>
          <w:highlight w:val="none"/>
        </w:rPr>
        <w:br w:type="textWrapping"/>
      </w:r>
      <w:r>
        <w:rPr>
          <w:rFonts w:hint="eastAsia" w:ascii="宋体" w:hAnsi="宋体" w:cs="宋体"/>
          <w:color w:val="auto"/>
          <w:szCs w:val="21"/>
          <w:highlight w:val="none"/>
        </w:rPr>
        <w:t>　　33.2发包人收到承包人递交的竣工结算报告及结算资料后28天内进行核实，给予确认或者提出修改意见。发包人确认竣工结算报告后通知经办银行向承包人支付工程竣工结算价款。承包人收到竣工结算价款后14天内将竣工工程交付发包人。</w:t>
      </w:r>
      <w:r>
        <w:rPr>
          <w:rFonts w:hint="eastAsia" w:ascii="宋体" w:hAnsi="宋体" w:cs="宋体"/>
          <w:color w:val="auto"/>
          <w:szCs w:val="21"/>
          <w:highlight w:val="none"/>
        </w:rPr>
        <w:br w:type="textWrapping"/>
      </w:r>
      <w:r>
        <w:rPr>
          <w:rFonts w:hint="eastAsia" w:ascii="宋体" w:hAnsi="宋体" w:cs="宋体"/>
          <w:color w:val="auto"/>
          <w:szCs w:val="21"/>
          <w:highlight w:val="none"/>
        </w:rPr>
        <w:t>　　33.3发包人收到竣工结算报告及结算资料后28天内无正当理由不支付工程竣工结算价款，从第29天起按承包人同期向银行贷款利率支付拖欠工程价款的利息，并承担违约责任。</w:t>
      </w:r>
      <w:r>
        <w:rPr>
          <w:rFonts w:hint="eastAsia" w:ascii="宋体" w:hAnsi="宋体" w:cs="宋体"/>
          <w:color w:val="auto"/>
          <w:szCs w:val="21"/>
          <w:highlight w:val="none"/>
        </w:rPr>
        <w:br w:type="textWrapping"/>
      </w:r>
      <w:r>
        <w:rPr>
          <w:rFonts w:hint="eastAsia" w:ascii="宋体" w:hAnsi="宋体" w:cs="宋体"/>
          <w:color w:val="auto"/>
          <w:szCs w:val="21"/>
          <w:highlight w:val="none"/>
        </w:rPr>
        <w:t>　　33.4发包人收到竣工结算报告及结算资料后28天内不支付工程竣工结算价款，承包人可以催告发包人支付结算价款。发包人在收到竣工结算报告及结算资料后56天内仍不支付的，承包人可以与发包人协议将该工程折价，也可以由承包人申请人民法院将该工程依法拍卖，承包人就该工程折价或者拍卖的价款优先受偿。</w:t>
      </w:r>
      <w:r>
        <w:rPr>
          <w:rFonts w:hint="eastAsia" w:ascii="宋体" w:hAnsi="宋体" w:cs="宋体"/>
          <w:color w:val="auto"/>
          <w:szCs w:val="21"/>
          <w:highlight w:val="none"/>
        </w:rPr>
        <w:br w:type="textWrapping"/>
      </w:r>
      <w:r>
        <w:rPr>
          <w:rFonts w:hint="eastAsia" w:ascii="宋体" w:hAnsi="宋体" w:cs="宋体"/>
          <w:color w:val="auto"/>
          <w:szCs w:val="21"/>
          <w:highlight w:val="none"/>
        </w:rPr>
        <w:t>　　33.5工程竣工验收报告经发包人认可后28天内，承包人未能向发包人递交竣工结算报告及完整的结算资料，造成工程竣工结算不能正常进行或工程竣工结算价款不能及时支付，发包人要求交付工程的，承包人应当交付；发包人不要求交付工程的，承包人承担保管责任。</w:t>
      </w:r>
      <w:r>
        <w:rPr>
          <w:rFonts w:hint="eastAsia" w:ascii="宋体" w:hAnsi="宋体" w:cs="宋体"/>
          <w:color w:val="auto"/>
          <w:szCs w:val="21"/>
          <w:highlight w:val="none"/>
        </w:rPr>
        <w:br w:type="textWrapping"/>
      </w:r>
      <w:r>
        <w:rPr>
          <w:rFonts w:hint="eastAsia" w:ascii="宋体" w:hAnsi="宋体" w:cs="宋体"/>
          <w:color w:val="auto"/>
          <w:szCs w:val="21"/>
          <w:highlight w:val="none"/>
        </w:rPr>
        <w:t>　　33.6发包人承包人对工程竣工结算价款发生争议时，按本通用条款第37条关于争议的约定处理。</w:t>
      </w:r>
      <w:r>
        <w:rPr>
          <w:rFonts w:hint="eastAsia" w:ascii="宋体" w:hAnsi="宋体" w:cs="宋体"/>
          <w:color w:val="auto"/>
          <w:szCs w:val="21"/>
          <w:highlight w:val="none"/>
        </w:rPr>
        <w:br w:type="textWrapping"/>
      </w:r>
      <w:r>
        <w:rPr>
          <w:rFonts w:hint="eastAsia" w:ascii="宋体" w:hAnsi="宋体" w:cs="宋体"/>
          <w:color w:val="auto"/>
          <w:szCs w:val="21"/>
          <w:highlight w:val="none"/>
        </w:rPr>
        <w:t>　　34.质量保修</w:t>
      </w:r>
      <w:r>
        <w:rPr>
          <w:rFonts w:hint="eastAsia" w:ascii="宋体" w:hAnsi="宋体" w:cs="宋体"/>
          <w:color w:val="auto"/>
          <w:szCs w:val="21"/>
          <w:highlight w:val="none"/>
        </w:rPr>
        <w:br w:type="textWrapping"/>
      </w:r>
      <w:r>
        <w:rPr>
          <w:rFonts w:hint="eastAsia" w:ascii="宋体" w:hAnsi="宋体" w:cs="宋体"/>
          <w:color w:val="auto"/>
          <w:szCs w:val="21"/>
          <w:highlight w:val="none"/>
        </w:rPr>
        <w:t>　　34.1承包人应按法律、行政法规或国家关于工程质量保修的有关规定，对交付发包人使用的工程在质量保修期内承担质量保修责任。</w:t>
      </w:r>
      <w:r>
        <w:rPr>
          <w:rFonts w:hint="eastAsia" w:ascii="宋体" w:hAnsi="宋体" w:cs="宋体"/>
          <w:color w:val="auto"/>
          <w:szCs w:val="21"/>
          <w:highlight w:val="none"/>
        </w:rPr>
        <w:br w:type="textWrapping"/>
      </w:r>
      <w:r>
        <w:rPr>
          <w:rFonts w:hint="eastAsia" w:ascii="宋体" w:hAnsi="宋体" w:cs="宋体"/>
          <w:color w:val="auto"/>
          <w:szCs w:val="21"/>
          <w:highlight w:val="none"/>
        </w:rPr>
        <w:t>　　34.2质量保修工作的实施。承包人应在工程竣工验收之前，与发包人签订质量保修书，作为本合同附件（附件3）。</w:t>
      </w:r>
      <w:r>
        <w:rPr>
          <w:rFonts w:hint="eastAsia" w:ascii="宋体" w:hAnsi="宋体" w:cs="宋体"/>
          <w:color w:val="auto"/>
          <w:szCs w:val="21"/>
          <w:highlight w:val="none"/>
        </w:rPr>
        <w:br w:type="textWrapping"/>
      </w:r>
      <w:r>
        <w:rPr>
          <w:rFonts w:hint="eastAsia" w:ascii="宋体" w:hAnsi="宋体" w:cs="宋体"/>
          <w:color w:val="auto"/>
          <w:szCs w:val="21"/>
          <w:highlight w:val="none"/>
        </w:rPr>
        <w:t>　　34.3质量保修书的主要内容包括：</w:t>
      </w:r>
      <w:r>
        <w:rPr>
          <w:rFonts w:hint="eastAsia" w:ascii="宋体" w:hAnsi="宋体" w:cs="宋体"/>
          <w:color w:val="auto"/>
          <w:szCs w:val="21"/>
          <w:highlight w:val="none"/>
        </w:rPr>
        <w:br w:type="textWrapping"/>
      </w:r>
      <w:r>
        <w:rPr>
          <w:rFonts w:hint="eastAsia" w:ascii="宋体" w:hAnsi="宋体" w:cs="宋体"/>
          <w:color w:val="auto"/>
          <w:szCs w:val="21"/>
          <w:highlight w:val="none"/>
        </w:rPr>
        <w:t>　　（1）质量保修项目内容及范围；</w:t>
      </w:r>
      <w:r>
        <w:rPr>
          <w:rFonts w:hint="eastAsia" w:ascii="宋体" w:hAnsi="宋体" w:cs="宋体"/>
          <w:color w:val="auto"/>
          <w:szCs w:val="21"/>
          <w:highlight w:val="none"/>
        </w:rPr>
        <w:br w:type="textWrapping"/>
      </w:r>
      <w:r>
        <w:rPr>
          <w:rFonts w:hint="eastAsia" w:ascii="宋体" w:hAnsi="宋体" w:cs="宋体"/>
          <w:color w:val="auto"/>
          <w:szCs w:val="21"/>
          <w:highlight w:val="none"/>
        </w:rPr>
        <w:t xml:space="preserve">    （2）质理保修期；</w:t>
      </w:r>
      <w:r>
        <w:rPr>
          <w:rFonts w:hint="eastAsia" w:ascii="宋体" w:hAnsi="宋体" w:cs="宋体"/>
          <w:color w:val="auto"/>
          <w:szCs w:val="21"/>
          <w:highlight w:val="none"/>
        </w:rPr>
        <w:br w:type="textWrapping"/>
      </w:r>
      <w:r>
        <w:rPr>
          <w:rFonts w:hint="eastAsia" w:ascii="宋体" w:hAnsi="宋体" w:cs="宋体"/>
          <w:color w:val="auto"/>
          <w:szCs w:val="21"/>
          <w:highlight w:val="none"/>
        </w:rPr>
        <w:t>　　（3）质量保修责任；</w:t>
      </w:r>
      <w:r>
        <w:rPr>
          <w:rFonts w:hint="eastAsia" w:ascii="宋体" w:hAnsi="宋体" w:cs="宋体"/>
          <w:color w:val="auto"/>
          <w:szCs w:val="21"/>
          <w:highlight w:val="none"/>
        </w:rPr>
        <w:br w:type="textWrapping"/>
      </w:r>
      <w:r>
        <w:rPr>
          <w:rFonts w:hint="eastAsia" w:ascii="宋体" w:hAnsi="宋体" w:cs="宋体"/>
          <w:color w:val="auto"/>
          <w:szCs w:val="21"/>
          <w:highlight w:val="none"/>
        </w:rPr>
        <w:t>　　（4）质量保修金的支付方法。</w:t>
      </w:r>
      <w:r>
        <w:rPr>
          <w:rFonts w:hint="eastAsia" w:ascii="宋体" w:hAnsi="宋体" w:cs="宋体"/>
          <w:color w:val="auto"/>
          <w:szCs w:val="21"/>
          <w:highlight w:val="none"/>
        </w:rPr>
        <w:br w:type="textWrapping"/>
      </w:r>
      <w:r>
        <w:rPr>
          <w:rFonts w:hint="eastAsia" w:ascii="宋体" w:hAnsi="宋体" w:cs="宋体"/>
          <w:color w:val="auto"/>
          <w:szCs w:val="21"/>
          <w:highlight w:val="none"/>
        </w:rPr>
        <w:t>　　十、违约、索赔和争议</w:t>
      </w:r>
      <w:r>
        <w:rPr>
          <w:rFonts w:hint="eastAsia" w:ascii="宋体" w:hAnsi="宋体" w:cs="宋体"/>
          <w:color w:val="auto"/>
          <w:szCs w:val="21"/>
          <w:highlight w:val="none"/>
        </w:rPr>
        <w:br w:type="textWrapping"/>
      </w:r>
      <w:r>
        <w:rPr>
          <w:rFonts w:hint="eastAsia" w:ascii="宋体" w:hAnsi="宋体" w:cs="宋体"/>
          <w:color w:val="auto"/>
          <w:szCs w:val="21"/>
          <w:highlight w:val="none"/>
        </w:rPr>
        <w:t>　　35.违约</w:t>
      </w:r>
      <w:r>
        <w:rPr>
          <w:rFonts w:hint="eastAsia" w:ascii="宋体" w:hAnsi="宋体" w:cs="宋体"/>
          <w:color w:val="auto"/>
          <w:szCs w:val="21"/>
          <w:highlight w:val="none"/>
        </w:rPr>
        <w:br w:type="textWrapping"/>
      </w:r>
      <w:r>
        <w:rPr>
          <w:rFonts w:hint="eastAsia" w:ascii="宋体" w:hAnsi="宋体" w:cs="宋体"/>
          <w:color w:val="auto"/>
          <w:szCs w:val="21"/>
          <w:highlight w:val="none"/>
        </w:rPr>
        <w:t>　　35.1发包人违约。当发生下列情况时：</w:t>
      </w:r>
      <w:r>
        <w:rPr>
          <w:rFonts w:hint="eastAsia" w:ascii="宋体" w:hAnsi="宋体" w:cs="宋体"/>
          <w:color w:val="auto"/>
          <w:szCs w:val="21"/>
          <w:highlight w:val="none"/>
        </w:rPr>
        <w:br w:type="textWrapping"/>
      </w:r>
      <w:r>
        <w:rPr>
          <w:rFonts w:hint="eastAsia" w:ascii="宋体" w:hAnsi="宋体" w:cs="宋体"/>
          <w:color w:val="auto"/>
          <w:szCs w:val="21"/>
          <w:highlight w:val="none"/>
        </w:rPr>
        <w:t>　　（1）本通用条款第24条提到的发包人不按时支付工程预付款；</w:t>
      </w:r>
      <w:r>
        <w:rPr>
          <w:rFonts w:hint="eastAsia" w:ascii="宋体" w:hAnsi="宋体" w:cs="宋体"/>
          <w:color w:val="auto"/>
          <w:szCs w:val="21"/>
          <w:highlight w:val="none"/>
        </w:rPr>
        <w:br w:type="textWrapping"/>
      </w:r>
      <w:r>
        <w:rPr>
          <w:rFonts w:hint="eastAsia" w:ascii="宋体" w:hAnsi="宋体" w:cs="宋体"/>
          <w:color w:val="auto"/>
          <w:szCs w:val="21"/>
          <w:highlight w:val="none"/>
        </w:rPr>
        <w:t>　　（2）本通用条款第26.4款提到的发包人不按合同约定支付工程款，导致施工无法进行；</w:t>
      </w:r>
      <w:r>
        <w:rPr>
          <w:rFonts w:hint="eastAsia" w:ascii="宋体" w:hAnsi="宋体" w:cs="宋体"/>
          <w:color w:val="auto"/>
          <w:szCs w:val="21"/>
          <w:highlight w:val="none"/>
        </w:rPr>
        <w:br w:type="textWrapping"/>
      </w:r>
      <w:r>
        <w:rPr>
          <w:rFonts w:hint="eastAsia" w:ascii="宋体" w:hAnsi="宋体" w:cs="宋体"/>
          <w:color w:val="auto"/>
          <w:szCs w:val="21"/>
          <w:highlight w:val="none"/>
        </w:rPr>
        <w:t>　　（3）本通用条款第33.3款提到的发包人无正当理由不支付工程竣工结算价款；</w:t>
      </w:r>
      <w:r>
        <w:rPr>
          <w:rFonts w:hint="eastAsia" w:ascii="宋体" w:hAnsi="宋体" w:cs="宋体"/>
          <w:color w:val="auto"/>
          <w:szCs w:val="21"/>
          <w:highlight w:val="none"/>
        </w:rPr>
        <w:br w:type="textWrapping"/>
      </w:r>
      <w:r>
        <w:rPr>
          <w:rFonts w:hint="eastAsia" w:ascii="宋体" w:hAnsi="宋体" w:cs="宋体"/>
          <w:color w:val="auto"/>
          <w:szCs w:val="21"/>
          <w:highlight w:val="none"/>
        </w:rPr>
        <w:t>　　（4）发包人不履行合同义务或不按合同约定履行义务的其他情况。</w:t>
      </w:r>
      <w:r>
        <w:rPr>
          <w:rFonts w:hint="eastAsia" w:ascii="宋体" w:hAnsi="宋体" w:cs="宋体"/>
          <w:color w:val="auto"/>
          <w:szCs w:val="21"/>
          <w:highlight w:val="none"/>
        </w:rPr>
        <w:br w:type="textWrapping"/>
      </w:r>
      <w:r>
        <w:rPr>
          <w:rFonts w:hint="eastAsia" w:ascii="宋体" w:hAnsi="宋体" w:cs="宋体"/>
          <w:color w:val="auto"/>
          <w:szCs w:val="21"/>
          <w:highlight w:val="none"/>
        </w:rPr>
        <w:t>　　发包人承担违约责任，赔偿因其违约给承包人造成的经济损失，顺延延误的工期。双方在专用条款内约定发包人赔偿承包人损失的计算方法或者发包人应当支付违约金的数额或计算方法。</w:t>
      </w:r>
      <w:r>
        <w:rPr>
          <w:rFonts w:hint="eastAsia" w:ascii="宋体" w:hAnsi="宋体" w:cs="宋体"/>
          <w:color w:val="auto"/>
          <w:szCs w:val="21"/>
          <w:highlight w:val="none"/>
        </w:rPr>
        <w:br w:type="textWrapping"/>
      </w:r>
      <w:r>
        <w:rPr>
          <w:rFonts w:hint="eastAsia" w:ascii="宋体" w:hAnsi="宋体" w:cs="宋体"/>
          <w:color w:val="auto"/>
          <w:szCs w:val="21"/>
          <w:highlight w:val="none"/>
        </w:rPr>
        <w:t>　　35.2承包人违约。当发生下列情况时：</w:t>
      </w:r>
      <w:r>
        <w:rPr>
          <w:rFonts w:hint="eastAsia" w:ascii="宋体" w:hAnsi="宋体" w:cs="宋体"/>
          <w:color w:val="auto"/>
          <w:szCs w:val="21"/>
          <w:highlight w:val="none"/>
        </w:rPr>
        <w:br w:type="textWrapping"/>
      </w:r>
      <w:r>
        <w:rPr>
          <w:rFonts w:hint="eastAsia" w:ascii="宋体" w:hAnsi="宋体" w:cs="宋体"/>
          <w:color w:val="auto"/>
          <w:szCs w:val="21"/>
          <w:highlight w:val="none"/>
        </w:rPr>
        <w:t>　　（1）本通用条款第14.2款提到的因承包人原因不能按照协议书约定的竣工日期或工程师同意顺延的工期竣工；</w:t>
      </w:r>
      <w:r>
        <w:rPr>
          <w:rFonts w:hint="eastAsia" w:ascii="宋体" w:hAnsi="宋体" w:cs="宋体"/>
          <w:color w:val="auto"/>
          <w:szCs w:val="21"/>
          <w:highlight w:val="none"/>
        </w:rPr>
        <w:br w:type="textWrapping"/>
      </w:r>
      <w:r>
        <w:rPr>
          <w:rFonts w:hint="eastAsia" w:ascii="宋体" w:hAnsi="宋体" w:cs="宋体"/>
          <w:color w:val="auto"/>
          <w:szCs w:val="21"/>
          <w:highlight w:val="none"/>
        </w:rPr>
        <w:t>　　（2）本通用条款第15.1款提到的因承包人原因工程质量达不到协议书约定的质量标准；</w:t>
      </w:r>
      <w:r>
        <w:rPr>
          <w:rFonts w:hint="eastAsia" w:ascii="宋体" w:hAnsi="宋体" w:cs="宋体"/>
          <w:color w:val="auto"/>
          <w:szCs w:val="21"/>
          <w:highlight w:val="none"/>
        </w:rPr>
        <w:br w:type="textWrapping"/>
      </w:r>
      <w:r>
        <w:rPr>
          <w:rFonts w:hint="eastAsia" w:ascii="宋体" w:hAnsi="宋体" w:cs="宋体"/>
          <w:color w:val="auto"/>
          <w:szCs w:val="21"/>
          <w:highlight w:val="none"/>
        </w:rPr>
        <w:t>　　（3）承包人不履行合同义务或不按合同约定履行义务的其他情况。</w:t>
      </w:r>
      <w:r>
        <w:rPr>
          <w:rFonts w:hint="eastAsia" w:ascii="宋体" w:hAnsi="宋体" w:cs="宋体"/>
          <w:color w:val="auto"/>
          <w:szCs w:val="21"/>
          <w:highlight w:val="none"/>
        </w:rPr>
        <w:br w:type="textWrapping"/>
      </w:r>
      <w:r>
        <w:rPr>
          <w:rFonts w:hint="eastAsia" w:ascii="宋体" w:hAnsi="宋体" w:cs="宋体"/>
          <w:color w:val="auto"/>
          <w:szCs w:val="21"/>
          <w:highlight w:val="none"/>
        </w:rPr>
        <w:t>　　承包人承担违约责任，赔偿因其违约给发包人造成的损失。双方在专用条款内约定承包人赔偿发包人损失的计算方法或者承包人应当支付违约金的数额或计算方法。</w:t>
      </w:r>
      <w:r>
        <w:rPr>
          <w:rFonts w:hint="eastAsia" w:ascii="宋体" w:hAnsi="宋体" w:cs="宋体"/>
          <w:color w:val="auto"/>
          <w:szCs w:val="21"/>
          <w:highlight w:val="none"/>
        </w:rPr>
        <w:br w:type="textWrapping"/>
      </w:r>
      <w:r>
        <w:rPr>
          <w:rFonts w:hint="eastAsia" w:ascii="宋体" w:hAnsi="宋体" w:cs="宋体"/>
          <w:color w:val="auto"/>
          <w:szCs w:val="21"/>
          <w:highlight w:val="none"/>
        </w:rPr>
        <w:t>　　35.3一方违约后，另一方要求违约方继续履行合同时，违约方承担上述违约责任后仍应继续履行合同。</w:t>
      </w:r>
      <w:r>
        <w:rPr>
          <w:rFonts w:hint="eastAsia" w:ascii="宋体" w:hAnsi="宋体" w:cs="宋体"/>
          <w:color w:val="auto"/>
          <w:szCs w:val="21"/>
          <w:highlight w:val="none"/>
        </w:rPr>
        <w:br w:type="textWrapping"/>
      </w:r>
      <w:r>
        <w:rPr>
          <w:rFonts w:hint="eastAsia" w:ascii="宋体" w:hAnsi="宋体" w:cs="宋体"/>
          <w:color w:val="auto"/>
          <w:szCs w:val="21"/>
          <w:highlight w:val="none"/>
        </w:rPr>
        <w:t>　　36.索赔</w:t>
      </w:r>
      <w:r>
        <w:rPr>
          <w:rFonts w:hint="eastAsia" w:ascii="宋体" w:hAnsi="宋体" w:cs="宋体"/>
          <w:color w:val="auto"/>
          <w:szCs w:val="21"/>
          <w:highlight w:val="none"/>
        </w:rPr>
        <w:br w:type="textWrapping"/>
      </w:r>
      <w:r>
        <w:rPr>
          <w:rFonts w:hint="eastAsia" w:ascii="宋体" w:hAnsi="宋体" w:cs="宋体"/>
          <w:color w:val="auto"/>
          <w:szCs w:val="21"/>
          <w:highlight w:val="none"/>
        </w:rPr>
        <w:t>　　36.1当一方向另一方提出索赔时，要有正当索赔理由，且有索赔事件发生时的有效证据。</w:t>
      </w:r>
      <w:r>
        <w:rPr>
          <w:rFonts w:hint="eastAsia" w:ascii="宋体" w:hAnsi="宋体" w:cs="宋体"/>
          <w:color w:val="auto"/>
          <w:szCs w:val="21"/>
          <w:highlight w:val="none"/>
        </w:rPr>
        <w:br w:type="textWrapping"/>
      </w:r>
      <w:r>
        <w:rPr>
          <w:rFonts w:hint="eastAsia" w:ascii="宋体" w:hAnsi="宋体" w:cs="宋体"/>
          <w:color w:val="auto"/>
          <w:szCs w:val="21"/>
          <w:highlight w:val="none"/>
        </w:rPr>
        <w:t>　　36.2发包人未能按合同约定履行自己的各项义务或发生错误以及应由发包人承担责任的其他情况，造成工期延误和（或）承包人不能及时得到合同价款及承包人的其他经济损失，承包人可按下列程序以书面形式向发包人索赔：</w:t>
      </w:r>
      <w:r>
        <w:rPr>
          <w:rFonts w:hint="eastAsia" w:ascii="宋体" w:hAnsi="宋体" w:cs="宋体"/>
          <w:color w:val="auto"/>
          <w:szCs w:val="21"/>
          <w:highlight w:val="none"/>
        </w:rPr>
        <w:br w:type="textWrapping"/>
      </w:r>
      <w:r>
        <w:rPr>
          <w:rFonts w:hint="eastAsia" w:ascii="宋体" w:hAnsi="宋体" w:cs="宋体"/>
          <w:color w:val="auto"/>
          <w:szCs w:val="21"/>
          <w:highlight w:val="none"/>
        </w:rPr>
        <w:t>　　（1）索赔事件发生后28天内，向工程师发出索赔意向通知；</w:t>
      </w:r>
      <w:r>
        <w:rPr>
          <w:rFonts w:hint="eastAsia" w:ascii="宋体" w:hAnsi="宋体" w:cs="宋体"/>
          <w:color w:val="auto"/>
          <w:szCs w:val="21"/>
          <w:highlight w:val="none"/>
        </w:rPr>
        <w:br w:type="textWrapping"/>
      </w:r>
      <w:r>
        <w:rPr>
          <w:rFonts w:hint="eastAsia" w:ascii="宋体" w:hAnsi="宋体" w:cs="宋体"/>
          <w:color w:val="auto"/>
          <w:szCs w:val="21"/>
          <w:highlight w:val="none"/>
        </w:rPr>
        <w:t>　　（2）发出索赔意向通知后28天内，向工程师提出延长工期和（或）补偿经济损失的索赔报告及有关资料；</w:t>
      </w:r>
      <w:r>
        <w:rPr>
          <w:rFonts w:hint="eastAsia" w:ascii="宋体" w:hAnsi="宋体" w:cs="宋体"/>
          <w:color w:val="auto"/>
          <w:szCs w:val="21"/>
          <w:highlight w:val="none"/>
        </w:rPr>
        <w:br w:type="textWrapping"/>
      </w:r>
      <w:r>
        <w:rPr>
          <w:rFonts w:hint="eastAsia" w:ascii="宋体" w:hAnsi="宋体" w:cs="宋体"/>
          <w:color w:val="auto"/>
          <w:szCs w:val="21"/>
          <w:highlight w:val="none"/>
        </w:rPr>
        <w:t>　　（3）工程师在收到承包人送交的索赔报告和有关资料后，于28天内给予答复，或要求承包人进一步补充索赔理由和证据；</w:t>
      </w:r>
      <w:r>
        <w:rPr>
          <w:rFonts w:hint="eastAsia" w:ascii="宋体" w:hAnsi="宋体" w:cs="宋体"/>
          <w:color w:val="auto"/>
          <w:szCs w:val="21"/>
          <w:highlight w:val="none"/>
        </w:rPr>
        <w:br w:type="textWrapping"/>
      </w:r>
      <w:r>
        <w:rPr>
          <w:rFonts w:hint="eastAsia" w:ascii="宋体" w:hAnsi="宋体" w:cs="宋体"/>
          <w:color w:val="auto"/>
          <w:szCs w:val="21"/>
          <w:highlight w:val="none"/>
        </w:rPr>
        <w:t>　　（4）工程师在收到承包人送交的索赔报告和有关资料后28天内未予答复或未对承包人作进一步要求，视为该项索赔已经认可；</w:t>
      </w:r>
      <w:r>
        <w:rPr>
          <w:rFonts w:hint="eastAsia" w:ascii="宋体" w:hAnsi="宋体" w:cs="宋体"/>
          <w:color w:val="auto"/>
          <w:szCs w:val="21"/>
          <w:highlight w:val="none"/>
        </w:rPr>
        <w:br w:type="textWrapping"/>
      </w:r>
      <w:r>
        <w:rPr>
          <w:rFonts w:hint="eastAsia" w:ascii="宋体" w:hAnsi="宋体" w:cs="宋体"/>
          <w:color w:val="auto"/>
          <w:szCs w:val="21"/>
          <w:highlight w:val="none"/>
        </w:rPr>
        <w:t>　　（5）当该索赔事件持续进行时，承包人应当阶段性向工程师发出索赔意向，在索赔事件终了后28天内，向工程师送交索赔的有关资料和最终索赔报告。索赔答复程序与（3）、（4）规定相同。</w:t>
      </w:r>
      <w:r>
        <w:rPr>
          <w:rFonts w:hint="eastAsia" w:ascii="宋体" w:hAnsi="宋体" w:cs="宋体"/>
          <w:color w:val="auto"/>
          <w:szCs w:val="21"/>
          <w:highlight w:val="none"/>
        </w:rPr>
        <w:br w:type="textWrapping"/>
      </w:r>
      <w:r>
        <w:rPr>
          <w:rFonts w:hint="eastAsia" w:ascii="宋体" w:hAnsi="宋体" w:cs="宋体"/>
          <w:color w:val="auto"/>
          <w:szCs w:val="21"/>
          <w:highlight w:val="none"/>
        </w:rPr>
        <w:t>　　36.3承包人未能按合同约定履行自己的各项义务或发生错误，给发包人造成经济损失，发包人可按36.2款确定的时限向承包人提出索赔。</w:t>
      </w:r>
      <w:r>
        <w:rPr>
          <w:rFonts w:hint="eastAsia" w:ascii="宋体" w:hAnsi="宋体" w:cs="宋体"/>
          <w:color w:val="auto"/>
          <w:szCs w:val="21"/>
          <w:highlight w:val="none"/>
        </w:rPr>
        <w:br w:type="textWrapping"/>
      </w:r>
      <w:r>
        <w:rPr>
          <w:rFonts w:hint="eastAsia" w:ascii="宋体" w:hAnsi="宋体" w:cs="宋体"/>
          <w:color w:val="auto"/>
          <w:szCs w:val="21"/>
          <w:highlight w:val="none"/>
        </w:rPr>
        <w:t>　　37.争议</w:t>
      </w:r>
      <w:r>
        <w:rPr>
          <w:rFonts w:hint="eastAsia" w:ascii="宋体" w:hAnsi="宋体" w:cs="宋体"/>
          <w:color w:val="auto"/>
          <w:szCs w:val="21"/>
          <w:highlight w:val="none"/>
        </w:rPr>
        <w:br w:type="textWrapping"/>
      </w:r>
      <w:r>
        <w:rPr>
          <w:rFonts w:hint="eastAsia" w:ascii="宋体" w:hAnsi="宋体" w:cs="宋体"/>
          <w:color w:val="auto"/>
          <w:szCs w:val="21"/>
          <w:highlight w:val="none"/>
        </w:rPr>
        <w:t>　　37.1发包人承包人在履行合同时发生争议，可以和解或者要求有关主管部门调解。当事人不愿和解、调解或者和解、调解不成的，双方可以在专用条款内约定以下一种方式解决争议：</w:t>
      </w:r>
      <w:r>
        <w:rPr>
          <w:rFonts w:hint="eastAsia" w:ascii="宋体" w:hAnsi="宋体" w:cs="宋体"/>
          <w:color w:val="auto"/>
          <w:szCs w:val="21"/>
          <w:highlight w:val="none"/>
        </w:rPr>
        <w:br w:type="textWrapping"/>
      </w:r>
      <w:r>
        <w:rPr>
          <w:rFonts w:hint="eastAsia" w:ascii="宋体" w:hAnsi="宋体" w:cs="宋体"/>
          <w:color w:val="auto"/>
          <w:szCs w:val="21"/>
          <w:highlight w:val="none"/>
        </w:rPr>
        <w:t>　　第一种解决方式：双方达成仲裁协议，向约定的仲裁委员会申请仲裁；</w:t>
      </w:r>
      <w:r>
        <w:rPr>
          <w:rFonts w:hint="eastAsia" w:ascii="宋体" w:hAnsi="宋体" w:cs="宋体"/>
          <w:color w:val="auto"/>
          <w:szCs w:val="21"/>
          <w:highlight w:val="none"/>
        </w:rPr>
        <w:br w:type="textWrapping"/>
      </w:r>
      <w:r>
        <w:rPr>
          <w:rFonts w:hint="eastAsia" w:ascii="宋体" w:hAnsi="宋体" w:cs="宋体"/>
          <w:color w:val="auto"/>
          <w:szCs w:val="21"/>
          <w:highlight w:val="none"/>
        </w:rPr>
        <w:t>　　第二种解决方式；向有管辖权的人民法院起诉。</w:t>
      </w:r>
      <w:r>
        <w:rPr>
          <w:rFonts w:hint="eastAsia" w:ascii="宋体" w:hAnsi="宋体" w:cs="宋体"/>
          <w:color w:val="auto"/>
          <w:szCs w:val="21"/>
          <w:highlight w:val="none"/>
        </w:rPr>
        <w:br w:type="textWrapping"/>
      </w:r>
      <w:r>
        <w:rPr>
          <w:rFonts w:hint="eastAsia" w:ascii="宋体" w:hAnsi="宋体" w:cs="宋体"/>
          <w:color w:val="auto"/>
          <w:szCs w:val="21"/>
          <w:highlight w:val="none"/>
        </w:rPr>
        <w:t>　　37.2发生争议后，除非出现下列情况的，双方都应继续履行合同，保持施工连续，保护好已完工程：</w:t>
      </w:r>
      <w:r>
        <w:rPr>
          <w:rFonts w:hint="eastAsia" w:ascii="宋体" w:hAnsi="宋体" w:cs="宋体"/>
          <w:color w:val="auto"/>
          <w:szCs w:val="21"/>
          <w:highlight w:val="none"/>
        </w:rPr>
        <w:br w:type="textWrapping"/>
      </w:r>
      <w:r>
        <w:rPr>
          <w:rFonts w:hint="eastAsia" w:ascii="宋体" w:hAnsi="宋体" w:cs="宋体"/>
          <w:color w:val="auto"/>
          <w:szCs w:val="21"/>
          <w:highlight w:val="none"/>
        </w:rPr>
        <w:t>　　（1）单方违约导致合同确已无法履行，双方协议停止施工；</w:t>
      </w:r>
      <w:r>
        <w:rPr>
          <w:rFonts w:hint="eastAsia" w:ascii="宋体" w:hAnsi="宋体" w:cs="宋体"/>
          <w:color w:val="auto"/>
          <w:szCs w:val="21"/>
          <w:highlight w:val="none"/>
        </w:rPr>
        <w:br w:type="textWrapping"/>
      </w:r>
      <w:r>
        <w:rPr>
          <w:rFonts w:hint="eastAsia" w:ascii="宋体" w:hAnsi="宋体" w:cs="宋体"/>
          <w:color w:val="auto"/>
          <w:szCs w:val="21"/>
          <w:highlight w:val="none"/>
        </w:rPr>
        <w:t>　　（2）调解要求停止施工，且为双方接受；</w:t>
      </w:r>
      <w:r>
        <w:rPr>
          <w:rFonts w:hint="eastAsia" w:ascii="宋体" w:hAnsi="宋体" w:cs="宋体"/>
          <w:color w:val="auto"/>
          <w:szCs w:val="21"/>
          <w:highlight w:val="none"/>
        </w:rPr>
        <w:br w:type="textWrapping"/>
      </w:r>
      <w:r>
        <w:rPr>
          <w:rFonts w:hint="eastAsia" w:ascii="宋体" w:hAnsi="宋体" w:cs="宋体"/>
          <w:color w:val="auto"/>
          <w:szCs w:val="21"/>
          <w:highlight w:val="none"/>
        </w:rPr>
        <w:t>　　（3）仲裁机构要求停止施工；</w:t>
      </w:r>
      <w:r>
        <w:rPr>
          <w:rFonts w:hint="eastAsia" w:ascii="宋体" w:hAnsi="宋体" w:cs="宋体"/>
          <w:color w:val="auto"/>
          <w:szCs w:val="21"/>
          <w:highlight w:val="none"/>
        </w:rPr>
        <w:br w:type="textWrapping"/>
      </w:r>
      <w:r>
        <w:rPr>
          <w:rFonts w:hint="eastAsia" w:ascii="宋体" w:hAnsi="宋体" w:cs="宋体"/>
          <w:color w:val="auto"/>
          <w:szCs w:val="21"/>
          <w:highlight w:val="none"/>
        </w:rPr>
        <w:t>　　（4）法院要求停止施工。</w:t>
      </w:r>
      <w:r>
        <w:rPr>
          <w:rFonts w:hint="eastAsia" w:ascii="宋体" w:hAnsi="宋体" w:cs="宋体"/>
          <w:color w:val="auto"/>
          <w:szCs w:val="21"/>
          <w:highlight w:val="none"/>
        </w:rPr>
        <w:br w:type="textWrapping"/>
      </w:r>
      <w:r>
        <w:rPr>
          <w:rFonts w:hint="eastAsia" w:ascii="宋体" w:hAnsi="宋体" w:cs="宋体"/>
          <w:color w:val="auto"/>
          <w:szCs w:val="21"/>
          <w:highlight w:val="none"/>
        </w:rPr>
        <w:t>　　十一、其他</w:t>
      </w:r>
      <w:r>
        <w:rPr>
          <w:rFonts w:hint="eastAsia" w:ascii="宋体" w:hAnsi="宋体" w:cs="宋体"/>
          <w:color w:val="auto"/>
          <w:szCs w:val="21"/>
          <w:highlight w:val="none"/>
        </w:rPr>
        <w:br w:type="textWrapping"/>
      </w:r>
      <w:r>
        <w:rPr>
          <w:rFonts w:hint="eastAsia" w:ascii="宋体" w:hAnsi="宋体" w:cs="宋体"/>
          <w:color w:val="auto"/>
          <w:szCs w:val="21"/>
          <w:highlight w:val="none"/>
        </w:rPr>
        <w:t>　　38.工程分包</w:t>
      </w:r>
      <w:r>
        <w:rPr>
          <w:rFonts w:hint="eastAsia" w:ascii="宋体" w:hAnsi="宋体" w:cs="宋体"/>
          <w:color w:val="auto"/>
          <w:szCs w:val="21"/>
          <w:highlight w:val="none"/>
        </w:rPr>
        <w:br w:type="textWrapping"/>
      </w:r>
      <w:r>
        <w:rPr>
          <w:rFonts w:hint="eastAsia" w:ascii="宋体" w:hAnsi="宋体" w:cs="宋体"/>
          <w:color w:val="auto"/>
          <w:szCs w:val="21"/>
          <w:highlight w:val="none"/>
        </w:rPr>
        <w:t>　　38.1承包人按专用条款的约定分包所承包的部分工程，并与分包单位签订分包合同。非经发包人同意，承包人不得将承包工程的任何部分分包。</w:t>
      </w:r>
      <w:r>
        <w:rPr>
          <w:rFonts w:hint="eastAsia" w:ascii="宋体" w:hAnsi="宋体" w:cs="宋体"/>
          <w:color w:val="auto"/>
          <w:szCs w:val="21"/>
          <w:highlight w:val="none"/>
        </w:rPr>
        <w:br w:type="textWrapping"/>
      </w:r>
      <w:r>
        <w:rPr>
          <w:rFonts w:hint="eastAsia" w:ascii="宋体" w:hAnsi="宋体" w:cs="宋体"/>
          <w:color w:val="auto"/>
          <w:szCs w:val="21"/>
          <w:highlight w:val="none"/>
        </w:rPr>
        <w:t>　　38.2承包人不得将其承包的全部工程转包给他人，也不得将其承包的全部工程肢解以后以分包的名义分别转包给他人。</w:t>
      </w:r>
      <w:r>
        <w:rPr>
          <w:rFonts w:hint="eastAsia" w:ascii="宋体" w:hAnsi="宋体" w:cs="宋体"/>
          <w:color w:val="auto"/>
          <w:szCs w:val="21"/>
          <w:highlight w:val="none"/>
        </w:rPr>
        <w:br w:type="textWrapping"/>
      </w:r>
      <w:r>
        <w:rPr>
          <w:rFonts w:hint="eastAsia" w:ascii="宋体" w:hAnsi="宋体" w:cs="宋体"/>
          <w:color w:val="auto"/>
          <w:szCs w:val="21"/>
          <w:highlight w:val="none"/>
        </w:rPr>
        <w:t>　　38.3工程分包不能解除承包人任何责任与义务。承包人应在分包场地派驻相应管理人员，保证本合同的履行。分包单位的任何违约行为或疏忽导致工程损害或给发包人造成其他损失，承包人承担连带责任。</w:t>
      </w:r>
      <w:r>
        <w:rPr>
          <w:rFonts w:hint="eastAsia" w:ascii="宋体" w:hAnsi="宋体" w:cs="宋体"/>
          <w:color w:val="auto"/>
          <w:szCs w:val="21"/>
          <w:highlight w:val="none"/>
        </w:rPr>
        <w:br w:type="textWrapping"/>
      </w:r>
      <w:r>
        <w:rPr>
          <w:rFonts w:hint="eastAsia" w:ascii="宋体" w:hAnsi="宋体" w:cs="宋体"/>
          <w:color w:val="auto"/>
          <w:szCs w:val="21"/>
          <w:highlight w:val="none"/>
        </w:rPr>
        <w:t>　　38.4分包工程价款由承包人与分包单位结算。发包人未经承包人同意不得以任何形式向分包单位支付各种工程款项。</w:t>
      </w:r>
      <w:r>
        <w:rPr>
          <w:rFonts w:hint="eastAsia" w:ascii="宋体" w:hAnsi="宋体" w:cs="宋体"/>
          <w:color w:val="auto"/>
          <w:szCs w:val="21"/>
          <w:highlight w:val="none"/>
        </w:rPr>
        <w:br w:type="textWrapping"/>
      </w:r>
      <w:r>
        <w:rPr>
          <w:rFonts w:hint="eastAsia" w:ascii="宋体" w:hAnsi="宋体" w:cs="宋体"/>
          <w:color w:val="auto"/>
          <w:szCs w:val="21"/>
          <w:highlight w:val="none"/>
        </w:rPr>
        <w:t>　　39.不可抗力</w:t>
      </w:r>
      <w:r>
        <w:rPr>
          <w:rFonts w:hint="eastAsia" w:ascii="宋体" w:hAnsi="宋体" w:cs="宋体"/>
          <w:color w:val="auto"/>
          <w:szCs w:val="21"/>
          <w:highlight w:val="none"/>
        </w:rPr>
        <w:br w:type="textWrapping"/>
      </w:r>
      <w:r>
        <w:rPr>
          <w:rFonts w:hint="eastAsia" w:ascii="宋体" w:hAnsi="宋体" w:cs="宋体"/>
          <w:color w:val="auto"/>
          <w:szCs w:val="21"/>
          <w:highlight w:val="none"/>
        </w:rPr>
        <w:t>　　39.1不可抗力包括因战争、动乱、空中飞行物体坠落或其他非发包人承包人责任造成的爆炸、火灾，以及专用条款约定的风、雨、雪、洪、震等自然灾害。</w:t>
      </w:r>
      <w:r>
        <w:rPr>
          <w:rFonts w:hint="eastAsia" w:ascii="宋体" w:hAnsi="宋体" w:cs="宋体"/>
          <w:color w:val="auto"/>
          <w:szCs w:val="21"/>
          <w:highlight w:val="none"/>
        </w:rPr>
        <w:br w:type="textWrapping"/>
      </w:r>
      <w:r>
        <w:rPr>
          <w:rFonts w:hint="eastAsia" w:ascii="宋体" w:hAnsi="宋体" w:cs="宋体"/>
          <w:color w:val="auto"/>
          <w:szCs w:val="21"/>
          <w:highlight w:val="none"/>
        </w:rPr>
        <w:t>　　39.2不可抗力事件发生后，承包人应立即通知工程师，并在力所能及的条件下迅速采取措施，尽力减少损失，发包人应协助承包人采取措施。工程师认为应当暂停施工的，承包人应暂停施工。不可抗力事件结束后48小时内承包人向工程师通报受害情况和损失情况，及预计清理和修复的费用。不可抗力事件持续发生，承包人应每隔7天向工程师报告一次受害情况。不可抗力事件结束后14天内，承包人向工程师提交清理和修复费用的正式报告及有关资料。</w:t>
      </w:r>
      <w:r>
        <w:rPr>
          <w:rFonts w:hint="eastAsia" w:ascii="宋体" w:hAnsi="宋体" w:cs="宋体"/>
          <w:color w:val="auto"/>
          <w:szCs w:val="21"/>
          <w:highlight w:val="none"/>
        </w:rPr>
        <w:br w:type="textWrapping"/>
      </w:r>
      <w:r>
        <w:rPr>
          <w:rFonts w:hint="eastAsia" w:ascii="宋体" w:hAnsi="宋体" w:cs="宋体"/>
          <w:color w:val="auto"/>
          <w:szCs w:val="21"/>
          <w:highlight w:val="none"/>
        </w:rPr>
        <w:t>　39.3因不可抗力事件导致的费用及延误的工期由双方按以下方法分别承担：</w:t>
      </w:r>
      <w:r>
        <w:rPr>
          <w:rFonts w:hint="eastAsia" w:ascii="宋体" w:hAnsi="宋体" w:cs="宋体"/>
          <w:color w:val="auto"/>
          <w:szCs w:val="21"/>
          <w:highlight w:val="none"/>
        </w:rPr>
        <w:br w:type="textWrapping"/>
      </w:r>
      <w:r>
        <w:rPr>
          <w:rFonts w:hint="eastAsia" w:ascii="宋体" w:hAnsi="宋体" w:cs="宋体"/>
          <w:color w:val="auto"/>
          <w:szCs w:val="21"/>
          <w:highlight w:val="none"/>
        </w:rPr>
        <w:t>　　（1）工程本身的损害、因工程损害导致第三人人员伤亡和财产损失以及运至施工场地用于施工的材料和待安装的设备的损害，由发包人承担；</w:t>
      </w:r>
      <w:r>
        <w:rPr>
          <w:rFonts w:hint="eastAsia" w:ascii="宋体" w:hAnsi="宋体" w:cs="宋体"/>
          <w:color w:val="auto"/>
          <w:szCs w:val="21"/>
          <w:highlight w:val="none"/>
        </w:rPr>
        <w:br w:type="textWrapping"/>
      </w:r>
      <w:r>
        <w:rPr>
          <w:rFonts w:hint="eastAsia" w:ascii="宋体" w:hAnsi="宋体" w:cs="宋体"/>
          <w:color w:val="auto"/>
          <w:szCs w:val="21"/>
          <w:highlight w:val="none"/>
        </w:rPr>
        <w:t>　　（2）发包人承包人人员伤亡由其所在单位负责，并承担相应费用；</w:t>
      </w:r>
      <w:r>
        <w:rPr>
          <w:rFonts w:hint="eastAsia" w:ascii="宋体" w:hAnsi="宋体" w:cs="宋体"/>
          <w:color w:val="auto"/>
          <w:szCs w:val="21"/>
          <w:highlight w:val="none"/>
        </w:rPr>
        <w:br w:type="textWrapping"/>
      </w:r>
      <w:r>
        <w:rPr>
          <w:rFonts w:hint="eastAsia" w:ascii="宋体" w:hAnsi="宋体" w:cs="宋体"/>
          <w:color w:val="auto"/>
          <w:szCs w:val="21"/>
          <w:highlight w:val="none"/>
        </w:rPr>
        <w:t>　　（3）承包人机械设备损坏及停工损失，由承包人承担；</w:t>
      </w:r>
      <w:r>
        <w:rPr>
          <w:rFonts w:hint="eastAsia" w:ascii="宋体" w:hAnsi="宋体" w:cs="宋体"/>
          <w:color w:val="auto"/>
          <w:szCs w:val="21"/>
          <w:highlight w:val="none"/>
        </w:rPr>
        <w:br w:type="textWrapping"/>
      </w:r>
      <w:r>
        <w:rPr>
          <w:rFonts w:hint="eastAsia" w:ascii="宋体" w:hAnsi="宋体" w:cs="宋体"/>
          <w:color w:val="auto"/>
          <w:szCs w:val="21"/>
          <w:highlight w:val="none"/>
        </w:rPr>
        <w:t>　　（4）停工期间，承包人应工程师要求留在施工场地的必要的管理人员及保卫人员的费用由发包人承担；</w:t>
      </w:r>
      <w:r>
        <w:rPr>
          <w:rFonts w:hint="eastAsia" w:ascii="宋体" w:hAnsi="宋体" w:cs="宋体"/>
          <w:color w:val="auto"/>
          <w:szCs w:val="21"/>
          <w:highlight w:val="none"/>
        </w:rPr>
        <w:br w:type="textWrapping"/>
      </w:r>
      <w:r>
        <w:rPr>
          <w:rFonts w:hint="eastAsia" w:ascii="宋体" w:hAnsi="宋体" w:cs="宋体"/>
          <w:color w:val="auto"/>
          <w:szCs w:val="21"/>
          <w:highlight w:val="none"/>
        </w:rPr>
        <w:t>　　（5）工程所需清理、修复费用，由发包人承担；</w:t>
      </w:r>
      <w:r>
        <w:rPr>
          <w:rFonts w:hint="eastAsia" w:ascii="宋体" w:hAnsi="宋体" w:cs="宋体"/>
          <w:color w:val="auto"/>
          <w:szCs w:val="21"/>
          <w:highlight w:val="none"/>
        </w:rPr>
        <w:br w:type="textWrapping"/>
      </w:r>
      <w:r>
        <w:rPr>
          <w:rFonts w:hint="eastAsia" w:ascii="宋体" w:hAnsi="宋体" w:cs="宋体"/>
          <w:color w:val="auto"/>
          <w:szCs w:val="21"/>
          <w:highlight w:val="none"/>
        </w:rPr>
        <w:t>　　（6）延误的工期相应顺延。</w:t>
      </w:r>
      <w:r>
        <w:rPr>
          <w:rFonts w:hint="eastAsia" w:ascii="宋体" w:hAnsi="宋体" w:cs="宋体"/>
          <w:color w:val="auto"/>
          <w:szCs w:val="21"/>
          <w:highlight w:val="none"/>
        </w:rPr>
        <w:br w:type="textWrapping"/>
      </w:r>
      <w:r>
        <w:rPr>
          <w:rFonts w:hint="eastAsia" w:ascii="宋体" w:hAnsi="宋体" w:cs="宋体"/>
          <w:color w:val="auto"/>
          <w:szCs w:val="21"/>
          <w:highlight w:val="none"/>
        </w:rPr>
        <w:t>　　39.4因合同一方迟延履行合同后发生不可抗力的，不能免除迟延履行方的相应责任。</w:t>
      </w:r>
      <w:r>
        <w:rPr>
          <w:rFonts w:hint="eastAsia" w:ascii="宋体" w:hAnsi="宋体" w:cs="宋体"/>
          <w:color w:val="auto"/>
          <w:szCs w:val="21"/>
          <w:highlight w:val="none"/>
        </w:rPr>
        <w:br w:type="textWrapping"/>
      </w:r>
      <w:r>
        <w:rPr>
          <w:rFonts w:hint="eastAsia" w:ascii="宋体" w:hAnsi="宋体" w:cs="宋体"/>
          <w:color w:val="auto"/>
          <w:szCs w:val="21"/>
          <w:highlight w:val="none"/>
        </w:rPr>
        <w:t>　　40.保险</w:t>
      </w:r>
      <w:r>
        <w:rPr>
          <w:rFonts w:hint="eastAsia" w:ascii="宋体" w:hAnsi="宋体" w:cs="宋体"/>
          <w:color w:val="auto"/>
          <w:szCs w:val="21"/>
          <w:highlight w:val="none"/>
        </w:rPr>
        <w:br w:type="textWrapping"/>
      </w:r>
      <w:r>
        <w:rPr>
          <w:rFonts w:hint="eastAsia" w:ascii="宋体" w:hAnsi="宋体" w:cs="宋体"/>
          <w:color w:val="auto"/>
          <w:szCs w:val="21"/>
          <w:highlight w:val="none"/>
        </w:rPr>
        <w:t>　　40.1工程开工前，发包人为建设工程和施工场地内的自有人员及第三人人员生命财产办理保险，支付保险费用。</w:t>
      </w:r>
      <w:r>
        <w:rPr>
          <w:rFonts w:hint="eastAsia" w:ascii="宋体" w:hAnsi="宋体" w:cs="宋体"/>
          <w:color w:val="auto"/>
          <w:szCs w:val="21"/>
          <w:highlight w:val="none"/>
        </w:rPr>
        <w:br w:type="textWrapping"/>
      </w:r>
      <w:r>
        <w:rPr>
          <w:rFonts w:hint="eastAsia" w:ascii="宋体" w:hAnsi="宋体" w:cs="宋体"/>
          <w:color w:val="auto"/>
          <w:szCs w:val="21"/>
          <w:highlight w:val="none"/>
        </w:rPr>
        <w:t>　　40.2运至施工场地内用于工程的材料和待安装设备，由发包人办理保险，并支付保险费用。</w:t>
      </w:r>
      <w:r>
        <w:rPr>
          <w:rFonts w:hint="eastAsia" w:ascii="宋体" w:hAnsi="宋体" w:cs="宋体"/>
          <w:color w:val="auto"/>
          <w:szCs w:val="21"/>
          <w:highlight w:val="none"/>
        </w:rPr>
        <w:br w:type="textWrapping"/>
      </w:r>
      <w:r>
        <w:rPr>
          <w:rFonts w:hint="eastAsia" w:ascii="宋体" w:hAnsi="宋体" w:cs="宋体"/>
          <w:color w:val="auto"/>
          <w:szCs w:val="21"/>
          <w:highlight w:val="none"/>
        </w:rPr>
        <w:t>　　40.3发包人可以将有关保险事项委托承包人办理，费用由发包人承担。</w:t>
      </w:r>
      <w:r>
        <w:rPr>
          <w:rFonts w:hint="eastAsia" w:ascii="宋体" w:hAnsi="宋体" w:cs="宋体"/>
          <w:color w:val="auto"/>
          <w:szCs w:val="21"/>
          <w:highlight w:val="none"/>
        </w:rPr>
        <w:br w:type="textWrapping"/>
      </w:r>
      <w:r>
        <w:rPr>
          <w:rFonts w:hint="eastAsia" w:ascii="宋体" w:hAnsi="宋体" w:cs="宋体"/>
          <w:color w:val="auto"/>
          <w:szCs w:val="21"/>
          <w:highlight w:val="none"/>
        </w:rPr>
        <w:t>　　40.4承包人必须为从事危险作业的职工办理意外伤害保险，并为施工场地内自有人员生命财产和施工机械设备办理保险，支付保险费用。</w:t>
      </w:r>
      <w:r>
        <w:rPr>
          <w:rFonts w:hint="eastAsia" w:ascii="宋体" w:hAnsi="宋体" w:cs="宋体"/>
          <w:color w:val="auto"/>
          <w:szCs w:val="21"/>
          <w:highlight w:val="none"/>
        </w:rPr>
        <w:br w:type="textWrapping"/>
      </w:r>
      <w:r>
        <w:rPr>
          <w:rFonts w:hint="eastAsia" w:ascii="宋体" w:hAnsi="宋体" w:cs="宋体"/>
          <w:color w:val="auto"/>
          <w:szCs w:val="21"/>
          <w:highlight w:val="none"/>
        </w:rPr>
        <w:t>　　40.5保险事故发生时，发包人承包人有责任尽力采取必要的措施，防止或者减少损失。</w:t>
      </w:r>
      <w:r>
        <w:rPr>
          <w:rFonts w:hint="eastAsia" w:ascii="宋体" w:hAnsi="宋体" w:cs="宋体"/>
          <w:color w:val="auto"/>
          <w:szCs w:val="21"/>
          <w:highlight w:val="none"/>
        </w:rPr>
        <w:br w:type="textWrapping"/>
      </w:r>
      <w:r>
        <w:rPr>
          <w:rFonts w:hint="eastAsia" w:ascii="宋体" w:hAnsi="宋体" w:cs="宋体"/>
          <w:color w:val="auto"/>
          <w:szCs w:val="21"/>
          <w:highlight w:val="none"/>
        </w:rPr>
        <w:t>　　40.6具体投保内容和相关责任，发包人承包人在专用条款中约定。</w:t>
      </w:r>
      <w:r>
        <w:rPr>
          <w:rFonts w:hint="eastAsia" w:ascii="宋体" w:hAnsi="宋体" w:cs="宋体"/>
          <w:color w:val="auto"/>
          <w:szCs w:val="21"/>
          <w:highlight w:val="none"/>
        </w:rPr>
        <w:br w:type="textWrapping"/>
      </w:r>
      <w:r>
        <w:rPr>
          <w:rFonts w:hint="eastAsia" w:ascii="宋体" w:hAnsi="宋体" w:cs="宋体"/>
          <w:color w:val="auto"/>
          <w:szCs w:val="21"/>
          <w:highlight w:val="none"/>
        </w:rPr>
        <w:t>　　41.担保</w:t>
      </w:r>
      <w:r>
        <w:rPr>
          <w:rFonts w:hint="eastAsia" w:ascii="宋体" w:hAnsi="宋体" w:cs="宋体"/>
          <w:color w:val="auto"/>
          <w:szCs w:val="21"/>
          <w:highlight w:val="none"/>
        </w:rPr>
        <w:br w:type="textWrapping"/>
      </w:r>
      <w:r>
        <w:rPr>
          <w:rFonts w:hint="eastAsia" w:ascii="宋体" w:hAnsi="宋体" w:cs="宋体"/>
          <w:color w:val="auto"/>
          <w:szCs w:val="21"/>
          <w:highlight w:val="none"/>
        </w:rPr>
        <w:t>　　41.1发包人承包人为了全面履行合同，应互相提供以下担保：</w:t>
      </w:r>
      <w:r>
        <w:rPr>
          <w:rFonts w:hint="eastAsia" w:ascii="宋体" w:hAnsi="宋体" w:cs="宋体"/>
          <w:color w:val="auto"/>
          <w:szCs w:val="21"/>
          <w:highlight w:val="none"/>
        </w:rPr>
        <w:br w:type="textWrapping"/>
      </w:r>
      <w:r>
        <w:rPr>
          <w:rFonts w:hint="eastAsia" w:ascii="宋体" w:hAnsi="宋体" w:cs="宋体"/>
          <w:color w:val="auto"/>
          <w:szCs w:val="21"/>
          <w:highlight w:val="none"/>
        </w:rPr>
        <w:t>　　（1）发包人向承包人提供履约担保，按合同约定支付工程价款及履行合同约定的其他义务。</w:t>
      </w:r>
      <w:r>
        <w:rPr>
          <w:rFonts w:hint="eastAsia" w:ascii="宋体" w:hAnsi="宋体" w:cs="宋体"/>
          <w:color w:val="auto"/>
          <w:szCs w:val="21"/>
          <w:highlight w:val="none"/>
        </w:rPr>
        <w:br w:type="textWrapping"/>
      </w:r>
      <w:r>
        <w:rPr>
          <w:rFonts w:hint="eastAsia" w:ascii="宋体" w:hAnsi="宋体" w:cs="宋体"/>
          <w:color w:val="auto"/>
          <w:szCs w:val="21"/>
          <w:highlight w:val="none"/>
        </w:rPr>
        <w:t>　　（2）承包人向发包人提供履约担保，按合同约定履行自己的各项义务。</w:t>
      </w:r>
      <w:r>
        <w:rPr>
          <w:rFonts w:hint="eastAsia" w:ascii="宋体" w:hAnsi="宋体" w:cs="宋体"/>
          <w:color w:val="auto"/>
          <w:szCs w:val="21"/>
          <w:highlight w:val="none"/>
        </w:rPr>
        <w:br w:type="textWrapping"/>
      </w:r>
      <w:r>
        <w:rPr>
          <w:rFonts w:hint="eastAsia" w:ascii="宋体" w:hAnsi="宋体" w:cs="宋体"/>
          <w:color w:val="auto"/>
          <w:szCs w:val="21"/>
          <w:highlight w:val="none"/>
        </w:rPr>
        <w:t>　　41.2一方违约后，另一方可要求提供担保的第三人承担相应责任。</w:t>
      </w:r>
      <w:r>
        <w:rPr>
          <w:rFonts w:hint="eastAsia" w:ascii="宋体" w:hAnsi="宋体" w:cs="宋体"/>
          <w:color w:val="auto"/>
          <w:szCs w:val="21"/>
          <w:highlight w:val="none"/>
        </w:rPr>
        <w:br w:type="textWrapping"/>
      </w:r>
      <w:r>
        <w:rPr>
          <w:rFonts w:hint="eastAsia" w:ascii="宋体" w:hAnsi="宋体" w:cs="宋体"/>
          <w:color w:val="auto"/>
          <w:szCs w:val="21"/>
          <w:highlight w:val="none"/>
        </w:rPr>
        <w:t>　　41.3提供担保的内容、方式和相关责任，发包人承包人除在专用条款中约定外，被担保方与担保方还应签订担保合同，作为本合同附件。</w:t>
      </w:r>
      <w:r>
        <w:rPr>
          <w:rFonts w:hint="eastAsia" w:ascii="宋体" w:hAnsi="宋体" w:cs="宋体"/>
          <w:color w:val="auto"/>
          <w:szCs w:val="21"/>
          <w:highlight w:val="none"/>
        </w:rPr>
        <w:br w:type="textWrapping"/>
      </w:r>
      <w:r>
        <w:rPr>
          <w:rFonts w:hint="eastAsia" w:ascii="宋体" w:hAnsi="宋体" w:cs="宋体"/>
          <w:color w:val="auto"/>
          <w:szCs w:val="21"/>
          <w:highlight w:val="none"/>
        </w:rPr>
        <w:t>　　42.专利技术及特殊工艺</w:t>
      </w:r>
      <w:r>
        <w:rPr>
          <w:rFonts w:hint="eastAsia" w:ascii="宋体" w:hAnsi="宋体" w:cs="宋体"/>
          <w:color w:val="auto"/>
          <w:szCs w:val="21"/>
          <w:highlight w:val="none"/>
        </w:rPr>
        <w:br w:type="textWrapping"/>
      </w:r>
      <w:r>
        <w:rPr>
          <w:rFonts w:hint="eastAsia" w:ascii="宋体" w:hAnsi="宋体" w:cs="宋体"/>
          <w:color w:val="auto"/>
          <w:szCs w:val="21"/>
          <w:highlight w:val="none"/>
        </w:rPr>
        <w:t>　　42.1发包人要求使用专利技术或特殊工艺，应负责办理相应的申报手续，承担申报、试验、使用等费用；承包人提出使用专利技术或特殊工艺，应取得工程师认可，承包人负责办理申报手续并承担有关费用。</w:t>
      </w:r>
      <w:r>
        <w:rPr>
          <w:rFonts w:hint="eastAsia" w:ascii="宋体" w:hAnsi="宋体" w:cs="宋体"/>
          <w:color w:val="auto"/>
          <w:szCs w:val="21"/>
          <w:highlight w:val="none"/>
        </w:rPr>
        <w:br w:type="textWrapping"/>
      </w:r>
      <w:r>
        <w:rPr>
          <w:rFonts w:hint="eastAsia" w:ascii="宋体" w:hAnsi="宋体" w:cs="宋体"/>
          <w:color w:val="auto"/>
          <w:szCs w:val="21"/>
          <w:highlight w:val="none"/>
        </w:rPr>
        <w:t>　　42.2擅自使用专利技术侵犯他人专利权的，责任者依法承担相应责任。</w:t>
      </w:r>
      <w:r>
        <w:rPr>
          <w:rFonts w:hint="eastAsia" w:ascii="宋体" w:hAnsi="宋体" w:cs="宋体"/>
          <w:color w:val="auto"/>
          <w:szCs w:val="21"/>
          <w:highlight w:val="none"/>
        </w:rPr>
        <w:br w:type="textWrapping"/>
      </w:r>
      <w:r>
        <w:rPr>
          <w:rFonts w:hint="eastAsia" w:ascii="宋体" w:hAnsi="宋体" w:cs="宋体"/>
          <w:color w:val="auto"/>
          <w:szCs w:val="21"/>
          <w:highlight w:val="none"/>
        </w:rPr>
        <w:t>　　43.文物和地下障碍物</w:t>
      </w:r>
      <w:r>
        <w:rPr>
          <w:rFonts w:hint="eastAsia" w:ascii="宋体" w:hAnsi="宋体" w:cs="宋体"/>
          <w:color w:val="auto"/>
          <w:szCs w:val="21"/>
          <w:highlight w:val="none"/>
        </w:rPr>
        <w:br w:type="textWrapping"/>
      </w:r>
      <w:r>
        <w:rPr>
          <w:rFonts w:hint="eastAsia" w:ascii="宋体" w:hAnsi="宋体" w:cs="宋体"/>
          <w:color w:val="auto"/>
          <w:szCs w:val="21"/>
          <w:highlight w:val="none"/>
        </w:rPr>
        <w:t>　　43.1在施工中发现古墓、古建筑遗址等文物及化石或其他有考古、地质研究等价值的物品时，承包人应立即保护好现场并于4小时内以书面形式通知工程师，工程师应于收到书面通知后24小时内报告当地文物管理部门，发包人承包人按文物管理部门的要求采取妥善保护措施。发包人承担由此发生的费用，顺延延误的工期。</w:t>
      </w:r>
      <w:r>
        <w:rPr>
          <w:rFonts w:hint="eastAsia" w:ascii="宋体" w:hAnsi="宋体" w:cs="宋体"/>
          <w:color w:val="auto"/>
          <w:szCs w:val="21"/>
          <w:highlight w:val="none"/>
        </w:rPr>
        <w:br w:type="textWrapping"/>
      </w:r>
      <w:r>
        <w:rPr>
          <w:rFonts w:hint="eastAsia" w:ascii="宋体" w:hAnsi="宋体" w:cs="宋体"/>
          <w:color w:val="auto"/>
          <w:szCs w:val="21"/>
          <w:highlight w:val="none"/>
        </w:rPr>
        <w:t>　　如发现后隐瞒不报，致使文物遭受破坏，责任者依法承担相应责任。</w:t>
      </w:r>
      <w:r>
        <w:rPr>
          <w:rFonts w:hint="eastAsia" w:ascii="宋体" w:hAnsi="宋体" w:cs="宋体"/>
          <w:color w:val="auto"/>
          <w:szCs w:val="21"/>
          <w:highlight w:val="none"/>
        </w:rPr>
        <w:br w:type="textWrapping"/>
      </w:r>
      <w:r>
        <w:rPr>
          <w:rFonts w:hint="eastAsia" w:ascii="宋体" w:hAnsi="宋体" w:cs="宋体"/>
          <w:color w:val="auto"/>
          <w:szCs w:val="21"/>
          <w:highlight w:val="none"/>
        </w:rPr>
        <w:t>　　43.2施工中发现影响施工的地下障碍物时，承包人应于8小时内以书面形式通知工程师，同时提出处置方案，工程师收到处置方案后24小时内予以认可或提出修正方案。发包人承担由此发生的费用，顺延延误的工期。</w:t>
      </w:r>
      <w:r>
        <w:rPr>
          <w:rFonts w:hint="eastAsia" w:ascii="宋体" w:hAnsi="宋体" w:cs="宋体"/>
          <w:color w:val="auto"/>
          <w:szCs w:val="21"/>
          <w:highlight w:val="none"/>
        </w:rPr>
        <w:br w:type="textWrapping"/>
      </w:r>
      <w:r>
        <w:rPr>
          <w:rFonts w:hint="eastAsia" w:ascii="宋体" w:hAnsi="宋体" w:cs="宋体"/>
          <w:color w:val="auto"/>
          <w:szCs w:val="21"/>
          <w:highlight w:val="none"/>
        </w:rPr>
        <w:t>　　所发现的地下障碍物有归属单位时，发包人应报请有关部门协同处置</w:t>
      </w:r>
      <w:r>
        <w:rPr>
          <w:rFonts w:hint="eastAsia" w:ascii="宋体" w:hAnsi="宋体" w:cs="宋体"/>
          <w:color w:val="auto"/>
          <w:szCs w:val="21"/>
          <w:highlight w:val="none"/>
        </w:rPr>
        <w:br w:type="textWrapping"/>
      </w:r>
      <w:r>
        <w:rPr>
          <w:rFonts w:hint="eastAsia" w:ascii="宋体" w:hAnsi="宋体" w:cs="宋体"/>
          <w:color w:val="auto"/>
          <w:szCs w:val="21"/>
          <w:highlight w:val="none"/>
        </w:rPr>
        <w:t>　　44.合同解除</w:t>
      </w:r>
      <w:r>
        <w:rPr>
          <w:rFonts w:hint="eastAsia" w:ascii="宋体" w:hAnsi="宋体" w:cs="宋体"/>
          <w:color w:val="auto"/>
          <w:szCs w:val="21"/>
          <w:highlight w:val="none"/>
        </w:rPr>
        <w:br w:type="textWrapping"/>
      </w:r>
      <w:r>
        <w:rPr>
          <w:rFonts w:hint="eastAsia" w:ascii="宋体" w:hAnsi="宋体" w:cs="宋体"/>
          <w:color w:val="auto"/>
          <w:szCs w:val="21"/>
          <w:highlight w:val="none"/>
        </w:rPr>
        <w:t>　　44.1发包人承包人协商一致，可以解除合同。</w:t>
      </w:r>
      <w:r>
        <w:rPr>
          <w:rFonts w:hint="eastAsia" w:ascii="宋体" w:hAnsi="宋体" w:cs="宋体"/>
          <w:color w:val="auto"/>
          <w:szCs w:val="21"/>
          <w:highlight w:val="none"/>
        </w:rPr>
        <w:br w:type="textWrapping"/>
      </w:r>
      <w:r>
        <w:rPr>
          <w:rFonts w:hint="eastAsia" w:ascii="宋体" w:hAnsi="宋体" w:cs="宋体"/>
          <w:color w:val="auto"/>
          <w:szCs w:val="21"/>
          <w:highlight w:val="none"/>
        </w:rPr>
        <w:t>　　44.2发生本通用条款第26.4款情况，停止施工超过56天，发包人仍不支付工程款（进度款），承包人有权解除合同。</w:t>
      </w:r>
      <w:r>
        <w:rPr>
          <w:rFonts w:hint="eastAsia" w:ascii="宋体" w:hAnsi="宋体" w:cs="宋体"/>
          <w:color w:val="auto"/>
          <w:szCs w:val="21"/>
          <w:highlight w:val="none"/>
        </w:rPr>
        <w:br w:type="textWrapping"/>
      </w:r>
      <w:r>
        <w:rPr>
          <w:rFonts w:hint="eastAsia" w:ascii="宋体" w:hAnsi="宋体" w:cs="宋体"/>
          <w:color w:val="auto"/>
          <w:szCs w:val="21"/>
          <w:highlight w:val="none"/>
        </w:rPr>
        <w:t>　　44.3发生本通用条款第38.2款禁止的情况，承包人将其承包的全部工程转包给他人或者肢解以后以分包的包义分别转包给他人，发包人有权解除合同。</w:t>
      </w:r>
      <w:r>
        <w:rPr>
          <w:rFonts w:hint="eastAsia" w:ascii="宋体" w:hAnsi="宋体" w:cs="宋体"/>
          <w:color w:val="auto"/>
          <w:szCs w:val="21"/>
          <w:highlight w:val="none"/>
        </w:rPr>
        <w:br w:type="textWrapping"/>
      </w:r>
      <w:r>
        <w:rPr>
          <w:rFonts w:hint="eastAsia" w:ascii="宋体" w:hAnsi="宋体" w:cs="宋体"/>
          <w:color w:val="auto"/>
          <w:szCs w:val="21"/>
          <w:highlight w:val="none"/>
        </w:rPr>
        <w:t>　　44.4有下列情形之一的，发包人承包人可以解除合同：</w:t>
      </w:r>
      <w:r>
        <w:rPr>
          <w:rFonts w:hint="eastAsia" w:ascii="宋体" w:hAnsi="宋体" w:cs="宋体"/>
          <w:color w:val="auto"/>
          <w:szCs w:val="21"/>
          <w:highlight w:val="none"/>
        </w:rPr>
        <w:br w:type="textWrapping"/>
      </w:r>
      <w:r>
        <w:rPr>
          <w:rFonts w:hint="eastAsia" w:ascii="宋体" w:hAnsi="宋体" w:cs="宋体"/>
          <w:color w:val="auto"/>
          <w:szCs w:val="21"/>
          <w:highlight w:val="none"/>
        </w:rPr>
        <w:t>　　（1）因不可抗力致使合同无法履行；</w:t>
      </w:r>
      <w:r>
        <w:rPr>
          <w:rFonts w:hint="eastAsia" w:ascii="宋体" w:hAnsi="宋体" w:cs="宋体"/>
          <w:color w:val="auto"/>
          <w:szCs w:val="21"/>
          <w:highlight w:val="none"/>
        </w:rPr>
        <w:br w:type="textWrapping"/>
      </w:r>
      <w:r>
        <w:rPr>
          <w:rFonts w:hint="eastAsia" w:ascii="宋体" w:hAnsi="宋体" w:cs="宋体"/>
          <w:color w:val="auto"/>
          <w:szCs w:val="21"/>
          <w:highlight w:val="none"/>
        </w:rPr>
        <w:t>　　（2）因一方违约（包括因发包人原因造成工程停建或缓建）致使合同无法履行。</w:t>
      </w:r>
      <w:r>
        <w:rPr>
          <w:rFonts w:hint="eastAsia" w:ascii="宋体" w:hAnsi="宋体" w:cs="宋体"/>
          <w:color w:val="auto"/>
          <w:szCs w:val="21"/>
          <w:highlight w:val="none"/>
        </w:rPr>
        <w:br w:type="textWrapping"/>
      </w:r>
      <w:r>
        <w:rPr>
          <w:rFonts w:hint="eastAsia" w:ascii="宋体" w:hAnsi="宋体" w:cs="宋体"/>
          <w:color w:val="auto"/>
          <w:szCs w:val="21"/>
          <w:highlight w:val="none"/>
        </w:rPr>
        <w:t>　　44.5一方依据44.2、44.3、44.4款约定要求解除合同的，应以书面形式向对方发出解除合同的通知，并在发出通知前7天告知对方，通知到达对方时合同解除。对解除合同有争议的，按本通用条款第37条关于争议的约定处理。</w:t>
      </w:r>
      <w:r>
        <w:rPr>
          <w:rFonts w:hint="eastAsia" w:ascii="宋体" w:hAnsi="宋体" w:cs="宋体"/>
          <w:color w:val="auto"/>
          <w:szCs w:val="21"/>
          <w:highlight w:val="none"/>
        </w:rPr>
        <w:br w:type="textWrapping"/>
      </w:r>
      <w:r>
        <w:rPr>
          <w:rFonts w:hint="eastAsia" w:ascii="宋体" w:hAnsi="宋体" w:cs="宋体"/>
          <w:color w:val="auto"/>
          <w:szCs w:val="21"/>
          <w:highlight w:val="none"/>
        </w:rPr>
        <w:t>　　44.6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w:t>
      </w:r>
      <w:r>
        <w:rPr>
          <w:rFonts w:hint="eastAsia" w:ascii="宋体" w:hAnsi="宋体" w:cs="宋体"/>
          <w:color w:val="auto"/>
          <w:szCs w:val="21"/>
          <w:highlight w:val="none"/>
        </w:rPr>
        <w:br w:type="textWrapping"/>
      </w:r>
      <w:r>
        <w:rPr>
          <w:rFonts w:hint="eastAsia" w:ascii="宋体" w:hAnsi="宋体" w:cs="宋体"/>
          <w:color w:val="auto"/>
          <w:szCs w:val="21"/>
          <w:highlight w:val="none"/>
        </w:rPr>
        <w:t>　　44.7合同解除后，不影响双方在合同中约定的结算和清理条款的效力。</w:t>
      </w:r>
      <w:r>
        <w:rPr>
          <w:rFonts w:hint="eastAsia" w:ascii="宋体" w:hAnsi="宋体" w:cs="宋体"/>
          <w:color w:val="auto"/>
          <w:szCs w:val="21"/>
          <w:highlight w:val="none"/>
        </w:rPr>
        <w:br w:type="textWrapping"/>
      </w:r>
      <w:r>
        <w:rPr>
          <w:rFonts w:hint="eastAsia" w:ascii="宋体" w:hAnsi="宋体" w:cs="宋体"/>
          <w:color w:val="auto"/>
          <w:szCs w:val="21"/>
          <w:highlight w:val="none"/>
        </w:rPr>
        <w:t>　　45.合同生效与终止</w:t>
      </w:r>
      <w:r>
        <w:rPr>
          <w:rFonts w:hint="eastAsia" w:ascii="宋体" w:hAnsi="宋体" w:cs="宋体"/>
          <w:color w:val="auto"/>
          <w:szCs w:val="21"/>
          <w:highlight w:val="none"/>
        </w:rPr>
        <w:br w:type="textWrapping"/>
      </w:r>
      <w:r>
        <w:rPr>
          <w:rFonts w:hint="eastAsia" w:ascii="宋体" w:hAnsi="宋体" w:cs="宋体"/>
          <w:color w:val="auto"/>
          <w:szCs w:val="21"/>
          <w:highlight w:val="none"/>
        </w:rPr>
        <w:t>　　45.1双方在协议书中约定合同生效方式。</w:t>
      </w:r>
      <w:r>
        <w:rPr>
          <w:rFonts w:hint="eastAsia" w:ascii="宋体" w:hAnsi="宋体" w:cs="宋体"/>
          <w:color w:val="auto"/>
          <w:szCs w:val="21"/>
          <w:highlight w:val="none"/>
        </w:rPr>
        <w:br w:type="textWrapping"/>
      </w:r>
      <w:r>
        <w:rPr>
          <w:rFonts w:hint="eastAsia" w:ascii="宋体" w:hAnsi="宋体" w:cs="宋体"/>
          <w:color w:val="auto"/>
          <w:szCs w:val="21"/>
          <w:highlight w:val="none"/>
        </w:rPr>
        <w:t>　　45.2除本通用条款第34条外，发包人承包人履行合同全部义务，竣工结算价款支付完毕，承包人向发包人交付竣工工程后，本合同即告终止。</w:t>
      </w:r>
      <w:r>
        <w:rPr>
          <w:rFonts w:hint="eastAsia" w:ascii="宋体" w:hAnsi="宋体" w:cs="宋体"/>
          <w:color w:val="auto"/>
          <w:szCs w:val="21"/>
          <w:highlight w:val="none"/>
        </w:rPr>
        <w:br w:type="textWrapping"/>
      </w:r>
      <w:r>
        <w:rPr>
          <w:rFonts w:hint="eastAsia" w:ascii="宋体" w:hAnsi="宋体" w:cs="宋体"/>
          <w:color w:val="auto"/>
          <w:szCs w:val="21"/>
          <w:highlight w:val="none"/>
        </w:rPr>
        <w:t>　　45.3合同的权利义务终止后，发包人承包人应当遵循诚实信用原则，履行通知、协助、保密等义务。</w:t>
      </w:r>
      <w:r>
        <w:rPr>
          <w:rFonts w:hint="eastAsia" w:ascii="宋体" w:hAnsi="宋体" w:cs="宋体"/>
          <w:color w:val="auto"/>
          <w:szCs w:val="21"/>
          <w:highlight w:val="none"/>
        </w:rPr>
        <w:br w:type="textWrapping"/>
      </w:r>
      <w:r>
        <w:rPr>
          <w:rFonts w:hint="eastAsia" w:ascii="宋体" w:hAnsi="宋体" w:cs="宋体"/>
          <w:color w:val="auto"/>
          <w:szCs w:val="21"/>
          <w:highlight w:val="none"/>
        </w:rPr>
        <w:t>　　46.合同份数</w:t>
      </w:r>
      <w:r>
        <w:rPr>
          <w:rFonts w:hint="eastAsia" w:ascii="宋体" w:hAnsi="宋体" w:cs="宋体"/>
          <w:color w:val="auto"/>
          <w:szCs w:val="21"/>
          <w:highlight w:val="none"/>
        </w:rPr>
        <w:br w:type="textWrapping"/>
      </w:r>
      <w:r>
        <w:rPr>
          <w:rFonts w:hint="eastAsia" w:ascii="宋体" w:hAnsi="宋体" w:cs="宋体"/>
          <w:color w:val="auto"/>
          <w:szCs w:val="21"/>
          <w:highlight w:val="none"/>
        </w:rPr>
        <w:t>　　46.1本合同正本两份，具有同等效力，由发包人承包人分别保存一份。</w:t>
      </w:r>
      <w:r>
        <w:rPr>
          <w:rFonts w:hint="eastAsia" w:ascii="宋体" w:hAnsi="宋体" w:cs="宋体"/>
          <w:color w:val="auto"/>
          <w:szCs w:val="21"/>
          <w:highlight w:val="none"/>
        </w:rPr>
        <w:br w:type="textWrapping"/>
      </w:r>
      <w:r>
        <w:rPr>
          <w:rFonts w:hint="eastAsia" w:ascii="宋体" w:hAnsi="宋体" w:cs="宋体"/>
          <w:color w:val="auto"/>
          <w:szCs w:val="21"/>
          <w:highlight w:val="none"/>
        </w:rPr>
        <w:t>　</w:t>
      </w:r>
      <w:r>
        <w:rPr>
          <w:rFonts w:hint="eastAsia" w:ascii="宋体" w:hAnsi="宋体" w:cs="宋体"/>
          <w:color w:val="auto"/>
          <w:szCs w:val="21"/>
          <w:highlight w:val="none"/>
          <w:lang w:eastAsia="zh-CN"/>
        </w:rPr>
        <w:t xml:space="preserve"> </w:t>
      </w:r>
      <w:r>
        <w:rPr>
          <w:rFonts w:hint="eastAsia" w:ascii="宋体" w:hAnsi="宋体" w:cs="宋体"/>
          <w:color w:val="auto"/>
          <w:szCs w:val="21"/>
          <w:highlight w:val="none"/>
        </w:rPr>
        <w:t>46.2本合同副本份数，由双方根据需要在专用条款内约定。</w:t>
      </w:r>
      <w:r>
        <w:rPr>
          <w:rFonts w:hint="eastAsia" w:ascii="宋体" w:hAnsi="宋体" w:cs="宋体"/>
          <w:color w:val="auto"/>
          <w:szCs w:val="21"/>
          <w:highlight w:val="none"/>
        </w:rPr>
        <w:br w:type="textWrapping"/>
      </w:r>
      <w:r>
        <w:rPr>
          <w:rFonts w:hint="eastAsia" w:ascii="宋体" w:hAnsi="宋体" w:cs="宋体"/>
          <w:color w:val="auto"/>
          <w:szCs w:val="21"/>
          <w:highlight w:val="none"/>
        </w:rPr>
        <w:t>　　47.补充条款。</w:t>
      </w:r>
      <w:r>
        <w:rPr>
          <w:rFonts w:hint="eastAsia" w:ascii="宋体" w:hAnsi="宋体" w:cs="宋体"/>
          <w:color w:val="auto"/>
          <w:szCs w:val="21"/>
          <w:highlight w:val="none"/>
        </w:rPr>
        <w:br w:type="textWrapping"/>
      </w:r>
      <w:r>
        <w:rPr>
          <w:rFonts w:hint="eastAsia" w:ascii="宋体" w:hAnsi="宋体" w:cs="宋体"/>
          <w:color w:val="auto"/>
          <w:szCs w:val="21"/>
          <w:highlight w:val="none"/>
        </w:rPr>
        <w:t>　　双方根据有关法律、行政法规规定，结合工程实际，经协商一致后，可对本通用条款内容具体化、补充或修改，在专用条款内约定。</w:t>
      </w:r>
    </w:p>
    <w:p>
      <w:pPr>
        <w:pStyle w:val="55"/>
        <w:jc w:val="center"/>
        <w:rPr>
          <w:rFonts w:ascii="宋体" w:hAnsi="宋体"/>
          <w:color w:val="auto"/>
          <w:sz w:val="21"/>
          <w:szCs w:val="21"/>
          <w:highlight w:val="none"/>
        </w:rPr>
      </w:pPr>
      <w:bookmarkStart w:id="90" w:name="_Toc18917_WPSOffice_Level2"/>
      <w:bookmarkStart w:id="91" w:name="_Toc5417"/>
      <w:r>
        <w:rPr>
          <w:rFonts w:hint="eastAsia" w:ascii="宋体" w:hAnsi="宋体"/>
          <w:color w:val="auto"/>
          <w:sz w:val="21"/>
          <w:szCs w:val="21"/>
          <w:highlight w:val="none"/>
        </w:rPr>
        <w:t>第三节专用合同条款</w:t>
      </w:r>
      <w:bookmarkEnd w:id="90"/>
      <w:bookmarkEnd w:id="91"/>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一、词语定义及合同文件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2．合同文件及解释顺序</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合同文件组成及解释顺序：（1）</w:t>
      </w:r>
      <w:r>
        <w:rPr>
          <w:rFonts w:hint="eastAsia" w:ascii="宋体" w:hAnsi="宋体" w:cs="宋体"/>
          <w:color w:val="auto"/>
          <w:szCs w:val="21"/>
          <w:highlight w:val="none"/>
          <w:u w:val="single"/>
        </w:rPr>
        <w:t>本合同协议书（2）中标通知书（3）本合同专用条款（4）补充协议（5）采购文件及附件（6）响应文件及附件（7）本合同通用条款（8）技术标准及规范等。</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3.语言文字和适用法律、标准及规范</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 本合同除使用汉语外，还使用</w:t>
      </w:r>
      <w:r>
        <w:rPr>
          <w:rFonts w:hint="eastAsia" w:ascii="宋体" w:hAnsi="宋体" w:cs="宋体"/>
          <w:color w:val="auto"/>
          <w:szCs w:val="21"/>
          <w:highlight w:val="none"/>
          <w:u w:val="single"/>
        </w:rPr>
        <w:t>无</w:t>
      </w:r>
      <w:r>
        <w:rPr>
          <w:rFonts w:hint="eastAsia" w:ascii="宋体" w:hAnsi="宋体" w:cs="宋体"/>
          <w:color w:val="auto"/>
          <w:szCs w:val="21"/>
          <w:highlight w:val="none"/>
        </w:rPr>
        <w:t>语言文字。</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3.2适用法律和法规</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需要明示的法律、行政法规：</w:t>
      </w:r>
      <w:r>
        <w:rPr>
          <w:rFonts w:hint="eastAsia" w:ascii="宋体" w:hAnsi="宋体" w:cs="宋体"/>
          <w:color w:val="auto"/>
          <w:szCs w:val="21"/>
          <w:highlight w:val="none"/>
          <w:u w:val="single"/>
        </w:rPr>
        <w:t>《中华人民共和国建筑法》、《中华人民共和国合同法》、《中华人民共和国招标投标法》、《中华人民共和国安全生产法》、《建筑工程质量管理条例》、《建设工程安全生产管理条例》及现行相关法律、法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3.3适用标准、规范</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适用标准、规范的名称：</w:t>
      </w:r>
      <w:r>
        <w:rPr>
          <w:rFonts w:hint="eastAsia" w:ascii="宋体" w:hAnsi="宋体" w:cs="宋体"/>
          <w:color w:val="auto"/>
          <w:szCs w:val="21"/>
          <w:highlight w:val="none"/>
          <w:u w:val="single"/>
        </w:rPr>
        <w:t>现行的国家、地方和行业质量标准、规范、《建筑工程施工质量验收统一标准GB50300-2013》。</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发包人提供标准、规范的时间：</w:t>
      </w:r>
      <w:r>
        <w:rPr>
          <w:rFonts w:hint="eastAsia" w:ascii="宋体" w:hAnsi="宋体" w:cs="宋体"/>
          <w:color w:val="auto"/>
          <w:szCs w:val="21"/>
          <w:highlight w:val="none"/>
          <w:u w:val="single"/>
        </w:rPr>
        <w:t>本合同签订之日。</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国内没有相应标准、规范的约定：</w:t>
      </w:r>
      <w:r>
        <w:rPr>
          <w:rFonts w:hint="eastAsia" w:ascii="宋体" w:hAnsi="宋体" w:cs="宋体"/>
          <w:color w:val="auto"/>
          <w:szCs w:val="21"/>
          <w:highlight w:val="none"/>
          <w:u w:val="single"/>
        </w:rPr>
        <w:t>按地方、行业协会及企业标准、规范、规定、经发包人、承包人双方确认后执行。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4．图纸</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4.1发包人向承包人提供图纸日期和套数：</w:t>
      </w:r>
      <w:r>
        <w:rPr>
          <w:rFonts w:hint="eastAsia" w:ascii="宋体" w:hAnsi="宋体" w:cs="宋体"/>
          <w:color w:val="auto"/>
          <w:szCs w:val="21"/>
          <w:highlight w:val="none"/>
          <w:u w:val="single"/>
        </w:rPr>
        <w:t xml:space="preserve">    开工前提供蓝图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发包人对图纸的保密要求：</w:t>
      </w:r>
      <w:r>
        <w:rPr>
          <w:rFonts w:hint="eastAsia" w:ascii="宋体" w:hAnsi="宋体" w:cs="宋体"/>
          <w:color w:val="auto"/>
          <w:szCs w:val="21"/>
          <w:highlight w:val="none"/>
          <w:u w:val="single"/>
        </w:rPr>
        <w:t xml:space="preserve">   /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使用国外图纸的要求及费用承担：/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二、双方一般权利和义务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5.工程师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5.2监理单位委派的工程师</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姓名：         职务：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发包人委托的职权：</w:t>
      </w:r>
      <w:r>
        <w:rPr>
          <w:rFonts w:hint="eastAsia" w:ascii="宋体" w:hAnsi="宋体" w:cs="宋体"/>
          <w:color w:val="auto"/>
          <w:szCs w:val="21"/>
          <w:highlight w:val="none"/>
          <w:u w:val="single"/>
        </w:rPr>
        <w:t xml:space="preserve">         /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需要取得发包人批准才能行使的职权：</w:t>
      </w:r>
      <w:r>
        <w:rPr>
          <w:rFonts w:hint="eastAsia" w:ascii="宋体" w:hAnsi="宋体" w:cs="宋体"/>
          <w:color w:val="auto"/>
          <w:szCs w:val="21"/>
          <w:highlight w:val="none"/>
          <w:u w:val="single"/>
        </w:rPr>
        <w:t xml:space="preserve">             /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5.3发包人派驻的工程师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姓名：            职务：  </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职权：</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5.6工程师的职权：</w:t>
      </w:r>
      <w:r>
        <w:rPr>
          <w:rFonts w:hint="eastAsia" w:ascii="宋体" w:hAnsi="宋体" w:cs="宋体"/>
          <w:color w:val="auto"/>
          <w:szCs w:val="21"/>
          <w:highlight w:val="none"/>
          <w:u w:val="single"/>
        </w:rPr>
        <w:t>督促本合同的实施，协调处理工程施工中出现的问题，签证并确认施工中变更联系单和相关费用，负责施工全过程质量监督和检验，签署工序验收单，隐蔽工程验收单，审核工程进度和竣工验收报告，按合同条款签付工程进度款，监督施工进度和督促资料的完成。</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7．项目负责人</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姓名：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职务：</w:t>
      </w:r>
      <w:r>
        <w:rPr>
          <w:rFonts w:hint="eastAsia" w:ascii="宋体" w:hAnsi="宋体" w:cs="宋体"/>
          <w:color w:val="auto"/>
          <w:szCs w:val="21"/>
          <w:highlight w:val="none"/>
          <w:u w:val="single"/>
        </w:rPr>
        <w:t>项目负责人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8．发包人工作</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8.1发包人应按约定的时间和要求完成以下工作：</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（1）施工场地具备施工条件的要求及完成的时间：</w:t>
      </w:r>
      <w:r>
        <w:rPr>
          <w:rFonts w:hint="eastAsia" w:ascii="宋体" w:hAnsi="宋体" w:cs="宋体"/>
          <w:color w:val="auto"/>
          <w:szCs w:val="21"/>
          <w:highlight w:val="none"/>
          <w:u w:val="single"/>
        </w:rPr>
        <w:t>已具备。</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（2）将施工所需的水、电、电讯线路接至施工场地的时间、地点和供应要求：</w:t>
      </w:r>
      <w:r>
        <w:rPr>
          <w:rFonts w:hint="eastAsia" w:ascii="宋体" w:hAnsi="宋体" w:cs="宋体"/>
          <w:color w:val="auto"/>
          <w:szCs w:val="21"/>
          <w:highlight w:val="none"/>
          <w:u w:val="single"/>
        </w:rPr>
        <w:t>发包人提供施工所需的水、电、电讯线路的接入口，承包人负责安装单独计量表接入，产生的水电等一切费用由承包人自行承担，并另行向发包人支付。如无法安装水电表，则按规定将从工程款中扣除水电费（按定额含量扣除）</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（3）施工场地与公共道路的通道开通时间和要求：</w:t>
      </w:r>
      <w:r>
        <w:rPr>
          <w:rFonts w:hint="eastAsia" w:ascii="宋体" w:hAnsi="宋体" w:cs="宋体"/>
          <w:color w:val="auto"/>
          <w:szCs w:val="21"/>
          <w:highlight w:val="none"/>
          <w:u w:val="single"/>
        </w:rPr>
        <w:t>已开通。</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（4）工程地质和地下管线资料的提供时间：</w:t>
      </w:r>
      <w:r>
        <w:rPr>
          <w:rFonts w:hint="eastAsia" w:ascii="宋体" w:hAnsi="宋体" w:cs="宋体"/>
          <w:color w:val="auto"/>
          <w:szCs w:val="21"/>
          <w:highlight w:val="none"/>
          <w:u w:val="single"/>
        </w:rPr>
        <w:t xml:space="preserve">          /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（5）由发包人办理的施工所需证件、批件的名称和完成时间：</w:t>
      </w:r>
      <w:r>
        <w:rPr>
          <w:rFonts w:hint="eastAsia" w:ascii="宋体" w:hAnsi="宋体" w:cs="宋体"/>
          <w:color w:val="auto"/>
          <w:szCs w:val="21"/>
          <w:highlight w:val="none"/>
          <w:u w:val="single"/>
        </w:rPr>
        <w:t xml:space="preserve">   /     </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（6）水准点与座标控制点交验要求：</w:t>
      </w:r>
      <w:r>
        <w:rPr>
          <w:rFonts w:hint="eastAsia" w:ascii="宋体" w:hAnsi="宋体" w:cs="宋体"/>
          <w:color w:val="auto"/>
          <w:szCs w:val="21"/>
          <w:highlight w:val="none"/>
          <w:u w:val="single"/>
        </w:rPr>
        <w:t xml:space="preserve">       /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（7）图纸会审和设计交底时间：</w:t>
      </w:r>
      <w:r>
        <w:rPr>
          <w:rFonts w:hint="eastAsia" w:ascii="宋体" w:hAnsi="宋体" w:cs="宋体"/>
          <w:color w:val="auto"/>
          <w:szCs w:val="21"/>
          <w:highlight w:val="none"/>
          <w:u w:val="single"/>
        </w:rPr>
        <w:t xml:space="preserve">            /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（8）协调处理施工场地周围地下管线和邻近建筑物、构筑物（含文物保护建筑）、古树名木的保护工作.</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（9）双方约定发包工应做的其他工作：</w:t>
      </w:r>
      <w:r>
        <w:rPr>
          <w:rFonts w:hint="eastAsia" w:ascii="宋体" w:hAnsi="宋体" w:cs="宋体"/>
          <w:color w:val="auto"/>
          <w:szCs w:val="21"/>
          <w:highlight w:val="none"/>
          <w:u w:val="single"/>
        </w:rPr>
        <w:t xml:space="preserve">       /    </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8.2发包人委托承包人办理的工作：</w:t>
      </w:r>
      <w:r>
        <w:rPr>
          <w:rFonts w:hint="eastAsia" w:ascii="宋体" w:hAnsi="宋体" w:cs="宋体"/>
          <w:color w:val="auto"/>
          <w:szCs w:val="21"/>
          <w:highlight w:val="none"/>
          <w:u w:val="single"/>
        </w:rPr>
        <w:t xml:space="preserve">         /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9．承包人工作</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9.1承包人应按约定时间和要求，完成以下工作：</w:t>
      </w:r>
    </w:p>
    <w:p>
      <w:pPr>
        <w:spacing w:line="360" w:lineRule="auto"/>
        <w:ind w:left="120" w:leftChars="57" w:firstLine="333" w:firstLineChars="159"/>
        <w:rPr>
          <w:rFonts w:ascii="宋体" w:hAnsi="宋体" w:cs="宋体"/>
          <w:color w:val="auto"/>
          <w:szCs w:val="21"/>
          <w:highlight w:val="none"/>
        </w:rPr>
      </w:pPr>
      <w:r>
        <w:rPr>
          <w:rFonts w:hint="eastAsia" w:ascii="宋体" w:hAnsi="宋体" w:cs="宋体"/>
          <w:color w:val="auto"/>
          <w:szCs w:val="21"/>
          <w:highlight w:val="none"/>
        </w:rPr>
        <w:t>（1）需由设计资质等级和业务范围允许的承包人完成的设计文件提交时间：</w:t>
      </w:r>
      <w:r>
        <w:rPr>
          <w:rFonts w:hint="eastAsia" w:ascii="宋体" w:hAnsi="宋体" w:cs="宋体"/>
          <w:color w:val="auto"/>
          <w:szCs w:val="21"/>
          <w:highlight w:val="none"/>
          <w:u w:val="single"/>
        </w:rPr>
        <w:t xml:space="preserve">  /   </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（2）应提供计划、报表的名称及完成时间：</w:t>
      </w:r>
      <w:r>
        <w:rPr>
          <w:rFonts w:hint="eastAsia" w:ascii="宋体" w:hAnsi="宋体" w:cs="宋体"/>
          <w:color w:val="auto"/>
          <w:szCs w:val="21"/>
          <w:highlight w:val="none"/>
          <w:u w:val="single"/>
        </w:rPr>
        <w:t xml:space="preserve">     /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（3）承担施工安全保卫工作及非夜间施工照明的责任和要求：</w:t>
      </w:r>
      <w:r>
        <w:rPr>
          <w:rFonts w:hint="eastAsia" w:ascii="宋体" w:hAnsi="宋体" w:cs="宋体"/>
          <w:color w:val="auto"/>
          <w:szCs w:val="21"/>
          <w:highlight w:val="none"/>
          <w:u w:val="single"/>
        </w:rPr>
        <w:t>承包人施工过程中负责安全保卫，确保场内人员及过路行人的安全。</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（4）向发包人提供的办公和生活房屋及设施的要求：</w:t>
      </w:r>
      <w:r>
        <w:rPr>
          <w:rFonts w:hint="eastAsia" w:ascii="宋体" w:hAnsi="宋体" w:cs="宋体"/>
          <w:color w:val="auto"/>
          <w:szCs w:val="21"/>
          <w:highlight w:val="none"/>
          <w:u w:val="single"/>
        </w:rPr>
        <w:t xml:space="preserve">     /   </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（5）需承包人办理的有关施工场地交通、环卫和施工噪音管理等手续：</w:t>
      </w:r>
      <w:r>
        <w:rPr>
          <w:rFonts w:hint="eastAsia" w:ascii="宋体" w:hAnsi="宋体" w:cs="宋体"/>
          <w:color w:val="auto"/>
          <w:szCs w:val="21"/>
          <w:highlight w:val="none"/>
          <w:u w:val="single"/>
        </w:rPr>
        <w:t xml:space="preserve"> /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（6）已完工程成品保护的特殊要求及费用承担：</w:t>
      </w:r>
      <w:r>
        <w:rPr>
          <w:rFonts w:hint="eastAsia" w:ascii="宋体" w:hAnsi="宋体" w:cs="宋体"/>
          <w:color w:val="auto"/>
          <w:szCs w:val="21"/>
          <w:highlight w:val="none"/>
          <w:u w:val="single"/>
        </w:rPr>
        <w:t>在未竣工验收交货前，成品保护及费用均由承包人承担。</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（7）施工场地周围地下管线和邻近建筑物、构筑物（含文物保护建筑）、古树名木的保护要求及费用承担：</w:t>
      </w:r>
      <w:r>
        <w:rPr>
          <w:rFonts w:hint="eastAsia" w:ascii="宋体" w:hAnsi="宋体" w:cs="宋体"/>
          <w:color w:val="auto"/>
          <w:szCs w:val="21"/>
          <w:highlight w:val="none"/>
          <w:u w:val="single"/>
        </w:rPr>
        <w:t>由承包人负责保护并承担费用。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（8）施工场地清洁卫生的要求：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u w:val="single"/>
        </w:rPr>
        <w:t>每天清扫一次，现场公共部位的清洁工作，工程完工后2天内现场应清除所有不再需要的临时工程，承包人的设备和多余材料，全部建筑和生活垃圾。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（9）双方约定承包人应做的其他工作：</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施工期间，休息时段（早、中、晚）施工场地应不影响学校正常通行。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三、施工组织设计和工期</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10．进度计划</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10.1承包人提供施工组织设计（施工方案）和进度计划的时间：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u w:val="single"/>
        </w:rPr>
        <w:t>开工前              天提交施工组织设计，并同时提交进度计划。</w:t>
      </w:r>
    </w:p>
    <w:p>
      <w:pPr>
        <w:spacing w:line="360" w:lineRule="auto"/>
        <w:ind w:firstLine="420" w:firstLineChars="200"/>
        <w:rPr>
          <w:rFonts w:ascii="宋体" w:hAnsi="宋体" w:cs="宋体"/>
          <w:i/>
          <w:iCs/>
          <w:color w:val="auto"/>
          <w:szCs w:val="21"/>
          <w:highlight w:val="none"/>
          <w:u w:val="single"/>
        </w:rPr>
      </w:pPr>
      <w:r>
        <w:rPr>
          <w:rFonts w:hint="eastAsia" w:ascii="宋体" w:hAnsi="宋体" w:cs="宋体"/>
          <w:color w:val="auto"/>
          <w:szCs w:val="21"/>
          <w:highlight w:val="none"/>
        </w:rPr>
        <w:t>工程师确认的时间：</w:t>
      </w:r>
      <w:r>
        <w:rPr>
          <w:rFonts w:hint="eastAsia" w:ascii="宋体" w:hAnsi="宋体" w:cs="宋体"/>
          <w:color w:val="auto"/>
          <w:szCs w:val="21"/>
          <w:highlight w:val="none"/>
          <w:u w:val="single"/>
        </w:rPr>
        <w:t>收到完整资料后一周。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10.2群体工程中有关进度计划的要求：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13．工期延误</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13.1双方约定工期顺延的其他情况：</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遇不可抗力情况，国家法规规定可顺延条件及发包人责任引起的工期延误，经承包人申报，发包人批准后，可顺延工期。设计变更或者甲方原因引起的延期。</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非上述原因引起的工期延误，3天以内的按3000元人民币/天扣除工期延误费，3天以上的，则以上天数按5000元人民币/天计算。</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四、质量与验收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17.隐蔽工程和中间验收</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17.1双方约定中间验收部位：</w:t>
      </w:r>
      <w:r>
        <w:rPr>
          <w:rFonts w:hint="eastAsia" w:ascii="宋体" w:hAnsi="宋体" w:cs="宋体"/>
          <w:color w:val="auto"/>
          <w:szCs w:val="21"/>
          <w:highlight w:val="none"/>
          <w:u w:val="single"/>
        </w:rPr>
        <w:t>由建设单位跟踪验收，总体工程质量符合《工程施工质量验收规范GB50300-2013》标准。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19．工程试车</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19.5试车费用的承担：</w:t>
      </w:r>
      <w:r>
        <w:rPr>
          <w:rFonts w:hint="eastAsia" w:ascii="宋体" w:hAnsi="宋体" w:cs="宋体"/>
          <w:color w:val="auto"/>
          <w:szCs w:val="21"/>
          <w:highlight w:val="none"/>
          <w:u w:val="single"/>
        </w:rPr>
        <w:t xml:space="preserve">  /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五、安全施工</w:t>
      </w:r>
    </w:p>
    <w:p>
      <w:pPr>
        <w:adjustRightInd w:val="0"/>
        <w:snapToGrid w:val="0"/>
        <w:spacing w:line="44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严格执行JG59-99标准并参照通用条款第20、21、22条及国家建设工程安全管理条例。（1）承包人应对施工安全负全责，在施工过程中要实现“五无”、“两控制”目标，确保安全。“五无”即无职工死亡，无重大行车交通事故，无压力容器爆炸，无重大质量事故，无火灾事故。（2）承包人应配备专职安全负责人，以确保生产安全。（3）承包人应服从当地政府有关部门在社会治安、综合治理、计划生育、交通管理、环境保护等的管理规定，承包人应该专职人员负责条款的执行，发包人有权对此进行监督、检查。（4）承包人在工程施工期间，必须配备专职用电管理员，全面负责施工用电的管理。</w:t>
      </w:r>
    </w:p>
    <w:p>
      <w:pPr>
        <w:adjustRightInd w:val="0"/>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六、合同价款与支付</w:t>
      </w:r>
    </w:p>
    <w:p>
      <w:pPr>
        <w:adjustRightInd w:val="0"/>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23．合同价款及调整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23.2</w:t>
      </w:r>
      <w:r>
        <w:rPr>
          <w:rFonts w:hint="eastAsia" w:ascii="宋体" w:hAnsi="宋体" w:cs="宋体"/>
          <w:bCs/>
          <w:color w:val="auto"/>
          <w:szCs w:val="21"/>
          <w:highlight w:val="none"/>
        </w:rPr>
        <w:t>本合同价款采用</w:t>
      </w:r>
      <w:r>
        <w:rPr>
          <w:rFonts w:hint="eastAsia" w:ascii="宋体" w:hAnsi="宋体" w:cs="宋体"/>
          <w:bCs/>
          <w:color w:val="auto"/>
          <w:szCs w:val="21"/>
          <w:highlight w:val="none"/>
          <w:u w:val="single"/>
        </w:rPr>
        <w:t xml:space="preserve">  (1)  </w:t>
      </w:r>
      <w:r>
        <w:rPr>
          <w:rFonts w:hint="eastAsia" w:ascii="宋体" w:hAnsi="宋体" w:cs="宋体"/>
          <w:bCs/>
          <w:color w:val="auto"/>
          <w:szCs w:val="21"/>
          <w:highlight w:val="none"/>
        </w:rPr>
        <w:t>方式确定。本工程结算下浮率</w:t>
      </w:r>
      <w:r>
        <w:rPr>
          <w:rFonts w:hint="eastAsia" w:ascii="宋体" w:hAnsi="宋体" w:cs="宋体"/>
          <w:bCs/>
          <w:color w:val="auto"/>
          <w:szCs w:val="21"/>
          <w:highlight w:val="none"/>
          <w:u w:val="single"/>
        </w:rPr>
        <w:t xml:space="preserve">     %  </w:t>
      </w:r>
      <w:r>
        <w:rPr>
          <w:rFonts w:hint="eastAsia" w:ascii="宋体" w:hAnsi="宋体" w:cs="宋体"/>
          <w:bCs/>
          <w:color w:val="auto"/>
          <w:szCs w:val="21"/>
          <w:highlight w:val="none"/>
        </w:rPr>
        <w:t>。</w:t>
      </w:r>
      <w:r>
        <w:rPr>
          <w:rFonts w:hint="eastAsia" w:ascii="宋体" w:hAnsi="宋体" w:cs="宋体"/>
          <w:color w:val="auto"/>
          <w:szCs w:val="21"/>
          <w:highlight w:val="none"/>
        </w:rPr>
        <w:t xml:space="preserve"> </w:t>
      </w:r>
    </w:p>
    <w:p>
      <w:pPr>
        <w:autoSpaceDE w:val="0"/>
        <w:autoSpaceDN w:val="0"/>
        <w:adjustRightInd w:val="0"/>
        <w:spacing w:line="360" w:lineRule="auto"/>
        <w:ind w:firstLine="210" w:firstLineChars="100"/>
        <w:rPr>
          <w:rFonts w:ascii="宋体" w:hAnsi="宋体" w:cs="宋体"/>
          <w:color w:val="auto"/>
          <w:szCs w:val="21"/>
          <w:highlight w:val="none"/>
          <w:u w:val="single"/>
        </w:rPr>
      </w:pPr>
      <w:r>
        <w:rPr>
          <w:rFonts w:hint="eastAsia" w:ascii="宋体" w:hAnsi="宋体" w:cs="宋体"/>
          <w:color w:val="auto"/>
          <w:szCs w:val="21"/>
          <w:highlight w:val="none"/>
          <w:u w:val="single"/>
        </w:rPr>
        <w:t>(1)采用固定综合单价合同，合同价款中包括的风险范围: 1 、合同履行期间物价上涨( 另有约定除外)；2 、定额、标准及规范调整: 国家政策变化以及一个有经验的承包人可以或应该预见的风险。3、因临时停电、停水引起的费用增加。</w:t>
      </w:r>
    </w:p>
    <w:p>
      <w:pPr>
        <w:autoSpaceDE w:val="0"/>
        <w:autoSpaceDN w:val="0"/>
        <w:adjustRightIn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风险费用的计算方法:以上风险费用已在投标报价时考虑，不再另行计取。如因此而造成停工、罢工的，除按工期有关条款外，还须没收全部履约保证金，罚没的保证金归甲方所有(在工程款中扣除〉。</w:t>
      </w:r>
    </w:p>
    <w:p>
      <w:pPr>
        <w:autoSpaceDE w:val="0"/>
        <w:autoSpaceDN w:val="0"/>
        <w:adjustRightInd w:val="0"/>
        <w:spacing w:line="360" w:lineRule="auto"/>
        <w:ind w:firstLine="420" w:firstLineChars="200"/>
        <w:rPr>
          <w:rFonts w:hint="eastAsia" w:ascii="宋体" w:hAnsi="宋体" w:eastAsia="宋体" w:cs="宋体"/>
          <w:color w:val="auto"/>
          <w:szCs w:val="21"/>
          <w:highlight w:val="none"/>
          <w:u w:val="single"/>
          <w:lang w:val="en-US" w:eastAsia="zh-CN"/>
        </w:rPr>
      </w:pPr>
      <w:r>
        <w:rPr>
          <w:rFonts w:hint="eastAsia" w:ascii="宋体" w:hAnsi="宋体" w:cs="宋体"/>
          <w:color w:val="auto"/>
          <w:szCs w:val="21"/>
          <w:highlight w:val="none"/>
          <w:u w:val="single"/>
        </w:rPr>
        <w:t>风险范围以外合同价款调整方法:</w:t>
      </w:r>
      <w:r>
        <w:rPr>
          <w:rFonts w:hint="eastAsia" w:ascii="宋体" w:hAnsi="宋体" w:cs="宋体"/>
          <w:b/>
          <w:bCs/>
          <w:color w:val="auto"/>
          <w:szCs w:val="21"/>
          <w:highlight w:val="none"/>
          <w:u w:val="single"/>
          <w:lang w:eastAsia="zh-CN"/>
        </w:rPr>
        <w:t>（以下合同价款调整方案，均需按</w:t>
      </w:r>
      <w:r>
        <w:rPr>
          <w:rFonts w:hint="eastAsia" w:ascii="宋体" w:hAnsi="宋体" w:cs="宋体"/>
          <w:b/>
          <w:bCs/>
          <w:color w:val="auto"/>
          <w:szCs w:val="21"/>
          <w:highlight w:val="none"/>
          <w:u w:val="single"/>
          <w:lang w:val="en-US" w:eastAsia="zh-CN"/>
        </w:rPr>
        <w:t>23.2规定的</w:t>
      </w:r>
      <w:r>
        <w:rPr>
          <w:rFonts w:hint="eastAsia" w:ascii="宋体" w:hAnsi="宋体" w:cs="宋体"/>
          <w:b/>
          <w:bCs/>
          <w:color w:val="auto"/>
          <w:szCs w:val="21"/>
          <w:highlight w:val="none"/>
          <w:u w:val="single"/>
          <w:lang w:eastAsia="zh-CN"/>
        </w:rPr>
        <w:t>下浮率计算后执行）</w:t>
      </w:r>
    </w:p>
    <w:p>
      <w:pPr>
        <w:autoSpaceDE w:val="0"/>
        <w:autoSpaceDN w:val="0"/>
        <w:adjustRightIn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1)因发包人提供的工程量清单有数量误差，或设计变更引起工程量清单项目工程数量的增减，按原有合同价格执行。</w:t>
      </w:r>
    </w:p>
    <w:p>
      <w:pPr>
        <w:autoSpaceDE w:val="0"/>
        <w:autoSpaceDN w:val="0"/>
        <w:adjustRightIn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2)因发包人提供的工程量清单项目漏项，或设计变更引起的新增工程项目，其相应单价的确定方法为:合同中己有适用于变更工程的单价的，按合同已有单价计:合同中有类似适用于变更工程的单价的，参照该单价确定:合同无参考单价的，其综合单价按浙江省18版定额计算的直接工程费(主材价格确定方法:有信息价的按发生当月的浙江省、杭州市工程造价信息正刊的信息价计取:当主材无信息价时按发包人确认的市场价格为准) +综合费用(按下限计取)+规费+税金确定。当工程量清单编制明显错误或当响应方报价明显高于同期市场价格水平，并且增加工程量与清单同比超过15 %的，采购人将保留重新估价的权力，单价确定的方法同前。</w:t>
      </w:r>
    </w:p>
    <w:p>
      <w:pPr>
        <w:autoSpaceDE w:val="0"/>
        <w:autoSpaceDN w:val="0"/>
        <w:adjustRightIn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3) 发包人根据工程的需要可能对承包范围内的数量和内容进行调整，所涉及的费用按投标报价进行相应的调整。</w:t>
      </w:r>
    </w:p>
    <w:p>
      <w:pPr>
        <w:autoSpaceDE w:val="0"/>
        <w:autoSpaceDN w:val="0"/>
        <w:adjustRightIn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4) 发包人签证认可的其他增减。</w:t>
      </w:r>
    </w:p>
    <w:p>
      <w:pPr>
        <w:autoSpaceDE w:val="0"/>
        <w:autoSpaceDN w:val="0"/>
        <w:adjustRightIn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5) 经发包人签证同意的材料变更、价格调整，仅调整差价及差价的税金；</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（2）采用可调价格合同，合同价款调整方法：</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（3）采用成本加酬金合同，有关成本和酬金的约定：</w:t>
      </w:r>
    </w:p>
    <w:p>
      <w:pPr>
        <w:spacing w:line="44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23.3双方约定合同价款的其他调整因素：</w:t>
      </w:r>
      <w:r>
        <w:rPr>
          <w:rFonts w:hint="eastAsia" w:ascii="宋体" w:hAnsi="宋体" w:cs="宋体"/>
          <w:color w:val="auto"/>
          <w:szCs w:val="21"/>
          <w:highlight w:val="none"/>
          <w:u w:val="single"/>
        </w:rPr>
        <w:t>①发包人同意的设计变更②发包人要求增加的施工图范围外的内容（施工单位投标时漏报甲方要求做的内容，不作为调整决算内容。）③当结算子项实际数量变化超过工程量清单内数量10%以上且满足以下条件之一时,业主有权调整工程量增减部分的综合单价：A、结算子项综合单价超过正常水平的±20%以上，B：结算子项实际变化金额超过合同金额±0.1%以上。</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24．工程预付款</w:t>
      </w:r>
    </w:p>
    <w:p>
      <w:pPr>
        <w:spacing w:line="44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 xml:space="preserve">      /     。</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25．工程量确认</w:t>
      </w:r>
    </w:p>
    <w:p>
      <w:pPr>
        <w:spacing w:line="44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25.1承包人向工程师提交已完工程量报告的时间：</w:t>
      </w:r>
      <w:r>
        <w:rPr>
          <w:rFonts w:hint="eastAsia" w:ascii="宋体" w:hAnsi="宋体" w:cs="宋体"/>
          <w:color w:val="auto"/>
          <w:szCs w:val="21"/>
          <w:highlight w:val="none"/>
          <w:u w:val="single"/>
        </w:rPr>
        <w:t>每月25日前承包方向发包方提交已完成工程量报告。</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26．工程款（进度款）支付</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双方约定的工程款（进度款）支付的方式和时间：</w:t>
      </w:r>
    </w:p>
    <w:p>
      <w:pPr>
        <w:spacing w:line="44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承包人实际完成合同工程量60%时（经监理及发包人审定）支付合同金额的</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0%的进度款，工程竣工验收合格后支付至合同金额的80%，待竣工结算审计后以结算审计为准支付至审计价格的97.5%；同时按合同履约核实情况，结算并返回履约保证金（无息，如有违约并扣除违约款）；审计价2.5%作为质量保修金，保修期满二年后无质量问题返回1.5%质保金，剩余1%在保修期结束后（5年后）全额返回（均不计利息）。</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七、材料设备供应</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27．发包人供应材料设计</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27.4发包人供应的材料设备与一览表不符时，双方约定发包人承担责任如下：</w:t>
      </w:r>
    </w:p>
    <w:p>
      <w:pPr>
        <w:spacing w:line="44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（1）材料设备单价与一览表不符：</w:t>
      </w:r>
      <w:r>
        <w:rPr>
          <w:rFonts w:hint="eastAsia" w:ascii="宋体" w:hAnsi="宋体" w:cs="宋体"/>
          <w:color w:val="auto"/>
          <w:szCs w:val="21"/>
          <w:highlight w:val="none"/>
          <w:u w:val="single"/>
        </w:rPr>
        <w:t xml:space="preserve">  / </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（2）材料设备的品种、规格、型号、质量等级与一览表不符：</w:t>
      </w:r>
      <w:r>
        <w:rPr>
          <w:rFonts w:hint="eastAsia" w:ascii="宋体" w:hAnsi="宋体" w:cs="宋体"/>
          <w:color w:val="auto"/>
          <w:szCs w:val="21"/>
          <w:highlight w:val="none"/>
          <w:u w:val="single"/>
        </w:rPr>
        <w:t xml:space="preserve">  / </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（3）承包人可代为调剂串换的材料：</w:t>
      </w:r>
      <w:r>
        <w:rPr>
          <w:rFonts w:hint="eastAsia" w:ascii="宋体" w:hAnsi="宋体" w:cs="宋体"/>
          <w:color w:val="auto"/>
          <w:szCs w:val="21"/>
          <w:highlight w:val="none"/>
          <w:u w:val="single"/>
        </w:rPr>
        <w:t xml:space="preserve">  / </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（4）到货地点与一览表不符：</w:t>
      </w:r>
      <w:r>
        <w:rPr>
          <w:rFonts w:hint="eastAsia" w:ascii="宋体" w:hAnsi="宋体" w:cs="宋体"/>
          <w:color w:val="auto"/>
          <w:szCs w:val="21"/>
          <w:highlight w:val="none"/>
          <w:u w:val="single"/>
        </w:rPr>
        <w:t xml:space="preserve">  / </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（5）供应数量与一览表不符：</w:t>
      </w:r>
      <w:r>
        <w:rPr>
          <w:rFonts w:hint="eastAsia" w:ascii="宋体" w:hAnsi="宋体" w:cs="宋体"/>
          <w:color w:val="auto"/>
          <w:szCs w:val="21"/>
          <w:highlight w:val="none"/>
          <w:u w:val="single"/>
        </w:rPr>
        <w:t xml:space="preserve">  / </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（6）到货时间与一览表不符：</w:t>
      </w:r>
      <w:r>
        <w:rPr>
          <w:rFonts w:hint="eastAsia" w:ascii="宋体" w:hAnsi="宋体" w:cs="宋体"/>
          <w:color w:val="auto"/>
          <w:szCs w:val="21"/>
          <w:highlight w:val="none"/>
          <w:u w:val="single"/>
        </w:rPr>
        <w:t xml:space="preserve">  / </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27.6发包人供应材料设备的结算方法：</w:t>
      </w:r>
      <w:r>
        <w:rPr>
          <w:rFonts w:hint="eastAsia" w:ascii="宋体" w:hAnsi="宋体" w:cs="宋体"/>
          <w:color w:val="auto"/>
          <w:szCs w:val="21"/>
          <w:highlight w:val="none"/>
          <w:u w:val="single"/>
        </w:rPr>
        <w:t xml:space="preserve">  / </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28．承包人采购材料设备</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28.1承包人采购材料设备的约定：</w:t>
      </w:r>
    </w:p>
    <w:p>
      <w:pPr>
        <w:spacing w:line="44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由承包人自行采购，所有材料均应有合格证和质保书，并符合国家规定的技术标准和设计要求。施工前须经发包方验收。承包人使用不合格产品无条件返工，并承担发包人由此造成的损失。</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八、工程变更</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设计变更必须经设计单位确认；因工程变更而产生的新增减工程量，经发包人工程联系单盖章签复意见后，方可作为决算依据。</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九、竣工验收与结算</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u w:val="single"/>
        </w:rPr>
        <w:t>工程具备竣工验收条件，承包人按国家工程验收有关规定，向发包人提供完整竣工资料及竣工验收报告；工程价款结算最终以审计部门审定结果为支付依据。在竣工验收后一个月内提交完整的结算资料送交发包人审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32．竣工验收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32.1承包人提供竣工图的约定：</w:t>
      </w:r>
      <w:r>
        <w:rPr>
          <w:rFonts w:hint="eastAsia" w:ascii="宋体" w:hAnsi="宋体" w:cs="宋体"/>
          <w:color w:val="auto"/>
          <w:szCs w:val="21"/>
          <w:highlight w:val="none"/>
          <w:u w:val="single"/>
        </w:rPr>
        <w:t>工程竣工验收一个月内提交发包方完整的竣工图伍套、技术资料伍套及全套电子文档一份。</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32.6中间交工工程的范围和竣工时间：</w:t>
      </w:r>
      <w:r>
        <w:rPr>
          <w:rFonts w:hint="eastAsia" w:ascii="宋体" w:hAnsi="宋体" w:cs="宋体"/>
          <w:color w:val="auto"/>
          <w:szCs w:val="21"/>
          <w:highlight w:val="none"/>
          <w:u w:val="single"/>
        </w:rPr>
        <w:t>按签订工程合同为准。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十、违约、索赔和争议</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35．违约</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35.1本合同中关于发包人违约的具体责任如下：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本合同通用条款第24条约定发包人违约应承担的违约责任：</w:t>
      </w:r>
      <w:r>
        <w:rPr>
          <w:rFonts w:hint="eastAsia" w:ascii="宋体" w:hAnsi="宋体" w:cs="宋体"/>
          <w:color w:val="auto"/>
          <w:szCs w:val="21"/>
          <w:highlight w:val="none"/>
          <w:u w:val="single"/>
        </w:rPr>
        <w:t>无</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本合同通用条款第26.4 款约定发包人违约应承担的违约责任：</w:t>
      </w:r>
      <w:r>
        <w:rPr>
          <w:rFonts w:hint="eastAsia" w:ascii="宋体" w:hAnsi="宋体" w:cs="宋体"/>
          <w:color w:val="auto"/>
          <w:szCs w:val="21"/>
          <w:highlight w:val="none"/>
          <w:u w:val="single"/>
        </w:rPr>
        <w:t>无</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本合同通用条款第33.3 款约定发包人违约应承担的违约责任：</w:t>
      </w:r>
      <w:r>
        <w:rPr>
          <w:rFonts w:hint="eastAsia" w:ascii="宋体" w:hAnsi="宋体" w:cs="宋体"/>
          <w:color w:val="auto"/>
          <w:szCs w:val="21"/>
          <w:highlight w:val="none"/>
          <w:u w:val="single"/>
        </w:rPr>
        <w:t>无</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双方约定的发包人其他违约责任：</w:t>
      </w:r>
      <w:r>
        <w:rPr>
          <w:rFonts w:hint="eastAsia" w:ascii="宋体" w:hAnsi="宋体" w:cs="宋体"/>
          <w:color w:val="auto"/>
          <w:szCs w:val="21"/>
          <w:highlight w:val="none"/>
          <w:u w:val="single"/>
        </w:rPr>
        <w:t>由于发包人的原因造成的工期延误，工期顺延天数由现场监理及发包签证确定。</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35.2本合同中关于承包人违约的具体责任如下：</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因承包人原因造成工程质量问题，由承包人负责整改工作及相关费用，直至达到合格标准。因此造成的工期延误和损失，由承包人承担一切后果。承包人不修复或无法修复的,发包人有权自行委托有资质单位修复,修复费用及造成的损失由承包人承担。</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双方约定的承包人其他违约责任：</w:t>
      </w:r>
      <w:r>
        <w:rPr>
          <w:rFonts w:hint="eastAsia" w:ascii="宋体" w:hAnsi="宋体" w:cs="宋体"/>
          <w:color w:val="auto"/>
          <w:szCs w:val="21"/>
          <w:highlight w:val="none"/>
          <w:u w:val="single"/>
        </w:rPr>
        <w:t>以签订合同为准。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37．争议</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37.1本合同在履行过程中发生的争议，由双方当事人协商解决，协商不成的，按下列第</w:t>
      </w:r>
      <w:r>
        <w:rPr>
          <w:rFonts w:hint="eastAsia" w:ascii="宋体" w:hAnsi="宋体" w:cs="宋体"/>
          <w:color w:val="auto"/>
          <w:szCs w:val="21"/>
          <w:highlight w:val="none"/>
          <w:u w:val="single"/>
        </w:rPr>
        <w:t>（2）</w:t>
      </w:r>
      <w:r>
        <w:rPr>
          <w:rFonts w:hint="eastAsia" w:ascii="宋体" w:hAnsi="宋体" w:cs="宋体"/>
          <w:color w:val="auto"/>
          <w:szCs w:val="21"/>
          <w:highlight w:val="none"/>
        </w:rPr>
        <w:t>种方式解决：</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（1）提交</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种裁委员会仲裁；</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（2）依法向</w:t>
      </w:r>
      <w:r>
        <w:rPr>
          <w:rFonts w:hint="eastAsia" w:ascii="宋体" w:hAnsi="宋体" w:cs="宋体"/>
          <w:color w:val="auto"/>
          <w:szCs w:val="21"/>
          <w:highlight w:val="none"/>
          <w:u w:val="single"/>
        </w:rPr>
        <w:t>杭州市</w:t>
      </w:r>
      <w:r>
        <w:rPr>
          <w:rFonts w:hint="eastAsia" w:ascii="宋体" w:hAnsi="宋体" w:cs="宋体"/>
          <w:color w:val="auto"/>
          <w:szCs w:val="21"/>
          <w:highlight w:val="none"/>
        </w:rPr>
        <w:t>仲裁委员会提请仲裁或向</w:t>
      </w:r>
      <w:r>
        <w:rPr>
          <w:rFonts w:hint="eastAsia" w:ascii="宋体" w:hAnsi="宋体" w:cs="宋体"/>
          <w:color w:val="auto"/>
          <w:szCs w:val="21"/>
          <w:highlight w:val="none"/>
          <w:u w:val="single"/>
        </w:rPr>
        <w:t>杭州市</w:t>
      </w:r>
      <w:r>
        <w:rPr>
          <w:rFonts w:hint="eastAsia" w:ascii="宋体" w:hAnsi="宋体" w:cs="宋体"/>
          <w:color w:val="auto"/>
          <w:szCs w:val="21"/>
          <w:highlight w:val="none"/>
        </w:rPr>
        <w:t>人民法院提起诉讼。</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十一、其他</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38．工程分包</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38.1本工程发包人同意承包人分包的工程：</w:t>
      </w:r>
      <w:r>
        <w:rPr>
          <w:rFonts w:hint="eastAsia" w:ascii="宋体" w:hAnsi="宋体" w:cs="宋体"/>
          <w:color w:val="auto"/>
          <w:szCs w:val="21"/>
          <w:highlight w:val="none"/>
          <w:u w:val="single"/>
        </w:rPr>
        <w:t xml:space="preserve">  /  </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分包施工单位为：</w:t>
      </w:r>
      <w:r>
        <w:rPr>
          <w:rFonts w:hint="eastAsia" w:ascii="宋体" w:hAnsi="宋体" w:cs="宋体"/>
          <w:color w:val="auto"/>
          <w:szCs w:val="21"/>
          <w:highlight w:val="none"/>
          <w:u w:val="single"/>
        </w:rPr>
        <w:t xml:space="preserve">  /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39．不可抗力</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39.1双方关于不可抗力的约定：</w:t>
      </w:r>
      <w:r>
        <w:rPr>
          <w:rFonts w:hint="eastAsia" w:ascii="宋体" w:hAnsi="宋体" w:cs="宋体"/>
          <w:color w:val="auto"/>
          <w:szCs w:val="21"/>
          <w:highlight w:val="none"/>
          <w:u w:val="single"/>
        </w:rPr>
        <w:t>按通用条款的相应条款执行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40．保险</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40.6本工程双方约定投保内容如下：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（1）发包人投保内容：</w:t>
      </w:r>
      <w:r>
        <w:rPr>
          <w:rFonts w:hint="eastAsia" w:ascii="宋体" w:hAnsi="宋体" w:cs="宋体"/>
          <w:color w:val="auto"/>
          <w:szCs w:val="21"/>
          <w:highlight w:val="none"/>
          <w:u w:val="single"/>
        </w:rPr>
        <w:t>发包人工地自身人员和第三者人身意外伤害保险。</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发包人委托承包人办理的保险事项：</w:t>
      </w:r>
      <w:r>
        <w:rPr>
          <w:rFonts w:hint="eastAsia" w:ascii="宋体" w:hAnsi="宋体" w:cs="宋体"/>
          <w:color w:val="auto"/>
          <w:szCs w:val="21"/>
          <w:highlight w:val="none"/>
          <w:u w:val="single"/>
        </w:rPr>
        <w:t>按通用条款办理。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（2）承包人保内容：</w:t>
      </w:r>
      <w:r>
        <w:rPr>
          <w:rFonts w:hint="eastAsia" w:ascii="宋体" w:hAnsi="宋体" w:cs="宋体"/>
          <w:color w:val="auto"/>
          <w:szCs w:val="21"/>
          <w:highlight w:val="none"/>
          <w:u w:val="single"/>
        </w:rPr>
        <w:t>承包人必须为施工场地内自有人员办理意外伤害保险，并为施工机械设备办理保险，支付相关保险费用。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41．担保</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41.3本工程双方约定担保事项如下：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（1）发包人向承包人提供履约担保，担保方式为：</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（2）承包人向发包人提供履约担保，担保方式为</w:t>
      </w:r>
      <w:r>
        <w:rPr>
          <w:rFonts w:hint="eastAsia" w:ascii="宋体" w:hAnsi="宋体" w:cs="宋体"/>
          <w:color w:val="auto"/>
          <w:szCs w:val="21"/>
          <w:highlight w:val="none"/>
          <w:u w:val="single"/>
        </w:rPr>
        <w:t>合同总价2.5%的银行汇票或转帐支票或现金支票，</w:t>
      </w:r>
      <w:r>
        <w:rPr>
          <w:rFonts w:hint="eastAsia" w:ascii="宋体" w:hAnsi="宋体" w:cs="宋体"/>
          <w:color w:val="auto"/>
          <w:szCs w:val="21"/>
          <w:highlight w:val="none"/>
        </w:rPr>
        <w:t>担保合同作为本合同附件。</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（3）双方约定的其他担保事项：</w:t>
      </w:r>
      <w:r>
        <w:rPr>
          <w:rFonts w:hint="eastAsia" w:ascii="宋体" w:hAnsi="宋体" w:cs="宋体"/>
          <w:color w:val="auto"/>
          <w:szCs w:val="21"/>
          <w:highlight w:val="none"/>
          <w:u w:val="single"/>
        </w:rPr>
        <w:t xml:space="preserve">         /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46．合同份数</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46.1双方约定合同副本份数：</w:t>
      </w:r>
      <w:r>
        <w:rPr>
          <w:rFonts w:hint="eastAsia" w:ascii="宋体" w:hAnsi="宋体" w:cs="宋体"/>
          <w:color w:val="auto"/>
          <w:szCs w:val="21"/>
          <w:highlight w:val="none"/>
          <w:u w:val="single"/>
        </w:rPr>
        <w:t>一式玖份，甲方柒份，乙方壹份，招标代理机构壹份。</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47．补充条款</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 xml:space="preserve"> 47.1合同双方确认，本合同及本合同约定的其它文件组成部分中的各项约定都是通过法定招标过程形成的合法成果，不存在与采购文件和成交供应商响应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47.2承包人必须按期如实支付工人的劳动工资，发包人有权监督承包人对工人工资的发放。如若发生因承包人拖欠民工工资导致民工到发包人处闹事，造成阻挠施工进度、扰乱发包人正常的工作秩序及校园环境，每发生一次，发包人有权扣罚承包人2.5%的履约保证金。并且由承包人承担由此造成的损失和责任，由此导致的工期拖延，发包人不顺延工期。</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47.3履约保证金分为三部分，其中履约担保金中40%作为质量担保，30%作为工期进度担保，剩余30%作为文明施工担保。</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47.4 主材的相关要求：乙方提供的施工材料必须全部符合绿色环保规定要求，不得使用任何三无产品。施工时，必须按照响应文件中确定的材料进行，未经甲方同意不得更换已确定的装修材料。</w:t>
      </w:r>
    </w:p>
    <w:p>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47.5结算审核费用由发包人、承包人按“浙价服（2009）84号”文件计取，其中核增额、超过5%以上的核减额产生的追加费用由承包人支付。审计机构对承包人提交的竣工结算报告进行审核时，承包人须根据发包人及审计机构的要求履行配合义务，因承包人不配合导致审计机构无法及时完成造价审核的，责任由承包人承担，承包人不得要求发包人承担逾期付款违约责任。</w:t>
      </w:r>
    </w:p>
    <w:p>
      <w:pPr>
        <w:spacing w:line="360" w:lineRule="auto"/>
        <w:ind w:firstLine="422" w:firstLineChars="200"/>
        <w:rPr>
          <w:rFonts w:hint="default" w:ascii="宋体" w:hAnsi="宋体" w:eastAsia="宋体" w:cs="宋体"/>
          <w:color w:val="auto"/>
          <w:szCs w:val="21"/>
          <w:highlight w:val="none"/>
          <w:u w:val="single"/>
          <w:lang w:val="en-US" w:eastAsia="zh-CN"/>
        </w:rPr>
      </w:pPr>
      <w:r>
        <w:rPr>
          <w:rFonts w:hint="eastAsia" w:ascii="宋体" w:hAnsi="宋体" w:eastAsia="宋体" w:cs="宋体"/>
          <w:b/>
          <w:bCs/>
          <w:color w:val="auto"/>
          <w:szCs w:val="21"/>
          <w:highlight w:val="none"/>
          <w:u w:val="single"/>
          <w:lang w:val="en-US" w:eastAsia="zh-CN"/>
        </w:rPr>
        <w:t>47.6开工前承包人提供的项目管理班子成员须经发包人审核同意。项目经理、施工员、安全员等必须符合投标书中的承诺，管理力量的配备不得低于投标文件中的承诺，否则视作承包人违约，发包人没收履约保证金。工程实施中，承包人提出更换管理人员，无论发包人是否同意，视作承包人违约，处5万元/人/次（发包人要求除外），同时拟更换的人员须经发包人书面同意。</w:t>
      </w:r>
    </w:p>
    <w:p>
      <w:pPr>
        <w:spacing w:line="360" w:lineRule="auto"/>
        <w:ind w:firstLine="420" w:firstLineChars="200"/>
        <w:rPr>
          <w:rFonts w:hint="eastAsia" w:ascii="宋体" w:hAnsi="宋体" w:eastAsia="宋体" w:cs="宋体"/>
          <w:color w:val="auto"/>
          <w:szCs w:val="21"/>
          <w:highlight w:val="none"/>
          <w:u w:val="single"/>
        </w:rPr>
      </w:pPr>
    </w:p>
    <w:p>
      <w:pPr>
        <w:spacing w:line="360" w:lineRule="auto"/>
        <w:ind w:firstLine="420" w:firstLineChars="200"/>
        <w:rPr>
          <w:rFonts w:hint="eastAsia" w:ascii="宋体" w:hAnsi="宋体" w:eastAsia="宋体" w:cs="宋体"/>
          <w:color w:val="auto"/>
          <w:szCs w:val="21"/>
          <w:highlight w:val="none"/>
          <w:u w:val="single"/>
        </w:rPr>
      </w:pPr>
    </w:p>
    <w:p>
      <w:pPr>
        <w:spacing w:line="360" w:lineRule="auto"/>
        <w:ind w:firstLine="420" w:firstLineChars="200"/>
        <w:rPr>
          <w:rFonts w:hint="eastAsia" w:ascii="宋体" w:hAnsi="宋体" w:eastAsia="宋体" w:cs="宋体"/>
          <w:color w:val="auto"/>
          <w:szCs w:val="21"/>
          <w:highlight w:val="none"/>
          <w:u w:val="single"/>
        </w:rPr>
      </w:pPr>
    </w:p>
    <w:p>
      <w:pPr>
        <w:spacing w:line="360" w:lineRule="auto"/>
        <w:ind w:firstLine="420" w:firstLineChars="200"/>
        <w:rPr>
          <w:rFonts w:hint="eastAsia" w:ascii="宋体" w:hAnsi="宋体" w:eastAsia="宋体" w:cs="宋体"/>
          <w:color w:val="auto"/>
          <w:szCs w:val="21"/>
          <w:highlight w:val="none"/>
          <w:u w:val="single"/>
        </w:rPr>
      </w:pPr>
    </w:p>
    <w:p>
      <w:pPr>
        <w:pStyle w:val="55"/>
        <w:jc w:val="center"/>
        <w:rPr>
          <w:rFonts w:ascii="宋体" w:hAnsi="宋体"/>
          <w:color w:val="auto"/>
          <w:sz w:val="21"/>
          <w:szCs w:val="21"/>
          <w:highlight w:val="none"/>
        </w:rPr>
      </w:pPr>
      <w:r>
        <w:rPr>
          <w:rFonts w:hint="eastAsia" w:ascii="宋体" w:hAnsi="宋体"/>
          <w:color w:val="auto"/>
          <w:sz w:val="21"/>
          <w:szCs w:val="21"/>
          <w:highlight w:val="none"/>
        </w:rPr>
        <w:br w:type="page"/>
      </w:r>
      <w:bookmarkStart w:id="92" w:name="_Toc28000"/>
      <w:bookmarkStart w:id="93" w:name="_Toc3589_WPSOffice_Level2"/>
      <w:r>
        <w:rPr>
          <w:rFonts w:hint="eastAsia" w:ascii="宋体" w:hAnsi="宋体"/>
          <w:color w:val="auto"/>
          <w:sz w:val="21"/>
          <w:szCs w:val="21"/>
          <w:highlight w:val="none"/>
        </w:rPr>
        <w:t>第四节合同附件</w:t>
      </w:r>
      <w:bookmarkEnd w:id="84"/>
      <w:bookmarkEnd w:id="85"/>
      <w:bookmarkEnd w:id="86"/>
      <w:bookmarkEnd w:id="92"/>
      <w:bookmarkEnd w:id="93"/>
      <w:r>
        <w:rPr>
          <w:rFonts w:hint="eastAsia" w:ascii="宋体" w:hAnsi="宋体"/>
          <w:color w:val="auto"/>
          <w:sz w:val="21"/>
          <w:szCs w:val="21"/>
          <w:highlight w:val="none"/>
        </w:rPr>
        <w:t xml:space="preserve"> </w:t>
      </w:r>
    </w:p>
    <w:p>
      <w:pPr>
        <w:pStyle w:val="54"/>
        <w:tabs>
          <w:tab w:val="left" w:pos="8100"/>
        </w:tabs>
        <w:ind w:left="0" w:right="77"/>
        <w:outlineLvl w:val="2"/>
        <w:rPr>
          <w:rFonts w:ascii="宋体" w:hAnsi="宋体" w:cs="宋体"/>
          <w:snapToGrid w:val="0"/>
          <w:color w:val="auto"/>
          <w:sz w:val="21"/>
          <w:szCs w:val="21"/>
          <w:highlight w:val="none"/>
        </w:rPr>
      </w:pPr>
      <w:bookmarkStart w:id="94" w:name="_Toc534620509"/>
      <w:bookmarkStart w:id="95" w:name="_Toc21100_WPSOffice_Level2"/>
      <w:bookmarkStart w:id="96" w:name="_Toc249091536"/>
      <w:r>
        <w:rPr>
          <w:rFonts w:hint="eastAsia" w:ascii="宋体" w:hAnsi="宋体" w:cs="宋体"/>
          <w:snapToGrid w:val="0"/>
          <w:color w:val="auto"/>
          <w:sz w:val="21"/>
          <w:szCs w:val="21"/>
          <w:highlight w:val="none"/>
        </w:rPr>
        <w:t>附件一：质量保修书</w:t>
      </w:r>
      <w:bookmarkEnd w:id="94"/>
      <w:bookmarkEnd w:id="95"/>
      <w:bookmarkEnd w:id="96"/>
      <w:r>
        <w:rPr>
          <w:rFonts w:hint="eastAsia" w:ascii="宋体" w:hAnsi="宋体" w:cs="宋体"/>
          <w:snapToGrid w:val="0"/>
          <w:color w:val="auto"/>
          <w:sz w:val="21"/>
          <w:szCs w:val="21"/>
          <w:highlight w:val="none"/>
        </w:rPr>
        <w:t xml:space="preserve"> </w:t>
      </w:r>
    </w:p>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房屋建筑工程质量保修书</w:t>
      </w:r>
    </w:p>
    <w:p>
      <w:pPr>
        <w:pStyle w:val="54"/>
        <w:tabs>
          <w:tab w:val="left" w:pos="7920"/>
          <w:tab w:val="left" w:pos="8640"/>
        </w:tabs>
        <w:ind w:left="0" w:right="720"/>
        <w:rPr>
          <w:rFonts w:ascii="宋体" w:hAnsi="宋体" w:cs="宋体"/>
          <w:color w:val="auto"/>
          <w:sz w:val="21"/>
          <w:szCs w:val="21"/>
          <w:highlight w:val="none"/>
        </w:rPr>
      </w:pPr>
      <w:r>
        <w:rPr>
          <w:rFonts w:hint="eastAsia" w:ascii="宋体" w:hAnsi="宋体" w:cs="宋体"/>
          <w:color w:val="auto"/>
          <w:sz w:val="21"/>
          <w:szCs w:val="21"/>
          <w:highlight w:val="none"/>
        </w:rPr>
        <w:t>发包人（全称）：</w:t>
      </w:r>
      <w:r>
        <w:rPr>
          <w:rFonts w:hint="eastAsia" w:ascii="宋体" w:hAnsi="宋体" w:cs="宋体"/>
          <w:color w:val="auto"/>
          <w:sz w:val="21"/>
          <w:szCs w:val="21"/>
          <w:highlight w:val="none"/>
          <w:u w:val="single"/>
        </w:rPr>
        <w:t>___浙江农林大学_____</w:t>
      </w:r>
    </w:p>
    <w:p>
      <w:pPr>
        <w:pStyle w:val="54"/>
        <w:tabs>
          <w:tab w:val="left" w:pos="7920"/>
          <w:tab w:val="left" w:pos="8640"/>
        </w:tabs>
        <w:ind w:left="0" w:right="720"/>
        <w:rPr>
          <w:rFonts w:ascii="宋体" w:hAnsi="宋体" w:cs="宋体"/>
          <w:color w:val="auto"/>
          <w:sz w:val="21"/>
          <w:szCs w:val="21"/>
          <w:highlight w:val="none"/>
        </w:rPr>
      </w:pPr>
      <w:r>
        <w:rPr>
          <w:rFonts w:hint="eastAsia" w:ascii="宋体" w:hAnsi="宋体" w:cs="宋体"/>
          <w:color w:val="auto"/>
          <w:sz w:val="21"/>
          <w:szCs w:val="21"/>
          <w:highlight w:val="none"/>
        </w:rPr>
        <w:t>承包人（全称）：</w:t>
      </w:r>
      <w:r>
        <w:rPr>
          <w:rFonts w:hint="eastAsia" w:ascii="宋体" w:hAnsi="宋体" w:cs="宋体"/>
          <w:color w:val="auto"/>
          <w:sz w:val="21"/>
          <w:szCs w:val="21"/>
          <w:highlight w:val="none"/>
          <w:u w:val="single"/>
        </w:rPr>
        <w:t>__                 ___</w:t>
      </w:r>
      <w:r>
        <w:rPr>
          <w:rFonts w:hint="eastAsia" w:ascii="宋体" w:hAnsi="宋体" w:cs="宋体"/>
          <w:color w:val="auto"/>
          <w:sz w:val="21"/>
          <w:szCs w:val="21"/>
          <w:highlight w:val="none"/>
        </w:rPr>
        <w:t>_</w:t>
      </w:r>
    </w:p>
    <w:p>
      <w:pPr>
        <w:pStyle w:val="54"/>
        <w:tabs>
          <w:tab w:val="left" w:pos="7920"/>
          <w:tab w:val="left" w:pos="8640"/>
        </w:tabs>
        <w:spacing w:before="0" w:after="0" w:line="480" w:lineRule="auto"/>
        <w:ind w:left="0" w:right="77"/>
        <w:rPr>
          <w:rFonts w:ascii="宋体" w:hAnsi="宋体" w:cs="宋体"/>
          <w:color w:val="auto"/>
          <w:sz w:val="21"/>
          <w:szCs w:val="21"/>
          <w:highlight w:val="none"/>
        </w:rPr>
      </w:pPr>
      <w:r>
        <w:rPr>
          <w:rFonts w:hint="eastAsia" w:ascii="宋体" w:hAnsi="宋体" w:cs="宋体"/>
          <w:color w:val="auto"/>
          <w:sz w:val="21"/>
          <w:szCs w:val="21"/>
          <w:highlight w:val="none"/>
        </w:rPr>
        <w:t>　　发包人、承包人根据《中华人民共和国建筑法》、《建设工程质量管理条例》和《房屋建筑工程质量保修办法》，经协商一致，对</w:t>
      </w:r>
      <w:r>
        <w:rPr>
          <w:rFonts w:hint="eastAsia" w:ascii="宋体" w:hAnsi="宋体" w:cs="宋体"/>
          <w:color w:val="auto"/>
          <w:sz w:val="21"/>
          <w:szCs w:val="21"/>
          <w:highlight w:val="none"/>
          <w:u w:val="single"/>
        </w:rPr>
        <w:t>_                                     __</w:t>
      </w:r>
      <w:r>
        <w:rPr>
          <w:rFonts w:hint="eastAsia" w:ascii="宋体" w:hAnsi="宋体" w:cs="宋体"/>
          <w:color w:val="auto"/>
          <w:sz w:val="21"/>
          <w:szCs w:val="21"/>
          <w:highlight w:val="none"/>
        </w:rPr>
        <w:t>（工程全称）签定工程质量保修书。</w:t>
      </w:r>
    </w:p>
    <w:p>
      <w:pPr>
        <w:pStyle w:val="54"/>
        <w:tabs>
          <w:tab w:val="left" w:pos="7920"/>
          <w:tab w:val="left" w:pos="8640"/>
        </w:tabs>
        <w:spacing w:before="0" w:after="0" w:line="480" w:lineRule="auto"/>
        <w:ind w:left="0" w:right="720"/>
        <w:rPr>
          <w:rFonts w:ascii="宋体" w:hAnsi="宋体" w:cs="宋体"/>
          <w:color w:val="auto"/>
          <w:sz w:val="21"/>
          <w:szCs w:val="21"/>
          <w:highlight w:val="none"/>
        </w:rPr>
      </w:pPr>
      <w:r>
        <w:rPr>
          <w:rFonts w:hint="eastAsia" w:ascii="宋体" w:hAnsi="宋体" w:cs="宋体"/>
          <w:color w:val="auto"/>
          <w:sz w:val="21"/>
          <w:szCs w:val="21"/>
          <w:highlight w:val="none"/>
        </w:rPr>
        <w:t>　　一、工程质量保修范围和内容</w:t>
      </w:r>
    </w:p>
    <w:p>
      <w:pPr>
        <w:pStyle w:val="54"/>
        <w:tabs>
          <w:tab w:val="left" w:pos="7920"/>
          <w:tab w:val="left" w:pos="8640"/>
        </w:tabs>
        <w:spacing w:before="0" w:after="0" w:line="480" w:lineRule="auto"/>
        <w:ind w:left="0" w:right="77" w:firstLine="420"/>
        <w:rPr>
          <w:rFonts w:ascii="宋体" w:hAnsi="宋体" w:cs="宋体"/>
          <w:color w:val="auto"/>
          <w:sz w:val="21"/>
          <w:szCs w:val="21"/>
          <w:highlight w:val="none"/>
        </w:rPr>
      </w:pPr>
      <w:r>
        <w:rPr>
          <w:rFonts w:hint="eastAsia" w:ascii="宋体" w:hAnsi="宋体" w:cs="宋体"/>
          <w:color w:val="auto"/>
          <w:sz w:val="21"/>
          <w:szCs w:val="21"/>
          <w:highlight w:val="none"/>
        </w:rPr>
        <w:t>承包人在质量保修期内，按照有关法律、法规、规章的管理规定和双方约定，承担本工程质量保修责任。</w:t>
      </w:r>
    </w:p>
    <w:p>
      <w:pPr>
        <w:pStyle w:val="54"/>
        <w:tabs>
          <w:tab w:val="left" w:pos="7920"/>
          <w:tab w:val="left" w:pos="8640"/>
        </w:tabs>
        <w:spacing w:before="0" w:after="0" w:line="480" w:lineRule="auto"/>
        <w:ind w:left="0" w:right="720" w:firstLine="420" w:firstLineChars="200"/>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保修范围为承包人所承包项目的全部内容。</w:t>
      </w:r>
    </w:p>
    <w:p>
      <w:pPr>
        <w:pStyle w:val="54"/>
        <w:tabs>
          <w:tab w:val="left" w:pos="7920"/>
          <w:tab w:val="left" w:pos="8640"/>
        </w:tabs>
        <w:spacing w:before="0" w:after="0" w:line="480" w:lineRule="auto"/>
        <w:ind w:left="0" w:right="720" w:firstLine="420"/>
        <w:rPr>
          <w:rFonts w:ascii="宋体" w:hAnsi="宋体" w:cs="宋体"/>
          <w:color w:val="auto"/>
          <w:sz w:val="21"/>
          <w:szCs w:val="21"/>
          <w:highlight w:val="none"/>
        </w:rPr>
      </w:pPr>
      <w:r>
        <w:rPr>
          <w:rFonts w:hint="eastAsia" w:ascii="宋体" w:hAnsi="宋体" w:cs="宋体"/>
          <w:color w:val="auto"/>
          <w:sz w:val="21"/>
          <w:szCs w:val="21"/>
          <w:highlight w:val="none"/>
        </w:rPr>
        <w:t>二、保修期</w:t>
      </w:r>
    </w:p>
    <w:p>
      <w:pPr>
        <w:pStyle w:val="54"/>
        <w:tabs>
          <w:tab w:val="left" w:pos="7920"/>
          <w:tab w:val="left" w:pos="8640"/>
        </w:tabs>
        <w:spacing w:before="0" w:after="0" w:line="480" w:lineRule="auto"/>
        <w:ind w:left="0" w:right="720"/>
        <w:rPr>
          <w:rFonts w:ascii="宋体" w:hAnsi="宋体" w:cs="宋体"/>
          <w:color w:val="auto"/>
          <w:sz w:val="21"/>
          <w:szCs w:val="21"/>
          <w:highlight w:val="none"/>
        </w:rPr>
      </w:pPr>
      <w:r>
        <w:rPr>
          <w:rFonts w:hint="eastAsia" w:ascii="宋体" w:hAnsi="宋体" w:cs="宋体"/>
          <w:color w:val="auto"/>
          <w:sz w:val="21"/>
          <w:szCs w:val="21"/>
          <w:highlight w:val="none"/>
        </w:rPr>
        <w:t>　　双方根据《建设工程质量管理条例》及有关规定，约定本工程的质量保修期如下：</w:t>
      </w:r>
    </w:p>
    <w:p>
      <w:pPr>
        <w:pStyle w:val="54"/>
        <w:tabs>
          <w:tab w:val="left" w:pos="7920"/>
          <w:tab w:val="left" w:pos="8640"/>
        </w:tabs>
        <w:spacing w:before="0" w:after="0" w:line="480" w:lineRule="auto"/>
        <w:ind w:left="0" w:right="720"/>
        <w:rPr>
          <w:rFonts w:ascii="宋体" w:hAnsi="宋体" w:cs="宋体"/>
          <w:color w:val="auto"/>
          <w:sz w:val="21"/>
          <w:szCs w:val="21"/>
          <w:highlight w:val="none"/>
        </w:rPr>
      </w:pPr>
      <w:r>
        <w:rPr>
          <w:rFonts w:hint="eastAsia" w:ascii="宋体" w:hAnsi="宋体" w:cs="宋体"/>
          <w:color w:val="auto"/>
          <w:sz w:val="21"/>
          <w:szCs w:val="21"/>
          <w:highlight w:val="none"/>
        </w:rPr>
        <w:t>　　1.屋面防水工程、房间和外墙面的防渗漏为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p>
    <w:p>
      <w:pPr>
        <w:pStyle w:val="54"/>
        <w:tabs>
          <w:tab w:val="left" w:pos="7920"/>
          <w:tab w:val="left" w:pos="8640"/>
        </w:tabs>
        <w:spacing w:before="0" w:after="0" w:line="480" w:lineRule="auto"/>
        <w:ind w:left="0" w:right="720" w:firstLine="420"/>
        <w:rPr>
          <w:rFonts w:ascii="宋体" w:hAnsi="宋体" w:cs="宋体"/>
          <w:color w:val="auto"/>
          <w:sz w:val="21"/>
          <w:szCs w:val="21"/>
          <w:highlight w:val="none"/>
          <w:u w:val="single"/>
        </w:rPr>
      </w:pPr>
      <w:r>
        <w:rPr>
          <w:rFonts w:hint="eastAsia" w:ascii="宋体" w:hAnsi="宋体" w:cs="宋体"/>
          <w:color w:val="auto"/>
          <w:sz w:val="21"/>
          <w:szCs w:val="21"/>
          <w:highlight w:val="none"/>
        </w:rPr>
        <w:t>2.其他项目保修期限约定如下：</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p>
    <w:p>
      <w:pPr>
        <w:pStyle w:val="54"/>
        <w:tabs>
          <w:tab w:val="left" w:pos="7768"/>
          <w:tab w:val="left" w:pos="7920"/>
          <w:tab w:val="left" w:pos="8640"/>
        </w:tabs>
        <w:snapToGrid w:val="0"/>
        <w:spacing w:before="0" w:after="0" w:line="480" w:lineRule="auto"/>
        <w:ind w:left="0" w:right="0"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质量保修期自工程竣工验收合格之日起计算。</w:t>
      </w:r>
    </w:p>
    <w:p>
      <w:pPr>
        <w:pStyle w:val="54"/>
        <w:tabs>
          <w:tab w:val="left" w:pos="7920"/>
          <w:tab w:val="left" w:pos="8640"/>
        </w:tabs>
        <w:spacing w:before="0" w:after="0" w:line="480" w:lineRule="auto"/>
        <w:ind w:left="0" w:right="720"/>
        <w:rPr>
          <w:rFonts w:ascii="宋体" w:hAnsi="宋体" w:cs="宋体"/>
          <w:color w:val="auto"/>
          <w:sz w:val="21"/>
          <w:szCs w:val="21"/>
          <w:highlight w:val="none"/>
        </w:rPr>
      </w:pPr>
      <w:r>
        <w:rPr>
          <w:rFonts w:hint="eastAsia" w:ascii="宋体" w:hAnsi="宋体" w:cs="宋体"/>
          <w:color w:val="auto"/>
          <w:sz w:val="21"/>
          <w:szCs w:val="21"/>
          <w:highlight w:val="none"/>
        </w:rPr>
        <w:t>　　三、质量保修责任</w:t>
      </w:r>
    </w:p>
    <w:p>
      <w:pPr>
        <w:pStyle w:val="54"/>
        <w:tabs>
          <w:tab w:val="left" w:pos="7920"/>
          <w:tab w:val="left" w:pos="8640"/>
        </w:tabs>
        <w:spacing w:before="0" w:after="0" w:line="480" w:lineRule="auto"/>
        <w:ind w:left="0" w:right="77" w:firstLine="420"/>
        <w:rPr>
          <w:rFonts w:ascii="宋体" w:hAnsi="宋体" w:cs="宋体"/>
          <w:color w:val="auto"/>
          <w:sz w:val="21"/>
          <w:szCs w:val="21"/>
          <w:highlight w:val="none"/>
        </w:rPr>
      </w:pPr>
      <w:r>
        <w:rPr>
          <w:rFonts w:hint="eastAsia" w:ascii="宋体" w:hAnsi="宋体" w:cs="宋体"/>
          <w:color w:val="auto"/>
          <w:sz w:val="21"/>
          <w:szCs w:val="21"/>
          <w:highlight w:val="none"/>
        </w:rPr>
        <w:t>⒈属于保修范围、内容的项目，承包人应当在接到保修通知之日起2天内派人保修。承包人不在约定期限内派人保修的，发包人可以委托他人修理，费用可直接从质保金中扣除。如质量保修金金额不足以支付工程保修及赔偿等费用，承包人应在接到发包人通知后15天内将差额补齐。</w:t>
      </w:r>
    </w:p>
    <w:p>
      <w:pPr>
        <w:pStyle w:val="54"/>
        <w:tabs>
          <w:tab w:val="left" w:pos="7920"/>
          <w:tab w:val="left" w:pos="8640"/>
        </w:tabs>
        <w:spacing w:before="0" w:after="0" w:line="480" w:lineRule="auto"/>
        <w:ind w:left="0" w:right="77" w:firstLine="420"/>
        <w:rPr>
          <w:rFonts w:ascii="宋体" w:hAnsi="宋体" w:cs="宋体"/>
          <w:color w:val="auto"/>
          <w:sz w:val="21"/>
          <w:szCs w:val="21"/>
          <w:highlight w:val="none"/>
        </w:rPr>
      </w:pPr>
      <w:r>
        <w:rPr>
          <w:rFonts w:hint="eastAsia" w:ascii="宋体" w:hAnsi="宋体" w:cs="宋体"/>
          <w:color w:val="auto"/>
          <w:sz w:val="21"/>
          <w:szCs w:val="21"/>
          <w:highlight w:val="none"/>
        </w:rPr>
        <w:t>⒉发生紧急抢修事故的，承包人在接到事故通知后，应当立即到达事故现场抢修。</w:t>
      </w:r>
    </w:p>
    <w:p>
      <w:pPr>
        <w:pStyle w:val="54"/>
        <w:tabs>
          <w:tab w:val="left" w:pos="7920"/>
          <w:tab w:val="left" w:pos="8640"/>
        </w:tabs>
        <w:spacing w:before="0" w:after="0" w:line="480" w:lineRule="auto"/>
        <w:ind w:left="0" w:right="77" w:firstLine="420"/>
        <w:rPr>
          <w:rFonts w:ascii="宋体" w:hAnsi="宋体" w:cs="宋体"/>
          <w:color w:val="auto"/>
          <w:sz w:val="21"/>
          <w:szCs w:val="21"/>
          <w:highlight w:val="none"/>
        </w:rPr>
      </w:pPr>
      <w:r>
        <w:rPr>
          <w:rFonts w:hint="eastAsia" w:ascii="宋体" w:hAnsi="宋体" w:cs="宋体"/>
          <w:color w:val="auto"/>
          <w:sz w:val="21"/>
          <w:szCs w:val="21"/>
          <w:highlight w:val="none"/>
        </w:rPr>
        <w:t>⒊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pStyle w:val="54"/>
        <w:tabs>
          <w:tab w:val="left" w:pos="7920"/>
          <w:tab w:val="left" w:pos="8640"/>
        </w:tabs>
        <w:spacing w:before="0" w:after="0" w:line="480" w:lineRule="auto"/>
        <w:ind w:left="0" w:right="77" w:firstLine="420"/>
        <w:rPr>
          <w:rFonts w:ascii="宋体" w:hAnsi="宋体" w:cs="宋体"/>
          <w:color w:val="auto"/>
          <w:sz w:val="21"/>
          <w:szCs w:val="21"/>
          <w:highlight w:val="none"/>
        </w:rPr>
      </w:pPr>
      <w:r>
        <w:rPr>
          <w:rFonts w:hint="eastAsia" w:ascii="宋体" w:hAnsi="宋体" w:cs="宋体"/>
          <w:color w:val="auto"/>
          <w:sz w:val="21"/>
          <w:szCs w:val="21"/>
          <w:highlight w:val="none"/>
        </w:rPr>
        <w:t>⒋质量保修完成后，由发包人组织验收。</w:t>
      </w:r>
    </w:p>
    <w:p>
      <w:pPr>
        <w:pStyle w:val="54"/>
        <w:tabs>
          <w:tab w:val="left" w:pos="7920"/>
          <w:tab w:val="left" w:pos="8640"/>
        </w:tabs>
        <w:spacing w:before="0" w:after="0" w:line="480" w:lineRule="auto"/>
        <w:ind w:left="0" w:right="720"/>
        <w:rPr>
          <w:rFonts w:ascii="宋体" w:hAnsi="宋体" w:cs="宋体"/>
          <w:color w:val="auto"/>
          <w:sz w:val="21"/>
          <w:szCs w:val="21"/>
          <w:highlight w:val="none"/>
        </w:rPr>
      </w:pPr>
      <w:r>
        <w:rPr>
          <w:rFonts w:hint="eastAsia" w:ascii="宋体" w:hAnsi="宋体" w:cs="宋体"/>
          <w:color w:val="auto"/>
          <w:sz w:val="21"/>
          <w:szCs w:val="21"/>
          <w:highlight w:val="none"/>
        </w:rPr>
        <w:t>　　四、保修费用</w:t>
      </w:r>
    </w:p>
    <w:p>
      <w:pPr>
        <w:pStyle w:val="54"/>
        <w:tabs>
          <w:tab w:val="left" w:pos="7920"/>
          <w:tab w:val="left" w:pos="8640"/>
        </w:tabs>
        <w:spacing w:before="0" w:after="0" w:line="480" w:lineRule="auto"/>
        <w:ind w:left="0" w:right="720"/>
        <w:rPr>
          <w:rFonts w:ascii="宋体" w:hAnsi="宋体" w:cs="宋体"/>
          <w:color w:val="auto"/>
          <w:sz w:val="21"/>
          <w:szCs w:val="21"/>
          <w:highlight w:val="none"/>
        </w:rPr>
      </w:pPr>
      <w:r>
        <w:rPr>
          <w:rFonts w:hint="eastAsia" w:ascii="宋体" w:hAnsi="宋体" w:cs="宋体"/>
          <w:color w:val="auto"/>
          <w:sz w:val="21"/>
          <w:szCs w:val="21"/>
          <w:highlight w:val="none"/>
        </w:rPr>
        <w:t>　　保修费用由造成质量缺陷的责任方承担。</w:t>
      </w:r>
    </w:p>
    <w:p>
      <w:pPr>
        <w:pStyle w:val="54"/>
        <w:tabs>
          <w:tab w:val="left" w:pos="7920"/>
          <w:tab w:val="left" w:pos="8640"/>
        </w:tabs>
        <w:spacing w:before="0" w:after="0" w:line="480" w:lineRule="auto"/>
        <w:ind w:left="0" w:right="720"/>
        <w:rPr>
          <w:rFonts w:ascii="宋体" w:hAnsi="宋体" w:cs="宋体"/>
          <w:color w:val="auto"/>
          <w:sz w:val="21"/>
          <w:szCs w:val="21"/>
          <w:highlight w:val="none"/>
        </w:rPr>
      </w:pPr>
      <w:r>
        <w:rPr>
          <w:rFonts w:hint="eastAsia" w:ascii="宋体" w:hAnsi="宋体" w:cs="宋体"/>
          <w:color w:val="auto"/>
          <w:sz w:val="21"/>
          <w:szCs w:val="21"/>
          <w:highlight w:val="none"/>
        </w:rPr>
        <w:t>　　五、其他</w:t>
      </w:r>
    </w:p>
    <w:p>
      <w:pPr>
        <w:pStyle w:val="54"/>
        <w:tabs>
          <w:tab w:val="left" w:pos="7920"/>
          <w:tab w:val="left" w:pos="8640"/>
        </w:tabs>
        <w:spacing w:before="0" w:after="0" w:line="480" w:lineRule="auto"/>
        <w:ind w:left="0" w:right="720" w:firstLine="420"/>
        <w:rPr>
          <w:rFonts w:ascii="宋体" w:hAnsi="宋体" w:cs="宋体"/>
          <w:color w:val="auto"/>
          <w:sz w:val="21"/>
          <w:szCs w:val="21"/>
          <w:highlight w:val="none"/>
          <w:u w:val="single"/>
        </w:rPr>
      </w:pPr>
      <w:r>
        <w:rPr>
          <w:rFonts w:hint="eastAsia" w:ascii="宋体" w:hAnsi="宋体" w:cs="宋体"/>
          <w:color w:val="auto"/>
          <w:sz w:val="21"/>
          <w:szCs w:val="21"/>
          <w:highlight w:val="none"/>
        </w:rPr>
        <w:t>双方约定的其他工程质量保修事项：</w:t>
      </w:r>
    </w:p>
    <w:p>
      <w:pPr>
        <w:pStyle w:val="54"/>
        <w:tabs>
          <w:tab w:val="left" w:pos="7920"/>
          <w:tab w:val="left" w:pos="8640"/>
        </w:tabs>
        <w:spacing w:before="0" w:after="0" w:line="480" w:lineRule="auto"/>
        <w:ind w:left="0" w:right="77" w:firstLine="420"/>
        <w:rPr>
          <w:rFonts w:ascii="宋体" w:hAnsi="宋体" w:cs="宋体"/>
          <w:color w:val="auto"/>
          <w:sz w:val="21"/>
          <w:szCs w:val="21"/>
          <w:highlight w:val="none"/>
        </w:rPr>
      </w:pPr>
      <w:r>
        <w:rPr>
          <w:rFonts w:hint="eastAsia" w:ascii="宋体" w:hAnsi="宋体" w:cs="宋体"/>
          <w:color w:val="auto"/>
          <w:sz w:val="21"/>
          <w:szCs w:val="21"/>
          <w:highlight w:val="none"/>
        </w:rPr>
        <w:t>本工程质量保修书，由施工合同发包人、承包人双方在竣工验收前共同签署，作为施工合同附件，其有效期限至保修期满。</w:t>
      </w:r>
    </w:p>
    <w:p>
      <w:pPr>
        <w:pStyle w:val="54"/>
        <w:tabs>
          <w:tab w:val="left" w:pos="8100"/>
        </w:tabs>
        <w:ind w:left="0" w:right="77"/>
        <w:rPr>
          <w:rFonts w:ascii="宋体" w:hAnsi="宋体" w:cs="宋体"/>
          <w:color w:val="auto"/>
          <w:sz w:val="21"/>
          <w:szCs w:val="21"/>
          <w:highlight w:val="none"/>
        </w:rPr>
      </w:pPr>
      <w:r>
        <w:rPr>
          <w:rFonts w:hint="eastAsia" w:ascii="宋体" w:hAnsi="宋体" w:cs="宋体"/>
          <w:color w:val="auto"/>
          <w:sz w:val="21"/>
          <w:szCs w:val="21"/>
          <w:highlight w:val="none"/>
        </w:rPr>
        <w:t>发　包　人（公章）：</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承　包　人（公章）：</w:t>
      </w:r>
    </w:p>
    <w:p>
      <w:pPr>
        <w:pStyle w:val="54"/>
        <w:ind w:left="0" w:right="720"/>
        <w:rPr>
          <w:rFonts w:ascii="宋体" w:hAnsi="宋体" w:cs="宋体"/>
          <w:color w:val="auto"/>
          <w:sz w:val="21"/>
          <w:szCs w:val="21"/>
          <w:highlight w:val="none"/>
        </w:rPr>
      </w:pPr>
      <w:r>
        <w:rPr>
          <w:rFonts w:hint="eastAsia" w:ascii="宋体" w:hAnsi="宋体" w:cs="宋体"/>
          <w:color w:val="auto"/>
          <w:sz w:val="21"/>
          <w:szCs w:val="21"/>
          <w:highlight w:val="none"/>
        </w:rPr>
        <w:t>法定地址：浙江农林大学东湖校区             法定地址：</w:t>
      </w:r>
    </w:p>
    <w:p>
      <w:pPr>
        <w:pStyle w:val="54"/>
        <w:ind w:left="0" w:right="77"/>
        <w:rPr>
          <w:rFonts w:ascii="宋体" w:hAnsi="宋体" w:cs="宋体"/>
          <w:color w:val="auto"/>
          <w:sz w:val="21"/>
          <w:szCs w:val="21"/>
          <w:highlight w:val="none"/>
          <w:u w:val="single"/>
        </w:rPr>
      </w:pPr>
      <w:r>
        <w:rPr>
          <w:rFonts w:hint="eastAsia" w:ascii="宋体" w:hAnsi="宋体" w:cs="宋体"/>
          <w:color w:val="auto"/>
          <w:sz w:val="21"/>
          <w:szCs w:val="21"/>
          <w:highlight w:val="none"/>
        </w:rPr>
        <w:t>法定代表人或其委托代理人：</w:t>
      </w:r>
      <w:r>
        <w:rPr>
          <w:rFonts w:hint="eastAsia" w:ascii="宋体" w:hAnsi="宋体" w:cs="宋体"/>
          <w:color w:val="auto"/>
          <w:sz w:val="21"/>
          <w:szCs w:val="21"/>
          <w:highlight w:val="none"/>
          <w:u w:val="single"/>
        </w:rPr>
        <w:t xml:space="preserve">（签字或盖章）   </w:t>
      </w:r>
      <w:r>
        <w:rPr>
          <w:rFonts w:hint="eastAsia" w:ascii="宋体" w:hAnsi="宋体" w:cs="宋体"/>
          <w:color w:val="auto"/>
          <w:sz w:val="21"/>
          <w:szCs w:val="21"/>
          <w:highlight w:val="none"/>
        </w:rPr>
        <w:t>法定代表人或其委托代理人：</w:t>
      </w:r>
      <w:r>
        <w:rPr>
          <w:rFonts w:hint="eastAsia" w:ascii="宋体" w:hAnsi="宋体" w:cs="宋体"/>
          <w:color w:val="auto"/>
          <w:sz w:val="21"/>
          <w:szCs w:val="21"/>
          <w:highlight w:val="none"/>
          <w:u w:val="single"/>
        </w:rPr>
        <w:t>（签字或盖章）</w:t>
      </w:r>
    </w:p>
    <w:p>
      <w:pPr>
        <w:pStyle w:val="54"/>
        <w:ind w:left="0" w:right="77"/>
        <w:rPr>
          <w:rFonts w:ascii="宋体" w:hAnsi="宋体" w:cs="宋体"/>
          <w:color w:val="auto"/>
          <w:sz w:val="21"/>
          <w:szCs w:val="21"/>
          <w:highlight w:val="none"/>
          <w:u w:val="single"/>
        </w:rPr>
      </w:pPr>
      <w:r>
        <w:rPr>
          <w:rFonts w:hint="eastAsia" w:ascii="宋体" w:hAnsi="宋体" w:cs="宋体"/>
          <w:color w:val="auto"/>
          <w:sz w:val="21"/>
          <w:szCs w:val="21"/>
          <w:highlight w:val="none"/>
        </w:rPr>
        <w:t>电话： 0571-63740768                       电话：</w:t>
      </w:r>
    </w:p>
    <w:p>
      <w:pPr>
        <w:pStyle w:val="54"/>
        <w:ind w:left="0" w:right="77"/>
        <w:rPr>
          <w:rFonts w:ascii="宋体" w:hAnsi="宋体" w:cs="宋体"/>
          <w:color w:val="auto"/>
          <w:sz w:val="21"/>
          <w:szCs w:val="21"/>
          <w:highlight w:val="none"/>
        </w:rPr>
      </w:pPr>
      <w:r>
        <w:rPr>
          <w:rFonts w:hint="eastAsia" w:ascii="宋体" w:hAnsi="宋体" w:cs="宋体"/>
          <w:color w:val="auto"/>
          <w:sz w:val="21"/>
          <w:szCs w:val="21"/>
          <w:highlight w:val="none"/>
        </w:rPr>
        <w:t>传真：                                     传真：</w:t>
      </w:r>
    </w:p>
    <w:p>
      <w:pPr>
        <w:pStyle w:val="54"/>
        <w:ind w:left="0" w:right="77"/>
        <w:rPr>
          <w:rFonts w:ascii="宋体" w:hAnsi="宋体" w:cs="宋体"/>
          <w:color w:val="auto"/>
          <w:sz w:val="21"/>
          <w:szCs w:val="21"/>
          <w:highlight w:val="none"/>
          <w:u w:val="single"/>
        </w:rPr>
      </w:pPr>
      <w:r>
        <w:rPr>
          <w:rFonts w:hint="eastAsia" w:ascii="宋体" w:hAnsi="宋体" w:cs="宋体"/>
          <w:color w:val="auto"/>
          <w:sz w:val="21"/>
          <w:szCs w:val="21"/>
          <w:highlight w:val="none"/>
        </w:rPr>
        <w:t>电子邮箱：                                 电子邮箱：</w:t>
      </w:r>
    </w:p>
    <w:p>
      <w:pPr>
        <w:pStyle w:val="54"/>
        <w:ind w:left="0" w:right="77"/>
        <w:rPr>
          <w:rFonts w:ascii="宋体" w:hAnsi="宋体" w:cs="宋体"/>
          <w:color w:val="auto"/>
          <w:sz w:val="21"/>
          <w:szCs w:val="21"/>
          <w:highlight w:val="none"/>
        </w:rPr>
      </w:pPr>
      <w:r>
        <w:rPr>
          <w:rFonts w:hint="eastAsia" w:ascii="宋体" w:hAnsi="宋体" w:cs="宋体"/>
          <w:color w:val="auto"/>
          <w:sz w:val="21"/>
          <w:szCs w:val="21"/>
          <w:highlight w:val="none"/>
        </w:rPr>
        <w:t>开户银行：建行临安市支行营业部             开户银行：</w:t>
      </w:r>
    </w:p>
    <w:p>
      <w:pPr>
        <w:pStyle w:val="54"/>
        <w:ind w:left="0" w:right="77"/>
        <w:rPr>
          <w:rFonts w:ascii="宋体" w:hAnsi="宋体" w:cs="宋体"/>
          <w:color w:val="auto"/>
          <w:sz w:val="21"/>
          <w:szCs w:val="21"/>
          <w:highlight w:val="none"/>
        </w:rPr>
      </w:pPr>
      <w:r>
        <w:rPr>
          <w:rFonts w:hint="eastAsia" w:ascii="宋体" w:hAnsi="宋体" w:cs="宋体"/>
          <w:color w:val="auto"/>
          <w:sz w:val="21"/>
          <w:szCs w:val="21"/>
          <w:highlight w:val="none"/>
        </w:rPr>
        <w:t>帐号：3300 1617 3350 5001 8761             帐号：</w:t>
      </w:r>
    </w:p>
    <w:p>
      <w:pPr>
        <w:pStyle w:val="54"/>
        <w:ind w:left="0" w:right="720"/>
        <w:rPr>
          <w:rFonts w:ascii="宋体" w:hAnsi="宋体" w:cs="宋体"/>
          <w:color w:val="auto"/>
          <w:sz w:val="21"/>
          <w:szCs w:val="21"/>
          <w:highlight w:val="none"/>
        </w:rPr>
      </w:pPr>
      <w:r>
        <w:rPr>
          <w:rFonts w:hint="eastAsia" w:ascii="宋体" w:hAnsi="宋体" w:cs="宋体"/>
          <w:color w:val="auto"/>
          <w:sz w:val="21"/>
          <w:szCs w:val="21"/>
          <w:highlight w:val="none"/>
        </w:rPr>
        <w:t>邮政编码：311300                           邮政编码：</w:t>
      </w:r>
    </w:p>
    <w:p>
      <w:pPr>
        <w:pStyle w:val="54"/>
        <w:ind w:left="0" w:right="720"/>
        <w:rPr>
          <w:rFonts w:ascii="宋体" w:hAnsi="宋体" w:cs="宋体"/>
          <w:color w:val="auto"/>
          <w:sz w:val="21"/>
          <w:szCs w:val="21"/>
          <w:highlight w:val="none"/>
        </w:rPr>
      </w:pPr>
      <w:r>
        <w:rPr>
          <w:rFonts w:hint="eastAsia" w:ascii="宋体" w:hAnsi="宋体" w:cs="宋体"/>
          <w:color w:val="auto"/>
          <w:sz w:val="21"/>
          <w:szCs w:val="21"/>
          <w:highlight w:val="none"/>
        </w:rPr>
        <w:t>　　　年　月　日　　　　　　　　　　                            　年　月　日</w:t>
      </w:r>
    </w:p>
    <w:p>
      <w:pPr>
        <w:pStyle w:val="56"/>
        <w:numPr>
          <w:ilvl w:val="0"/>
          <w:numId w:val="0"/>
        </w:numPr>
        <w:rPr>
          <w:rFonts w:ascii="宋体" w:hAnsi="宋体" w:eastAsia="宋体"/>
          <w:b w:val="0"/>
          <w:snapToGrid w:val="0"/>
          <w:color w:val="auto"/>
          <w:sz w:val="21"/>
          <w:szCs w:val="21"/>
          <w:highlight w:val="none"/>
        </w:rPr>
      </w:pPr>
      <w:r>
        <w:rPr>
          <w:rFonts w:hint="eastAsia" w:ascii="宋体" w:hAnsi="宋体" w:eastAsia="宋体"/>
          <w:color w:val="auto"/>
          <w:sz w:val="21"/>
          <w:szCs w:val="21"/>
          <w:highlight w:val="none"/>
        </w:rPr>
        <w:br w:type="page"/>
      </w:r>
      <w:bookmarkStart w:id="97" w:name="_Toc31436_WPSOffice_Level2"/>
      <w:r>
        <w:rPr>
          <w:rFonts w:hint="eastAsia" w:ascii="宋体" w:hAnsi="宋体" w:eastAsia="宋体"/>
          <w:b w:val="0"/>
          <w:snapToGrid w:val="0"/>
          <w:color w:val="auto"/>
          <w:sz w:val="21"/>
          <w:szCs w:val="21"/>
          <w:highlight w:val="none"/>
        </w:rPr>
        <w:t>附件二：廉政协议书</w:t>
      </w:r>
      <w:bookmarkEnd w:id="97"/>
    </w:p>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廉政协议书</w:t>
      </w:r>
    </w:p>
    <w:p>
      <w:pPr>
        <w:rPr>
          <w:rFonts w:ascii="宋体" w:hAnsi="宋体" w:cs="宋体"/>
          <w:color w:val="auto"/>
          <w:szCs w:val="21"/>
          <w:highlight w:val="none"/>
        </w:rPr>
      </w:pPr>
    </w:p>
    <w:p>
      <w:pPr>
        <w:rPr>
          <w:rFonts w:ascii="宋体" w:hAnsi="宋体" w:cs="宋体"/>
          <w:color w:val="auto"/>
          <w:szCs w:val="21"/>
          <w:highlight w:val="none"/>
          <w:u w:val="single"/>
        </w:rPr>
      </w:pPr>
      <w:r>
        <w:rPr>
          <w:rFonts w:hint="eastAsia" w:ascii="宋体" w:hAnsi="宋体" w:cs="宋体"/>
          <w:color w:val="auto"/>
          <w:szCs w:val="21"/>
          <w:highlight w:val="none"/>
        </w:rPr>
        <w:t>建设单位（甲方）：</w:t>
      </w:r>
      <w:r>
        <w:rPr>
          <w:rFonts w:hint="eastAsia" w:ascii="宋体" w:hAnsi="宋体" w:cs="宋体"/>
          <w:color w:val="auto"/>
          <w:szCs w:val="21"/>
          <w:highlight w:val="none"/>
          <w:u w:val="single"/>
        </w:rPr>
        <w:t>浙江农林大学</w:t>
      </w:r>
    </w:p>
    <w:p>
      <w:pPr>
        <w:rPr>
          <w:rFonts w:ascii="宋体" w:hAnsi="宋体" w:cs="宋体"/>
          <w:color w:val="auto"/>
          <w:szCs w:val="21"/>
          <w:highlight w:val="none"/>
        </w:rPr>
      </w:pPr>
      <w:r>
        <w:rPr>
          <w:rFonts w:hint="eastAsia" w:ascii="宋体" w:hAnsi="宋体" w:cs="宋体"/>
          <w:color w:val="auto"/>
          <w:szCs w:val="21"/>
          <w:highlight w:val="none"/>
        </w:rPr>
        <w:t xml:space="preserve">施工单位（乙方）： </w:t>
      </w:r>
    </w:p>
    <w:p>
      <w:pPr>
        <w:ind w:firstLine="420" w:firstLineChars="200"/>
        <w:rPr>
          <w:rFonts w:ascii="宋体" w:hAnsi="宋体" w:cs="宋体"/>
          <w:color w:val="auto"/>
          <w:szCs w:val="21"/>
          <w:highlight w:val="none"/>
        </w:rPr>
      </w:pP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为加强工程建设中的廉政建设，规范工程建设项目甲乙双方的各项活动，防止发生各种谋取不正当利益的违法违纪行为，保护国家、集体和当事人的合法权益，根据国家有关工程建设的法律法规和廉政建设责任制规定，特订立本廉政协议书。</w:t>
      </w:r>
    </w:p>
    <w:p>
      <w:pPr>
        <w:rPr>
          <w:rFonts w:ascii="宋体" w:hAnsi="宋体" w:cs="宋体"/>
          <w:b/>
          <w:bCs/>
          <w:color w:val="auto"/>
          <w:szCs w:val="21"/>
          <w:highlight w:val="none"/>
        </w:rPr>
      </w:pPr>
      <w:r>
        <w:rPr>
          <w:rFonts w:hint="eastAsia" w:ascii="宋体" w:hAnsi="宋体" w:cs="宋体"/>
          <w:b/>
          <w:bCs/>
          <w:color w:val="auto"/>
          <w:szCs w:val="21"/>
          <w:highlight w:val="none"/>
        </w:rPr>
        <w:t>第一条　甲乙双方的责任</w:t>
      </w:r>
    </w:p>
    <w:p>
      <w:pPr>
        <w:rPr>
          <w:rFonts w:ascii="宋体" w:hAnsi="宋体" w:cs="宋体"/>
          <w:color w:val="auto"/>
          <w:szCs w:val="21"/>
          <w:highlight w:val="none"/>
        </w:rPr>
      </w:pPr>
      <w:r>
        <w:rPr>
          <w:rFonts w:hint="eastAsia" w:ascii="宋体" w:hAnsi="宋体" w:cs="宋体"/>
          <w:color w:val="auto"/>
          <w:szCs w:val="21"/>
          <w:highlight w:val="none"/>
        </w:rPr>
        <w:t>（一）应严格遵守国家关于市场准入、项目招标投标、工程建设、施工安装和市场活动等有关法律、法规，相关政策，以及廉政建设的各项规定。</w:t>
      </w:r>
    </w:p>
    <w:p>
      <w:pPr>
        <w:rPr>
          <w:rFonts w:ascii="宋体" w:hAnsi="宋体" w:cs="宋体"/>
          <w:color w:val="auto"/>
          <w:szCs w:val="21"/>
          <w:highlight w:val="none"/>
        </w:rPr>
      </w:pPr>
      <w:r>
        <w:rPr>
          <w:rFonts w:hint="eastAsia" w:ascii="宋体" w:hAnsi="宋体" w:cs="宋体"/>
          <w:color w:val="auto"/>
          <w:szCs w:val="21"/>
          <w:highlight w:val="none"/>
        </w:rPr>
        <w:t>（二）严格执行建设工程项目施工合同文件，自觉履行合同的约定。</w:t>
      </w:r>
    </w:p>
    <w:p>
      <w:pPr>
        <w:rPr>
          <w:rFonts w:ascii="宋体" w:hAnsi="宋体" w:cs="宋体"/>
          <w:color w:val="auto"/>
          <w:szCs w:val="21"/>
          <w:highlight w:val="none"/>
        </w:rPr>
      </w:pPr>
      <w:r>
        <w:rPr>
          <w:rFonts w:hint="eastAsia" w:ascii="宋体" w:hAnsi="宋体" w:cs="宋体"/>
          <w:color w:val="auto"/>
          <w:szCs w:val="21"/>
          <w:highlight w:val="none"/>
        </w:rPr>
        <w:t>（三）工程建设的业务活动必须坚持公平、公正、公开、诚信、透明的原则（除法律法规另有规定者外），不得为获取不正当的利益而损害国家、集体和对方利益；不得违反工程建设管理、施工安装的规章制度。</w:t>
      </w:r>
    </w:p>
    <w:p>
      <w:pPr>
        <w:rPr>
          <w:rFonts w:ascii="宋体" w:hAnsi="宋体" w:cs="宋体"/>
          <w:color w:val="auto"/>
          <w:szCs w:val="21"/>
          <w:highlight w:val="none"/>
        </w:rPr>
      </w:pPr>
      <w:r>
        <w:rPr>
          <w:rFonts w:hint="eastAsia" w:ascii="宋体" w:hAnsi="宋体" w:cs="宋体"/>
          <w:color w:val="auto"/>
          <w:szCs w:val="21"/>
          <w:highlight w:val="none"/>
        </w:rPr>
        <w:t>（四）发现对方在工程建设业务活动中有违规、违纪、违法行为的，应及时纠正对方，情节严重的，应向其上级主管部门或院校纪检监察、司法等有关机关举报。</w:t>
      </w:r>
    </w:p>
    <w:p>
      <w:pPr>
        <w:rPr>
          <w:rFonts w:ascii="宋体" w:hAnsi="宋体" w:cs="宋体"/>
          <w:b/>
          <w:bCs/>
          <w:color w:val="auto"/>
          <w:szCs w:val="21"/>
          <w:highlight w:val="none"/>
        </w:rPr>
      </w:pPr>
      <w:r>
        <w:rPr>
          <w:rFonts w:hint="eastAsia" w:ascii="宋体" w:hAnsi="宋体" w:cs="宋体"/>
          <w:b/>
          <w:bCs/>
          <w:color w:val="auto"/>
          <w:szCs w:val="21"/>
          <w:highlight w:val="none"/>
        </w:rPr>
        <w:t>第二条　甲方的责任</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甲方的领导和从事该工程建设项目的管理部门及工作人员，在工程建设业务活动的事前、事中、事后应遵守以下规定：</w:t>
      </w:r>
    </w:p>
    <w:p>
      <w:pPr>
        <w:rPr>
          <w:rFonts w:ascii="宋体" w:hAnsi="宋体" w:cs="宋体"/>
          <w:color w:val="auto"/>
          <w:szCs w:val="21"/>
          <w:highlight w:val="none"/>
        </w:rPr>
      </w:pPr>
      <w:r>
        <w:rPr>
          <w:rFonts w:hint="eastAsia" w:ascii="宋体" w:hAnsi="宋体" w:cs="宋体"/>
          <w:color w:val="auto"/>
          <w:szCs w:val="21"/>
          <w:highlight w:val="none"/>
        </w:rPr>
        <w:t>（一）不准向乙方和相关单位索要或接受回扣、礼金、有价证券、贵重物品和好处费、感谢费等。</w:t>
      </w:r>
    </w:p>
    <w:p>
      <w:pPr>
        <w:rPr>
          <w:rFonts w:ascii="宋体" w:hAnsi="宋体" w:cs="宋体"/>
          <w:color w:val="auto"/>
          <w:szCs w:val="21"/>
          <w:highlight w:val="none"/>
        </w:rPr>
      </w:pPr>
      <w:r>
        <w:rPr>
          <w:rFonts w:hint="eastAsia" w:ascii="宋体" w:hAnsi="宋体" w:cs="宋体"/>
          <w:color w:val="auto"/>
          <w:szCs w:val="21"/>
          <w:highlight w:val="none"/>
        </w:rPr>
        <w:t>（二）不准在乙方和相关单位报销任何应由甲方或个人支付的费用。</w:t>
      </w:r>
    </w:p>
    <w:p>
      <w:pPr>
        <w:rPr>
          <w:rFonts w:ascii="宋体" w:hAnsi="宋体" w:cs="宋体"/>
          <w:color w:val="auto"/>
          <w:szCs w:val="21"/>
          <w:highlight w:val="none"/>
        </w:rPr>
      </w:pPr>
      <w:r>
        <w:rPr>
          <w:rFonts w:hint="eastAsia" w:ascii="宋体" w:hAnsi="宋体" w:cs="宋体"/>
          <w:color w:val="auto"/>
          <w:szCs w:val="21"/>
          <w:highlight w:val="none"/>
        </w:rPr>
        <w:t>（三）不准要求、暗示和接受乙方和相关单位为个人装修住房、婚丧嫁娶、配偶子女的工作安排以及出国（境）、旅游等提供方便。</w:t>
      </w:r>
    </w:p>
    <w:p>
      <w:pPr>
        <w:rPr>
          <w:rFonts w:ascii="宋体" w:hAnsi="宋体" w:cs="宋体"/>
          <w:color w:val="auto"/>
          <w:szCs w:val="21"/>
          <w:highlight w:val="none"/>
        </w:rPr>
      </w:pPr>
      <w:r>
        <w:rPr>
          <w:rFonts w:hint="eastAsia" w:ascii="宋体" w:hAnsi="宋体" w:cs="宋体"/>
          <w:color w:val="auto"/>
          <w:szCs w:val="21"/>
          <w:highlight w:val="none"/>
        </w:rPr>
        <w:t>（四）不准参加有可能影响公正执行公务的乙方和相关单位的宴请和健身、娱乐等活动。</w:t>
      </w:r>
    </w:p>
    <w:p>
      <w:pPr>
        <w:rPr>
          <w:rFonts w:ascii="宋体" w:hAnsi="宋体" w:cs="宋体"/>
          <w:color w:val="auto"/>
          <w:szCs w:val="21"/>
          <w:highlight w:val="none"/>
        </w:rPr>
      </w:pPr>
      <w:r>
        <w:rPr>
          <w:rFonts w:hint="eastAsia" w:ascii="宋体" w:hAnsi="宋体" w:cs="宋体"/>
          <w:color w:val="auto"/>
          <w:szCs w:val="21"/>
          <w:highlight w:val="none"/>
        </w:rPr>
        <w:t>（五）不准向乙方推介或为配偶、子女、亲属参与同甲方项目工程施工合同有关的设备、材料、工程分包、劳务等经济活动。不得以任何理由向乙方和相关单位推荐分包单位和要求乙方购买项目工程施工合同规定以外的材料、设备等。</w:t>
      </w:r>
    </w:p>
    <w:p>
      <w:pPr>
        <w:rPr>
          <w:rFonts w:ascii="宋体" w:hAnsi="宋体" w:cs="宋体"/>
          <w:b/>
          <w:bCs/>
          <w:color w:val="auto"/>
          <w:szCs w:val="21"/>
          <w:highlight w:val="none"/>
        </w:rPr>
      </w:pPr>
      <w:r>
        <w:rPr>
          <w:rFonts w:hint="eastAsia" w:ascii="宋体" w:hAnsi="宋体" w:cs="宋体"/>
          <w:b/>
          <w:bCs/>
          <w:color w:val="auto"/>
          <w:szCs w:val="21"/>
          <w:highlight w:val="none"/>
        </w:rPr>
        <w:t>第三条　乙方的责任</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应与甲方保持正常的业务交往，按照有关法律法规和程序开展业务工作，严格执行工程建设的有关方针、政策，尤其是有关建筑施工安装的强制性标准和规范，并遵守以下规定：</w:t>
      </w:r>
    </w:p>
    <w:p>
      <w:pPr>
        <w:rPr>
          <w:rFonts w:ascii="宋体" w:hAnsi="宋体" w:cs="宋体"/>
          <w:color w:val="auto"/>
          <w:szCs w:val="21"/>
          <w:highlight w:val="none"/>
        </w:rPr>
      </w:pPr>
      <w:r>
        <w:rPr>
          <w:rFonts w:hint="eastAsia" w:ascii="宋体" w:hAnsi="宋体" w:cs="宋体"/>
          <w:color w:val="auto"/>
          <w:szCs w:val="21"/>
          <w:highlight w:val="none"/>
        </w:rPr>
        <w:t>（一）不准以任何理由向甲方、相关单位及其工作人员赠送礼金、有价证券、贵重物品和回扣、好处费、感谢费等。</w:t>
      </w:r>
    </w:p>
    <w:p>
      <w:pPr>
        <w:rPr>
          <w:rFonts w:ascii="宋体" w:hAnsi="宋体" w:cs="宋体"/>
          <w:color w:val="auto"/>
          <w:szCs w:val="21"/>
          <w:highlight w:val="none"/>
        </w:rPr>
      </w:pPr>
      <w:r>
        <w:rPr>
          <w:rFonts w:hint="eastAsia" w:ascii="宋体" w:hAnsi="宋体" w:cs="宋体"/>
          <w:color w:val="auto"/>
          <w:szCs w:val="21"/>
          <w:highlight w:val="none"/>
        </w:rPr>
        <w:t>（二）不准以任何理由为甲方和相关单位报销应由对方或个人支付的费用。</w:t>
      </w:r>
    </w:p>
    <w:p>
      <w:pPr>
        <w:rPr>
          <w:rFonts w:ascii="宋体" w:hAnsi="宋体" w:cs="宋体"/>
          <w:color w:val="auto"/>
          <w:szCs w:val="21"/>
          <w:highlight w:val="none"/>
        </w:rPr>
      </w:pPr>
      <w:r>
        <w:rPr>
          <w:rFonts w:hint="eastAsia" w:ascii="宋体" w:hAnsi="宋体" w:cs="宋体"/>
          <w:color w:val="auto"/>
          <w:szCs w:val="21"/>
          <w:highlight w:val="none"/>
        </w:rPr>
        <w:t>（三）不准接受或暗示为甲方、相关单位或个人装修住房、婚丧嫁娶、配偶子女的工作安排以及出国（境）、旅游等提供方便。</w:t>
      </w:r>
    </w:p>
    <w:p>
      <w:pPr>
        <w:rPr>
          <w:rFonts w:ascii="宋体" w:hAnsi="宋体" w:cs="宋体"/>
          <w:color w:val="auto"/>
          <w:szCs w:val="21"/>
          <w:highlight w:val="none"/>
        </w:rPr>
      </w:pPr>
      <w:r>
        <w:rPr>
          <w:rFonts w:hint="eastAsia" w:ascii="宋体" w:hAnsi="宋体" w:cs="宋体"/>
          <w:color w:val="auto"/>
          <w:szCs w:val="21"/>
          <w:highlight w:val="none"/>
        </w:rPr>
        <w:t>（四）不准以任何理由为甲方、相关单位或个人组织有可能影响公正执行公务的宴请、健身、娱乐等活动。</w:t>
      </w:r>
    </w:p>
    <w:p>
      <w:pPr>
        <w:rPr>
          <w:rFonts w:ascii="宋体" w:hAnsi="宋体" w:cs="宋体"/>
          <w:b/>
          <w:bCs/>
          <w:color w:val="auto"/>
          <w:szCs w:val="21"/>
          <w:highlight w:val="none"/>
        </w:rPr>
      </w:pPr>
      <w:r>
        <w:rPr>
          <w:rFonts w:hint="eastAsia" w:ascii="宋体" w:hAnsi="宋体" w:cs="宋体"/>
          <w:b/>
          <w:bCs/>
          <w:color w:val="auto"/>
          <w:szCs w:val="21"/>
          <w:highlight w:val="none"/>
        </w:rPr>
        <w:t>第四条　违约责任</w:t>
      </w:r>
    </w:p>
    <w:p>
      <w:pPr>
        <w:rPr>
          <w:rFonts w:ascii="宋体" w:hAnsi="宋体" w:cs="宋体"/>
          <w:color w:val="auto"/>
          <w:szCs w:val="21"/>
          <w:highlight w:val="none"/>
        </w:rPr>
      </w:pPr>
      <w:r>
        <w:rPr>
          <w:rFonts w:hint="eastAsia" w:ascii="宋体" w:hAnsi="宋体" w:cs="宋体"/>
          <w:color w:val="auto"/>
          <w:szCs w:val="21"/>
          <w:highlight w:val="none"/>
        </w:rPr>
        <w:t>（一）甲方及其工作人员有违反本协议书第一、二条责任行为的，按照管理权限，依据有关法律法规和规定，给予党纪、政纪处分或组织处理；涉嫌犯罪的，移交司法机关追究刑事责任。</w:t>
      </w:r>
    </w:p>
    <w:p>
      <w:pPr>
        <w:rPr>
          <w:rFonts w:ascii="宋体" w:hAnsi="宋体" w:cs="宋体"/>
          <w:color w:val="auto"/>
          <w:szCs w:val="21"/>
          <w:highlight w:val="none"/>
        </w:rPr>
      </w:pPr>
      <w:r>
        <w:rPr>
          <w:rFonts w:hint="eastAsia" w:ascii="宋体" w:hAnsi="宋体" w:cs="宋体"/>
          <w:color w:val="auto"/>
          <w:szCs w:val="21"/>
          <w:highlight w:val="none"/>
        </w:rPr>
        <w:t>（二）乙方及其工作人员有违反本协议书第一、三条责任行为的，按照管理权限，依据有关法律法规和规定，给予党纪、政纪处分或组织处理；涉嫌犯罪的，移交司法机关追究刑事责任。</w:t>
      </w:r>
    </w:p>
    <w:p>
      <w:pPr>
        <w:rPr>
          <w:rFonts w:ascii="宋体" w:hAnsi="宋体" w:cs="宋体"/>
          <w:b/>
          <w:bCs/>
          <w:color w:val="auto"/>
          <w:szCs w:val="21"/>
          <w:highlight w:val="none"/>
        </w:rPr>
      </w:pPr>
      <w:r>
        <w:rPr>
          <w:rFonts w:hint="eastAsia" w:ascii="宋体" w:hAnsi="宋体" w:cs="宋体"/>
          <w:b/>
          <w:bCs/>
          <w:color w:val="auto"/>
          <w:szCs w:val="21"/>
          <w:highlight w:val="none"/>
        </w:rPr>
        <w:t>第五条　本协议书作为工程建设施工合同的附件，与工程建设施工合同具有同等法律效力。经双方签署后立即生效。</w:t>
      </w:r>
    </w:p>
    <w:p>
      <w:pPr>
        <w:rPr>
          <w:rFonts w:ascii="宋体" w:hAnsi="宋体" w:cs="宋体"/>
          <w:b/>
          <w:bCs/>
          <w:color w:val="auto"/>
          <w:szCs w:val="21"/>
          <w:highlight w:val="none"/>
        </w:rPr>
      </w:pPr>
      <w:r>
        <w:rPr>
          <w:rFonts w:hint="eastAsia" w:ascii="宋体" w:hAnsi="宋体" w:cs="宋体"/>
          <w:b/>
          <w:bCs/>
          <w:color w:val="auto"/>
          <w:szCs w:val="21"/>
          <w:highlight w:val="none"/>
        </w:rPr>
        <w:t>第六条　本协议书的有效期为双方签署之日起至该工程项目竣工验收合格时止。</w:t>
      </w:r>
    </w:p>
    <w:p>
      <w:pPr>
        <w:rPr>
          <w:rFonts w:ascii="宋体" w:hAnsi="宋体" w:cs="宋体"/>
          <w:b/>
          <w:bCs/>
          <w:color w:val="auto"/>
          <w:szCs w:val="21"/>
          <w:highlight w:val="none"/>
        </w:rPr>
      </w:pPr>
      <w:r>
        <w:rPr>
          <w:rFonts w:hint="eastAsia" w:ascii="宋体" w:hAnsi="宋体" w:cs="宋体"/>
          <w:b/>
          <w:bCs/>
          <w:color w:val="auto"/>
          <w:szCs w:val="21"/>
          <w:highlight w:val="none"/>
        </w:rPr>
        <w:t>第七条　本协议书一式四份，由甲乙双方各执一份，送交双方监督单位各一份。</w:t>
      </w:r>
    </w:p>
    <w:p>
      <w:pPr>
        <w:rPr>
          <w:rFonts w:ascii="宋体" w:hAnsi="宋体" w:cs="宋体"/>
          <w:b/>
          <w:bCs/>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r>
        <w:rPr>
          <w:rFonts w:hint="eastAsia" w:ascii="宋体" w:hAnsi="宋体" w:cs="宋体"/>
          <w:color w:val="auto"/>
          <w:szCs w:val="21"/>
          <w:highlight w:val="none"/>
        </w:rPr>
        <w:t>甲方单位：（盖章）                               乙方单位：（盖章）</w:t>
      </w: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r>
        <w:rPr>
          <w:rFonts w:hint="eastAsia" w:ascii="宋体" w:hAnsi="宋体" w:cs="宋体"/>
          <w:color w:val="auto"/>
          <w:szCs w:val="21"/>
          <w:highlight w:val="none"/>
        </w:rPr>
        <w:t>法定代表人或其委托代理人：                        法定代表人或其委托代理人：</w:t>
      </w:r>
    </w:p>
    <w:p>
      <w:pPr>
        <w:rPr>
          <w:rFonts w:ascii="宋体" w:hAnsi="宋体" w:cs="宋体"/>
          <w:color w:val="auto"/>
          <w:szCs w:val="21"/>
          <w:highlight w:val="none"/>
        </w:rPr>
      </w:pPr>
    </w:p>
    <w:p>
      <w:pPr>
        <w:rPr>
          <w:rFonts w:ascii="宋体" w:hAnsi="宋体" w:cs="宋体"/>
          <w:color w:val="auto"/>
          <w:szCs w:val="21"/>
          <w:highlight w:val="none"/>
        </w:rPr>
      </w:pPr>
    </w:p>
    <w:p>
      <w:pPr>
        <w:spacing w:line="288" w:lineRule="auto"/>
        <w:rPr>
          <w:rFonts w:ascii="宋体" w:hAnsi="宋体" w:cs="宋体"/>
          <w:color w:val="auto"/>
          <w:szCs w:val="21"/>
          <w:highlight w:val="none"/>
        </w:rPr>
        <w:sectPr>
          <w:pgSz w:w="11900" w:h="16838"/>
          <w:pgMar w:top="1440" w:right="1440" w:bottom="158" w:left="1440" w:header="567" w:footer="567" w:gutter="0"/>
          <w:cols w:equalWidth="0" w:num="1">
            <w:col w:w="9026"/>
          </w:cols>
        </w:sectPr>
      </w:pPr>
      <w:r>
        <w:rPr>
          <w:rFonts w:hint="eastAsia" w:ascii="宋体" w:hAnsi="宋体" w:cs="宋体"/>
          <w:color w:val="auto"/>
          <w:szCs w:val="21"/>
          <w:highlight w:val="none"/>
        </w:rPr>
        <w:t>年　月　日                                             年　月　日</w:t>
      </w:r>
    </w:p>
    <w:p>
      <w:pPr>
        <w:tabs>
          <w:tab w:val="left" w:pos="300"/>
        </w:tabs>
        <w:spacing w:line="366" w:lineRule="exact"/>
        <w:jc w:val="center"/>
        <w:outlineLvl w:val="0"/>
        <w:rPr>
          <w:rFonts w:ascii="宋体" w:hAnsi="宋体" w:cs="宋体"/>
          <w:b/>
          <w:bCs/>
          <w:color w:val="auto"/>
          <w:sz w:val="32"/>
          <w:szCs w:val="32"/>
          <w:highlight w:val="none"/>
        </w:rPr>
      </w:pPr>
      <w:bookmarkStart w:id="98" w:name="_Toc12050_WPSOffice_Level1"/>
      <w:bookmarkStart w:id="99" w:name="_Toc954"/>
      <w:r>
        <w:rPr>
          <w:rFonts w:hint="eastAsia" w:ascii="宋体" w:hAnsi="宋体" w:cs="宋体"/>
          <w:b/>
          <w:bCs/>
          <w:color w:val="auto"/>
          <w:sz w:val="32"/>
          <w:szCs w:val="32"/>
          <w:highlight w:val="none"/>
        </w:rPr>
        <w:t>第六章  响应文件格式</w:t>
      </w:r>
      <w:bookmarkEnd w:id="98"/>
      <w:bookmarkEnd w:id="99"/>
    </w:p>
    <w:p>
      <w:pPr>
        <w:spacing w:line="256" w:lineRule="exact"/>
        <w:rPr>
          <w:rFonts w:ascii="宋体" w:hAnsi="宋体" w:cs="宋体"/>
          <w:color w:val="auto"/>
          <w:sz w:val="20"/>
          <w:szCs w:val="20"/>
          <w:highlight w:val="none"/>
        </w:rPr>
      </w:pPr>
    </w:p>
    <w:p>
      <w:pPr>
        <w:spacing w:line="240" w:lineRule="exact"/>
        <w:ind w:right="-13"/>
        <w:jc w:val="center"/>
        <w:rPr>
          <w:rFonts w:ascii="宋体" w:hAnsi="宋体" w:cs="宋体"/>
          <w:color w:val="auto"/>
          <w:sz w:val="20"/>
          <w:szCs w:val="20"/>
          <w:highlight w:val="none"/>
        </w:rPr>
      </w:pPr>
      <w:bookmarkStart w:id="100" w:name="_Toc23816_WPSOffice_Level2"/>
      <w:bookmarkStart w:id="101" w:name="_Toc20282_WPSOffice_Level2"/>
      <w:r>
        <w:rPr>
          <w:rFonts w:hint="eastAsia" w:ascii="宋体" w:hAnsi="宋体" w:cs="宋体"/>
          <w:color w:val="auto"/>
          <w:szCs w:val="21"/>
          <w:highlight w:val="none"/>
        </w:rPr>
        <w:t>（未提供格式的由供应商自拟）</w:t>
      </w:r>
      <w:bookmarkEnd w:id="100"/>
      <w:bookmarkEnd w:id="101"/>
    </w:p>
    <w:p>
      <w:pPr>
        <w:tabs>
          <w:tab w:val="left" w:pos="300"/>
        </w:tabs>
        <w:spacing w:line="366" w:lineRule="exact"/>
        <w:jc w:val="center"/>
        <w:rPr>
          <w:rFonts w:ascii="宋体" w:hAnsi="宋体" w:cs="宋体"/>
          <w:b/>
          <w:bCs/>
          <w:color w:val="auto"/>
          <w:sz w:val="32"/>
          <w:szCs w:val="32"/>
          <w:highlight w:val="none"/>
        </w:rPr>
      </w:pPr>
    </w:p>
    <w:p>
      <w:pPr>
        <w:pStyle w:val="8"/>
        <w:rPr>
          <w:rFonts w:ascii="宋体" w:hAnsi="宋体" w:cs="宋体"/>
          <w:color w:val="auto"/>
          <w:highlight w:val="none"/>
        </w:rPr>
      </w:pPr>
    </w:p>
    <w:p>
      <w:pPr>
        <w:spacing w:line="320" w:lineRule="exact"/>
        <w:ind w:left="360"/>
        <w:rPr>
          <w:rFonts w:ascii="宋体" w:hAnsi="宋体" w:cs="宋体"/>
          <w:color w:val="auto"/>
          <w:sz w:val="20"/>
          <w:szCs w:val="20"/>
          <w:highlight w:val="none"/>
        </w:rPr>
      </w:pPr>
      <w:bookmarkStart w:id="102" w:name="_Toc22347_WPSOffice_Level2"/>
      <w:r>
        <w:rPr>
          <w:rFonts w:hint="eastAsia" w:ascii="宋体" w:hAnsi="宋体" w:cs="宋体"/>
          <w:color w:val="auto"/>
          <w:sz w:val="28"/>
          <w:szCs w:val="28"/>
          <w:highlight w:val="none"/>
        </w:rPr>
        <w:t>外包装封面</w:t>
      </w:r>
      <w:bookmarkEnd w:id="102"/>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308" w:lineRule="exact"/>
        <w:rPr>
          <w:rFonts w:ascii="宋体" w:hAnsi="宋体" w:cs="宋体"/>
          <w:color w:val="auto"/>
          <w:sz w:val="20"/>
          <w:szCs w:val="20"/>
          <w:highlight w:val="none"/>
        </w:rPr>
      </w:pPr>
    </w:p>
    <w:p>
      <w:pPr>
        <w:spacing w:line="320" w:lineRule="exact"/>
        <w:ind w:left="1340"/>
        <w:rPr>
          <w:rFonts w:ascii="宋体" w:hAnsi="宋体" w:cs="宋体"/>
          <w:color w:val="auto"/>
          <w:sz w:val="20"/>
          <w:szCs w:val="20"/>
          <w:highlight w:val="none"/>
        </w:rPr>
      </w:pPr>
      <w:bookmarkStart w:id="103" w:name="_Toc10074_WPSOffice_Level2"/>
      <w:r>
        <w:rPr>
          <w:rFonts w:hint="eastAsia" w:ascii="宋体" w:hAnsi="宋体" w:cs="宋体"/>
          <w:color w:val="auto"/>
          <w:sz w:val="28"/>
          <w:szCs w:val="28"/>
          <w:highlight w:val="none"/>
        </w:rPr>
        <w:t>项目名称：</w:t>
      </w:r>
      <w:bookmarkEnd w:id="103"/>
    </w:p>
    <w:p>
      <w:pPr>
        <w:spacing w:line="20" w:lineRule="exact"/>
        <w:rPr>
          <w:rFonts w:ascii="宋体" w:hAnsi="宋体" w:cs="宋体"/>
          <w:color w:val="auto"/>
          <w:sz w:val="20"/>
          <w:szCs w:val="20"/>
          <w:highlight w:val="none"/>
        </w:rPr>
      </w:pPr>
      <w:r>
        <w:rPr>
          <w:rFonts w:ascii="宋体" w:hAnsi="宋体" w:cs="宋体"/>
          <w:color w:val="auto"/>
          <w:highlight w:val="none"/>
        </w:rPr>
        <w:pict>
          <v:line id="_x0000_s1035" o:spid="_x0000_s1035" o:spt="20" style="position:absolute;left:0pt;margin-left:136.95pt;margin-top:0.05pt;height:0pt;width:287.1pt;z-index:-1024;mso-width-relative:page;mso-height-relative:page;" filled="t" coordsize="21600,21600" o:allowincell="f">
            <v:path arrowok="t"/>
            <v:fill on="t" focussize="0,0"/>
            <v:stroke weight="1.08pt" joinstyle="miter"/>
            <v:imagedata o:title=""/>
            <o:lock v:ext="edit"/>
          </v:line>
        </w:pict>
      </w: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88" w:lineRule="exact"/>
        <w:rPr>
          <w:rFonts w:ascii="宋体" w:hAnsi="宋体" w:cs="宋体"/>
          <w:color w:val="auto"/>
          <w:sz w:val="20"/>
          <w:szCs w:val="20"/>
          <w:highlight w:val="none"/>
        </w:rPr>
      </w:pPr>
    </w:p>
    <w:p>
      <w:pPr>
        <w:spacing w:line="320" w:lineRule="exact"/>
        <w:ind w:left="1340"/>
        <w:rPr>
          <w:rFonts w:ascii="宋体" w:hAnsi="宋体" w:cs="宋体"/>
          <w:color w:val="auto"/>
          <w:sz w:val="20"/>
          <w:szCs w:val="20"/>
          <w:highlight w:val="none"/>
        </w:rPr>
      </w:pPr>
      <w:bookmarkStart w:id="104" w:name="_Toc27691_WPSOffice_Level2"/>
      <w:r>
        <w:rPr>
          <w:rFonts w:hint="eastAsia" w:ascii="宋体" w:hAnsi="宋体" w:cs="宋体"/>
          <w:color w:val="auto"/>
          <w:sz w:val="28"/>
          <w:szCs w:val="28"/>
          <w:highlight w:val="none"/>
        </w:rPr>
        <w:t>项目编号：</w:t>
      </w:r>
      <w:bookmarkEnd w:id="104"/>
    </w:p>
    <w:p>
      <w:pPr>
        <w:spacing w:line="20" w:lineRule="exact"/>
        <w:rPr>
          <w:rFonts w:ascii="宋体" w:hAnsi="宋体" w:cs="宋体"/>
          <w:color w:val="auto"/>
          <w:sz w:val="20"/>
          <w:szCs w:val="20"/>
          <w:highlight w:val="none"/>
        </w:rPr>
      </w:pPr>
      <w:r>
        <w:rPr>
          <w:rFonts w:ascii="宋体" w:hAnsi="宋体" w:cs="宋体"/>
          <w:color w:val="auto"/>
          <w:highlight w:val="none"/>
        </w:rPr>
        <w:pict>
          <v:line id="_x0000_s1036" o:spid="_x0000_s1036" o:spt="20" style="position:absolute;left:0pt;margin-left:136.95pt;margin-top:0.05pt;height:0pt;width:287.1pt;z-index:-1024;mso-width-relative:page;mso-height-relative:page;" filled="t" coordsize="21600,21600" o:allowincell="f">
            <v:path arrowok="t"/>
            <v:fill on="t" focussize="0,0"/>
            <v:stroke weight="1.08pt" joinstyle="miter"/>
            <v:imagedata o:title=""/>
            <o:lock v:ext="edit"/>
          </v:line>
        </w:pict>
      </w: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25" w:lineRule="exact"/>
        <w:rPr>
          <w:rFonts w:ascii="宋体" w:hAnsi="宋体" w:cs="宋体"/>
          <w:color w:val="auto"/>
          <w:sz w:val="20"/>
          <w:szCs w:val="20"/>
          <w:highlight w:val="none"/>
        </w:rPr>
      </w:pPr>
    </w:p>
    <w:p>
      <w:pPr>
        <w:spacing w:line="822" w:lineRule="exact"/>
        <w:ind w:right="-33"/>
        <w:jc w:val="center"/>
        <w:rPr>
          <w:rFonts w:ascii="宋体" w:hAnsi="宋体" w:cs="宋体"/>
          <w:color w:val="auto"/>
          <w:sz w:val="20"/>
          <w:szCs w:val="20"/>
          <w:highlight w:val="none"/>
        </w:rPr>
      </w:pPr>
      <w:r>
        <w:rPr>
          <w:rFonts w:hint="eastAsia" w:ascii="宋体" w:hAnsi="宋体" w:cs="宋体"/>
          <w:color w:val="auto"/>
          <w:sz w:val="72"/>
          <w:szCs w:val="72"/>
          <w:highlight w:val="none"/>
        </w:rPr>
        <w:t>投 标 文 件</w:t>
      </w:r>
    </w:p>
    <w:p>
      <w:pPr>
        <w:spacing w:line="200" w:lineRule="exact"/>
        <w:rPr>
          <w:rFonts w:ascii="宋体" w:hAnsi="宋体" w:cs="宋体"/>
          <w:color w:val="auto"/>
          <w:sz w:val="20"/>
          <w:szCs w:val="20"/>
          <w:highlight w:val="none"/>
        </w:rPr>
      </w:pPr>
    </w:p>
    <w:p>
      <w:pPr>
        <w:spacing w:line="381" w:lineRule="exact"/>
        <w:rPr>
          <w:rFonts w:ascii="宋体" w:hAnsi="宋体" w:cs="宋体"/>
          <w:color w:val="auto"/>
          <w:sz w:val="20"/>
          <w:szCs w:val="20"/>
          <w:highlight w:val="none"/>
        </w:rPr>
      </w:pPr>
    </w:p>
    <w:p>
      <w:pPr>
        <w:spacing w:line="822" w:lineRule="exact"/>
        <w:ind w:right="-33"/>
        <w:jc w:val="center"/>
        <w:rPr>
          <w:rFonts w:ascii="宋体" w:hAnsi="宋体" w:cs="宋体"/>
          <w:color w:val="auto"/>
          <w:sz w:val="20"/>
          <w:szCs w:val="20"/>
          <w:highlight w:val="none"/>
        </w:rPr>
      </w:pPr>
      <w:r>
        <w:rPr>
          <w:rFonts w:hint="eastAsia" w:ascii="宋体" w:hAnsi="宋体" w:cs="宋体"/>
          <w:color w:val="auto"/>
          <w:sz w:val="72"/>
          <w:szCs w:val="72"/>
          <w:highlight w:val="none"/>
        </w:rPr>
        <w:t>（报价、商务技术文件）</w:t>
      </w: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67" w:lineRule="exact"/>
        <w:rPr>
          <w:rFonts w:ascii="宋体" w:hAnsi="宋体" w:cs="宋体"/>
          <w:color w:val="auto"/>
          <w:sz w:val="20"/>
          <w:szCs w:val="20"/>
          <w:highlight w:val="none"/>
        </w:rPr>
      </w:pPr>
    </w:p>
    <w:p>
      <w:pPr>
        <w:tabs>
          <w:tab w:val="left" w:pos="5880"/>
        </w:tabs>
        <w:spacing w:line="320" w:lineRule="exact"/>
        <w:ind w:left="1140"/>
        <w:jc w:val="both"/>
        <w:rPr>
          <w:rFonts w:ascii="宋体" w:hAnsi="宋体" w:cs="宋体"/>
          <w:color w:val="auto"/>
          <w:sz w:val="20"/>
          <w:szCs w:val="20"/>
          <w:highlight w:val="none"/>
        </w:rPr>
      </w:pPr>
      <w:bookmarkStart w:id="105" w:name="_Toc15720_WPSOffice_Level2"/>
      <w:r>
        <w:rPr>
          <w:rFonts w:hint="eastAsia" w:ascii="宋体" w:hAnsi="宋体" w:cs="宋体"/>
          <w:color w:val="auto"/>
          <w:sz w:val="28"/>
          <w:szCs w:val="28"/>
          <w:highlight w:val="none"/>
        </w:rPr>
        <w:t>供应商：</w:t>
      </w:r>
      <w:r>
        <w:rPr>
          <w:rFonts w:hint="eastAsia" w:ascii="宋体" w:hAnsi="宋体" w:cs="宋体"/>
          <w:color w:val="auto"/>
          <w:sz w:val="20"/>
          <w:szCs w:val="20"/>
          <w:highlight w:val="none"/>
        </w:rPr>
        <w:tab/>
      </w:r>
      <w:r>
        <w:rPr>
          <w:rFonts w:hint="eastAsia" w:ascii="宋体" w:hAnsi="宋体" w:cs="宋体"/>
          <w:color w:val="auto"/>
          <w:sz w:val="28"/>
          <w:szCs w:val="28"/>
          <w:highlight w:val="none"/>
        </w:rPr>
        <w:t>（盖单位公章）</w:t>
      </w:r>
      <w:bookmarkEnd w:id="105"/>
    </w:p>
    <w:p>
      <w:pPr>
        <w:spacing w:line="20" w:lineRule="exact"/>
        <w:rPr>
          <w:rFonts w:ascii="宋体" w:hAnsi="宋体" w:cs="宋体"/>
          <w:color w:val="auto"/>
          <w:sz w:val="20"/>
          <w:szCs w:val="20"/>
          <w:highlight w:val="none"/>
        </w:rPr>
      </w:pPr>
      <w:r>
        <w:rPr>
          <w:rFonts w:ascii="宋体" w:hAnsi="宋体" w:cs="宋体"/>
          <w:color w:val="auto"/>
          <w:highlight w:val="none"/>
        </w:rPr>
        <w:pict>
          <v:line id="_x0000_s1037" o:spid="_x0000_s1037" o:spt="20" style="position:absolute;left:0pt;margin-left:112.6pt;margin-top:0.05pt;height:0pt;width:182.05pt;z-index:-1024;mso-width-relative:page;mso-height-relative:page;" filled="t" coordsize="21600,21600" o:allowincell="f">
            <v:path arrowok="t"/>
            <v:fill on="t" focussize="0,0"/>
            <v:stroke weight="1.08pt" joinstyle="miter"/>
            <v:imagedata o:title=""/>
            <o:lock v:ext="edit"/>
          </v:line>
        </w:pict>
      </w:r>
    </w:p>
    <w:p>
      <w:pPr>
        <w:spacing w:line="205" w:lineRule="exact"/>
        <w:rPr>
          <w:rFonts w:ascii="宋体" w:hAnsi="宋体" w:cs="宋体"/>
          <w:color w:val="auto"/>
          <w:sz w:val="20"/>
          <w:szCs w:val="20"/>
          <w:highlight w:val="none"/>
        </w:rPr>
      </w:pPr>
    </w:p>
    <w:p>
      <w:pPr>
        <w:tabs>
          <w:tab w:val="left" w:pos="5460"/>
        </w:tabs>
        <w:spacing w:line="320" w:lineRule="exact"/>
        <w:ind w:left="1140"/>
        <w:rPr>
          <w:rFonts w:ascii="宋体" w:hAnsi="宋体" w:cs="宋体"/>
          <w:color w:val="auto"/>
          <w:sz w:val="20"/>
          <w:szCs w:val="20"/>
          <w:highlight w:val="none"/>
        </w:rPr>
      </w:pPr>
      <w:bookmarkStart w:id="106" w:name="_Toc28306_WPSOffice_Level2"/>
      <w:r>
        <w:rPr>
          <w:rFonts w:hint="eastAsia" w:ascii="宋体" w:hAnsi="宋体" w:cs="宋体"/>
          <w:color w:val="auto"/>
          <w:sz w:val="28"/>
          <w:szCs w:val="28"/>
          <w:highlight w:val="none"/>
        </w:rPr>
        <w:t>响应文件签署人：</w:t>
      </w:r>
      <w:r>
        <w:rPr>
          <w:rFonts w:hint="eastAsia" w:ascii="宋体" w:hAnsi="宋体" w:cs="宋体"/>
          <w:color w:val="auto"/>
          <w:sz w:val="20"/>
          <w:szCs w:val="20"/>
          <w:highlight w:val="none"/>
        </w:rPr>
        <w:tab/>
      </w:r>
      <w:r>
        <w:rPr>
          <w:rFonts w:hint="eastAsia" w:ascii="宋体" w:hAnsi="宋体" w:cs="宋体"/>
          <w:color w:val="auto"/>
          <w:sz w:val="28"/>
          <w:szCs w:val="28"/>
          <w:highlight w:val="none"/>
        </w:rPr>
        <w:t>（签字或盖章）</w:t>
      </w:r>
      <w:bookmarkEnd w:id="106"/>
    </w:p>
    <w:p>
      <w:pPr>
        <w:spacing w:line="20" w:lineRule="exact"/>
        <w:rPr>
          <w:rFonts w:ascii="宋体" w:hAnsi="宋体" w:cs="宋体"/>
          <w:color w:val="auto"/>
          <w:sz w:val="20"/>
          <w:szCs w:val="20"/>
          <w:highlight w:val="none"/>
        </w:rPr>
      </w:pPr>
      <w:r>
        <w:rPr>
          <w:rFonts w:ascii="宋体" w:hAnsi="宋体" w:cs="宋体"/>
          <w:color w:val="auto"/>
          <w:highlight w:val="none"/>
        </w:rPr>
        <w:pict>
          <v:line id="_x0000_s1038" o:spid="_x0000_s1038" o:spt="20" style="position:absolute;left:0pt;margin-left:168.65pt;margin-top:0.05pt;height:0pt;width:105pt;z-index:-1024;mso-width-relative:page;mso-height-relative:page;" filled="t" coordsize="21600,21600" o:allowincell="f">
            <v:path arrowok="t"/>
            <v:fill on="t" focussize="0,0"/>
            <v:stroke weight="1.08pt" joinstyle="miter"/>
            <v:imagedata o:title=""/>
            <o:lock v:ext="edit"/>
          </v:line>
        </w:pict>
      </w: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88" w:lineRule="exact"/>
        <w:rPr>
          <w:rFonts w:ascii="宋体" w:hAnsi="宋体" w:cs="宋体"/>
          <w:color w:val="auto"/>
          <w:sz w:val="20"/>
          <w:szCs w:val="20"/>
          <w:highlight w:val="none"/>
        </w:rPr>
      </w:pPr>
    </w:p>
    <w:p>
      <w:pPr>
        <w:tabs>
          <w:tab w:val="left" w:pos="4600"/>
          <w:tab w:val="left" w:pos="5300"/>
        </w:tabs>
        <w:spacing w:line="320" w:lineRule="exact"/>
        <w:ind w:left="3920"/>
        <w:rPr>
          <w:rFonts w:ascii="宋体" w:hAnsi="宋体" w:cs="宋体"/>
          <w:color w:val="auto"/>
          <w:sz w:val="20"/>
          <w:szCs w:val="20"/>
          <w:highlight w:val="none"/>
        </w:rPr>
      </w:pPr>
      <w:bookmarkStart w:id="107" w:name="_Toc8356_WPSOffice_Level2"/>
      <w:r>
        <w:rPr>
          <w:rFonts w:hint="eastAsia" w:ascii="宋体" w:hAnsi="宋体" w:cs="宋体"/>
          <w:color w:val="auto"/>
          <w:sz w:val="28"/>
          <w:szCs w:val="28"/>
          <w:highlight w:val="none"/>
        </w:rPr>
        <w:t>年</w:t>
      </w:r>
      <w:r>
        <w:rPr>
          <w:rFonts w:hint="eastAsia" w:ascii="宋体" w:hAnsi="宋体" w:cs="宋体"/>
          <w:color w:val="auto"/>
          <w:sz w:val="28"/>
          <w:szCs w:val="28"/>
          <w:highlight w:val="none"/>
        </w:rPr>
        <w:tab/>
      </w:r>
      <w:r>
        <w:rPr>
          <w:rFonts w:hint="eastAsia" w:ascii="宋体" w:hAnsi="宋体" w:cs="宋体"/>
          <w:color w:val="auto"/>
          <w:sz w:val="28"/>
          <w:szCs w:val="28"/>
          <w:highlight w:val="none"/>
        </w:rPr>
        <w:t>月</w:t>
      </w:r>
      <w:r>
        <w:rPr>
          <w:rFonts w:hint="eastAsia" w:ascii="宋体" w:hAnsi="宋体" w:cs="宋体"/>
          <w:color w:val="auto"/>
          <w:sz w:val="28"/>
          <w:szCs w:val="28"/>
          <w:highlight w:val="none"/>
        </w:rPr>
        <w:tab/>
      </w:r>
      <w:r>
        <w:rPr>
          <w:rFonts w:hint="eastAsia" w:ascii="宋体" w:hAnsi="宋体" w:cs="宋体"/>
          <w:color w:val="auto"/>
          <w:sz w:val="28"/>
          <w:szCs w:val="28"/>
          <w:highlight w:val="none"/>
        </w:rPr>
        <w:t>日</w:t>
      </w:r>
      <w:bookmarkEnd w:id="107"/>
    </w:p>
    <w:p>
      <w:pPr>
        <w:rPr>
          <w:rFonts w:ascii="宋体" w:hAnsi="宋体" w:cs="宋体"/>
          <w:color w:val="auto"/>
          <w:highlight w:val="none"/>
        </w:rPr>
        <w:sectPr>
          <w:pgSz w:w="11900" w:h="16838"/>
          <w:pgMar w:top="1440" w:right="1440" w:bottom="158" w:left="1440" w:header="567" w:footer="567" w:gutter="0"/>
          <w:cols w:equalWidth="0" w:num="1">
            <w:col w:w="9026"/>
          </w:cols>
        </w:sectPr>
      </w:pPr>
    </w:p>
    <w:p>
      <w:pPr>
        <w:tabs>
          <w:tab w:val="left" w:pos="300"/>
        </w:tabs>
        <w:spacing w:line="366" w:lineRule="exact"/>
        <w:jc w:val="center"/>
        <w:rPr>
          <w:rFonts w:ascii="宋体" w:hAnsi="宋体" w:cs="宋体"/>
          <w:b/>
          <w:bCs/>
          <w:color w:val="auto"/>
          <w:sz w:val="32"/>
          <w:szCs w:val="32"/>
          <w:highlight w:val="none"/>
        </w:rPr>
      </w:pPr>
    </w:p>
    <w:p>
      <w:pPr>
        <w:spacing w:line="168" w:lineRule="exact"/>
        <w:rPr>
          <w:rFonts w:ascii="宋体" w:hAnsi="宋体" w:cs="宋体"/>
          <w:color w:val="auto"/>
          <w:sz w:val="20"/>
          <w:szCs w:val="20"/>
          <w:highlight w:val="none"/>
        </w:rPr>
      </w:pPr>
    </w:p>
    <w:p>
      <w:pPr>
        <w:spacing w:line="320" w:lineRule="exact"/>
        <w:ind w:left="360"/>
        <w:rPr>
          <w:rFonts w:ascii="宋体" w:hAnsi="宋体" w:cs="宋体"/>
          <w:color w:val="auto"/>
          <w:sz w:val="20"/>
          <w:szCs w:val="20"/>
          <w:highlight w:val="none"/>
        </w:rPr>
      </w:pPr>
      <w:bookmarkStart w:id="108" w:name="_Toc23848_WPSOffice_Level2"/>
      <w:r>
        <w:rPr>
          <w:rFonts w:hint="eastAsia" w:ascii="宋体" w:hAnsi="宋体" w:cs="宋体"/>
          <w:color w:val="auto"/>
          <w:sz w:val="28"/>
          <w:szCs w:val="28"/>
          <w:highlight w:val="none"/>
        </w:rPr>
        <w:t>报价文件封面</w:t>
      </w:r>
      <w:bookmarkEnd w:id="108"/>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308" w:lineRule="exact"/>
        <w:rPr>
          <w:rFonts w:ascii="宋体" w:hAnsi="宋体" w:cs="宋体"/>
          <w:color w:val="auto"/>
          <w:sz w:val="20"/>
          <w:szCs w:val="20"/>
          <w:highlight w:val="none"/>
        </w:rPr>
      </w:pPr>
    </w:p>
    <w:p>
      <w:pPr>
        <w:spacing w:line="320" w:lineRule="exact"/>
        <w:ind w:left="1340"/>
        <w:rPr>
          <w:rFonts w:ascii="宋体" w:hAnsi="宋体" w:cs="宋体"/>
          <w:color w:val="auto"/>
          <w:sz w:val="20"/>
          <w:szCs w:val="20"/>
          <w:highlight w:val="none"/>
        </w:rPr>
      </w:pPr>
      <w:bookmarkStart w:id="109" w:name="_Toc1313_WPSOffice_Level2"/>
      <w:r>
        <w:rPr>
          <w:rFonts w:hint="eastAsia" w:ascii="宋体" w:hAnsi="宋体" w:cs="宋体"/>
          <w:color w:val="auto"/>
          <w:sz w:val="28"/>
          <w:szCs w:val="28"/>
          <w:highlight w:val="none"/>
        </w:rPr>
        <w:t>项目名称：</w:t>
      </w:r>
      <w:bookmarkEnd w:id="109"/>
    </w:p>
    <w:p>
      <w:pPr>
        <w:spacing w:line="20" w:lineRule="exact"/>
        <w:rPr>
          <w:rFonts w:ascii="宋体" w:hAnsi="宋体" w:cs="宋体"/>
          <w:color w:val="auto"/>
          <w:sz w:val="20"/>
          <w:szCs w:val="20"/>
          <w:highlight w:val="none"/>
        </w:rPr>
      </w:pPr>
      <w:r>
        <w:rPr>
          <w:rFonts w:ascii="宋体" w:hAnsi="宋体" w:cs="宋体"/>
          <w:color w:val="auto"/>
          <w:highlight w:val="none"/>
        </w:rPr>
        <w:pict>
          <v:line id="Shape 215" o:spid="_x0000_s1039" o:spt="20" style="position:absolute;left:0pt;margin-left:136.95pt;margin-top:0.05pt;height:0pt;width:287.1pt;z-index:-1024;mso-width-relative:page;mso-height-relative:page;" filled="t" coordsize="21600,21600" o:allowincell="f">
            <v:path arrowok="t"/>
            <v:fill on="t" focussize="0,0"/>
            <v:stroke weight="1.08pt" joinstyle="miter"/>
            <v:imagedata o:title=""/>
            <o:lock v:ext="edit"/>
          </v:line>
        </w:pict>
      </w: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88" w:lineRule="exact"/>
        <w:rPr>
          <w:rFonts w:ascii="宋体" w:hAnsi="宋体" w:cs="宋体"/>
          <w:color w:val="auto"/>
          <w:sz w:val="20"/>
          <w:szCs w:val="20"/>
          <w:highlight w:val="none"/>
        </w:rPr>
      </w:pPr>
    </w:p>
    <w:p>
      <w:pPr>
        <w:spacing w:line="320" w:lineRule="exact"/>
        <w:ind w:left="1340"/>
        <w:rPr>
          <w:rFonts w:ascii="宋体" w:hAnsi="宋体" w:cs="宋体"/>
          <w:color w:val="auto"/>
          <w:sz w:val="20"/>
          <w:szCs w:val="20"/>
          <w:highlight w:val="none"/>
        </w:rPr>
      </w:pPr>
      <w:bookmarkStart w:id="110" w:name="_Toc13212_WPSOffice_Level2"/>
      <w:r>
        <w:rPr>
          <w:rFonts w:hint="eastAsia" w:ascii="宋体" w:hAnsi="宋体" w:cs="宋体"/>
          <w:color w:val="auto"/>
          <w:sz w:val="28"/>
          <w:szCs w:val="28"/>
          <w:highlight w:val="none"/>
        </w:rPr>
        <w:t>项目编号：</w:t>
      </w:r>
      <w:bookmarkEnd w:id="110"/>
    </w:p>
    <w:p>
      <w:pPr>
        <w:spacing w:line="20" w:lineRule="exact"/>
        <w:rPr>
          <w:rFonts w:ascii="宋体" w:hAnsi="宋体" w:cs="宋体"/>
          <w:color w:val="auto"/>
          <w:sz w:val="20"/>
          <w:szCs w:val="20"/>
          <w:highlight w:val="none"/>
        </w:rPr>
      </w:pPr>
      <w:r>
        <w:rPr>
          <w:rFonts w:ascii="宋体" w:hAnsi="宋体" w:cs="宋体"/>
          <w:color w:val="auto"/>
          <w:highlight w:val="none"/>
        </w:rPr>
        <w:pict>
          <v:line id="Shape 216" o:spid="_x0000_s1040" o:spt="20" style="position:absolute;left:0pt;margin-left:136.95pt;margin-top:0.05pt;height:0pt;width:287.1pt;z-index:-1024;mso-width-relative:page;mso-height-relative:page;" filled="t" coordsize="21600,21600" o:allowincell="f">
            <v:path arrowok="t"/>
            <v:fill on="t" focussize="0,0"/>
            <v:stroke weight="1.08pt" joinstyle="miter"/>
            <v:imagedata o:title=""/>
            <o:lock v:ext="edit"/>
          </v:line>
        </w:pict>
      </w: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24" w:lineRule="exact"/>
        <w:rPr>
          <w:rFonts w:ascii="宋体" w:hAnsi="宋体" w:cs="宋体"/>
          <w:color w:val="auto"/>
          <w:sz w:val="20"/>
          <w:szCs w:val="20"/>
          <w:highlight w:val="none"/>
        </w:rPr>
      </w:pPr>
    </w:p>
    <w:p>
      <w:pPr>
        <w:spacing w:line="822" w:lineRule="exact"/>
        <w:ind w:right="-33"/>
        <w:jc w:val="center"/>
        <w:rPr>
          <w:rFonts w:ascii="宋体" w:hAnsi="宋体" w:cs="宋体"/>
          <w:color w:val="auto"/>
          <w:sz w:val="20"/>
          <w:szCs w:val="20"/>
          <w:highlight w:val="none"/>
        </w:rPr>
      </w:pPr>
      <w:r>
        <w:rPr>
          <w:rFonts w:hint="eastAsia" w:ascii="宋体" w:hAnsi="宋体" w:cs="宋体"/>
          <w:color w:val="auto"/>
          <w:sz w:val="72"/>
          <w:szCs w:val="72"/>
          <w:highlight w:val="none"/>
        </w:rPr>
        <w:t>投 标 文 件</w:t>
      </w:r>
    </w:p>
    <w:p>
      <w:pPr>
        <w:spacing w:line="200" w:lineRule="exact"/>
        <w:rPr>
          <w:rFonts w:ascii="宋体" w:hAnsi="宋体" w:cs="宋体"/>
          <w:color w:val="auto"/>
          <w:sz w:val="20"/>
          <w:szCs w:val="20"/>
          <w:highlight w:val="none"/>
        </w:rPr>
      </w:pPr>
    </w:p>
    <w:p>
      <w:pPr>
        <w:spacing w:line="380" w:lineRule="exact"/>
        <w:rPr>
          <w:rFonts w:ascii="宋体" w:hAnsi="宋体" w:cs="宋体"/>
          <w:color w:val="auto"/>
          <w:sz w:val="20"/>
          <w:szCs w:val="20"/>
          <w:highlight w:val="none"/>
        </w:rPr>
      </w:pPr>
    </w:p>
    <w:p>
      <w:pPr>
        <w:spacing w:line="822" w:lineRule="exact"/>
        <w:ind w:right="-33"/>
        <w:jc w:val="center"/>
        <w:rPr>
          <w:rFonts w:ascii="宋体" w:hAnsi="宋体" w:cs="宋体"/>
          <w:color w:val="auto"/>
          <w:sz w:val="20"/>
          <w:szCs w:val="20"/>
          <w:highlight w:val="none"/>
        </w:rPr>
      </w:pPr>
      <w:r>
        <w:rPr>
          <w:rFonts w:hint="eastAsia" w:ascii="宋体" w:hAnsi="宋体" w:cs="宋体"/>
          <w:color w:val="auto"/>
          <w:sz w:val="72"/>
          <w:szCs w:val="72"/>
          <w:highlight w:val="none"/>
        </w:rPr>
        <w:t>（报价文件）</w:t>
      </w: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322" w:lineRule="exact"/>
        <w:rPr>
          <w:rFonts w:ascii="宋体" w:hAnsi="宋体" w:cs="宋体"/>
          <w:color w:val="auto"/>
          <w:sz w:val="20"/>
          <w:szCs w:val="20"/>
          <w:highlight w:val="none"/>
        </w:rPr>
      </w:pPr>
    </w:p>
    <w:p>
      <w:pPr>
        <w:tabs>
          <w:tab w:val="left" w:pos="5880"/>
        </w:tabs>
        <w:spacing w:line="320" w:lineRule="exact"/>
        <w:ind w:left="1140"/>
        <w:jc w:val="both"/>
        <w:rPr>
          <w:rFonts w:ascii="宋体" w:hAnsi="宋体" w:cs="宋体"/>
          <w:color w:val="auto"/>
          <w:sz w:val="20"/>
          <w:szCs w:val="20"/>
          <w:highlight w:val="none"/>
        </w:rPr>
      </w:pPr>
      <w:bookmarkStart w:id="111" w:name="_Toc14375_WPSOffice_Level2"/>
      <w:r>
        <w:rPr>
          <w:rFonts w:hint="eastAsia" w:ascii="宋体" w:hAnsi="宋体" w:cs="宋体"/>
          <w:color w:val="auto"/>
          <w:sz w:val="28"/>
          <w:szCs w:val="28"/>
          <w:highlight w:val="none"/>
        </w:rPr>
        <w:t>供应商：</w:t>
      </w:r>
      <w:r>
        <w:rPr>
          <w:rFonts w:hint="eastAsia" w:ascii="宋体" w:hAnsi="宋体" w:cs="宋体"/>
          <w:color w:val="auto"/>
          <w:sz w:val="20"/>
          <w:szCs w:val="20"/>
          <w:highlight w:val="none"/>
        </w:rPr>
        <w:tab/>
      </w:r>
      <w:r>
        <w:rPr>
          <w:rFonts w:hint="eastAsia" w:ascii="宋体" w:hAnsi="宋体" w:cs="宋体"/>
          <w:color w:val="auto"/>
          <w:sz w:val="28"/>
          <w:szCs w:val="28"/>
          <w:highlight w:val="none"/>
        </w:rPr>
        <w:t>（盖单位公章）</w:t>
      </w:r>
      <w:bookmarkEnd w:id="111"/>
    </w:p>
    <w:p>
      <w:pPr>
        <w:spacing w:line="20" w:lineRule="exact"/>
        <w:rPr>
          <w:rFonts w:ascii="宋体" w:hAnsi="宋体" w:cs="宋体"/>
          <w:color w:val="auto"/>
          <w:sz w:val="20"/>
          <w:szCs w:val="20"/>
          <w:highlight w:val="none"/>
        </w:rPr>
      </w:pPr>
      <w:r>
        <w:rPr>
          <w:rFonts w:ascii="宋体" w:hAnsi="宋体" w:cs="宋体"/>
          <w:color w:val="auto"/>
          <w:highlight w:val="none"/>
        </w:rPr>
        <w:pict>
          <v:line id="Shape 217" o:spid="_x0000_s1041" o:spt="20" style="position:absolute;left:0pt;margin-left:112.6pt;margin-top:0.05pt;height:0pt;width:182.05pt;z-index:-1024;mso-width-relative:page;mso-height-relative:page;" filled="t" coordsize="21600,21600" o:allowincell="f">
            <v:path arrowok="t"/>
            <v:fill on="t" focussize="0,0"/>
            <v:stroke weight="1.08pt" joinstyle="miter"/>
            <v:imagedata o:title=""/>
            <o:lock v:ext="edit"/>
          </v:line>
        </w:pict>
      </w:r>
    </w:p>
    <w:p>
      <w:pPr>
        <w:spacing w:line="205" w:lineRule="exact"/>
        <w:rPr>
          <w:rFonts w:ascii="宋体" w:hAnsi="宋体" w:cs="宋体"/>
          <w:color w:val="auto"/>
          <w:sz w:val="20"/>
          <w:szCs w:val="20"/>
          <w:highlight w:val="none"/>
        </w:rPr>
      </w:pPr>
    </w:p>
    <w:p>
      <w:pPr>
        <w:tabs>
          <w:tab w:val="left" w:pos="5460"/>
        </w:tabs>
        <w:spacing w:line="320" w:lineRule="exact"/>
        <w:ind w:left="1140"/>
        <w:rPr>
          <w:rFonts w:ascii="宋体" w:hAnsi="宋体" w:cs="宋体"/>
          <w:color w:val="auto"/>
          <w:sz w:val="20"/>
          <w:szCs w:val="20"/>
          <w:highlight w:val="none"/>
        </w:rPr>
      </w:pPr>
      <w:bookmarkStart w:id="112" w:name="_Toc12549_WPSOffice_Level2"/>
      <w:r>
        <w:rPr>
          <w:rFonts w:hint="eastAsia" w:ascii="宋体" w:hAnsi="宋体" w:cs="宋体"/>
          <w:color w:val="auto"/>
          <w:sz w:val="28"/>
          <w:szCs w:val="28"/>
          <w:highlight w:val="none"/>
        </w:rPr>
        <w:t>响应文件签署人：</w:t>
      </w:r>
      <w:r>
        <w:rPr>
          <w:rFonts w:hint="eastAsia" w:ascii="宋体" w:hAnsi="宋体" w:cs="宋体"/>
          <w:color w:val="auto"/>
          <w:sz w:val="20"/>
          <w:szCs w:val="20"/>
          <w:highlight w:val="none"/>
        </w:rPr>
        <w:tab/>
      </w:r>
      <w:r>
        <w:rPr>
          <w:rFonts w:hint="eastAsia" w:ascii="宋体" w:hAnsi="宋体" w:cs="宋体"/>
          <w:color w:val="auto"/>
          <w:sz w:val="28"/>
          <w:szCs w:val="28"/>
          <w:highlight w:val="none"/>
        </w:rPr>
        <w:t>（签字或盖章）</w:t>
      </w:r>
      <w:bookmarkEnd w:id="112"/>
    </w:p>
    <w:p>
      <w:pPr>
        <w:spacing w:line="20" w:lineRule="exact"/>
        <w:rPr>
          <w:rFonts w:ascii="宋体" w:hAnsi="宋体" w:cs="宋体"/>
          <w:color w:val="auto"/>
          <w:sz w:val="20"/>
          <w:szCs w:val="20"/>
          <w:highlight w:val="none"/>
        </w:rPr>
      </w:pPr>
      <w:r>
        <w:rPr>
          <w:rFonts w:ascii="宋体" w:hAnsi="宋体" w:cs="宋体"/>
          <w:color w:val="auto"/>
          <w:highlight w:val="none"/>
        </w:rPr>
        <w:pict>
          <v:line id="Shape 218" o:spid="_x0000_s1042" o:spt="20" style="position:absolute;left:0pt;margin-left:168.65pt;margin-top:0.05pt;height:0pt;width:105pt;z-index:-1024;mso-width-relative:page;mso-height-relative:page;" filled="t" coordsize="21600,21600" o:allowincell="f">
            <v:path arrowok="t"/>
            <v:fill on="t" focussize="0,0"/>
            <v:stroke weight="1.07992125984252pt" joinstyle="miter"/>
            <v:imagedata o:title=""/>
            <o:lock v:ext="edit"/>
          </v:line>
        </w:pict>
      </w: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88" w:lineRule="exact"/>
        <w:rPr>
          <w:rFonts w:ascii="宋体" w:hAnsi="宋体" w:cs="宋体"/>
          <w:color w:val="auto"/>
          <w:sz w:val="20"/>
          <w:szCs w:val="20"/>
          <w:highlight w:val="none"/>
        </w:rPr>
      </w:pPr>
    </w:p>
    <w:p>
      <w:pPr>
        <w:tabs>
          <w:tab w:val="left" w:pos="4600"/>
          <w:tab w:val="left" w:pos="5300"/>
        </w:tabs>
        <w:spacing w:line="320" w:lineRule="exact"/>
        <w:ind w:left="3920"/>
        <w:rPr>
          <w:rFonts w:ascii="宋体" w:hAnsi="宋体" w:cs="宋体"/>
          <w:color w:val="auto"/>
          <w:sz w:val="20"/>
          <w:szCs w:val="20"/>
          <w:highlight w:val="none"/>
        </w:rPr>
      </w:pPr>
      <w:bookmarkStart w:id="113" w:name="_Toc20379_WPSOffice_Level2"/>
      <w:r>
        <w:rPr>
          <w:rFonts w:hint="eastAsia" w:ascii="宋体" w:hAnsi="宋体" w:cs="宋体"/>
          <w:color w:val="auto"/>
          <w:sz w:val="28"/>
          <w:szCs w:val="28"/>
          <w:highlight w:val="none"/>
        </w:rPr>
        <w:t>年</w:t>
      </w:r>
      <w:r>
        <w:rPr>
          <w:rFonts w:hint="eastAsia" w:ascii="宋体" w:hAnsi="宋体" w:cs="宋体"/>
          <w:color w:val="auto"/>
          <w:sz w:val="28"/>
          <w:szCs w:val="28"/>
          <w:highlight w:val="none"/>
        </w:rPr>
        <w:tab/>
      </w:r>
      <w:r>
        <w:rPr>
          <w:rFonts w:hint="eastAsia" w:ascii="宋体" w:hAnsi="宋体" w:cs="宋体"/>
          <w:color w:val="auto"/>
          <w:sz w:val="28"/>
          <w:szCs w:val="28"/>
          <w:highlight w:val="none"/>
        </w:rPr>
        <w:t>月</w:t>
      </w:r>
      <w:r>
        <w:rPr>
          <w:rFonts w:hint="eastAsia" w:ascii="宋体" w:hAnsi="宋体" w:cs="宋体"/>
          <w:color w:val="auto"/>
          <w:sz w:val="28"/>
          <w:szCs w:val="28"/>
          <w:highlight w:val="none"/>
        </w:rPr>
        <w:tab/>
      </w:r>
      <w:r>
        <w:rPr>
          <w:rFonts w:hint="eastAsia" w:ascii="宋体" w:hAnsi="宋体" w:cs="宋体"/>
          <w:color w:val="auto"/>
          <w:sz w:val="28"/>
          <w:szCs w:val="28"/>
          <w:highlight w:val="none"/>
        </w:rPr>
        <w:t>日</w:t>
      </w:r>
      <w:bookmarkEnd w:id="113"/>
    </w:p>
    <w:p>
      <w:pPr>
        <w:spacing w:line="20" w:lineRule="exact"/>
        <w:rPr>
          <w:rFonts w:ascii="宋体" w:hAnsi="宋体" w:cs="宋体"/>
          <w:color w:val="auto"/>
          <w:sz w:val="20"/>
          <w:szCs w:val="20"/>
          <w:highlight w:val="none"/>
        </w:rPr>
      </w:pPr>
      <w:r>
        <w:rPr>
          <w:rFonts w:ascii="宋体" w:hAnsi="宋体" w:cs="宋体"/>
          <w:color w:val="auto"/>
          <w:highlight w:val="none"/>
        </w:rPr>
        <w:pict>
          <v:line id="Shape 219" o:spid="_x0000_s1043" o:spt="20" style="position:absolute;left:0pt;margin-left:153.85pt;margin-top:0.05pt;height:0pt;width:42.15pt;z-index:-1024;mso-width-relative:page;mso-height-relative:page;" filled="t" coordsize="21600,21600" o:allowincell="f">
            <v:path arrowok="t"/>
            <v:fill on="t" focussize="0,0"/>
            <v:stroke weight="1.08pt" joinstyle="miter"/>
            <v:imagedata o:title=""/>
            <o:lock v:ext="edit"/>
          </v:line>
        </w:pict>
      </w:r>
      <w:r>
        <w:rPr>
          <w:rFonts w:ascii="宋体" w:hAnsi="宋体" w:cs="宋体"/>
          <w:color w:val="auto"/>
          <w:highlight w:val="none"/>
        </w:rPr>
        <w:pict>
          <v:line id="Shape 220" o:spid="_x0000_s1044" o:spt="20" style="position:absolute;left:0pt;margin-left:209.9pt;margin-top:0.05pt;height:0pt;width:21.05pt;z-index:-1024;mso-width-relative:page;mso-height-relative:page;" filled="t" coordsize="21600,21600" o:allowincell="f">
            <v:path arrowok="t"/>
            <v:fill on="t" focussize="0,0"/>
            <v:stroke weight="1.08pt" joinstyle="miter"/>
            <v:imagedata o:title=""/>
            <o:lock v:ext="edit"/>
          </v:line>
        </w:pict>
      </w:r>
      <w:r>
        <w:rPr>
          <w:rFonts w:ascii="宋体" w:hAnsi="宋体" w:cs="宋体"/>
          <w:color w:val="auto"/>
          <w:highlight w:val="none"/>
        </w:rPr>
        <w:pict>
          <v:line id="Shape 221" o:spid="_x0000_s1045" o:spt="20" style="position:absolute;left:0pt;margin-left:244.95pt;margin-top:0.05pt;height:0pt;width:20.9pt;z-index:-1024;mso-width-relative:page;mso-height-relative:page;" filled="t" coordsize="21600,21600" o:allowincell="f">
            <v:path arrowok="t"/>
            <v:fill on="t" focussize="0,0"/>
            <v:stroke weight="1.08pt" joinstyle="miter"/>
            <v:imagedata o:title=""/>
            <o:lock v:ext="edit"/>
          </v:line>
        </w:pict>
      </w: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rPr>
          <w:rFonts w:ascii="宋体" w:hAnsi="宋体" w:cs="宋体"/>
          <w:color w:val="auto"/>
          <w:highlight w:val="none"/>
        </w:rPr>
        <w:sectPr>
          <w:pgSz w:w="11900" w:h="16838"/>
          <w:pgMar w:top="1440" w:right="1440" w:bottom="401" w:left="1440" w:header="567" w:footer="567" w:gutter="0"/>
          <w:cols w:equalWidth="0" w:num="1">
            <w:col w:w="9026"/>
          </w:cols>
        </w:sectPr>
      </w:pPr>
    </w:p>
    <w:p>
      <w:pPr>
        <w:spacing w:line="360" w:lineRule="auto"/>
        <w:ind w:left="782"/>
        <w:rPr>
          <w:rFonts w:ascii="宋体" w:hAnsi="宋体" w:cs="宋体"/>
          <w:b/>
          <w:bCs/>
          <w:color w:val="auto"/>
          <w:sz w:val="30"/>
          <w:szCs w:val="30"/>
          <w:highlight w:val="none"/>
        </w:rPr>
      </w:pPr>
      <w:bookmarkStart w:id="114" w:name="page49"/>
      <w:bookmarkEnd w:id="114"/>
      <w:r>
        <w:rPr>
          <w:rFonts w:hint="eastAsia" w:ascii="宋体" w:hAnsi="宋体" w:cs="宋体"/>
          <w:b/>
          <w:bCs/>
          <w:color w:val="auto"/>
          <w:sz w:val="30"/>
          <w:szCs w:val="30"/>
          <w:highlight w:val="none"/>
        </w:rPr>
        <w:t>报价文件</w:t>
      </w:r>
    </w:p>
    <w:p>
      <w:pPr>
        <w:spacing w:line="169" w:lineRule="exact"/>
        <w:rPr>
          <w:rFonts w:ascii="宋体" w:hAnsi="宋体" w:cs="宋体"/>
          <w:color w:val="auto"/>
          <w:sz w:val="20"/>
          <w:szCs w:val="20"/>
          <w:highlight w:val="none"/>
        </w:rPr>
      </w:pPr>
    </w:p>
    <w:p>
      <w:pPr>
        <w:spacing w:line="366" w:lineRule="exact"/>
        <w:ind w:right="6"/>
        <w:jc w:val="center"/>
        <w:rPr>
          <w:rFonts w:ascii="宋体" w:hAnsi="宋体" w:cs="宋体"/>
          <w:color w:val="auto"/>
          <w:sz w:val="28"/>
          <w:szCs w:val="28"/>
          <w:highlight w:val="none"/>
        </w:rPr>
      </w:pPr>
      <w:r>
        <w:rPr>
          <w:rFonts w:hint="eastAsia" w:ascii="宋体" w:hAnsi="宋体" w:cs="宋体"/>
          <w:b/>
          <w:bCs/>
          <w:color w:val="auto"/>
          <w:sz w:val="28"/>
          <w:szCs w:val="28"/>
          <w:highlight w:val="none"/>
        </w:rPr>
        <w:t>一、报价函</w:t>
      </w:r>
    </w:p>
    <w:p>
      <w:pPr>
        <w:spacing w:line="258" w:lineRule="exact"/>
        <w:rPr>
          <w:rFonts w:ascii="宋体" w:hAnsi="宋体" w:cs="宋体"/>
          <w:color w:val="auto"/>
          <w:sz w:val="20"/>
          <w:szCs w:val="20"/>
          <w:highlight w:val="none"/>
        </w:rPr>
      </w:pPr>
    </w:p>
    <w:p>
      <w:pPr>
        <w:spacing w:line="240" w:lineRule="exact"/>
        <w:ind w:left="360"/>
        <w:rPr>
          <w:rFonts w:ascii="宋体" w:hAnsi="宋体" w:cs="宋体"/>
          <w:color w:val="auto"/>
          <w:sz w:val="20"/>
          <w:szCs w:val="20"/>
          <w:highlight w:val="none"/>
        </w:rPr>
      </w:pPr>
      <w:r>
        <w:rPr>
          <w:rFonts w:hint="eastAsia" w:ascii="宋体" w:hAnsi="宋体" w:cs="宋体"/>
          <w:color w:val="auto"/>
          <w:szCs w:val="21"/>
          <w:highlight w:val="none"/>
        </w:rPr>
        <w:t>（采购人单位名称）：</w:t>
      </w:r>
    </w:p>
    <w:p>
      <w:pPr>
        <w:spacing w:line="20" w:lineRule="exact"/>
        <w:rPr>
          <w:rFonts w:ascii="宋体" w:hAnsi="宋体" w:cs="宋体"/>
          <w:color w:val="auto"/>
          <w:sz w:val="20"/>
          <w:szCs w:val="20"/>
          <w:highlight w:val="none"/>
        </w:rPr>
      </w:pPr>
      <w:r>
        <w:rPr>
          <w:rFonts w:ascii="宋体" w:hAnsi="宋体" w:cs="宋体"/>
          <w:color w:val="auto"/>
          <w:highlight w:val="none"/>
        </w:rPr>
        <w:pict>
          <v:line id="Shape 223" o:spid="_x0000_s1046" o:spt="20" style="position:absolute;left:0pt;margin-left:17.9pt;margin-top:0.3pt;height:0pt;width:89.25pt;z-index:-1024;mso-width-relative:page;mso-height-relative:page;" filled="t" coordsize="21600,21600" o:allowincell="f">
            <v:path arrowok="t"/>
            <v:fill on="t" focussize="0,0"/>
            <v:stroke weight="0.59992125984252pt" joinstyle="miter"/>
            <v:imagedata o:title=""/>
            <o:lock v:ext="edit"/>
          </v:line>
        </w:pict>
      </w:r>
    </w:p>
    <w:p>
      <w:pPr>
        <w:spacing w:line="148" w:lineRule="exact"/>
        <w:rPr>
          <w:rFonts w:ascii="宋体" w:hAnsi="宋体" w:cs="宋体"/>
          <w:color w:val="auto"/>
          <w:sz w:val="20"/>
          <w:szCs w:val="20"/>
          <w:highlight w:val="none"/>
        </w:rPr>
      </w:pPr>
    </w:p>
    <w:p>
      <w:pPr>
        <w:spacing w:line="240" w:lineRule="exact"/>
        <w:ind w:left="360"/>
        <w:rPr>
          <w:rFonts w:ascii="宋体" w:hAnsi="宋体" w:cs="宋体"/>
          <w:color w:val="auto"/>
          <w:sz w:val="20"/>
          <w:szCs w:val="20"/>
          <w:highlight w:val="none"/>
        </w:rPr>
      </w:pPr>
      <w:r>
        <w:rPr>
          <w:rFonts w:hint="eastAsia" w:ascii="宋体" w:hAnsi="宋体" w:cs="宋体"/>
          <w:color w:val="auto"/>
          <w:szCs w:val="21"/>
          <w:highlight w:val="none"/>
          <w:u w:val="single"/>
        </w:rPr>
        <w:t>浙江五石工程咨询有限公司</w:t>
      </w:r>
      <w:r>
        <w:rPr>
          <w:rFonts w:hint="eastAsia" w:ascii="宋体" w:hAnsi="宋体" w:cs="宋体"/>
          <w:color w:val="auto"/>
          <w:szCs w:val="21"/>
          <w:highlight w:val="none"/>
        </w:rPr>
        <w:t>：</w:t>
      </w:r>
    </w:p>
    <w:p>
      <w:pPr>
        <w:spacing w:line="168" w:lineRule="exact"/>
        <w:rPr>
          <w:rFonts w:ascii="宋体" w:hAnsi="宋体" w:cs="宋体"/>
          <w:color w:val="auto"/>
          <w:sz w:val="20"/>
          <w:szCs w:val="20"/>
          <w:highlight w:val="none"/>
        </w:rPr>
      </w:pPr>
    </w:p>
    <w:p>
      <w:pPr>
        <w:tabs>
          <w:tab w:val="left" w:pos="7300"/>
        </w:tabs>
        <w:spacing w:line="240" w:lineRule="exact"/>
        <w:ind w:left="2560"/>
        <w:rPr>
          <w:rFonts w:ascii="宋体" w:hAnsi="宋体" w:cs="宋体"/>
          <w:color w:val="auto"/>
          <w:sz w:val="20"/>
          <w:szCs w:val="20"/>
          <w:highlight w:val="none"/>
        </w:rPr>
      </w:pPr>
      <w:r>
        <w:rPr>
          <w:rFonts w:hint="eastAsia" w:ascii="宋体" w:hAnsi="宋体" w:cs="宋体"/>
          <w:color w:val="auto"/>
          <w:szCs w:val="21"/>
          <w:highlight w:val="none"/>
        </w:rPr>
        <w:t>（供应商全称）参加贵方组织的</w:t>
      </w:r>
      <w:r>
        <w:rPr>
          <w:rFonts w:hint="eastAsia" w:ascii="宋体" w:hAnsi="宋体" w:cs="宋体"/>
          <w:color w:val="auto"/>
          <w:sz w:val="20"/>
          <w:szCs w:val="20"/>
          <w:highlight w:val="none"/>
        </w:rPr>
        <w:tab/>
      </w:r>
      <w:r>
        <w:rPr>
          <w:rFonts w:hint="eastAsia" w:ascii="宋体" w:hAnsi="宋体" w:cs="宋体"/>
          <w:color w:val="auto"/>
          <w:szCs w:val="21"/>
          <w:highlight w:val="none"/>
        </w:rPr>
        <w:t>（项目名称）</w:t>
      </w:r>
    </w:p>
    <w:p>
      <w:pPr>
        <w:spacing w:line="20" w:lineRule="exact"/>
        <w:rPr>
          <w:rFonts w:ascii="宋体" w:hAnsi="宋体" w:cs="宋体"/>
          <w:color w:val="auto"/>
          <w:sz w:val="20"/>
          <w:szCs w:val="20"/>
          <w:highlight w:val="none"/>
        </w:rPr>
      </w:pPr>
      <w:r>
        <w:rPr>
          <w:rFonts w:ascii="宋体" w:hAnsi="宋体" w:cs="宋体"/>
          <w:color w:val="auto"/>
          <w:highlight w:val="none"/>
        </w:rPr>
        <w:pict>
          <v:line id="Shape 224" o:spid="_x0000_s1047" o:spt="20" style="position:absolute;left:0pt;margin-left:38.5pt;margin-top:0pt;height:0pt;width:89.2pt;z-index:-1024;mso-width-relative:page;mso-height-relative:page;" filled="t" coordsize="21600,21600" o:allowincell="f">
            <v:path arrowok="t"/>
            <v:fill on="t" focussize="0,0"/>
            <v:stroke weight="0.71992125984252pt" joinstyle="miter"/>
            <v:imagedata o:title=""/>
            <o:lock v:ext="edit"/>
          </v:line>
        </w:pict>
      </w:r>
      <w:r>
        <w:rPr>
          <w:rFonts w:ascii="宋体" w:hAnsi="宋体" w:cs="宋体"/>
          <w:color w:val="auto"/>
          <w:highlight w:val="none"/>
        </w:rPr>
        <w:pict>
          <v:line id="Shape 225" o:spid="_x0000_s1048" o:spt="20" style="position:absolute;left:0pt;margin-left:286.95pt;margin-top:0pt;height:0pt;width:79.5pt;z-index:-1024;mso-width-relative:page;mso-height-relative:page;" filled="t" coordsize="21600,21600" o:allowincell="f">
            <v:path arrowok="t"/>
            <v:fill on="t" focussize="0,0"/>
            <v:stroke weight="0.71992125984252pt" joinstyle="miter"/>
            <v:imagedata o:title=""/>
            <o:lock v:ext="edit"/>
          </v:line>
        </w:pict>
      </w:r>
    </w:p>
    <w:p>
      <w:pPr>
        <w:spacing w:line="148" w:lineRule="exact"/>
        <w:rPr>
          <w:rFonts w:ascii="宋体" w:hAnsi="宋体" w:cs="宋体"/>
          <w:color w:val="auto"/>
          <w:sz w:val="20"/>
          <w:szCs w:val="20"/>
          <w:highlight w:val="none"/>
        </w:rPr>
      </w:pPr>
    </w:p>
    <w:p>
      <w:pPr>
        <w:tabs>
          <w:tab w:val="left" w:pos="5420"/>
          <w:tab w:val="left" w:pos="7820"/>
        </w:tabs>
        <w:spacing w:line="240" w:lineRule="exact"/>
        <w:ind w:left="360"/>
        <w:rPr>
          <w:rFonts w:ascii="宋体" w:hAnsi="宋体" w:cs="宋体"/>
          <w:color w:val="auto"/>
          <w:sz w:val="20"/>
          <w:szCs w:val="20"/>
          <w:highlight w:val="none"/>
        </w:rPr>
      </w:pPr>
      <w:r>
        <w:rPr>
          <w:rFonts w:hint="eastAsia" w:ascii="宋体" w:hAnsi="宋体" w:cs="宋体"/>
          <w:color w:val="auto"/>
          <w:szCs w:val="21"/>
          <w:highlight w:val="none"/>
        </w:rPr>
        <w:t>（项目编号）磋商的有关活动，并对</w:t>
      </w:r>
      <w:r>
        <w:rPr>
          <w:rFonts w:hint="eastAsia" w:ascii="宋体" w:hAnsi="宋体" w:cs="宋体"/>
          <w:color w:val="auto"/>
          <w:sz w:val="20"/>
          <w:szCs w:val="20"/>
          <w:highlight w:val="none"/>
        </w:rPr>
        <w:tab/>
      </w:r>
      <w:r>
        <w:rPr>
          <w:rFonts w:hint="eastAsia" w:ascii="宋体" w:hAnsi="宋体" w:cs="宋体"/>
          <w:color w:val="auto"/>
          <w:szCs w:val="21"/>
          <w:highlight w:val="none"/>
        </w:rPr>
        <w:t>（项目名称）的</w:t>
      </w:r>
      <w:r>
        <w:rPr>
          <w:rFonts w:hint="eastAsia" w:ascii="宋体" w:hAnsi="宋体" w:cs="宋体"/>
          <w:color w:val="auto"/>
          <w:sz w:val="20"/>
          <w:szCs w:val="20"/>
          <w:highlight w:val="none"/>
        </w:rPr>
        <w:tab/>
      </w:r>
      <w:r>
        <w:rPr>
          <w:rFonts w:hint="eastAsia" w:ascii="宋体" w:hAnsi="宋体" w:cs="宋体"/>
          <w:color w:val="auto"/>
          <w:sz w:val="20"/>
          <w:szCs w:val="20"/>
          <w:highlight w:val="none"/>
        </w:rPr>
        <w:t>（标项内</w:t>
      </w:r>
    </w:p>
    <w:p>
      <w:pPr>
        <w:spacing w:line="20" w:lineRule="exact"/>
        <w:rPr>
          <w:rFonts w:ascii="宋体" w:hAnsi="宋体" w:cs="宋体"/>
          <w:color w:val="auto"/>
          <w:sz w:val="20"/>
          <w:szCs w:val="20"/>
          <w:highlight w:val="none"/>
        </w:rPr>
      </w:pPr>
      <w:r>
        <w:rPr>
          <w:rFonts w:ascii="宋体" w:hAnsi="宋体" w:cs="宋体"/>
          <w:color w:val="auto"/>
          <w:highlight w:val="none"/>
        </w:rPr>
        <w:pict>
          <v:line id="Shape 226" o:spid="_x0000_s1049" o:spt="20" style="position:absolute;left:0pt;margin-left:184.25pt;margin-top:0pt;height:0pt;width:89.05pt;z-index:-1024;mso-width-relative:page;mso-height-relative:page;" filled="t" coordsize="21600,21600" o:allowincell="f">
            <v:path arrowok="t"/>
            <v:fill on="t" focussize="0,0"/>
            <v:stroke weight="0.72pt" joinstyle="miter"/>
            <v:imagedata o:title=""/>
            <o:lock v:ext="edit"/>
          </v:line>
        </w:pict>
      </w:r>
      <w:r>
        <w:rPr>
          <w:rFonts w:ascii="宋体" w:hAnsi="宋体" w:cs="宋体"/>
          <w:color w:val="auto"/>
          <w:highlight w:val="none"/>
        </w:rPr>
        <w:pict>
          <v:line id="Shape 227" o:spid="_x0000_s1050" o:spt="20" style="position:absolute;left:0pt;margin-left:345.3pt;margin-top:0pt;height:0pt;width:47.05pt;z-index:-1024;mso-width-relative:page;mso-height-relative:page;" filled="t" coordsize="21600,21600" o:allowincell="f">
            <v:path arrowok="t"/>
            <v:fill on="t" focussize="0,0"/>
            <v:stroke weight="0.72pt" joinstyle="miter"/>
            <v:imagedata o:title=""/>
            <o:lock v:ext="edit"/>
          </v:line>
        </w:pict>
      </w:r>
    </w:p>
    <w:p>
      <w:pPr>
        <w:spacing w:line="148" w:lineRule="exact"/>
        <w:rPr>
          <w:rFonts w:ascii="宋体" w:hAnsi="宋体" w:cs="宋体"/>
          <w:color w:val="auto"/>
          <w:sz w:val="20"/>
          <w:szCs w:val="20"/>
          <w:highlight w:val="none"/>
        </w:rPr>
      </w:pPr>
    </w:p>
    <w:p>
      <w:pPr>
        <w:spacing w:line="240" w:lineRule="exact"/>
        <w:ind w:left="360"/>
        <w:rPr>
          <w:rFonts w:ascii="宋体" w:hAnsi="宋体" w:cs="宋体"/>
          <w:color w:val="auto"/>
          <w:sz w:val="20"/>
          <w:szCs w:val="20"/>
          <w:highlight w:val="none"/>
        </w:rPr>
      </w:pPr>
      <w:r>
        <w:rPr>
          <w:rFonts w:hint="eastAsia" w:ascii="宋体" w:hAnsi="宋体" w:cs="宋体"/>
          <w:color w:val="auto"/>
          <w:szCs w:val="21"/>
          <w:highlight w:val="none"/>
        </w:rPr>
        <w:t>容）进行磋商。为此我方：</w:t>
      </w:r>
    </w:p>
    <w:p>
      <w:pPr>
        <w:spacing w:line="172" w:lineRule="exact"/>
        <w:rPr>
          <w:rFonts w:ascii="宋体" w:hAnsi="宋体" w:cs="宋体"/>
          <w:color w:val="auto"/>
          <w:sz w:val="20"/>
          <w:szCs w:val="20"/>
          <w:highlight w:val="none"/>
        </w:rPr>
      </w:pPr>
    </w:p>
    <w:p>
      <w:pPr>
        <w:spacing w:line="255" w:lineRule="exact"/>
        <w:ind w:left="780"/>
        <w:rPr>
          <w:rFonts w:ascii="宋体" w:hAnsi="宋体" w:cs="宋体"/>
          <w:color w:val="auto"/>
          <w:sz w:val="20"/>
          <w:szCs w:val="20"/>
          <w:highlight w:val="none"/>
        </w:rPr>
      </w:pPr>
      <w:r>
        <w:rPr>
          <w:rFonts w:hint="eastAsia" w:ascii="宋体" w:hAnsi="宋体" w:cs="宋体"/>
          <w:color w:val="auto"/>
          <w:szCs w:val="21"/>
          <w:highlight w:val="none"/>
        </w:rPr>
        <w:t>1、承诺在供应商须知规定的投标截止日起遵守本响应文件中的承诺，且在投标有效期</w:t>
      </w:r>
    </w:p>
    <w:p>
      <w:pPr>
        <w:spacing w:line="152" w:lineRule="exact"/>
        <w:rPr>
          <w:rFonts w:ascii="宋体" w:hAnsi="宋体" w:cs="宋体"/>
          <w:color w:val="auto"/>
          <w:sz w:val="20"/>
          <w:szCs w:val="20"/>
          <w:highlight w:val="none"/>
        </w:rPr>
      </w:pPr>
    </w:p>
    <w:p>
      <w:pPr>
        <w:spacing w:line="240" w:lineRule="exact"/>
        <w:ind w:left="360"/>
        <w:rPr>
          <w:rFonts w:ascii="宋体" w:hAnsi="宋体" w:cs="宋体"/>
          <w:color w:val="auto"/>
          <w:sz w:val="20"/>
          <w:szCs w:val="20"/>
          <w:highlight w:val="none"/>
        </w:rPr>
      </w:pPr>
      <w:r>
        <w:rPr>
          <w:rFonts w:hint="eastAsia" w:ascii="宋体" w:hAnsi="宋体" w:cs="宋体"/>
          <w:color w:val="auto"/>
          <w:szCs w:val="21"/>
          <w:highlight w:val="none"/>
        </w:rPr>
        <w:t>满之前均具有约束力。</w:t>
      </w:r>
    </w:p>
    <w:p>
      <w:pPr>
        <w:spacing w:line="169" w:lineRule="exact"/>
        <w:rPr>
          <w:rFonts w:ascii="宋体" w:hAnsi="宋体" w:cs="宋体"/>
          <w:color w:val="auto"/>
          <w:sz w:val="20"/>
          <w:szCs w:val="20"/>
          <w:highlight w:val="none"/>
        </w:rPr>
      </w:pPr>
    </w:p>
    <w:p>
      <w:pPr>
        <w:spacing w:line="255" w:lineRule="exact"/>
        <w:ind w:left="780"/>
        <w:rPr>
          <w:rFonts w:ascii="宋体" w:hAnsi="宋体" w:cs="宋体"/>
          <w:color w:val="auto"/>
          <w:sz w:val="20"/>
          <w:szCs w:val="20"/>
          <w:highlight w:val="none"/>
        </w:rPr>
      </w:pPr>
      <w:r>
        <w:rPr>
          <w:rFonts w:hint="eastAsia" w:ascii="宋体" w:hAnsi="宋体" w:cs="宋体"/>
          <w:color w:val="auto"/>
          <w:szCs w:val="21"/>
          <w:highlight w:val="none"/>
        </w:rPr>
        <w:t>2、承诺已经具备《中华人民共和国政府采购法》中规定的参加政府采购活动的供应商</w:t>
      </w:r>
    </w:p>
    <w:p>
      <w:pPr>
        <w:spacing w:line="152" w:lineRule="exact"/>
        <w:rPr>
          <w:rFonts w:ascii="宋体" w:hAnsi="宋体" w:cs="宋体"/>
          <w:color w:val="auto"/>
          <w:sz w:val="20"/>
          <w:szCs w:val="20"/>
          <w:highlight w:val="none"/>
        </w:rPr>
      </w:pPr>
    </w:p>
    <w:p>
      <w:pPr>
        <w:spacing w:line="240" w:lineRule="exact"/>
        <w:ind w:left="360"/>
        <w:rPr>
          <w:rFonts w:ascii="宋体" w:hAnsi="宋体" w:cs="宋体"/>
          <w:color w:val="auto"/>
          <w:sz w:val="20"/>
          <w:szCs w:val="20"/>
          <w:highlight w:val="none"/>
        </w:rPr>
      </w:pPr>
      <w:r>
        <w:rPr>
          <w:rFonts w:hint="eastAsia" w:ascii="宋体" w:hAnsi="宋体" w:cs="宋体"/>
          <w:color w:val="auto"/>
          <w:szCs w:val="21"/>
          <w:highlight w:val="none"/>
        </w:rPr>
        <w:t>应当具备的条件及采购人规定的特定条件。</w:t>
      </w:r>
    </w:p>
    <w:p>
      <w:pPr>
        <w:spacing w:line="184" w:lineRule="exact"/>
        <w:rPr>
          <w:rFonts w:ascii="宋体" w:hAnsi="宋体" w:cs="宋体"/>
          <w:color w:val="auto"/>
          <w:sz w:val="20"/>
          <w:szCs w:val="20"/>
          <w:highlight w:val="none"/>
        </w:rPr>
      </w:pPr>
    </w:p>
    <w:p>
      <w:pPr>
        <w:spacing w:line="243" w:lineRule="exact"/>
        <w:ind w:left="780"/>
        <w:rPr>
          <w:rFonts w:ascii="宋体" w:hAnsi="宋体" w:cs="宋体"/>
          <w:color w:val="auto"/>
          <w:sz w:val="20"/>
          <w:szCs w:val="20"/>
          <w:highlight w:val="none"/>
        </w:rPr>
      </w:pPr>
      <w:r>
        <w:rPr>
          <w:rFonts w:hint="eastAsia" w:ascii="宋体" w:hAnsi="宋体" w:cs="宋体"/>
          <w:color w:val="auto"/>
          <w:sz w:val="20"/>
          <w:szCs w:val="20"/>
          <w:highlight w:val="none"/>
        </w:rPr>
        <w:t>3、</w:t>
      </w:r>
      <w:r>
        <w:rPr>
          <w:rFonts w:hint="eastAsia" w:ascii="宋体" w:hAnsi="宋体" w:cs="宋体"/>
          <w:color w:val="auto"/>
          <w:szCs w:val="21"/>
          <w:highlight w:val="none"/>
        </w:rPr>
        <w:t>已详细审核全部竞争性磋商文件，包括竞争性磋商文件补充（如果有）、参考资料及</w:t>
      </w:r>
    </w:p>
    <w:p>
      <w:pPr>
        <w:spacing w:line="152" w:lineRule="exact"/>
        <w:rPr>
          <w:rFonts w:ascii="宋体" w:hAnsi="宋体" w:cs="宋体"/>
          <w:color w:val="auto"/>
          <w:sz w:val="20"/>
          <w:szCs w:val="20"/>
          <w:highlight w:val="none"/>
        </w:rPr>
      </w:pPr>
    </w:p>
    <w:p>
      <w:pPr>
        <w:spacing w:line="240" w:lineRule="exact"/>
        <w:ind w:left="360"/>
        <w:rPr>
          <w:rFonts w:ascii="宋体" w:hAnsi="宋体" w:cs="宋体"/>
          <w:color w:val="auto"/>
          <w:sz w:val="20"/>
          <w:szCs w:val="20"/>
          <w:highlight w:val="none"/>
        </w:rPr>
      </w:pPr>
      <w:r>
        <w:rPr>
          <w:rFonts w:hint="eastAsia" w:ascii="宋体" w:hAnsi="宋体" w:cs="宋体"/>
          <w:color w:val="auto"/>
          <w:szCs w:val="21"/>
          <w:highlight w:val="none"/>
        </w:rPr>
        <w:t>有关附件，确认无误。</w:t>
      </w:r>
    </w:p>
    <w:p>
      <w:pPr>
        <w:spacing w:line="169" w:lineRule="exact"/>
        <w:rPr>
          <w:rFonts w:ascii="宋体" w:hAnsi="宋体" w:cs="宋体"/>
          <w:color w:val="auto"/>
          <w:sz w:val="20"/>
          <w:szCs w:val="20"/>
          <w:highlight w:val="none"/>
        </w:rPr>
      </w:pPr>
    </w:p>
    <w:p>
      <w:pPr>
        <w:spacing w:line="255" w:lineRule="exact"/>
        <w:ind w:left="780"/>
        <w:rPr>
          <w:rFonts w:ascii="宋体" w:hAnsi="宋体" w:cs="宋体"/>
          <w:color w:val="auto"/>
          <w:sz w:val="20"/>
          <w:szCs w:val="20"/>
          <w:highlight w:val="none"/>
        </w:rPr>
      </w:pPr>
      <w:r>
        <w:rPr>
          <w:rFonts w:hint="eastAsia" w:ascii="宋体" w:hAnsi="宋体" w:cs="宋体"/>
          <w:color w:val="auto"/>
          <w:szCs w:val="21"/>
          <w:highlight w:val="none"/>
        </w:rPr>
        <w:t>4、提供供应商须知规定的全部响应文件，包括响应文件</w:t>
      </w:r>
      <w:r>
        <w:rPr>
          <w:rFonts w:hint="eastAsia" w:ascii="宋体" w:hAnsi="宋体" w:cs="宋体"/>
          <w:color w:val="auto"/>
          <w:szCs w:val="21"/>
          <w:highlight w:val="none"/>
          <w:u w:val="single"/>
        </w:rPr>
        <w:t>正本</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1</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份，副本</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4</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份</w:t>
      </w:r>
      <w:r>
        <w:rPr>
          <w:rFonts w:hint="eastAsia" w:ascii="宋体" w:hAnsi="宋体" w:cs="宋体"/>
          <w:color w:val="auto"/>
          <w:szCs w:val="21"/>
          <w:highlight w:val="none"/>
        </w:rPr>
        <w:t>。</w:t>
      </w:r>
    </w:p>
    <w:p>
      <w:pPr>
        <w:spacing w:line="153" w:lineRule="exact"/>
        <w:rPr>
          <w:rFonts w:ascii="宋体" w:hAnsi="宋体" w:cs="宋体"/>
          <w:color w:val="auto"/>
          <w:sz w:val="20"/>
          <w:szCs w:val="20"/>
          <w:highlight w:val="none"/>
        </w:rPr>
      </w:pPr>
    </w:p>
    <w:p>
      <w:pPr>
        <w:spacing w:line="255" w:lineRule="exact"/>
        <w:ind w:left="780"/>
        <w:rPr>
          <w:rFonts w:ascii="宋体" w:hAnsi="宋体" w:cs="宋体"/>
          <w:color w:val="auto"/>
          <w:sz w:val="20"/>
          <w:szCs w:val="20"/>
          <w:highlight w:val="none"/>
        </w:rPr>
      </w:pPr>
      <w:r>
        <w:rPr>
          <w:rFonts w:hint="eastAsia" w:ascii="宋体" w:hAnsi="宋体" w:cs="宋体"/>
          <w:color w:val="auto"/>
          <w:szCs w:val="21"/>
          <w:highlight w:val="none"/>
        </w:rPr>
        <w:t>5、投标报价详见《初次报价一览表》。</w:t>
      </w:r>
    </w:p>
    <w:p>
      <w:pPr>
        <w:spacing w:line="154" w:lineRule="exact"/>
        <w:rPr>
          <w:rFonts w:ascii="宋体" w:hAnsi="宋体" w:cs="宋体"/>
          <w:color w:val="auto"/>
          <w:sz w:val="20"/>
          <w:szCs w:val="20"/>
          <w:highlight w:val="none"/>
        </w:rPr>
      </w:pPr>
    </w:p>
    <w:p>
      <w:pPr>
        <w:spacing w:line="255" w:lineRule="exact"/>
        <w:ind w:left="780"/>
        <w:rPr>
          <w:rFonts w:ascii="宋体" w:hAnsi="宋体" w:cs="宋体"/>
          <w:color w:val="auto"/>
          <w:sz w:val="20"/>
          <w:szCs w:val="20"/>
          <w:highlight w:val="none"/>
        </w:rPr>
      </w:pPr>
      <w:r>
        <w:rPr>
          <w:rFonts w:hint="eastAsia" w:ascii="宋体" w:hAnsi="宋体" w:cs="宋体"/>
          <w:color w:val="auto"/>
          <w:szCs w:val="21"/>
          <w:highlight w:val="none"/>
        </w:rPr>
        <w:t>6、保证遵守竞争性磋商文件中的其他有关规定。</w:t>
      </w:r>
    </w:p>
    <w:p>
      <w:pPr>
        <w:spacing w:line="156" w:lineRule="exact"/>
        <w:rPr>
          <w:rFonts w:ascii="宋体" w:hAnsi="宋体" w:cs="宋体"/>
          <w:color w:val="auto"/>
          <w:sz w:val="20"/>
          <w:szCs w:val="20"/>
          <w:highlight w:val="none"/>
        </w:rPr>
      </w:pPr>
    </w:p>
    <w:p>
      <w:pPr>
        <w:spacing w:line="255" w:lineRule="exact"/>
        <w:ind w:left="780"/>
        <w:rPr>
          <w:rFonts w:ascii="宋体" w:hAnsi="宋体" w:cs="宋体"/>
          <w:color w:val="auto"/>
          <w:sz w:val="20"/>
          <w:szCs w:val="20"/>
          <w:highlight w:val="none"/>
        </w:rPr>
      </w:pPr>
      <w:r>
        <w:rPr>
          <w:rFonts w:hint="eastAsia" w:ascii="宋体" w:hAnsi="宋体" w:cs="宋体"/>
          <w:color w:val="auto"/>
          <w:szCs w:val="21"/>
          <w:highlight w:val="none"/>
        </w:rPr>
        <w:t>7、完全理解不一定接受最低价中标。</w:t>
      </w:r>
    </w:p>
    <w:p>
      <w:pPr>
        <w:spacing w:line="153" w:lineRule="exact"/>
        <w:rPr>
          <w:rFonts w:ascii="宋体" w:hAnsi="宋体" w:cs="宋体"/>
          <w:color w:val="auto"/>
          <w:sz w:val="20"/>
          <w:szCs w:val="20"/>
          <w:highlight w:val="none"/>
        </w:rPr>
      </w:pPr>
    </w:p>
    <w:p>
      <w:pPr>
        <w:spacing w:line="255" w:lineRule="exact"/>
        <w:ind w:left="780"/>
        <w:rPr>
          <w:rFonts w:ascii="宋体" w:hAnsi="宋体" w:cs="宋体"/>
          <w:color w:val="auto"/>
          <w:sz w:val="20"/>
          <w:szCs w:val="20"/>
          <w:highlight w:val="none"/>
        </w:rPr>
      </w:pPr>
      <w:r>
        <w:rPr>
          <w:rFonts w:hint="eastAsia" w:ascii="宋体" w:hAnsi="宋体" w:cs="宋体"/>
          <w:color w:val="auto"/>
          <w:szCs w:val="21"/>
          <w:highlight w:val="none"/>
        </w:rPr>
        <w:t>8、愿意向贵方提供任何与该项目投标有关的数据、情况和技术资料。若贵方需要，愿</w:t>
      </w:r>
    </w:p>
    <w:p>
      <w:pPr>
        <w:spacing w:line="152" w:lineRule="exact"/>
        <w:rPr>
          <w:rFonts w:ascii="宋体" w:hAnsi="宋体" w:cs="宋体"/>
          <w:color w:val="auto"/>
          <w:sz w:val="20"/>
          <w:szCs w:val="20"/>
          <w:highlight w:val="none"/>
        </w:rPr>
      </w:pPr>
    </w:p>
    <w:p>
      <w:pPr>
        <w:spacing w:line="240" w:lineRule="exact"/>
        <w:ind w:left="360"/>
        <w:rPr>
          <w:rFonts w:ascii="宋体" w:hAnsi="宋体" w:cs="宋体"/>
          <w:color w:val="auto"/>
          <w:sz w:val="20"/>
          <w:szCs w:val="20"/>
          <w:highlight w:val="none"/>
        </w:rPr>
      </w:pPr>
      <w:r>
        <w:rPr>
          <w:rFonts w:hint="eastAsia" w:ascii="宋体" w:hAnsi="宋体" w:cs="宋体"/>
          <w:color w:val="auto"/>
          <w:szCs w:val="21"/>
          <w:highlight w:val="none"/>
        </w:rPr>
        <w:t>意提供我方做出的一切承诺的证明材料。</w:t>
      </w:r>
    </w:p>
    <w:p>
      <w:pPr>
        <w:spacing w:line="169" w:lineRule="exact"/>
        <w:rPr>
          <w:rFonts w:ascii="宋体" w:hAnsi="宋体" w:cs="宋体"/>
          <w:color w:val="auto"/>
          <w:sz w:val="20"/>
          <w:szCs w:val="20"/>
          <w:highlight w:val="none"/>
        </w:rPr>
      </w:pPr>
    </w:p>
    <w:p>
      <w:pPr>
        <w:spacing w:line="255" w:lineRule="exact"/>
        <w:ind w:left="780"/>
        <w:rPr>
          <w:rFonts w:ascii="宋体" w:hAnsi="宋体" w:cs="宋体"/>
          <w:color w:val="auto"/>
          <w:sz w:val="20"/>
          <w:szCs w:val="20"/>
          <w:highlight w:val="none"/>
        </w:rPr>
      </w:pPr>
      <w:r>
        <w:rPr>
          <w:rFonts w:hint="eastAsia" w:ascii="宋体" w:hAnsi="宋体" w:cs="宋体"/>
          <w:color w:val="auto"/>
          <w:szCs w:val="21"/>
          <w:highlight w:val="none"/>
        </w:rPr>
        <w:t>9、保证忠实地执行双方所签订的合同，并承担合同规定的责任和义务。</w:t>
      </w:r>
    </w:p>
    <w:p>
      <w:pPr>
        <w:spacing w:line="153" w:lineRule="exact"/>
        <w:rPr>
          <w:rFonts w:ascii="宋体" w:hAnsi="宋体" w:cs="宋体"/>
          <w:color w:val="auto"/>
          <w:sz w:val="20"/>
          <w:szCs w:val="20"/>
          <w:highlight w:val="none"/>
        </w:rPr>
      </w:pPr>
    </w:p>
    <w:p>
      <w:pPr>
        <w:spacing w:line="255" w:lineRule="exact"/>
        <w:ind w:left="780"/>
        <w:rPr>
          <w:rFonts w:ascii="宋体" w:hAnsi="宋体" w:cs="宋体"/>
          <w:color w:val="auto"/>
          <w:sz w:val="20"/>
          <w:szCs w:val="20"/>
          <w:highlight w:val="none"/>
        </w:rPr>
      </w:pPr>
      <w:r>
        <w:rPr>
          <w:rFonts w:hint="eastAsia" w:ascii="宋体" w:hAnsi="宋体" w:cs="宋体"/>
          <w:color w:val="auto"/>
          <w:szCs w:val="21"/>
          <w:highlight w:val="none"/>
        </w:rPr>
        <w:t>10、将严格遵守《中华人民共和国政府采购法》第七十七条规定，供应商有下列情形</w:t>
      </w:r>
    </w:p>
    <w:p>
      <w:pPr>
        <w:spacing w:line="156" w:lineRule="exact"/>
        <w:rPr>
          <w:rFonts w:ascii="宋体" w:hAnsi="宋体" w:cs="宋体"/>
          <w:color w:val="auto"/>
          <w:sz w:val="20"/>
          <w:szCs w:val="20"/>
          <w:highlight w:val="none"/>
        </w:rPr>
      </w:pPr>
    </w:p>
    <w:p>
      <w:pPr>
        <w:spacing w:line="255" w:lineRule="exact"/>
        <w:ind w:left="360"/>
        <w:rPr>
          <w:rFonts w:ascii="宋体" w:hAnsi="宋体" w:cs="宋体"/>
          <w:color w:val="auto"/>
          <w:sz w:val="20"/>
          <w:szCs w:val="20"/>
          <w:highlight w:val="none"/>
        </w:rPr>
      </w:pPr>
      <w:r>
        <w:rPr>
          <w:rFonts w:hint="eastAsia" w:ascii="宋体" w:hAnsi="宋体" w:cs="宋体"/>
          <w:color w:val="auto"/>
          <w:szCs w:val="21"/>
          <w:highlight w:val="none"/>
        </w:rPr>
        <w:t>之一的，处以采购金额 5‰以上 10‰以下的罚款，列入不良行为记录名单，在一至三年内</w:t>
      </w:r>
    </w:p>
    <w:p>
      <w:pPr>
        <w:spacing w:line="164" w:lineRule="exact"/>
        <w:rPr>
          <w:rFonts w:ascii="宋体" w:hAnsi="宋体" w:cs="宋体"/>
          <w:color w:val="auto"/>
          <w:sz w:val="20"/>
          <w:szCs w:val="20"/>
          <w:highlight w:val="none"/>
        </w:rPr>
      </w:pPr>
    </w:p>
    <w:p>
      <w:pPr>
        <w:spacing w:line="229" w:lineRule="exact"/>
        <w:ind w:left="360"/>
        <w:rPr>
          <w:rFonts w:ascii="宋体" w:hAnsi="宋体" w:cs="宋体"/>
          <w:color w:val="auto"/>
          <w:szCs w:val="21"/>
          <w:highlight w:val="none"/>
        </w:rPr>
      </w:pPr>
      <w:r>
        <w:rPr>
          <w:rFonts w:hint="eastAsia" w:ascii="宋体" w:hAnsi="宋体" w:cs="宋体"/>
          <w:color w:val="auto"/>
          <w:szCs w:val="21"/>
          <w:highlight w:val="none"/>
        </w:rPr>
        <w:t>禁止参加政府采购活动；有违法所得的，并处没收违法所得；情节严重的，由工商行政管理</w:t>
      </w:r>
    </w:p>
    <w:p>
      <w:pPr>
        <w:spacing w:line="169" w:lineRule="exact"/>
        <w:rPr>
          <w:rFonts w:ascii="宋体" w:hAnsi="宋体" w:cs="宋体"/>
          <w:color w:val="auto"/>
          <w:sz w:val="20"/>
          <w:szCs w:val="20"/>
          <w:highlight w:val="none"/>
        </w:rPr>
      </w:pPr>
    </w:p>
    <w:p>
      <w:pPr>
        <w:spacing w:line="240" w:lineRule="exact"/>
        <w:ind w:left="360"/>
        <w:rPr>
          <w:rFonts w:ascii="宋体" w:hAnsi="宋体" w:cs="宋体"/>
          <w:color w:val="auto"/>
          <w:sz w:val="20"/>
          <w:szCs w:val="20"/>
          <w:highlight w:val="none"/>
        </w:rPr>
      </w:pPr>
      <w:r>
        <w:rPr>
          <w:rFonts w:hint="eastAsia" w:ascii="宋体" w:hAnsi="宋体" w:cs="宋体"/>
          <w:color w:val="auto"/>
          <w:szCs w:val="21"/>
          <w:highlight w:val="none"/>
        </w:rPr>
        <w:t>机关吊销营业执照；构成犯罪的，依法追究刑事责任：</w:t>
      </w:r>
    </w:p>
    <w:p>
      <w:pPr>
        <w:spacing w:line="169" w:lineRule="exact"/>
        <w:rPr>
          <w:rFonts w:ascii="宋体" w:hAnsi="宋体" w:cs="宋体"/>
          <w:color w:val="auto"/>
          <w:sz w:val="20"/>
          <w:szCs w:val="20"/>
          <w:highlight w:val="none"/>
        </w:rPr>
      </w:pPr>
    </w:p>
    <w:p>
      <w:pPr>
        <w:spacing w:line="255" w:lineRule="exact"/>
        <w:ind w:left="780"/>
        <w:rPr>
          <w:rFonts w:ascii="宋体" w:hAnsi="宋体" w:cs="宋体"/>
          <w:color w:val="auto"/>
          <w:sz w:val="20"/>
          <w:szCs w:val="20"/>
          <w:highlight w:val="none"/>
        </w:rPr>
      </w:pPr>
      <w:bookmarkStart w:id="115" w:name="_Toc16949_WPSOffice_Level2"/>
      <w:r>
        <w:rPr>
          <w:rFonts w:hint="eastAsia" w:ascii="宋体" w:hAnsi="宋体" w:cs="宋体"/>
          <w:color w:val="auto"/>
          <w:szCs w:val="21"/>
          <w:highlight w:val="none"/>
        </w:rPr>
        <w:t>a）提供虚假材料谋取中标、成交的；</w:t>
      </w:r>
      <w:bookmarkEnd w:id="115"/>
    </w:p>
    <w:p>
      <w:pPr>
        <w:spacing w:line="156" w:lineRule="exact"/>
        <w:rPr>
          <w:rFonts w:ascii="宋体" w:hAnsi="宋体" w:cs="宋体"/>
          <w:color w:val="auto"/>
          <w:sz w:val="20"/>
          <w:szCs w:val="20"/>
          <w:highlight w:val="none"/>
        </w:rPr>
      </w:pPr>
    </w:p>
    <w:p>
      <w:pPr>
        <w:spacing w:line="255" w:lineRule="exact"/>
        <w:ind w:left="780"/>
        <w:rPr>
          <w:rFonts w:ascii="宋体" w:hAnsi="宋体" w:cs="宋体"/>
          <w:color w:val="auto"/>
          <w:sz w:val="20"/>
          <w:szCs w:val="20"/>
          <w:highlight w:val="none"/>
        </w:rPr>
      </w:pPr>
      <w:bookmarkStart w:id="116" w:name="_Toc389_WPSOffice_Level2"/>
      <w:r>
        <w:rPr>
          <w:rFonts w:hint="eastAsia" w:ascii="宋体" w:hAnsi="宋体" w:cs="宋体"/>
          <w:color w:val="auto"/>
          <w:szCs w:val="21"/>
          <w:highlight w:val="none"/>
        </w:rPr>
        <w:t>b）采取不正当手段诋毁、排挤其他供应商的；</w:t>
      </w:r>
      <w:bookmarkEnd w:id="116"/>
    </w:p>
    <w:p>
      <w:pPr>
        <w:spacing w:line="153" w:lineRule="exact"/>
        <w:rPr>
          <w:rFonts w:ascii="宋体" w:hAnsi="宋体" w:cs="宋体"/>
          <w:color w:val="auto"/>
          <w:sz w:val="20"/>
          <w:szCs w:val="20"/>
          <w:highlight w:val="none"/>
        </w:rPr>
      </w:pPr>
    </w:p>
    <w:p>
      <w:pPr>
        <w:spacing w:line="255" w:lineRule="exact"/>
        <w:ind w:left="780"/>
        <w:rPr>
          <w:rFonts w:ascii="宋体" w:hAnsi="宋体" w:cs="宋体"/>
          <w:color w:val="auto"/>
          <w:sz w:val="20"/>
          <w:szCs w:val="20"/>
          <w:highlight w:val="none"/>
        </w:rPr>
      </w:pPr>
      <w:bookmarkStart w:id="117" w:name="_Toc14247_WPSOffice_Level2"/>
      <w:r>
        <w:rPr>
          <w:rFonts w:hint="eastAsia" w:ascii="宋体" w:hAnsi="宋体" w:cs="宋体"/>
          <w:color w:val="auto"/>
          <w:szCs w:val="21"/>
          <w:highlight w:val="none"/>
        </w:rPr>
        <w:t>c）与采购人、其它供应商或者采购代理机构恶意串通的；</w:t>
      </w:r>
      <w:bookmarkEnd w:id="117"/>
    </w:p>
    <w:p>
      <w:pPr>
        <w:spacing w:line="153" w:lineRule="exact"/>
        <w:rPr>
          <w:rFonts w:ascii="宋体" w:hAnsi="宋体" w:cs="宋体"/>
          <w:color w:val="auto"/>
          <w:sz w:val="20"/>
          <w:szCs w:val="20"/>
          <w:highlight w:val="none"/>
        </w:rPr>
      </w:pPr>
    </w:p>
    <w:p>
      <w:pPr>
        <w:spacing w:line="255" w:lineRule="exact"/>
        <w:ind w:left="780"/>
        <w:rPr>
          <w:rFonts w:ascii="宋体" w:hAnsi="宋体" w:cs="宋体"/>
          <w:color w:val="auto"/>
          <w:sz w:val="20"/>
          <w:szCs w:val="20"/>
          <w:highlight w:val="none"/>
        </w:rPr>
      </w:pPr>
      <w:bookmarkStart w:id="118" w:name="_Toc19645_WPSOffice_Level2"/>
      <w:r>
        <w:rPr>
          <w:rFonts w:hint="eastAsia" w:ascii="宋体" w:hAnsi="宋体" w:cs="宋体"/>
          <w:color w:val="auto"/>
          <w:szCs w:val="21"/>
          <w:highlight w:val="none"/>
        </w:rPr>
        <w:t>d）向采购人、采购代理机构行贿或者提供其他不正当利益的；</w:t>
      </w:r>
      <w:bookmarkEnd w:id="118"/>
    </w:p>
    <w:p>
      <w:pPr>
        <w:spacing w:line="153" w:lineRule="exact"/>
        <w:rPr>
          <w:rFonts w:ascii="宋体" w:hAnsi="宋体" w:cs="宋体"/>
          <w:color w:val="auto"/>
          <w:sz w:val="20"/>
          <w:szCs w:val="20"/>
          <w:highlight w:val="none"/>
        </w:rPr>
      </w:pPr>
    </w:p>
    <w:p>
      <w:pPr>
        <w:spacing w:line="255" w:lineRule="exact"/>
        <w:ind w:left="780"/>
        <w:rPr>
          <w:rFonts w:ascii="宋体" w:hAnsi="宋体" w:cs="宋体"/>
          <w:color w:val="auto"/>
          <w:sz w:val="20"/>
          <w:szCs w:val="20"/>
          <w:highlight w:val="none"/>
        </w:rPr>
      </w:pPr>
      <w:bookmarkStart w:id="119" w:name="_Toc27639_WPSOffice_Level2"/>
      <w:r>
        <w:rPr>
          <w:rFonts w:hint="eastAsia" w:ascii="宋体" w:hAnsi="宋体" w:cs="宋体"/>
          <w:color w:val="auto"/>
          <w:szCs w:val="21"/>
          <w:highlight w:val="none"/>
        </w:rPr>
        <w:t>e）在招标采购过程中与采购人进行协商谈判的；</w:t>
      </w:r>
      <w:bookmarkEnd w:id="119"/>
    </w:p>
    <w:p>
      <w:pPr>
        <w:spacing w:line="153" w:lineRule="exact"/>
        <w:rPr>
          <w:rFonts w:ascii="宋体" w:hAnsi="宋体" w:cs="宋体"/>
          <w:color w:val="auto"/>
          <w:sz w:val="20"/>
          <w:szCs w:val="20"/>
          <w:highlight w:val="none"/>
        </w:rPr>
      </w:pPr>
    </w:p>
    <w:p>
      <w:pPr>
        <w:spacing w:line="255" w:lineRule="exact"/>
        <w:ind w:left="780"/>
        <w:rPr>
          <w:rFonts w:ascii="宋体" w:hAnsi="宋体" w:cs="宋体"/>
          <w:color w:val="auto"/>
          <w:sz w:val="20"/>
          <w:szCs w:val="20"/>
          <w:highlight w:val="none"/>
        </w:rPr>
      </w:pPr>
      <w:bookmarkStart w:id="120" w:name="_Toc9224_WPSOffice_Level2"/>
      <w:r>
        <w:rPr>
          <w:rFonts w:hint="eastAsia" w:ascii="宋体" w:hAnsi="宋体" w:cs="宋体"/>
          <w:color w:val="auto"/>
          <w:szCs w:val="21"/>
          <w:highlight w:val="none"/>
        </w:rPr>
        <w:t>f）拒绝有关部门监督检查或提供虚假情况的。</w:t>
      </w:r>
      <w:bookmarkEnd w:id="120"/>
    </w:p>
    <w:p>
      <w:pPr>
        <w:spacing w:line="156" w:lineRule="exact"/>
        <w:rPr>
          <w:rFonts w:ascii="宋体" w:hAnsi="宋体" w:cs="宋体"/>
          <w:color w:val="auto"/>
          <w:sz w:val="20"/>
          <w:szCs w:val="20"/>
          <w:highlight w:val="none"/>
        </w:rPr>
      </w:pPr>
    </w:p>
    <w:p>
      <w:pPr>
        <w:spacing w:line="255" w:lineRule="exact"/>
        <w:ind w:left="780"/>
        <w:rPr>
          <w:rFonts w:ascii="宋体" w:hAnsi="宋体" w:cs="宋体"/>
          <w:color w:val="auto"/>
          <w:sz w:val="20"/>
          <w:szCs w:val="20"/>
          <w:highlight w:val="none"/>
        </w:rPr>
      </w:pPr>
      <w:r>
        <w:rPr>
          <w:rFonts w:hint="eastAsia" w:ascii="宋体" w:hAnsi="宋体" w:cs="宋体"/>
          <w:color w:val="auto"/>
          <w:szCs w:val="21"/>
          <w:highlight w:val="none"/>
        </w:rPr>
        <w:t>供应商有前款第 a）至 f）项情形之一的，中标、成交无效。</w:t>
      </w:r>
    </w:p>
    <w:p>
      <w:pPr>
        <w:spacing w:line="154" w:lineRule="exact"/>
        <w:rPr>
          <w:rFonts w:ascii="宋体" w:hAnsi="宋体" w:cs="宋体"/>
          <w:color w:val="auto"/>
          <w:sz w:val="20"/>
          <w:szCs w:val="20"/>
          <w:highlight w:val="none"/>
        </w:rPr>
      </w:pPr>
    </w:p>
    <w:p>
      <w:pPr>
        <w:spacing w:line="255" w:lineRule="exact"/>
        <w:ind w:left="780"/>
        <w:rPr>
          <w:rFonts w:ascii="宋体" w:hAnsi="宋体" w:cs="宋体"/>
          <w:color w:val="auto"/>
          <w:sz w:val="20"/>
          <w:szCs w:val="20"/>
          <w:highlight w:val="none"/>
        </w:rPr>
      </w:pPr>
      <w:r>
        <w:rPr>
          <w:rFonts w:hint="eastAsia" w:ascii="宋体" w:hAnsi="宋体" w:cs="宋体"/>
          <w:color w:val="auto"/>
          <w:szCs w:val="21"/>
          <w:highlight w:val="none"/>
        </w:rPr>
        <w:t>11、本响应文件的有效期为自投标截止时间起 120 天。</w:t>
      </w:r>
    </w:p>
    <w:p>
      <w:pPr>
        <w:spacing w:line="200" w:lineRule="exact"/>
        <w:rPr>
          <w:rFonts w:ascii="宋体" w:hAnsi="宋体" w:cs="宋体"/>
          <w:color w:val="auto"/>
          <w:sz w:val="20"/>
          <w:szCs w:val="20"/>
          <w:highlight w:val="none"/>
        </w:rPr>
      </w:pPr>
    </w:p>
    <w:p>
      <w:pPr>
        <w:spacing w:line="315" w:lineRule="exact"/>
        <w:rPr>
          <w:rFonts w:ascii="宋体" w:hAnsi="宋体" w:cs="宋体"/>
          <w:color w:val="auto"/>
          <w:sz w:val="20"/>
          <w:szCs w:val="20"/>
          <w:highlight w:val="none"/>
        </w:rPr>
      </w:pPr>
    </w:p>
    <w:p>
      <w:pPr>
        <w:spacing w:line="240" w:lineRule="exact"/>
        <w:ind w:left="840"/>
        <w:rPr>
          <w:rFonts w:ascii="宋体" w:hAnsi="宋体" w:cs="宋体"/>
          <w:color w:val="auto"/>
          <w:szCs w:val="21"/>
          <w:highlight w:val="none"/>
        </w:rPr>
      </w:pPr>
    </w:p>
    <w:p>
      <w:pPr>
        <w:spacing w:line="240" w:lineRule="exact"/>
        <w:ind w:left="840"/>
        <w:rPr>
          <w:rFonts w:ascii="宋体" w:hAnsi="宋体" w:cs="宋体"/>
          <w:color w:val="auto"/>
          <w:szCs w:val="21"/>
          <w:highlight w:val="none"/>
        </w:rPr>
      </w:pPr>
    </w:p>
    <w:p>
      <w:pPr>
        <w:spacing w:line="240" w:lineRule="exact"/>
        <w:ind w:left="840"/>
        <w:rPr>
          <w:rFonts w:ascii="宋体" w:hAnsi="宋体" w:cs="宋体"/>
          <w:color w:val="auto"/>
          <w:szCs w:val="21"/>
          <w:highlight w:val="none"/>
        </w:rPr>
      </w:pPr>
    </w:p>
    <w:p>
      <w:pPr>
        <w:spacing w:line="240" w:lineRule="exact"/>
        <w:ind w:left="840"/>
        <w:rPr>
          <w:rFonts w:ascii="宋体" w:hAnsi="宋体" w:cs="宋体"/>
          <w:color w:val="auto"/>
          <w:szCs w:val="21"/>
          <w:highlight w:val="none"/>
        </w:rPr>
      </w:pPr>
    </w:p>
    <w:p>
      <w:pPr>
        <w:spacing w:line="360" w:lineRule="auto"/>
        <w:ind w:left="840"/>
        <w:rPr>
          <w:rFonts w:ascii="宋体" w:hAnsi="宋体" w:cs="宋体"/>
          <w:color w:val="auto"/>
          <w:sz w:val="20"/>
          <w:szCs w:val="20"/>
          <w:highlight w:val="none"/>
        </w:rPr>
      </w:pPr>
      <w:r>
        <w:rPr>
          <w:rFonts w:hint="eastAsia" w:ascii="宋体" w:hAnsi="宋体" w:cs="宋体"/>
          <w:color w:val="auto"/>
          <w:szCs w:val="21"/>
          <w:highlight w:val="none"/>
        </w:rPr>
        <w:t>供应商全称（盖单位公章）：</w:t>
      </w:r>
    </w:p>
    <w:p>
      <w:pPr>
        <w:spacing w:line="360" w:lineRule="auto"/>
        <w:ind w:left="840"/>
        <w:rPr>
          <w:rFonts w:ascii="宋体" w:hAnsi="宋体" w:cs="宋体"/>
          <w:color w:val="auto"/>
          <w:sz w:val="20"/>
          <w:szCs w:val="20"/>
          <w:highlight w:val="none"/>
        </w:rPr>
      </w:pPr>
      <w:bookmarkStart w:id="121" w:name="page50"/>
      <w:bookmarkEnd w:id="121"/>
      <w:r>
        <w:rPr>
          <w:rFonts w:hint="eastAsia" w:ascii="宋体" w:hAnsi="宋体" w:cs="宋体"/>
          <w:color w:val="auto"/>
          <w:szCs w:val="21"/>
          <w:highlight w:val="none"/>
        </w:rPr>
        <w:t>响应文件签署人（签字或盖章）：</w:t>
      </w:r>
    </w:p>
    <w:p>
      <w:pPr>
        <w:spacing w:line="360" w:lineRule="auto"/>
        <w:ind w:left="840"/>
        <w:rPr>
          <w:rFonts w:ascii="宋体" w:hAnsi="宋体" w:cs="宋体"/>
          <w:color w:val="auto"/>
          <w:sz w:val="20"/>
          <w:szCs w:val="20"/>
          <w:highlight w:val="none"/>
        </w:rPr>
      </w:pPr>
      <w:r>
        <w:rPr>
          <w:rFonts w:hint="eastAsia" w:ascii="宋体" w:hAnsi="宋体" w:cs="宋体"/>
          <w:color w:val="auto"/>
          <w:szCs w:val="21"/>
          <w:highlight w:val="none"/>
        </w:rPr>
        <w:t>日期：</w:t>
      </w:r>
    </w:p>
    <w:p>
      <w:pPr>
        <w:spacing w:line="360" w:lineRule="auto"/>
        <w:ind w:left="840"/>
        <w:rPr>
          <w:rFonts w:ascii="宋体" w:hAnsi="宋体" w:cs="宋体"/>
          <w:color w:val="auto"/>
          <w:sz w:val="20"/>
          <w:szCs w:val="20"/>
          <w:highlight w:val="none"/>
        </w:rPr>
      </w:pPr>
      <w:r>
        <w:rPr>
          <w:rFonts w:hint="eastAsia" w:ascii="宋体" w:hAnsi="宋体" w:cs="宋体"/>
          <w:color w:val="auto"/>
          <w:szCs w:val="21"/>
          <w:highlight w:val="none"/>
        </w:rPr>
        <w:t>单位地址：</w:t>
      </w:r>
    </w:p>
    <w:p>
      <w:pPr>
        <w:tabs>
          <w:tab w:val="left" w:pos="2700"/>
          <w:tab w:val="left" w:pos="4380"/>
        </w:tabs>
        <w:spacing w:line="360" w:lineRule="auto"/>
        <w:ind w:left="840"/>
        <w:rPr>
          <w:rFonts w:ascii="宋体" w:hAnsi="宋体" w:cs="宋体"/>
          <w:color w:val="auto"/>
          <w:sz w:val="20"/>
          <w:szCs w:val="20"/>
          <w:highlight w:val="none"/>
        </w:rPr>
      </w:pPr>
      <w:r>
        <w:rPr>
          <w:rFonts w:hint="eastAsia" w:ascii="宋体" w:hAnsi="宋体" w:cs="宋体"/>
          <w:color w:val="auto"/>
          <w:szCs w:val="21"/>
          <w:highlight w:val="none"/>
        </w:rPr>
        <w:t>邮编：</w:t>
      </w:r>
      <w:r>
        <w:rPr>
          <w:rFonts w:hint="eastAsia" w:ascii="宋体" w:hAnsi="宋体" w:cs="宋体"/>
          <w:color w:val="auto"/>
          <w:sz w:val="20"/>
          <w:szCs w:val="20"/>
          <w:highlight w:val="none"/>
        </w:rPr>
        <w:tab/>
      </w:r>
      <w:r>
        <w:rPr>
          <w:rFonts w:hint="eastAsia" w:ascii="宋体" w:hAnsi="宋体" w:cs="宋体"/>
          <w:color w:val="auto"/>
          <w:szCs w:val="21"/>
          <w:highlight w:val="none"/>
        </w:rPr>
        <w:t>电话：</w:t>
      </w:r>
      <w:r>
        <w:rPr>
          <w:rFonts w:hint="eastAsia" w:ascii="宋体" w:hAnsi="宋体" w:cs="宋体"/>
          <w:color w:val="auto"/>
          <w:sz w:val="20"/>
          <w:szCs w:val="20"/>
          <w:highlight w:val="none"/>
        </w:rPr>
        <w:tab/>
      </w:r>
      <w:r>
        <w:rPr>
          <w:rFonts w:hint="eastAsia" w:ascii="宋体" w:hAnsi="宋体" w:cs="宋体"/>
          <w:color w:val="auto"/>
          <w:szCs w:val="21"/>
          <w:highlight w:val="none"/>
        </w:rPr>
        <w:t>传真：</w:t>
      </w:r>
    </w:p>
    <w:p>
      <w:pPr>
        <w:rPr>
          <w:rFonts w:ascii="宋体" w:hAnsi="宋体" w:cs="宋体"/>
          <w:color w:val="auto"/>
          <w:highlight w:val="none"/>
        </w:rPr>
        <w:sectPr>
          <w:pgSz w:w="11900" w:h="16838"/>
          <w:pgMar w:top="1440" w:right="1440" w:bottom="401" w:left="1440" w:header="567" w:footer="567" w:gutter="0"/>
          <w:cols w:equalWidth="0" w:num="1">
            <w:col w:w="9026"/>
          </w:cols>
        </w:sectPr>
      </w:pPr>
    </w:p>
    <w:p>
      <w:pPr>
        <w:spacing w:line="366" w:lineRule="exact"/>
        <w:ind w:right="6"/>
        <w:jc w:val="center"/>
        <w:rPr>
          <w:rFonts w:ascii="宋体" w:hAnsi="宋体" w:cs="宋体"/>
          <w:color w:val="auto"/>
          <w:sz w:val="28"/>
          <w:szCs w:val="28"/>
          <w:highlight w:val="none"/>
        </w:rPr>
      </w:pPr>
      <w:bookmarkStart w:id="122" w:name="page51"/>
      <w:bookmarkEnd w:id="122"/>
      <w:r>
        <w:rPr>
          <w:rFonts w:hint="eastAsia" w:ascii="宋体" w:hAnsi="宋体" w:cs="宋体"/>
          <w:b/>
          <w:bCs/>
          <w:color w:val="auto"/>
          <w:sz w:val="28"/>
          <w:szCs w:val="28"/>
          <w:highlight w:val="none"/>
        </w:rPr>
        <w:t>二、初次报价一览表</w:t>
      </w:r>
    </w:p>
    <w:p>
      <w:pPr>
        <w:spacing w:line="252" w:lineRule="exact"/>
        <w:rPr>
          <w:rFonts w:ascii="宋体" w:hAnsi="宋体" w:cs="宋体"/>
          <w:color w:val="auto"/>
          <w:sz w:val="20"/>
          <w:szCs w:val="20"/>
          <w:highlight w:val="none"/>
        </w:rPr>
      </w:pPr>
    </w:p>
    <w:tbl>
      <w:tblPr>
        <w:tblStyle w:val="19"/>
        <w:tblW w:w="8960" w:type="dxa"/>
        <w:tblInd w:w="50" w:type="dxa"/>
        <w:tblLayout w:type="fixed"/>
        <w:tblCellMar>
          <w:top w:w="0" w:type="dxa"/>
          <w:left w:w="0" w:type="dxa"/>
          <w:bottom w:w="0" w:type="dxa"/>
          <w:right w:w="0" w:type="dxa"/>
        </w:tblCellMar>
      </w:tblPr>
      <w:tblGrid>
        <w:gridCol w:w="1480"/>
        <w:gridCol w:w="520"/>
        <w:gridCol w:w="1460"/>
        <w:gridCol w:w="540"/>
        <w:gridCol w:w="1700"/>
        <w:gridCol w:w="1800"/>
        <w:gridCol w:w="1460"/>
      </w:tblGrid>
      <w:tr>
        <w:tblPrEx>
          <w:tblCellMar>
            <w:top w:w="0" w:type="dxa"/>
            <w:left w:w="0" w:type="dxa"/>
            <w:bottom w:w="0" w:type="dxa"/>
            <w:right w:w="0" w:type="dxa"/>
          </w:tblCellMar>
        </w:tblPrEx>
        <w:trPr>
          <w:trHeight w:val="240" w:hRule="atLeast"/>
        </w:trPr>
        <w:tc>
          <w:tcPr>
            <w:tcW w:w="1480" w:type="dxa"/>
            <w:vAlign w:val="bottom"/>
          </w:tcPr>
          <w:p>
            <w:pPr>
              <w:spacing w:line="360" w:lineRule="auto"/>
              <w:ind w:left="320"/>
              <w:rPr>
                <w:rFonts w:ascii="宋体" w:hAnsi="宋体" w:cs="宋体"/>
                <w:color w:val="auto"/>
                <w:sz w:val="20"/>
                <w:szCs w:val="20"/>
                <w:highlight w:val="none"/>
              </w:rPr>
            </w:pPr>
            <w:r>
              <w:rPr>
                <w:rFonts w:hint="eastAsia" w:ascii="宋体" w:hAnsi="宋体" w:cs="宋体"/>
                <w:color w:val="auto"/>
                <w:szCs w:val="21"/>
                <w:highlight w:val="none"/>
              </w:rPr>
              <w:t>项目名称：</w:t>
            </w:r>
          </w:p>
        </w:tc>
        <w:tc>
          <w:tcPr>
            <w:tcW w:w="520" w:type="dxa"/>
            <w:tcBorders>
              <w:bottom w:val="single" w:color="auto" w:sz="8" w:space="0"/>
            </w:tcBorders>
            <w:vAlign w:val="bottom"/>
          </w:tcPr>
          <w:p>
            <w:pPr>
              <w:spacing w:line="360" w:lineRule="auto"/>
              <w:rPr>
                <w:rFonts w:ascii="宋体" w:hAnsi="宋体" w:cs="宋体"/>
                <w:color w:val="auto"/>
                <w:sz w:val="20"/>
                <w:szCs w:val="20"/>
                <w:highlight w:val="none"/>
              </w:rPr>
            </w:pPr>
          </w:p>
        </w:tc>
        <w:tc>
          <w:tcPr>
            <w:tcW w:w="1460" w:type="dxa"/>
            <w:tcBorders>
              <w:bottom w:val="single" w:color="auto" w:sz="8" w:space="0"/>
            </w:tcBorders>
            <w:vAlign w:val="bottom"/>
          </w:tcPr>
          <w:p>
            <w:pPr>
              <w:spacing w:line="360" w:lineRule="auto"/>
              <w:rPr>
                <w:rFonts w:ascii="宋体" w:hAnsi="宋体" w:cs="宋体"/>
                <w:color w:val="auto"/>
                <w:sz w:val="20"/>
                <w:szCs w:val="20"/>
                <w:highlight w:val="none"/>
              </w:rPr>
            </w:pPr>
          </w:p>
        </w:tc>
        <w:tc>
          <w:tcPr>
            <w:tcW w:w="540" w:type="dxa"/>
            <w:vAlign w:val="bottom"/>
          </w:tcPr>
          <w:p>
            <w:pPr>
              <w:spacing w:line="360" w:lineRule="auto"/>
              <w:rPr>
                <w:rFonts w:ascii="宋体" w:hAnsi="宋体" w:cs="宋体"/>
                <w:color w:val="auto"/>
                <w:sz w:val="20"/>
                <w:szCs w:val="20"/>
                <w:highlight w:val="none"/>
              </w:rPr>
            </w:pPr>
          </w:p>
        </w:tc>
        <w:tc>
          <w:tcPr>
            <w:tcW w:w="1700" w:type="dxa"/>
            <w:vAlign w:val="bottom"/>
          </w:tcPr>
          <w:p>
            <w:pPr>
              <w:spacing w:line="360" w:lineRule="auto"/>
              <w:rPr>
                <w:rFonts w:ascii="宋体" w:hAnsi="宋体" w:cs="宋体"/>
                <w:color w:val="auto"/>
                <w:sz w:val="20"/>
                <w:szCs w:val="20"/>
                <w:highlight w:val="none"/>
              </w:rPr>
            </w:pPr>
          </w:p>
        </w:tc>
        <w:tc>
          <w:tcPr>
            <w:tcW w:w="1800" w:type="dxa"/>
            <w:vAlign w:val="bottom"/>
          </w:tcPr>
          <w:p>
            <w:pPr>
              <w:spacing w:line="360" w:lineRule="auto"/>
              <w:rPr>
                <w:rFonts w:ascii="宋体" w:hAnsi="宋体" w:cs="宋体"/>
                <w:color w:val="auto"/>
                <w:sz w:val="20"/>
                <w:szCs w:val="20"/>
                <w:highlight w:val="none"/>
              </w:rPr>
            </w:pPr>
          </w:p>
        </w:tc>
        <w:tc>
          <w:tcPr>
            <w:tcW w:w="1460" w:type="dxa"/>
            <w:vAlign w:val="bottom"/>
          </w:tcPr>
          <w:p>
            <w:pPr>
              <w:spacing w:line="360" w:lineRule="auto"/>
              <w:rPr>
                <w:rFonts w:ascii="宋体" w:hAnsi="宋体" w:cs="宋体"/>
                <w:color w:val="auto"/>
                <w:sz w:val="20"/>
                <w:szCs w:val="20"/>
                <w:highlight w:val="none"/>
              </w:rPr>
            </w:pPr>
          </w:p>
        </w:tc>
      </w:tr>
      <w:tr>
        <w:tblPrEx>
          <w:tblCellMar>
            <w:top w:w="0" w:type="dxa"/>
            <w:left w:w="0" w:type="dxa"/>
            <w:bottom w:w="0" w:type="dxa"/>
            <w:right w:w="0" w:type="dxa"/>
          </w:tblCellMar>
        </w:tblPrEx>
        <w:trPr>
          <w:trHeight w:val="388" w:hRule="atLeast"/>
        </w:trPr>
        <w:tc>
          <w:tcPr>
            <w:tcW w:w="1480" w:type="dxa"/>
            <w:vAlign w:val="bottom"/>
          </w:tcPr>
          <w:p>
            <w:pPr>
              <w:spacing w:line="360" w:lineRule="auto"/>
              <w:ind w:left="320"/>
              <w:rPr>
                <w:rFonts w:ascii="宋体" w:hAnsi="宋体" w:cs="宋体"/>
                <w:color w:val="auto"/>
                <w:sz w:val="20"/>
                <w:szCs w:val="20"/>
                <w:highlight w:val="none"/>
              </w:rPr>
            </w:pPr>
            <w:r>
              <w:rPr>
                <w:rFonts w:hint="eastAsia" w:ascii="宋体" w:hAnsi="宋体" w:cs="宋体"/>
                <w:color w:val="auto"/>
                <w:szCs w:val="21"/>
                <w:highlight w:val="none"/>
              </w:rPr>
              <w:t>项目编号：</w:t>
            </w:r>
          </w:p>
        </w:tc>
        <w:tc>
          <w:tcPr>
            <w:tcW w:w="520" w:type="dxa"/>
            <w:tcBorders>
              <w:bottom w:val="single" w:color="auto" w:sz="8" w:space="0"/>
            </w:tcBorders>
            <w:vAlign w:val="bottom"/>
          </w:tcPr>
          <w:p>
            <w:pPr>
              <w:spacing w:line="360" w:lineRule="auto"/>
              <w:rPr>
                <w:rFonts w:ascii="宋体" w:hAnsi="宋体" w:cs="宋体"/>
                <w:color w:val="auto"/>
                <w:sz w:val="24"/>
                <w:szCs w:val="24"/>
                <w:highlight w:val="none"/>
              </w:rPr>
            </w:pPr>
          </w:p>
        </w:tc>
        <w:tc>
          <w:tcPr>
            <w:tcW w:w="1460" w:type="dxa"/>
            <w:tcBorders>
              <w:bottom w:val="single" w:color="auto" w:sz="8" w:space="0"/>
            </w:tcBorders>
            <w:vAlign w:val="bottom"/>
          </w:tcPr>
          <w:p>
            <w:pPr>
              <w:spacing w:line="360" w:lineRule="auto"/>
              <w:rPr>
                <w:rFonts w:ascii="宋体" w:hAnsi="宋体" w:cs="宋体"/>
                <w:color w:val="auto"/>
                <w:sz w:val="24"/>
                <w:szCs w:val="24"/>
                <w:highlight w:val="none"/>
              </w:rPr>
            </w:pPr>
          </w:p>
        </w:tc>
        <w:tc>
          <w:tcPr>
            <w:tcW w:w="540" w:type="dxa"/>
            <w:vAlign w:val="bottom"/>
          </w:tcPr>
          <w:p>
            <w:pPr>
              <w:spacing w:line="360" w:lineRule="auto"/>
              <w:rPr>
                <w:rFonts w:ascii="宋体" w:hAnsi="宋体" w:cs="宋体"/>
                <w:color w:val="auto"/>
                <w:sz w:val="24"/>
                <w:szCs w:val="24"/>
                <w:highlight w:val="none"/>
              </w:rPr>
            </w:pPr>
          </w:p>
        </w:tc>
        <w:tc>
          <w:tcPr>
            <w:tcW w:w="1700" w:type="dxa"/>
            <w:vAlign w:val="bottom"/>
          </w:tcPr>
          <w:p>
            <w:pPr>
              <w:spacing w:line="360" w:lineRule="auto"/>
              <w:rPr>
                <w:rFonts w:ascii="宋体" w:hAnsi="宋体" w:cs="宋体"/>
                <w:color w:val="auto"/>
                <w:sz w:val="24"/>
                <w:szCs w:val="24"/>
                <w:highlight w:val="none"/>
              </w:rPr>
            </w:pPr>
          </w:p>
        </w:tc>
        <w:tc>
          <w:tcPr>
            <w:tcW w:w="3260" w:type="dxa"/>
            <w:gridSpan w:val="2"/>
            <w:vAlign w:val="bottom"/>
          </w:tcPr>
          <w:p>
            <w:pPr>
              <w:spacing w:line="360" w:lineRule="auto"/>
              <w:ind w:left="500"/>
              <w:rPr>
                <w:rFonts w:ascii="宋体" w:hAnsi="宋体" w:cs="宋体"/>
                <w:color w:val="auto"/>
                <w:sz w:val="20"/>
                <w:szCs w:val="20"/>
                <w:highlight w:val="none"/>
              </w:rPr>
            </w:pPr>
            <w:r>
              <w:rPr>
                <w:rFonts w:hint="eastAsia" w:ascii="宋体" w:hAnsi="宋体" w:cs="宋体"/>
                <w:color w:val="auto"/>
                <w:szCs w:val="21"/>
                <w:highlight w:val="none"/>
              </w:rPr>
              <w:t>（价格单位：元人民币）</w:t>
            </w:r>
          </w:p>
        </w:tc>
      </w:tr>
      <w:tr>
        <w:tblPrEx>
          <w:tblCellMar>
            <w:top w:w="0" w:type="dxa"/>
            <w:left w:w="0" w:type="dxa"/>
            <w:bottom w:w="0" w:type="dxa"/>
            <w:right w:w="0" w:type="dxa"/>
          </w:tblCellMar>
        </w:tblPrEx>
        <w:trPr>
          <w:trHeight w:val="155" w:hRule="atLeast"/>
        </w:trPr>
        <w:tc>
          <w:tcPr>
            <w:tcW w:w="1480" w:type="dxa"/>
            <w:tcBorders>
              <w:bottom w:val="single" w:color="auto" w:sz="8" w:space="0"/>
            </w:tcBorders>
            <w:vAlign w:val="bottom"/>
          </w:tcPr>
          <w:p>
            <w:pPr>
              <w:spacing w:line="360" w:lineRule="auto"/>
              <w:rPr>
                <w:rFonts w:ascii="宋体" w:hAnsi="宋体" w:cs="宋体"/>
                <w:color w:val="auto"/>
                <w:sz w:val="13"/>
                <w:szCs w:val="13"/>
                <w:highlight w:val="none"/>
              </w:rPr>
            </w:pPr>
          </w:p>
        </w:tc>
        <w:tc>
          <w:tcPr>
            <w:tcW w:w="520" w:type="dxa"/>
            <w:tcBorders>
              <w:bottom w:val="single" w:color="auto" w:sz="8" w:space="0"/>
            </w:tcBorders>
            <w:vAlign w:val="bottom"/>
          </w:tcPr>
          <w:p>
            <w:pPr>
              <w:spacing w:line="360" w:lineRule="auto"/>
              <w:rPr>
                <w:rFonts w:ascii="宋体" w:hAnsi="宋体" w:cs="宋体"/>
                <w:color w:val="auto"/>
                <w:sz w:val="13"/>
                <w:szCs w:val="13"/>
                <w:highlight w:val="none"/>
              </w:rPr>
            </w:pPr>
          </w:p>
        </w:tc>
        <w:tc>
          <w:tcPr>
            <w:tcW w:w="2000" w:type="dxa"/>
            <w:gridSpan w:val="2"/>
            <w:tcBorders>
              <w:bottom w:val="single" w:color="auto" w:sz="8" w:space="0"/>
            </w:tcBorders>
            <w:vAlign w:val="bottom"/>
          </w:tcPr>
          <w:p>
            <w:pPr>
              <w:spacing w:line="360" w:lineRule="auto"/>
              <w:rPr>
                <w:rFonts w:ascii="宋体" w:hAnsi="宋体" w:cs="宋体"/>
                <w:color w:val="auto"/>
                <w:sz w:val="13"/>
                <w:szCs w:val="13"/>
                <w:highlight w:val="none"/>
              </w:rPr>
            </w:pPr>
          </w:p>
        </w:tc>
        <w:tc>
          <w:tcPr>
            <w:tcW w:w="1700" w:type="dxa"/>
            <w:tcBorders>
              <w:bottom w:val="single" w:color="auto" w:sz="8" w:space="0"/>
            </w:tcBorders>
            <w:vAlign w:val="bottom"/>
          </w:tcPr>
          <w:p>
            <w:pPr>
              <w:spacing w:line="360" w:lineRule="auto"/>
              <w:rPr>
                <w:rFonts w:ascii="宋体" w:hAnsi="宋体" w:cs="宋体"/>
                <w:color w:val="auto"/>
                <w:sz w:val="13"/>
                <w:szCs w:val="13"/>
                <w:highlight w:val="none"/>
              </w:rPr>
            </w:pPr>
          </w:p>
        </w:tc>
        <w:tc>
          <w:tcPr>
            <w:tcW w:w="1800" w:type="dxa"/>
            <w:tcBorders>
              <w:bottom w:val="single" w:color="auto" w:sz="8" w:space="0"/>
            </w:tcBorders>
            <w:vAlign w:val="bottom"/>
          </w:tcPr>
          <w:p>
            <w:pPr>
              <w:spacing w:line="360" w:lineRule="auto"/>
              <w:rPr>
                <w:rFonts w:ascii="宋体" w:hAnsi="宋体" w:cs="宋体"/>
                <w:color w:val="auto"/>
                <w:sz w:val="13"/>
                <w:szCs w:val="13"/>
                <w:highlight w:val="none"/>
              </w:rPr>
            </w:pPr>
          </w:p>
        </w:tc>
        <w:tc>
          <w:tcPr>
            <w:tcW w:w="1460" w:type="dxa"/>
            <w:tcBorders>
              <w:bottom w:val="single" w:color="auto" w:sz="8" w:space="0"/>
            </w:tcBorders>
            <w:vAlign w:val="bottom"/>
          </w:tcPr>
          <w:p>
            <w:pPr>
              <w:spacing w:line="360" w:lineRule="auto"/>
              <w:rPr>
                <w:rFonts w:ascii="宋体" w:hAnsi="宋体" w:cs="宋体"/>
                <w:color w:val="auto"/>
                <w:sz w:val="13"/>
                <w:szCs w:val="13"/>
                <w:highlight w:val="none"/>
              </w:rPr>
            </w:pPr>
          </w:p>
        </w:tc>
      </w:tr>
      <w:tr>
        <w:tblPrEx>
          <w:tblCellMar>
            <w:top w:w="0" w:type="dxa"/>
            <w:left w:w="0" w:type="dxa"/>
            <w:bottom w:w="0" w:type="dxa"/>
            <w:right w:w="0" w:type="dxa"/>
          </w:tblCellMar>
        </w:tblPrEx>
        <w:trPr>
          <w:trHeight w:val="428" w:hRule="atLeast"/>
        </w:trPr>
        <w:tc>
          <w:tcPr>
            <w:tcW w:w="1480" w:type="dxa"/>
            <w:tcBorders>
              <w:left w:val="single" w:color="auto" w:sz="8" w:space="0"/>
            </w:tcBorders>
            <w:vAlign w:val="bottom"/>
          </w:tcPr>
          <w:p>
            <w:pPr>
              <w:spacing w:line="360" w:lineRule="auto"/>
              <w:ind w:left="580"/>
              <w:rPr>
                <w:rFonts w:ascii="宋体" w:hAnsi="宋体" w:cs="宋体"/>
                <w:color w:val="auto"/>
                <w:sz w:val="20"/>
                <w:szCs w:val="20"/>
                <w:highlight w:val="none"/>
              </w:rPr>
            </w:pPr>
            <w:r>
              <w:rPr>
                <w:rFonts w:hint="eastAsia" w:ascii="宋体" w:hAnsi="宋体" w:cs="宋体"/>
                <w:color w:val="auto"/>
                <w:szCs w:val="21"/>
                <w:highlight w:val="none"/>
              </w:rPr>
              <w:t>项目名称</w:t>
            </w:r>
          </w:p>
        </w:tc>
        <w:tc>
          <w:tcPr>
            <w:tcW w:w="520" w:type="dxa"/>
            <w:tcBorders>
              <w:right w:val="single" w:color="auto" w:sz="8" w:space="0"/>
            </w:tcBorders>
            <w:vAlign w:val="bottom"/>
          </w:tcPr>
          <w:p>
            <w:pPr>
              <w:spacing w:line="360" w:lineRule="auto"/>
              <w:rPr>
                <w:rFonts w:ascii="宋体" w:hAnsi="宋体" w:cs="宋体"/>
                <w:color w:val="auto"/>
                <w:sz w:val="24"/>
                <w:szCs w:val="24"/>
                <w:highlight w:val="none"/>
              </w:rPr>
            </w:pPr>
          </w:p>
        </w:tc>
        <w:tc>
          <w:tcPr>
            <w:tcW w:w="2000" w:type="dxa"/>
            <w:gridSpan w:val="2"/>
            <w:tcBorders>
              <w:right w:val="single" w:color="auto" w:sz="8" w:space="0"/>
            </w:tcBorders>
            <w:vAlign w:val="bottom"/>
          </w:tcPr>
          <w:p>
            <w:pPr>
              <w:spacing w:line="360" w:lineRule="auto"/>
              <w:ind w:left="240"/>
              <w:rPr>
                <w:rFonts w:ascii="宋体" w:hAnsi="宋体" w:cs="宋体"/>
                <w:color w:val="auto"/>
                <w:sz w:val="20"/>
                <w:szCs w:val="20"/>
                <w:highlight w:val="none"/>
              </w:rPr>
            </w:pPr>
            <w:r>
              <w:rPr>
                <w:rFonts w:hint="eastAsia" w:ascii="宋体" w:hAnsi="宋体" w:cs="宋体"/>
                <w:color w:val="auto"/>
                <w:szCs w:val="21"/>
                <w:highlight w:val="none"/>
              </w:rPr>
              <w:t>投标报价（元）</w:t>
            </w:r>
          </w:p>
        </w:tc>
        <w:tc>
          <w:tcPr>
            <w:tcW w:w="1700" w:type="dxa"/>
            <w:tcBorders>
              <w:right w:val="single" w:color="auto" w:sz="8" w:space="0"/>
            </w:tcBorders>
            <w:vAlign w:val="bottom"/>
          </w:tcPr>
          <w:p>
            <w:pPr>
              <w:spacing w:line="360" w:lineRule="auto"/>
              <w:ind w:left="100"/>
              <w:rPr>
                <w:rFonts w:ascii="宋体" w:hAnsi="宋体" w:cs="宋体"/>
                <w:color w:val="auto"/>
                <w:sz w:val="20"/>
                <w:szCs w:val="20"/>
                <w:highlight w:val="none"/>
              </w:rPr>
            </w:pPr>
            <w:r>
              <w:rPr>
                <w:rFonts w:hint="eastAsia" w:ascii="宋体" w:hAnsi="宋体" w:cs="宋体"/>
                <w:color w:val="auto"/>
                <w:szCs w:val="21"/>
                <w:highlight w:val="none"/>
              </w:rPr>
              <w:t>工期（日历天）</w:t>
            </w:r>
          </w:p>
        </w:tc>
        <w:tc>
          <w:tcPr>
            <w:tcW w:w="1800" w:type="dxa"/>
            <w:tcBorders>
              <w:right w:val="single" w:color="auto" w:sz="8" w:space="0"/>
            </w:tcBorders>
            <w:vAlign w:val="bottom"/>
          </w:tcPr>
          <w:p>
            <w:pPr>
              <w:spacing w:line="360" w:lineRule="auto"/>
              <w:ind w:left="460"/>
              <w:rPr>
                <w:rFonts w:ascii="宋体" w:hAnsi="宋体" w:cs="宋体"/>
                <w:color w:val="auto"/>
                <w:sz w:val="20"/>
                <w:szCs w:val="20"/>
                <w:highlight w:val="none"/>
              </w:rPr>
            </w:pPr>
            <w:r>
              <w:rPr>
                <w:rFonts w:hint="eastAsia" w:ascii="宋体" w:hAnsi="宋体" w:cs="宋体"/>
                <w:color w:val="auto"/>
                <w:szCs w:val="21"/>
                <w:highlight w:val="none"/>
              </w:rPr>
              <w:t>项目经理</w:t>
            </w:r>
          </w:p>
        </w:tc>
        <w:tc>
          <w:tcPr>
            <w:tcW w:w="1460" w:type="dxa"/>
            <w:tcBorders>
              <w:right w:val="single" w:color="auto" w:sz="8" w:space="0"/>
            </w:tcBorders>
            <w:vAlign w:val="bottom"/>
          </w:tcPr>
          <w:p>
            <w:pPr>
              <w:spacing w:line="360" w:lineRule="auto"/>
              <w:ind w:left="300"/>
              <w:rPr>
                <w:rFonts w:ascii="宋体" w:hAnsi="宋体" w:cs="宋体"/>
                <w:color w:val="auto"/>
                <w:sz w:val="20"/>
                <w:szCs w:val="20"/>
                <w:highlight w:val="none"/>
              </w:rPr>
            </w:pPr>
            <w:r>
              <w:rPr>
                <w:rFonts w:hint="eastAsia" w:ascii="宋体" w:hAnsi="宋体" w:cs="宋体"/>
                <w:color w:val="auto"/>
                <w:szCs w:val="21"/>
                <w:highlight w:val="none"/>
              </w:rPr>
              <w:t>质量标准</w:t>
            </w:r>
          </w:p>
        </w:tc>
      </w:tr>
      <w:tr>
        <w:tblPrEx>
          <w:tblCellMar>
            <w:top w:w="0" w:type="dxa"/>
            <w:left w:w="0" w:type="dxa"/>
            <w:bottom w:w="0" w:type="dxa"/>
            <w:right w:w="0" w:type="dxa"/>
          </w:tblCellMar>
        </w:tblPrEx>
        <w:trPr>
          <w:trHeight w:val="116" w:hRule="atLeast"/>
        </w:trPr>
        <w:tc>
          <w:tcPr>
            <w:tcW w:w="1480" w:type="dxa"/>
            <w:tcBorders>
              <w:left w:val="single" w:color="auto" w:sz="8" w:space="0"/>
              <w:bottom w:val="single" w:color="auto" w:sz="8" w:space="0"/>
            </w:tcBorders>
            <w:vAlign w:val="bottom"/>
          </w:tcPr>
          <w:p>
            <w:pPr>
              <w:spacing w:line="360" w:lineRule="auto"/>
              <w:rPr>
                <w:rFonts w:ascii="宋体" w:hAnsi="宋体" w:cs="宋体"/>
                <w:color w:val="auto"/>
                <w:sz w:val="10"/>
                <w:szCs w:val="10"/>
                <w:highlight w:val="none"/>
              </w:rPr>
            </w:pPr>
          </w:p>
        </w:tc>
        <w:tc>
          <w:tcPr>
            <w:tcW w:w="520" w:type="dxa"/>
            <w:tcBorders>
              <w:bottom w:val="single" w:color="auto" w:sz="8" w:space="0"/>
              <w:right w:val="single" w:color="auto" w:sz="8" w:space="0"/>
            </w:tcBorders>
            <w:vAlign w:val="bottom"/>
          </w:tcPr>
          <w:p>
            <w:pPr>
              <w:spacing w:line="360" w:lineRule="auto"/>
              <w:rPr>
                <w:rFonts w:ascii="宋体" w:hAnsi="宋体" w:cs="宋体"/>
                <w:color w:val="auto"/>
                <w:sz w:val="10"/>
                <w:szCs w:val="10"/>
                <w:highlight w:val="none"/>
              </w:rPr>
            </w:pPr>
          </w:p>
        </w:tc>
        <w:tc>
          <w:tcPr>
            <w:tcW w:w="1460" w:type="dxa"/>
            <w:tcBorders>
              <w:bottom w:val="single" w:color="auto" w:sz="8" w:space="0"/>
            </w:tcBorders>
            <w:vAlign w:val="bottom"/>
          </w:tcPr>
          <w:p>
            <w:pPr>
              <w:spacing w:line="360" w:lineRule="auto"/>
              <w:rPr>
                <w:rFonts w:ascii="宋体" w:hAnsi="宋体" w:cs="宋体"/>
                <w:color w:val="auto"/>
                <w:sz w:val="10"/>
                <w:szCs w:val="10"/>
                <w:highlight w:val="none"/>
              </w:rPr>
            </w:pPr>
          </w:p>
        </w:tc>
        <w:tc>
          <w:tcPr>
            <w:tcW w:w="540" w:type="dxa"/>
            <w:tcBorders>
              <w:bottom w:val="single" w:color="auto" w:sz="8" w:space="0"/>
              <w:right w:val="single" w:color="auto" w:sz="8" w:space="0"/>
            </w:tcBorders>
            <w:vAlign w:val="bottom"/>
          </w:tcPr>
          <w:p>
            <w:pPr>
              <w:spacing w:line="360" w:lineRule="auto"/>
              <w:rPr>
                <w:rFonts w:ascii="宋体" w:hAnsi="宋体" w:cs="宋体"/>
                <w:color w:val="auto"/>
                <w:sz w:val="10"/>
                <w:szCs w:val="10"/>
                <w:highlight w:val="none"/>
              </w:rPr>
            </w:pPr>
          </w:p>
        </w:tc>
        <w:tc>
          <w:tcPr>
            <w:tcW w:w="1700" w:type="dxa"/>
            <w:tcBorders>
              <w:bottom w:val="single" w:color="auto" w:sz="8" w:space="0"/>
              <w:right w:val="single" w:color="auto" w:sz="8" w:space="0"/>
            </w:tcBorders>
            <w:vAlign w:val="bottom"/>
          </w:tcPr>
          <w:p>
            <w:pPr>
              <w:spacing w:line="360" w:lineRule="auto"/>
              <w:rPr>
                <w:rFonts w:ascii="宋体" w:hAnsi="宋体" w:cs="宋体"/>
                <w:color w:val="auto"/>
                <w:sz w:val="10"/>
                <w:szCs w:val="10"/>
                <w:highlight w:val="none"/>
              </w:rPr>
            </w:pPr>
          </w:p>
        </w:tc>
        <w:tc>
          <w:tcPr>
            <w:tcW w:w="1800" w:type="dxa"/>
            <w:tcBorders>
              <w:bottom w:val="single" w:color="auto" w:sz="8" w:space="0"/>
              <w:right w:val="single" w:color="auto" w:sz="8" w:space="0"/>
            </w:tcBorders>
            <w:vAlign w:val="bottom"/>
          </w:tcPr>
          <w:p>
            <w:pPr>
              <w:spacing w:line="360" w:lineRule="auto"/>
              <w:rPr>
                <w:rFonts w:ascii="宋体" w:hAnsi="宋体" w:cs="宋体"/>
                <w:color w:val="auto"/>
                <w:sz w:val="10"/>
                <w:szCs w:val="10"/>
                <w:highlight w:val="none"/>
              </w:rPr>
            </w:pPr>
          </w:p>
        </w:tc>
        <w:tc>
          <w:tcPr>
            <w:tcW w:w="1460" w:type="dxa"/>
            <w:tcBorders>
              <w:bottom w:val="single" w:color="auto" w:sz="8" w:space="0"/>
              <w:right w:val="single" w:color="auto" w:sz="8" w:space="0"/>
            </w:tcBorders>
            <w:vAlign w:val="bottom"/>
          </w:tcPr>
          <w:p>
            <w:pPr>
              <w:spacing w:line="360" w:lineRule="auto"/>
              <w:rPr>
                <w:rFonts w:ascii="宋体" w:hAnsi="宋体" w:cs="宋体"/>
                <w:color w:val="auto"/>
                <w:sz w:val="10"/>
                <w:szCs w:val="10"/>
                <w:highlight w:val="none"/>
              </w:rPr>
            </w:pPr>
          </w:p>
        </w:tc>
      </w:tr>
      <w:tr>
        <w:tblPrEx>
          <w:tblCellMar>
            <w:top w:w="0" w:type="dxa"/>
            <w:left w:w="0" w:type="dxa"/>
            <w:bottom w:w="0" w:type="dxa"/>
            <w:right w:w="0" w:type="dxa"/>
          </w:tblCellMar>
        </w:tblPrEx>
        <w:trPr>
          <w:trHeight w:val="647" w:hRule="atLeast"/>
        </w:trPr>
        <w:tc>
          <w:tcPr>
            <w:tcW w:w="1480" w:type="dxa"/>
            <w:tcBorders>
              <w:left w:val="single" w:color="auto" w:sz="8" w:space="0"/>
              <w:bottom w:val="single" w:color="auto" w:sz="8" w:space="0"/>
            </w:tcBorders>
            <w:vAlign w:val="bottom"/>
          </w:tcPr>
          <w:p>
            <w:pPr>
              <w:spacing w:line="360" w:lineRule="auto"/>
              <w:rPr>
                <w:rFonts w:ascii="宋体" w:hAnsi="宋体" w:cs="宋体"/>
                <w:color w:val="auto"/>
                <w:sz w:val="24"/>
                <w:szCs w:val="24"/>
                <w:highlight w:val="none"/>
              </w:rPr>
            </w:pPr>
          </w:p>
        </w:tc>
        <w:tc>
          <w:tcPr>
            <w:tcW w:w="520" w:type="dxa"/>
            <w:tcBorders>
              <w:bottom w:val="single" w:color="auto" w:sz="8" w:space="0"/>
              <w:right w:val="single" w:color="auto" w:sz="8" w:space="0"/>
            </w:tcBorders>
            <w:vAlign w:val="bottom"/>
          </w:tcPr>
          <w:p>
            <w:pPr>
              <w:spacing w:line="360" w:lineRule="auto"/>
              <w:rPr>
                <w:rFonts w:ascii="宋体" w:hAnsi="宋体" w:cs="宋体"/>
                <w:color w:val="auto"/>
                <w:sz w:val="24"/>
                <w:szCs w:val="24"/>
                <w:highlight w:val="none"/>
              </w:rPr>
            </w:pPr>
          </w:p>
        </w:tc>
        <w:tc>
          <w:tcPr>
            <w:tcW w:w="1460" w:type="dxa"/>
            <w:tcBorders>
              <w:bottom w:val="single" w:color="auto" w:sz="8" w:space="0"/>
            </w:tcBorders>
            <w:vAlign w:val="bottom"/>
          </w:tcPr>
          <w:p>
            <w:pPr>
              <w:spacing w:line="360" w:lineRule="auto"/>
              <w:rPr>
                <w:rFonts w:ascii="宋体" w:hAnsi="宋体" w:cs="宋体"/>
                <w:color w:val="auto"/>
                <w:sz w:val="24"/>
                <w:szCs w:val="24"/>
                <w:highlight w:val="none"/>
              </w:rPr>
            </w:pPr>
          </w:p>
        </w:tc>
        <w:tc>
          <w:tcPr>
            <w:tcW w:w="540" w:type="dxa"/>
            <w:tcBorders>
              <w:bottom w:val="single" w:color="auto" w:sz="8" w:space="0"/>
              <w:right w:val="single" w:color="auto" w:sz="8" w:space="0"/>
            </w:tcBorders>
            <w:vAlign w:val="bottom"/>
          </w:tcPr>
          <w:p>
            <w:pPr>
              <w:spacing w:line="360" w:lineRule="auto"/>
              <w:rPr>
                <w:rFonts w:ascii="宋体" w:hAnsi="宋体" w:cs="宋体"/>
                <w:color w:val="auto"/>
                <w:sz w:val="24"/>
                <w:szCs w:val="24"/>
                <w:highlight w:val="none"/>
              </w:rPr>
            </w:pPr>
          </w:p>
        </w:tc>
        <w:tc>
          <w:tcPr>
            <w:tcW w:w="1700" w:type="dxa"/>
            <w:tcBorders>
              <w:bottom w:val="single" w:color="auto" w:sz="8" w:space="0"/>
              <w:right w:val="single" w:color="auto" w:sz="8" w:space="0"/>
            </w:tcBorders>
            <w:vAlign w:val="bottom"/>
          </w:tcPr>
          <w:p>
            <w:pPr>
              <w:spacing w:line="360" w:lineRule="auto"/>
              <w:rPr>
                <w:rFonts w:ascii="宋体" w:hAnsi="宋体" w:cs="宋体"/>
                <w:color w:val="auto"/>
                <w:sz w:val="24"/>
                <w:szCs w:val="24"/>
                <w:highlight w:val="none"/>
              </w:rPr>
            </w:pPr>
          </w:p>
        </w:tc>
        <w:tc>
          <w:tcPr>
            <w:tcW w:w="1800" w:type="dxa"/>
            <w:tcBorders>
              <w:bottom w:val="single" w:color="auto" w:sz="8" w:space="0"/>
              <w:right w:val="single" w:color="auto" w:sz="8" w:space="0"/>
            </w:tcBorders>
            <w:vAlign w:val="bottom"/>
          </w:tcPr>
          <w:p>
            <w:pPr>
              <w:spacing w:line="360" w:lineRule="auto"/>
              <w:rPr>
                <w:rFonts w:ascii="宋体" w:hAnsi="宋体" w:cs="宋体"/>
                <w:color w:val="auto"/>
                <w:sz w:val="24"/>
                <w:szCs w:val="24"/>
                <w:highlight w:val="none"/>
              </w:rPr>
            </w:pPr>
          </w:p>
        </w:tc>
        <w:tc>
          <w:tcPr>
            <w:tcW w:w="1460" w:type="dxa"/>
            <w:tcBorders>
              <w:bottom w:val="single" w:color="auto" w:sz="8" w:space="0"/>
              <w:right w:val="single" w:color="auto" w:sz="8" w:space="0"/>
            </w:tcBorders>
            <w:vAlign w:val="bottom"/>
          </w:tcPr>
          <w:p>
            <w:pPr>
              <w:spacing w:line="360" w:lineRule="auto"/>
              <w:rPr>
                <w:rFonts w:ascii="宋体" w:hAnsi="宋体" w:cs="宋体"/>
                <w:color w:val="auto"/>
                <w:sz w:val="24"/>
                <w:szCs w:val="24"/>
                <w:highlight w:val="none"/>
              </w:rPr>
            </w:pPr>
          </w:p>
        </w:tc>
      </w:tr>
    </w:tbl>
    <w:p>
      <w:pPr>
        <w:spacing w:line="360" w:lineRule="auto"/>
        <w:ind w:left="460"/>
        <w:rPr>
          <w:rFonts w:ascii="宋体" w:hAnsi="宋体" w:cs="宋体"/>
          <w:color w:val="auto"/>
          <w:szCs w:val="21"/>
          <w:highlight w:val="none"/>
        </w:rPr>
      </w:pPr>
    </w:p>
    <w:p>
      <w:pPr>
        <w:spacing w:line="360" w:lineRule="auto"/>
        <w:ind w:left="460"/>
        <w:rPr>
          <w:rFonts w:ascii="宋体" w:hAnsi="宋体" w:cs="宋体"/>
          <w:color w:val="auto"/>
          <w:sz w:val="20"/>
          <w:szCs w:val="20"/>
          <w:highlight w:val="none"/>
        </w:rPr>
      </w:pPr>
      <w:r>
        <w:rPr>
          <w:rFonts w:hint="eastAsia" w:ascii="宋体" w:hAnsi="宋体" w:cs="宋体"/>
          <w:color w:val="auto"/>
          <w:szCs w:val="21"/>
          <w:highlight w:val="none"/>
        </w:rPr>
        <w:t>注：大写金额与小写金额不一致时，以大写金额为准。</w:t>
      </w:r>
    </w:p>
    <w:p>
      <w:pPr>
        <w:spacing w:line="360" w:lineRule="auto"/>
        <w:rPr>
          <w:rFonts w:ascii="宋体" w:hAnsi="宋体" w:cs="宋体"/>
          <w:color w:val="auto"/>
          <w:sz w:val="20"/>
          <w:szCs w:val="20"/>
          <w:highlight w:val="none"/>
        </w:rPr>
      </w:pPr>
    </w:p>
    <w:p>
      <w:pPr>
        <w:spacing w:line="360" w:lineRule="auto"/>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18" w:lineRule="exact"/>
        <w:rPr>
          <w:rFonts w:ascii="宋体" w:hAnsi="宋体" w:cs="宋体"/>
          <w:color w:val="auto"/>
          <w:sz w:val="20"/>
          <w:szCs w:val="20"/>
          <w:highlight w:val="none"/>
        </w:rPr>
      </w:pPr>
    </w:p>
    <w:p>
      <w:pPr>
        <w:spacing w:line="240" w:lineRule="exact"/>
        <w:ind w:left="780"/>
        <w:rPr>
          <w:rFonts w:ascii="宋体" w:hAnsi="宋体" w:cs="宋体"/>
          <w:color w:val="auto"/>
          <w:sz w:val="20"/>
          <w:szCs w:val="20"/>
          <w:highlight w:val="none"/>
        </w:rPr>
      </w:pPr>
      <w:r>
        <w:rPr>
          <w:rFonts w:hint="eastAsia" w:ascii="宋体" w:hAnsi="宋体" w:cs="宋体"/>
          <w:color w:val="auto"/>
          <w:szCs w:val="21"/>
          <w:highlight w:val="none"/>
        </w:rPr>
        <w:t>供应商全称（盖单位公章）：</w:t>
      </w:r>
    </w:p>
    <w:p>
      <w:pPr>
        <w:spacing w:line="168" w:lineRule="exact"/>
        <w:rPr>
          <w:rFonts w:ascii="宋体" w:hAnsi="宋体" w:cs="宋体"/>
          <w:color w:val="auto"/>
          <w:sz w:val="20"/>
          <w:szCs w:val="20"/>
          <w:highlight w:val="none"/>
        </w:rPr>
      </w:pPr>
    </w:p>
    <w:p>
      <w:pPr>
        <w:spacing w:line="240" w:lineRule="exact"/>
        <w:ind w:left="780"/>
        <w:rPr>
          <w:rFonts w:ascii="宋体" w:hAnsi="宋体" w:cs="宋体"/>
          <w:color w:val="auto"/>
          <w:sz w:val="20"/>
          <w:szCs w:val="20"/>
          <w:highlight w:val="none"/>
        </w:rPr>
      </w:pPr>
      <w:r>
        <w:rPr>
          <w:rFonts w:hint="eastAsia" w:ascii="宋体" w:hAnsi="宋体" w:cs="宋体"/>
          <w:color w:val="auto"/>
          <w:szCs w:val="21"/>
          <w:highlight w:val="none"/>
        </w:rPr>
        <w:t>响应文件签署人（签字或盖章）：</w:t>
      </w:r>
    </w:p>
    <w:p>
      <w:pPr>
        <w:spacing w:line="168" w:lineRule="exact"/>
        <w:rPr>
          <w:rFonts w:ascii="宋体" w:hAnsi="宋体" w:cs="宋体"/>
          <w:color w:val="auto"/>
          <w:sz w:val="20"/>
          <w:szCs w:val="20"/>
          <w:highlight w:val="none"/>
        </w:rPr>
      </w:pPr>
    </w:p>
    <w:p>
      <w:pPr>
        <w:spacing w:line="240" w:lineRule="exact"/>
        <w:ind w:left="780"/>
        <w:rPr>
          <w:rFonts w:ascii="宋体" w:hAnsi="宋体" w:cs="宋体"/>
          <w:color w:val="auto"/>
          <w:sz w:val="20"/>
          <w:szCs w:val="20"/>
          <w:highlight w:val="none"/>
        </w:rPr>
      </w:pPr>
      <w:r>
        <w:rPr>
          <w:rFonts w:hint="eastAsia" w:ascii="宋体" w:hAnsi="宋体" w:cs="宋体"/>
          <w:color w:val="auto"/>
          <w:szCs w:val="21"/>
          <w:highlight w:val="none"/>
        </w:rPr>
        <w:t>日期：</w:t>
      </w:r>
    </w:p>
    <w:p>
      <w:pPr>
        <w:spacing w:line="200" w:lineRule="exact"/>
        <w:rPr>
          <w:rFonts w:ascii="宋体" w:hAnsi="宋体" w:cs="宋体"/>
          <w:color w:val="auto"/>
          <w:sz w:val="20"/>
          <w:szCs w:val="20"/>
          <w:highlight w:val="none"/>
        </w:rPr>
      </w:pPr>
    </w:p>
    <w:p>
      <w:pPr>
        <w:rPr>
          <w:rFonts w:ascii="宋体" w:hAnsi="宋体" w:cs="宋体"/>
          <w:color w:val="auto"/>
          <w:highlight w:val="none"/>
        </w:rPr>
        <w:sectPr>
          <w:pgSz w:w="11900" w:h="16838"/>
          <w:pgMar w:top="1440" w:right="1440" w:bottom="401" w:left="1440" w:header="567" w:footer="567" w:gutter="0"/>
          <w:cols w:equalWidth="0" w:num="1">
            <w:col w:w="9026"/>
          </w:cols>
        </w:sectPr>
      </w:pPr>
    </w:p>
    <w:p>
      <w:pPr>
        <w:spacing w:line="360" w:lineRule="auto"/>
        <w:jc w:val="center"/>
        <w:rPr>
          <w:rFonts w:ascii="宋体" w:hAnsi="宋体" w:cs="宋体"/>
          <w:color w:val="auto"/>
          <w:sz w:val="28"/>
          <w:szCs w:val="28"/>
          <w:highlight w:val="none"/>
        </w:rPr>
      </w:pPr>
      <w:bookmarkStart w:id="123" w:name="page52"/>
      <w:bookmarkEnd w:id="123"/>
      <w:r>
        <w:rPr>
          <w:rFonts w:hint="eastAsia" w:ascii="宋体" w:hAnsi="宋体" w:cs="宋体"/>
          <w:b/>
          <w:bCs/>
          <w:color w:val="auto"/>
          <w:sz w:val="28"/>
          <w:szCs w:val="28"/>
          <w:highlight w:val="none"/>
        </w:rPr>
        <w:t>三、</w:t>
      </w:r>
      <w:r>
        <w:rPr>
          <w:rFonts w:hint="eastAsia" w:ascii="宋体" w:hAnsi="宋体" w:cs="宋体"/>
          <w:b/>
          <w:color w:val="auto"/>
          <w:sz w:val="28"/>
          <w:szCs w:val="28"/>
          <w:highlight w:val="none"/>
        </w:rPr>
        <w:t>已标价工程量清单报价表格式</w:t>
      </w:r>
    </w:p>
    <w:p>
      <w:pPr>
        <w:spacing w:line="150" w:lineRule="exact"/>
        <w:rPr>
          <w:rFonts w:ascii="宋体" w:hAnsi="宋体" w:cs="宋体"/>
          <w:color w:val="auto"/>
          <w:sz w:val="20"/>
          <w:szCs w:val="20"/>
          <w:highlight w:val="none"/>
        </w:rPr>
      </w:pPr>
    </w:p>
    <w:p>
      <w:pPr>
        <w:spacing w:line="240" w:lineRule="exact"/>
        <w:ind w:left="4160"/>
        <w:rPr>
          <w:rFonts w:ascii="宋体" w:hAnsi="宋体" w:cs="宋体"/>
          <w:b/>
          <w:bCs/>
          <w:color w:val="auto"/>
          <w:szCs w:val="21"/>
          <w:highlight w:val="none"/>
        </w:rPr>
      </w:pPr>
    </w:p>
    <w:p>
      <w:pPr>
        <w:spacing w:line="360" w:lineRule="auto"/>
        <w:jc w:val="center"/>
        <w:rPr>
          <w:rFonts w:ascii="宋体" w:hAnsi="宋体" w:cs="宋体"/>
          <w:b/>
          <w:bCs/>
          <w:color w:val="auto"/>
          <w:sz w:val="28"/>
          <w:szCs w:val="28"/>
          <w:highlight w:val="none"/>
        </w:rPr>
      </w:pPr>
      <w:bookmarkStart w:id="124" w:name="_Toc26372_WPSOffice_Level2"/>
      <w:r>
        <w:rPr>
          <w:rFonts w:hint="eastAsia" w:ascii="宋体" w:hAnsi="宋体" w:cs="宋体"/>
          <w:b/>
          <w:bCs/>
          <w:color w:val="auto"/>
          <w:sz w:val="28"/>
          <w:szCs w:val="28"/>
          <w:highlight w:val="none"/>
        </w:rPr>
        <w:t>（具体请按照《浙江省建设工程计价规则》（2018版）投标报价格式编制）</w:t>
      </w:r>
      <w:bookmarkEnd w:id="124"/>
    </w:p>
    <w:p>
      <w:pPr>
        <w:spacing w:line="200" w:lineRule="exact"/>
        <w:rPr>
          <w:rFonts w:ascii="宋体" w:hAnsi="宋体" w:cs="宋体"/>
          <w:color w:val="auto"/>
          <w:sz w:val="20"/>
          <w:szCs w:val="20"/>
          <w:highlight w:val="none"/>
        </w:rPr>
      </w:pPr>
    </w:p>
    <w:p>
      <w:pPr>
        <w:snapToGrid w:val="0"/>
        <w:spacing w:line="300" w:lineRule="exact"/>
        <w:rPr>
          <w:rFonts w:ascii="宋体" w:hAnsi="宋体" w:cs="宋体"/>
          <w:bCs/>
          <w:color w:val="auto"/>
          <w:kern w:val="10"/>
          <w:szCs w:val="21"/>
          <w:highlight w:val="none"/>
          <w:u w:val="single"/>
        </w:rPr>
      </w:pPr>
      <w:r>
        <w:rPr>
          <w:rFonts w:hint="eastAsia" w:ascii="宋体" w:hAnsi="宋体" w:cs="宋体"/>
          <w:b/>
          <w:bCs/>
          <w:color w:val="auto"/>
          <w:szCs w:val="21"/>
          <w:highlight w:val="none"/>
        </w:rPr>
        <w:t>▲</w:t>
      </w:r>
      <w:r>
        <w:rPr>
          <w:rFonts w:hint="eastAsia" w:ascii="宋体" w:hAnsi="宋体" w:cs="宋体"/>
          <w:b/>
          <w:color w:val="auto"/>
          <w:szCs w:val="21"/>
          <w:highlight w:val="none"/>
        </w:rPr>
        <w:t>造价人员签字及盖章要求：</w:t>
      </w:r>
      <w:r>
        <w:rPr>
          <w:rFonts w:hint="eastAsia" w:ascii="宋体" w:hAnsi="宋体" w:cs="宋体"/>
          <w:bCs/>
          <w:color w:val="auto"/>
          <w:kern w:val="10"/>
          <w:szCs w:val="21"/>
          <w:highlight w:val="none"/>
          <w:u w:val="single"/>
        </w:rPr>
        <w:t>根据国家住建部、省级造价主管部门对造价从业人员执业管理的相关法律法规规定以及国标计价规范的规定，报价的编制必须遵守以下规定：</w:t>
      </w:r>
    </w:p>
    <w:p>
      <w:pPr>
        <w:snapToGrid w:val="0"/>
        <w:spacing w:line="300" w:lineRule="exact"/>
        <w:rPr>
          <w:rFonts w:ascii="宋体" w:hAnsi="宋体" w:cs="宋体"/>
          <w:bCs/>
          <w:color w:val="auto"/>
          <w:kern w:val="10"/>
          <w:szCs w:val="21"/>
          <w:highlight w:val="none"/>
          <w:u w:val="single"/>
        </w:rPr>
      </w:pPr>
      <w:r>
        <w:rPr>
          <w:rFonts w:hint="eastAsia" w:ascii="宋体" w:hAnsi="宋体" w:cs="宋体"/>
          <w:bCs/>
          <w:color w:val="auto"/>
          <w:kern w:val="10"/>
          <w:szCs w:val="21"/>
          <w:highlight w:val="none"/>
          <w:u w:val="single"/>
        </w:rPr>
        <w:t>（1）报价应由供应商或受其委托具有相应资质的工程造价咨询人编制。供应商委托具有相应资质的工程造价咨询人编制报价书的，响应文件中应附情况说明、委托编制报价的咨询合同书及工程造价咨询人的咨询资质等级证书等。</w:t>
      </w:r>
    </w:p>
    <w:p>
      <w:pPr>
        <w:snapToGrid w:val="0"/>
        <w:spacing w:line="300" w:lineRule="exact"/>
        <w:rPr>
          <w:rFonts w:ascii="宋体" w:hAnsi="宋体" w:cs="宋体"/>
          <w:bCs/>
          <w:color w:val="auto"/>
          <w:kern w:val="10"/>
          <w:szCs w:val="21"/>
          <w:highlight w:val="none"/>
          <w:u w:val="single"/>
        </w:rPr>
      </w:pPr>
      <w:r>
        <w:rPr>
          <w:rFonts w:hint="eastAsia" w:ascii="宋体" w:hAnsi="宋体" w:cs="宋体"/>
          <w:bCs/>
          <w:color w:val="auto"/>
          <w:kern w:val="10"/>
          <w:szCs w:val="21"/>
          <w:highlight w:val="none"/>
          <w:u w:val="single"/>
        </w:rPr>
        <w:t>（2）如报价由供应商编制，编制人员必须是在编制单位注册的造价工程师，并由其签字并盖执业专用章；</w:t>
      </w:r>
    </w:p>
    <w:p>
      <w:pPr>
        <w:snapToGrid w:val="0"/>
        <w:spacing w:line="300" w:lineRule="exact"/>
        <w:rPr>
          <w:rFonts w:ascii="宋体" w:hAnsi="宋体" w:cs="宋体"/>
          <w:bCs/>
          <w:color w:val="auto"/>
          <w:kern w:val="10"/>
          <w:szCs w:val="21"/>
          <w:highlight w:val="none"/>
          <w:u w:val="single"/>
        </w:rPr>
      </w:pPr>
      <w:r>
        <w:rPr>
          <w:rFonts w:hint="eastAsia" w:ascii="宋体" w:hAnsi="宋体" w:cs="宋体"/>
          <w:bCs/>
          <w:color w:val="auto"/>
          <w:kern w:val="10"/>
          <w:szCs w:val="21"/>
          <w:highlight w:val="none"/>
          <w:u w:val="single"/>
        </w:rPr>
        <w:t>（3）如报价由供应商委托具有相应资质的工程造价咨询人编制的，编制人员必须是在编制单位注册的造价工程师，并由编制人员签字和盖执业专用章，且由本单位其他注册造价工程师复核，在成果文件相应位置签字并盖执业专用章；</w:t>
      </w:r>
    </w:p>
    <w:p>
      <w:pPr>
        <w:snapToGrid w:val="0"/>
        <w:spacing w:line="300" w:lineRule="exact"/>
        <w:rPr>
          <w:rFonts w:ascii="宋体" w:hAnsi="宋体" w:cs="宋体"/>
          <w:bCs/>
          <w:color w:val="auto"/>
          <w:kern w:val="10"/>
          <w:szCs w:val="21"/>
          <w:highlight w:val="none"/>
          <w:u w:val="single"/>
        </w:rPr>
      </w:pPr>
      <w:r>
        <w:rPr>
          <w:rFonts w:hint="eastAsia" w:ascii="宋体" w:hAnsi="宋体" w:cs="宋体"/>
          <w:bCs/>
          <w:color w:val="auto"/>
          <w:kern w:val="10"/>
          <w:szCs w:val="21"/>
          <w:highlight w:val="none"/>
          <w:u w:val="single"/>
        </w:rPr>
        <w:t>（4）报价文件不得由供应商的造价人员和受委托的咨询公司的造价人员混合编审，报价文件封面所盖的造价工程师只能是同一单位人员；</w:t>
      </w:r>
    </w:p>
    <w:p>
      <w:pPr>
        <w:spacing w:line="296" w:lineRule="exact"/>
        <w:rPr>
          <w:rFonts w:ascii="宋体" w:hAnsi="宋体" w:cs="宋体"/>
          <w:color w:val="auto"/>
          <w:sz w:val="20"/>
          <w:szCs w:val="20"/>
          <w:highlight w:val="none"/>
          <w:u w:val="single"/>
        </w:rPr>
      </w:pPr>
      <w:r>
        <w:rPr>
          <w:rFonts w:hint="eastAsia" w:ascii="宋体" w:hAnsi="宋体" w:cs="宋体"/>
          <w:bCs/>
          <w:color w:val="auto"/>
          <w:kern w:val="10"/>
          <w:szCs w:val="21"/>
          <w:highlight w:val="none"/>
          <w:u w:val="single"/>
        </w:rPr>
        <w:t>工程造价咨询人不得同时接受采购人和供应商对同一工程的控制价和报价的编制。</w:t>
      </w:r>
    </w:p>
    <w:p>
      <w:pPr>
        <w:spacing w:line="366" w:lineRule="exact"/>
        <w:jc w:val="center"/>
        <w:rPr>
          <w:rFonts w:ascii="宋体" w:hAnsi="宋体" w:cs="宋体"/>
          <w:b/>
          <w:bCs/>
          <w:color w:val="auto"/>
          <w:sz w:val="28"/>
          <w:szCs w:val="28"/>
          <w:highlight w:val="none"/>
        </w:rPr>
      </w:pPr>
      <w:bookmarkStart w:id="125" w:name="page73"/>
      <w:bookmarkEnd w:id="125"/>
    </w:p>
    <w:p>
      <w:pPr>
        <w:spacing w:line="366" w:lineRule="exact"/>
        <w:jc w:val="center"/>
        <w:rPr>
          <w:rFonts w:ascii="宋体" w:hAnsi="宋体" w:cs="宋体"/>
          <w:b/>
          <w:bCs/>
          <w:color w:val="auto"/>
          <w:sz w:val="28"/>
          <w:szCs w:val="28"/>
          <w:highlight w:val="none"/>
        </w:rPr>
      </w:pPr>
    </w:p>
    <w:p>
      <w:pPr>
        <w:spacing w:line="366" w:lineRule="exact"/>
        <w:jc w:val="center"/>
        <w:rPr>
          <w:rFonts w:ascii="宋体" w:hAnsi="宋体" w:cs="宋体"/>
          <w:b/>
          <w:bCs/>
          <w:color w:val="auto"/>
          <w:sz w:val="28"/>
          <w:szCs w:val="28"/>
          <w:highlight w:val="none"/>
        </w:rPr>
      </w:pPr>
    </w:p>
    <w:p>
      <w:pPr>
        <w:spacing w:line="366" w:lineRule="exact"/>
        <w:jc w:val="center"/>
        <w:rPr>
          <w:rFonts w:ascii="宋体" w:hAnsi="宋体" w:cs="宋体"/>
          <w:b/>
          <w:bCs/>
          <w:color w:val="auto"/>
          <w:sz w:val="28"/>
          <w:szCs w:val="28"/>
          <w:highlight w:val="none"/>
        </w:rPr>
        <w:sectPr>
          <w:pgSz w:w="11900" w:h="16838"/>
          <w:pgMar w:top="1440" w:right="1440" w:bottom="158" w:left="1440" w:header="567" w:footer="567" w:gutter="0"/>
          <w:cols w:equalWidth="0" w:num="1">
            <w:col w:w="9026"/>
          </w:cols>
        </w:sectPr>
      </w:pPr>
    </w:p>
    <w:p>
      <w:pPr>
        <w:spacing w:line="366"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四、中小企业（小型、微型）、监狱企业、残疾人福利性单位声明函及其相关的充分的证明材料</w:t>
      </w:r>
    </w:p>
    <w:p>
      <w:pPr>
        <w:spacing w:line="169" w:lineRule="exact"/>
        <w:rPr>
          <w:rFonts w:ascii="宋体" w:hAnsi="宋体" w:cs="宋体"/>
          <w:color w:val="auto"/>
          <w:sz w:val="20"/>
          <w:szCs w:val="20"/>
          <w:highlight w:val="none"/>
        </w:rPr>
      </w:pPr>
    </w:p>
    <w:p>
      <w:pPr>
        <w:spacing w:line="366" w:lineRule="exact"/>
        <w:jc w:val="center"/>
        <w:outlineLvl w:val="0"/>
        <w:rPr>
          <w:rFonts w:ascii="宋体" w:hAnsi="宋体" w:cs="宋体"/>
          <w:b/>
          <w:bCs/>
          <w:color w:val="auto"/>
          <w:sz w:val="24"/>
          <w:szCs w:val="24"/>
          <w:highlight w:val="none"/>
        </w:rPr>
      </w:pPr>
      <w:bookmarkStart w:id="126" w:name="_Toc93"/>
      <w:r>
        <w:rPr>
          <w:rFonts w:hint="eastAsia" w:ascii="宋体" w:hAnsi="宋体" w:cs="宋体"/>
          <w:b/>
          <w:bCs/>
          <w:color w:val="auto"/>
          <w:sz w:val="24"/>
          <w:szCs w:val="24"/>
          <w:highlight w:val="none"/>
        </w:rPr>
        <w:t>中小企业声明函</w:t>
      </w:r>
      <w:bookmarkEnd w:id="126"/>
    </w:p>
    <w:p>
      <w:pPr>
        <w:spacing w:line="259" w:lineRule="exact"/>
        <w:rPr>
          <w:rFonts w:ascii="宋体" w:hAnsi="宋体" w:cs="宋体"/>
          <w:color w:val="auto"/>
          <w:sz w:val="24"/>
          <w:szCs w:val="24"/>
          <w:highlight w:val="none"/>
        </w:rPr>
      </w:pPr>
    </w:p>
    <w:p>
      <w:pPr>
        <w:spacing w:line="366" w:lineRule="exact"/>
        <w:jc w:val="center"/>
        <w:outlineLvl w:val="0"/>
        <w:rPr>
          <w:rFonts w:ascii="宋体" w:hAnsi="宋体" w:cs="宋体"/>
          <w:b/>
          <w:bCs/>
          <w:color w:val="auto"/>
          <w:sz w:val="28"/>
          <w:szCs w:val="28"/>
          <w:highlight w:val="none"/>
        </w:rPr>
      </w:pPr>
      <w:bookmarkStart w:id="127" w:name="_Toc13648"/>
      <w:r>
        <w:rPr>
          <w:rFonts w:hint="eastAsia" w:ascii="宋体" w:hAnsi="宋体" w:cs="宋体"/>
          <w:b/>
          <w:bCs/>
          <w:color w:val="auto"/>
          <w:sz w:val="24"/>
          <w:szCs w:val="24"/>
          <w:highlight w:val="none"/>
        </w:rPr>
        <w:t>（非小微企业不用提供）</w:t>
      </w:r>
      <w:bookmarkEnd w:id="127"/>
    </w:p>
    <w:p>
      <w:pPr>
        <w:spacing w:line="288" w:lineRule="exact"/>
        <w:rPr>
          <w:rFonts w:ascii="宋体" w:hAnsi="宋体" w:cs="宋体"/>
          <w:color w:val="auto"/>
          <w:sz w:val="20"/>
          <w:szCs w:val="20"/>
          <w:highlight w:val="none"/>
        </w:rPr>
      </w:pPr>
    </w:p>
    <w:p>
      <w:pPr>
        <w:spacing w:line="342" w:lineRule="exact"/>
        <w:ind w:left="360" w:right="306" w:firstLine="420"/>
        <w:jc w:val="both"/>
        <w:rPr>
          <w:rFonts w:ascii="宋体" w:hAnsi="宋体" w:cs="宋体"/>
          <w:color w:val="auto"/>
          <w:sz w:val="20"/>
          <w:szCs w:val="20"/>
          <w:highlight w:val="none"/>
        </w:rPr>
      </w:pPr>
      <w:r>
        <w:rPr>
          <w:rFonts w:hint="eastAsia" w:ascii="宋体" w:hAnsi="宋体" w:cs="宋体"/>
          <w:color w:val="auto"/>
          <w:szCs w:val="21"/>
          <w:highlight w:val="none"/>
        </w:rPr>
        <w:t>本企业郑重声明，根据《政府采购促进中小企业发展暂行办法》（财库[2011]181 号）的规定，本企业为（填写行业）（请填写：小型、微型）企业。即，本企业同时满足以下条件：</w:t>
      </w:r>
    </w:p>
    <w:p>
      <w:pPr>
        <w:spacing w:line="203" w:lineRule="exact"/>
        <w:rPr>
          <w:rFonts w:ascii="宋体" w:hAnsi="宋体" w:cs="宋体"/>
          <w:color w:val="auto"/>
          <w:sz w:val="20"/>
          <w:szCs w:val="20"/>
          <w:highlight w:val="none"/>
        </w:rPr>
      </w:pPr>
    </w:p>
    <w:p>
      <w:pPr>
        <w:spacing w:line="341" w:lineRule="exact"/>
        <w:ind w:left="360" w:right="346" w:firstLine="420"/>
        <w:jc w:val="both"/>
        <w:rPr>
          <w:rFonts w:ascii="宋体" w:hAnsi="宋体" w:cs="宋体"/>
          <w:color w:val="auto"/>
          <w:sz w:val="20"/>
          <w:szCs w:val="20"/>
          <w:highlight w:val="none"/>
        </w:rPr>
      </w:pPr>
      <w:r>
        <w:rPr>
          <w:rFonts w:hint="eastAsia" w:ascii="宋体" w:hAnsi="宋体" w:cs="宋体"/>
          <w:color w:val="auto"/>
          <w:szCs w:val="21"/>
          <w:highlight w:val="none"/>
        </w:rPr>
        <w:t>1.根据《工业和信息化部、国家统计局、国家发展和改革委员会、财政部关于印发中小企业划型标准规定的通知》（工信部联企业[2011]300 号）规定的划分标准，本企业为______（请填写：小型、微型）企业。</w:t>
      </w:r>
    </w:p>
    <w:p>
      <w:pPr>
        <w:spacing w:line="203" w:lineRule="exact"/>
        <w:rPr>
          <w:rFonts w:ascii="宋体" w:hAnsi="宋体" w:cs="宋体"/>
          <w:color w:val="auto"/>
          <w:sz w:val="20"/>
          <w:szCs w:val="20"/>
          <w:highlight w:val="none"/>
        </w:rPr>
      </w:pPr>
    </w:p>
    <w:p>
      <w:pPr>
        <w:spacing w:line="359" w:lineRule="exact"/>
        <w:ind w:left="360" w:right="266" w:firstLine="420"/>
        <w:jc w:val="both"/>
        <w:rPr>
          <w:rFonts w:ascii="宋体" w:hAnsi="宋体" w:cs="宋体"/>
          <w:color w:val="auto"/>
          <w:sz w:val="20"/>
          <w:szCs w:val="20"/>
          <w:highlight w:val="none"/>
        </w:rPr>
      </w:pPr>
      <w:r>
        <w:rPr>
          <w:rFonts w:hint="eastAsia" w:ascii="宋体" w:hAnsi="宋体" w:cs="宋体"/>
          <w:color w:val="auto"/>
          <w:szCs w:val="21"/>
          <w:highlight w:val="none"/>
        </w:rPr>
        <w:t>2.本企业参加______（采购人）的______（项目名称）______（标项名称）采购活动，所提供的货物为本企业制造的货物，或者由其他______（请填写：小型、微型）企业制造（制造商的中小企业声明函另附）。本项所称货物不包括使用大型企业注册商标的货物及进口货物。</w:t>
      </w:r>
    </w:p>
    <w:p>
      <w:pPr>
        <w:spacing w:line="169" w:lineRule="exact"/>
        <w:rPr>
          <w:rFonts w:ascii="宋体" w:hAnsi="宋体" w:cs="宋体"/>
          <w:color w:val="auto"/>
          <w:sz w:val="20"/>
          <w:szCs w:val="20"/>
          <w:highlight w:val="none"/>
        </w:rPr>
      </w:pPr>
    </w:p>
    <w:p>
      <w:pPr>
        <w:spacing w:line="240" w:lineRule="exact"/>
        <w:ind w:left="780"/>
        <w:rPr>
          <w:rFonts w:ascii="宋体" w:hAnsi="宋体" w:cs="宋体"/>
          <w:color w:val="auto"/>
          <w:sz w:val="20"/>
          <w:szCs w:val="20"/>
          <w:highlight w:val="none"/>
        </w:rPr>
      </w:pPr>
      <w:r>
        <w:rPr>
          <w:rFonts w:hint="eastAsia" w:ascii="宋体" w:hAnsi="宋体" w:cs="宋体"/>
          <w:color w:val="auto"/>
          <w:szCs w:val="21"/>
          <w:highlight w:val="none"/>
        </w:rPr>
        <w:t>本企业对上述声明的真实性负责。如有虚假，将依法承担相应责任。</w:t>
      </w:r>
    </w:p>
    <w:p>
      <w:pPr>
        <w:spacing w:line="200" w:lineRule="exact"/>
        <w:rPr>
          <w:rFonts w:ascii="宋体" w:hAnsi="宋体" w:cs="宋体"/>
          <w:color w:val="auto"/>
          <w:sz w:val="20"/>
          <w:szCs w:val="20"/>
          <w:highlight w:val="none"/>
        </w:rPr>
      </w:pPr>
    </w:p>
    <w:p>
      <w:pPr>
        <w:spacing w:line="379" w:lineRule="exact"/>
        <w:rPr>
          <w:rFonts w:ascii="宋体" w:hAnsi="宋体" w:cs="宋体"/>
          <w:color w:val="auto"/>
          <w:sz w:val="20"/>
          <w:szCs w:val="20"/>
          <w:highlight w:val="none"/>
        </w:rPr>
      </w:pPr>
    </w:p>
    <w:p>
      <w:pPr>
        <w:spacing w:line="240" w:lineRule="exact"/>
        <w:ind w:left="780"/>
        <w:rPr>
          <w:rFonts w:ascii="宋体" w:hAnsi="宋体" w:cs="宋体"/>
          <w:color w:val="auto"/>
          <w:sz w:val="20"/>
          <w:szCs w:val="20"/>
          <w:highlight w:val="none"/>
        </w:rPr>
      </w:pPr>
      <w:r>
        <w:rPr>
          <w:rFonts w:hint="eastAsia" w:ascii="宋体" w:hAnsi="宋体" w:cs="宋体"/>
          <w:color w:val="auto"/>
          <w:szCs w:val="21"/>
          <w:highlight w:val="none"/>
        </w:rPr>
        <w:t>供应商全称（盖章）：</w:t>
      </w:r>
    </w:p>
    <w:p>
      <w:pPr>
        <w:spacing w:line="168" w:lineRule="exact"/>
        <w:rPr>
          <w:rFonts w:ascii="宋体" w:hAnsi="宋体" w:cs="宋体"/>
          <w:color w:val="auto"/>
          <w:sz w:val="20"/>
          <w:szCs w:val="20"/>
          <w:highlight w:val="none"/>
        </w:rPr>
      </w:pPr>
    </w:p>
    <w:p>
      <w:pPr>
        <w:spacing w:line="240" w:lineRule="exact"/>
        <w:ind w:left="780"/>
        <w:rPr>
          <w:rFonts w:ascii="宋体" w:hAnsi="宋体" w:cs="宋体"/>
          <w:color w:val="auto"/>
          <w:sz w:val="20"/>
          <w:szCs w:val="20"/>
          <w:highlight w:val="none"/>
        </w:rPr>
      </w:pPr>
      <w:r>
        <w:rPr>
          <w:rFonts w:hint="eastAsia" w:ascii="宋体" w:hAnsi="宋体" w:cs="宋体"/>
          <w:color w:val="auto"/>
          <w:szCs w:val="21"/>
          <w:highlight w:val="none"/>
        </w:rPr>
        <w:t>日期：年月日</w:t>
      </w:r>
    </w:p>
    <w:p>
      <w:pPr>
        <w:spacing w:line="200" w:lineRule="exact"/>
        <w:rPr>
          <w:rFonts w:ascii="宋体" w:hAnsi="宋体" w:cs="宋体"/>
          <w:color w:val="auto"/>
          <w:sz w:val="20"/>
          <w:szCs w:val="20"/>
          <w:highlight w:val="none"/>
        </w:rPr>
      </w:pPr>
    </w:p>
    <w:p>
      <w:pPr>
        <w:spacing w:line="376" w:lineRule="exact"/>
        <w:rPr>
          <w:rFonts w:ascii="宋体" w:hAnsi="宋体" w:cs="宋体"/>
          <w:color w:val="auto"/>
          <w:sz w:val="20"/>
          <w:szCs w:val="20"/>
          <w:highlight w:val="none"/>
        </w:rPr>
      </w:pPr>
    </w:p>
    <w:p>
      <w:pPr>
        <w:ind w:left="840"/>
        <w:rPr>
          <w:rFonts w:ascii="宋体" w:hAnsi="宋体" w:cs="宋体"/>
          <w:color w:val="auto"/>
          <w:sz w:val="20"/>
          <w:szCs w:val="20"/>
          <w:highlight w:val="none"/>
        </w:rPr>
      </w:pPr>
      <w:r>
        <w:rPr>
          <w:rFonts w:hint="eastAsia" w:ascii="宋体" w:hAnsi="宋体" w:cs="宋体"/>
          <w:color w:val="auto"/>
          <w:szCs w:val="21"/>
          <w:highlight w:val="none"/>
        </w:rPr>
        <w:t>说明：</w:t>
      </w:r>
    </w:p>
    <w:p>
      <w:pPr>
        <w:rPr>
          <w:rFonts w:ascii="宋体" w:hAnsi="宋体" w:cs="宋体"/>
          <w:color w:val="auto"/>
          <w:sz w:val="20"/>
          <w:szCs w:val="20"/>
          <w:highlight w:val="none"/>
        </w:rPr>
      </w:pPr>
    </w:p>
    <w:p>
      <w:pPr>
        <w:ind w:left="360"/>
        <w:rPr>
          <w:rFonts w:ascii="宋体" w:hAnsi="宋体" w:cs="宋体"/>
          <w:color w:val="auto"/>
          <w:sz w:val="20"/>
          <w:szCs w:val="20"/>
          <w:highlight w:val="none"/>
          <w:u w:val="single"/>
        </w:rPr>
      </w:pPr>
      <w:r>
        <w:rPr>
          <w:rFonts w:hint="eastAsia" w:ascii="宋体" w:hAnsi="宋体" w:cs="宋体"/>
          <w:color w:val="auto"/>
          <w:szCs w:val="21"/>
          <w:highlight w:val="none"/>
          <w:u w:val="single"/>
        </w:rPr>
        <w:t>1）磋商响应供应商为小型、微型企业的提供此函。</w:t>
      </w:r>
    </w:p>
    <w:p>
      <w:pPr>
        <w:ind w:left="360" w:right="346"/>
        <w:jc w:val="both"/>
        <w:rPr>
          <w:rFonts w:ascii="宋体" w:hAnsi="宋体" w:cs="宋体"/>
          <w:color w:val="auto"/>
          <w:sz w:val="20"/>
          <w:szCs w:val="20"/>
          <w:highlight w:val="none"/>
          <w:u w:val="single"/>
        </w:rPr>
      </w:pPr>
      <w:r>
        <w:rPr>
          <w:rFonts w:hint="eastAsia" w:ascii="宋体" w:hAnsi="宋体" w:cs="宋体"/>
          <w:color w:val="auto"/>
          <w:szCs w:val="21"/>
          <w:highlight w:val="none"/>
          <w:u w:val="single"/>
        </w:rPr>
        <w:t>2）所投标项内的产品如由多个企业制造的，在填写企业类型时，按产品生产企业中规模最大的企业类型填写。</w:t>
      </w:r>
    </w:p>
    <w:p>
      <w:pPr>
        <w:ind w:left="360" w:right="346"/>
        <w:jc w:val="both"/>
        <w:rPr>
          <w:rFonts w:ascii="宋体" w:hAnsi="宋体" w:cs="宋体"/>
          <w:color w:val="auto"/>
          <w:sz w:val="20"/>
          <w:szCs w:val="20"/>
          <w:highlight w:val="none"/>
          <w:u w:val="single"/>
        </w:rPr>
      </w:pPr>
      <w:r>
        <w:rPr>
          <w:rFonts w:hint="eastAsia" w:ascii="宋体" w:hAnsi="宋体" w:cs="宋体"/>
          <w:color w:val="auto"/>
          <w:szCs w:val="21"/>
          <w:highlight w:val="none"/>
          <w:u w:val="single"/>
        </w:rPr>
        <w:t>3）代理商投标，提供磋商响应供应商及产品制造商出具的《中小企业声明函》及其相关的充分的证明材料。</w:t>
      </w:r>
    </w:p>
    <w:p>
      <w:pPr>
        <w:ind w:left="360" w:right="346"/>
        <w:jc w:val="both"/>
        <w:rPr>
          <w:rFonts w:ascii="宋体" w:hAnsi="宋体" w:cs="宋体"/>
          <w:color w:val="auto"/>
          <w:sz w:val="20"/>
          <w:szCs w:val="20"/>
          <w:highlight w:val="none"/>
          <w:u w:val="single"/>
        </w:rPr>
      </w:pPr>
      <w:r>
        <w:rPr>
          <w:rFonts w:hint="eastAsia" w:ascii="宋体" w:hAnsi="宋体" w:cs="宋体"/>
          <w:color w:val="auto"/>
          <w:szCs w:val="21"/>
          <w:highlight w:val="none"/>
          <w:u w:val="single"/>
        </w:rPr>
        <w:t>4）投标产品制造商投标，提供磋商响应供应商出具的《中小企业声明函》及其相关的充分的证明材料。</w:t>
      </w:r>
    </w:p>
    <w:p>
      <w:pPr>
        <w:ind w:left="360"/>
        <w:rPr>
          <w:rFonts w:ascii="宋体" w:hAnsi="宋体" w:cs="宋体"/>
          <w:color w:val="auto"/>
          <w:sz w:val="20"/>
          <w:szCs w:val="20"/>
          <w:highlight w:val="none"/>
          <w:u w:val="single"/>
        </w:rPr>
      </w:pPr>
      <w:r>
        <w:rPr>
          <w:rFonts w:hint="eastAsia" w:ascii="宋体" w:hAnsi="宋体" w:cs="宋体"/>
          <w:color w:val="auto"/>
          <w:szCs w:val="21"/>
          <w:highlight w:val="none"/>
          <w:u w:val="single"/>
        </w:rPr>
        <w:t>5）为浙江省政府采购网正式入库供应商的证明材料。</w:t>
      </w:r>
    </w:p>
    <w:p>
      <w:pPr>
        <w:ind w:left="360" w:right="346"/>
        <w:jc w:val="both"/>
        <w:rPr>
          <w:rFonts w:ascii="宋体" w:hAnsi="宋体" w:cs="宋体"/>
          <w:color w:val="auto"/>
          <w:sz w:val="20"/>
          <w:szCs w:val="20"/>
          <w:highlight w:val="none"/>
        </w:rPr>
      </w:pPr>
      <w:r>
        <w:rPr>
          <w:rFonts w:hint="eastAsia" w:ascii="宋体" w:hAnsi="宋体" w:cs="宋体"/>
          <w:color w:val="auto"/>
          <w:szCs w:val="21"/>
          <w:highlight w:val="none"/>
          <w:u w:val="single"/>
        </w:rPr>
        <w:t>6）证明材料为企业在职员工人数（提供社保部门出具并盖章的最近一个月的单位在职员工社保缴纳凭证）、营业收入及资产总额（提供上一年度资产负债表、损益表、现金流量表或财务状况变动表）。也可提供浙江政府采购网中审核通过后显示的小型或微型企业类型信息截图代替。</w:t>
      </w: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328" w:lineRule="exact"/>
        <w:rPr>
          <w:rFonts w:ascii="宋体" w:hAnsi="宋体" w:cs="宋体"/>
          <w:color w:val="auto"/>
          <w:sz w:val="20"/>
          <w:szCs w:val="20"/>
          <w:highlight w:val="none"/>
        </w:rPr>
      </w:pPr>
    </w:p>
    <w:p>
      <w:pPr>
        <w:rPr>
          <w:rFonts w:ascii="宋体" w:hAnsi="宋体" w:cs="宋体"/>
          <w:color w:val="auto"/>
          <w:highlight w:val="none"/>
        </w:rPr>
        <w:sectPr>
          <w:pgSz w:w="11900" w:h="16838"/>
          <w:pgMar w:top="1440" w:right="1440" w:bottom="158" w:left="1440" w:header="567" w:footer="567" w:gutter="0"/>
          <w:cols w:equalWidth="0" w:num="1">
            <w:col w:w="9026"/>
          </w:cols>
        </w:sectPr>
      </w:pPr>
    </w:p>
    <w:p>
      <w:pPr>
        <w:spacing w:line="1" w:lineRule="exact"/>
        <w:rPr>
          <w:rFonts w:ascii="宋体" w:hAnsi="宋体" w:cs="宋体"/>
          <w:color w:val="auto"/>
          <w:sz w:val="20"/>
          <w:szCs w:val="20"/>
          <w:highlight w:val="none"/>
        </w:rPr>
      </w:pPr>
      <w:bookmarkStart w:id="128" w:name="page74"/>
      <w:bookmarkEnd w:id="128"/>
    </w:p>
    <w:p>
      <w:pPr>
        <w:spacing w:line="366" w:lineRule="exact"/>
        <w:ind w:right="-13"/>
        <w:jc w:val="center"/>
        <w:outlineLvl w:val="0"/>
        <w:rPr>
          <w:rFonts w:ascii="宋体" w:hAnsi="宋体" w:cs="宋体"/>
          <w:color w:val="auto"/>
          <w:sz w:val="24"/>
          <w:szCs w:val="24"/>
          <w:highlight w:val="none"/>
        </w:rPr>
      </w:pPr>
      <w:bookmarkStart w:id="129" w:name="_Toc6166"/>
      <w:r>
        <w:rPr>
          <w:rFonts w:hint="eastAsia" w:ascii="宋体" w:hAnsi="宋体" w:cs="宋体"/>
          <w:b/>
          <w:bCs/>
          <w:color w:val="auto"/>
          <w:sz w:val="24"/>
          <w:szCs w:val="24"/>
          <w:highlight w:val="none"/>
        </w:rPr>
        <w:t>监狱企业声明函</w:t>
      </w:r>
      <w:bookmarkEnd w:id="129"/>
    </w:p>
    <w:p>
      <w:pPr>
        <w:spacing w:line="256" w:lineRule="exact"/>
        <w:rPr>
          <w:rFonts w:ascii="宋体" w:hAnsi="宋体" w:cs="宋体"/>
          <w:color w:val="auto"/>
          <w:sz w:val="20"/>
          <w:szCs w:val="20"/>
          <w:highlight w:val="none"/>
        </w:rPr>
      </w:pPr>
    </w:p>
    <w:p>
      <w:pPr>
        <w:spacing w:line="240" w:lineRule="exact"/>
        <w:ind w:right="-13"/>
        <w:jc w:val="center"/>
        <w:rPr>
          <w:rFonts w:ascii="宋体" w:hAnsi="宋体" w:cs="宋体"/>
          <w:color w:val="auto"/>
          <w:sz w:val="20"/>
          <w:szCs w:val="20"/>
          <w:highlight w:val="none"/>
        </w:rPr>
      </w:pPr>
      <w:r>
        <w:rPr>
          <w:rFonts w:hint="eastAsia" w:ascii="宋体" w:hAnsi="宋体" w:cs="宋体"/>
          <w:b/>
          <w:bCs/>
          <w:color w:val="auto"/>
          <w:szCs w:val="21"/>
          <w:highlight w:val="none"/>
          <w:u w:val="single"/>
        </w:rPr>
        <w:t>【不属于监狱企业的无需填写、递交】</w:t>
      </w:r>
    </w:p>
    <w:p>
      <w:pPr>
        <w:spacing w:line="200" w:lineRule="exact"/>
        <w:rPr>
          <w:rFonts w:ascii="宋体" w:hAnsi="宋体" w:cs="宋体"/>
          <w:color w:val="auto"/>
          <w:sz w:val="20"/>
          <w:szCs w:val="20"/>
          <w:highlight w:val="none"/>
        </w:rPr>
      </w:pPr>
    </w:p>
    <w:p>
      <w:pPr>
        <w:spacing w:line="333" w:lineRule="exact"/>
        <w:rPr>
          <w:rFonts w:ascii="宋体" w:hAnsi="宋体" w:cs="宋体"/>
          <w:color w:val="auto"/>
          <w:sz w:val="20"/>
          <w:szCs w:val="20"/>
          <w:highlight w:val="none"/>
        </w:rPr>
      </w:pPr>
    </w:p>
    <w:p>
      <w:pPr>
        <w:spacing w:line="240" w:lineRule="exact"/>
        <w:ind w:right="6"/>
        <w:jc w:val="center"/>
        <w:rPr>
          <w:rFonts w:ascii="宋体" w:hAnsi="宋体" w:cs="宋体"/>
          <w:color w:val="auto"/>
          <w:sz w:val="20"/>
          <w:szCs w:val="20"/>
          <w:highlight w:val="none"/>
        </w:rPr>
      </w:pPr>
      <w:bookmarkStart w:id="130" w:name="_Toc17834_WPSOffice_Level2"/>
      <w:bookmarkStart w:id="131" w:name="_Toc4951_WPSOffice_Level2"/>
      <w:r>
        <w:rPr>
          <w:rFonts w:hint="eastAsia" w:ascii="宋体" w:hAnsi="宋体" w:cs="宋体"/>
          <w:color w:val="auto"/>
          <w:szCs w:val="21"/>
          <w:highlight w:val="none"/>
        </w:rPr>
        <w:t>本企业郑重声明，根据《关于政府采购支持监狱企业发展有关问题的通知》（财库</w:t>
      </w:r>
      <w:bookmarkEnd w:id="130"/>
      <w:bookmarkEnd w:id="131"/>
    </w:p>
    <w:p>
      <w:pPr>
        <w:spacing w:line="168" w:lineRule="exact"/>
        <w:rPr>
          <w:rFonts w:ascii="宋体" w:hAnsi="宋体" w:cs="宋体"/>
          <w:color w:val="auto"/>
          <w:sz w:val="20"/>
          <w:szCs w:val="20"/>
          <w:highlight w:val="none"/>
        </w:rPr>
      </w:pPr>
    </w:p>
    <w:tbl>
      <w:tblPr>
        <w:tblStyle w:val="19"/>
        <w:tblW w:w="8320" w:type="dxa"/>
        <w:tblInd w:w="360" w:type="dxa"/>
        <w:tblLayout w:type="fixed"/>
        <w:tblCellMar>
          <w:top w:w="0" w:type="dxa"/>
          <w:left w:w="0" w:type="dxa"/>
          <w:bottom w:w="0" w:type="dxa"/>
          <w:right w:w="0" w:type="dxa"/>
        </w:tblCellMar>
      </w:tblPr>
      <w:tblGrid>
        <w:gridCol w:w="3000"/>
        <w:gridCol w:w="780"/>
        <w:gridCol w:w="1060"/>
        <w:gridCol w:w="320"/>
        <w:gridCol w:w="840"/>
        <w:gridCol w:w="100"/>
        <w:gridCol w:w="2220"/>
      </w:tblGrid>
      <w:tr>
        <w:tblPrEx>
          <w:tblCellMar>
            <w:top w:w="0" w:type="dxa"/>
            <w:left w:w="0" w:type="dxa"/>
            <w:bottom w:w="0" w:type="dxa"/>
            <w:right w:w="0" w:type="dxa"/>
          </w:tblCellMar>
        </w:tblPrEx>
        <w:trPr>
          <w:trHeight w:val="240" w:hRule="atLeast"/>
        </w:trPr>
        <w:tc>
          <w:tcPr>
            <w:tcW w:w="6000" w:type="dxa"/>
            <w:gridSpan w:val="5"/>
            <w:vAlign w:val="bottom"/>
          </w:tcPr>
          <w:p>
            <w:pPr>
              <w:spacing w:line="240" w:lineRule="exact"/>
              <w:rPr>
                <w:rFonts w:ascii="宋体" w:hAnsi="宋体" w:cs="宋体"/>
                <w:color w:val="auto"/>
                <w:sz w:val="20"/>
                <w:szCs w:val="20"/>
                <w:highlight w:val="none"/>
              </w:rPr>
            </w:pPr>
            <w:r>
              <w:rPr>
                <w:rFonts w:hint="eastAsia" w:ascii="宋体" w:hAnsi="宋体" w:cs="宋体"/>
                <w:color w:val="auto"/>
                <w:szCs w:val="21"/>
                <w:highlight w:val="none"/>
              </w:rPr>
              <w:t>[2014]68 号）的规定，本企业为监狱企业。</w:t>
            </w:r>
          </w:p>
        </w:tc>
        <w:tc>
          <w:tcPr>
            <w:tcW w:w="100" w:type="dxa"/>
            <w:vAlign w:val="bottom"/>
          </w:tcPr>
          <w:p>
            <w:pPr>
              <w:rPr>
                <w:rFonts w:ascii="宋体" w:hAnsi="宋体" w:cs="宋体"/>
                <w:color w:val="auto"/>
                <w:sz w:val="20"/>
                <w:szCs w:val="20"/>
                <w:highlight w:val="none"/>
              </w:rPr>
            </w:pPr>
          </w:p>
        </w:tc>
        <w:tc>
          <w:tcPr>
            <w:tcW w:w="2220" w:type="dxa"/>
            <w:vAlign w:val="bottom"/>
          </w:tcPr>
          <w:p>
            <w:pPr>
              <w:rPr>
                <w:rFonts w:ascii="宋体" w:hAnsi="宋体" w:cs="宋体"/>
                <w:color w:val="auto"/>
                <w:sz w:val="20"/>
                <w:szCs w:val="20"/>
                <w:highlight w:val="none"/>
              </w:rPr>
            </w:pPr>
          </w:p>
        </w:tc>
      </w:tr>
      <w:tr>
        <w:tblPrEx>
          <w:tblCellMar>
            <w:top w:w="0" w:type="dxa"/>
            <w:left w:w="0" w:type="dxa"/>
            <w:bottom w:w="0" w:type="dxa"/>
            <w:right w:w="0" w:type="dxa"/>
          </w:tblCellMar>
        </w:tblPrEx>
        <w:trPr>
          <w:trHeight w:val="20" w:hRule="atLeast"/>
        </w:trPr>
        <w:tc>
          <w:tcPr>
            <w:tcW w:w="3000" w:type="dxa"/>
            <w:vAlign w:val="bottom"/>
          </w:tcPr>
          <w:p>
            <w:pPr>
              <w:spacing w:line="20" w:lineRule="exact"/>
              <w:rPr>
                <w:rFonts w:ascii="宋体" w:hAnsi="宋体" w:cs="宋体"/>
                <w:color w:val="auto"/>
                <w:sz w:val="2"/>
                <w:szCs w:val="2"/>
                <w:highlight w:val="none"/>
              </w:rPr>
            </w:pPr>
          </w:p>
        </w:tc>
        <w:tc>
          <w:tcPr>
            <w:tcW w:w="780" w:type="dxa"/>
            <w:shd w:val="clear" w:color="auto" w:fill="000000"/>
            <w:vAlign w:val="bottom"/>
          </w:tcPr>
          <w:p>
            <w:pPr>
              <w:spacing w:line="20" w:lineRule="exact"/>
              <w:rPr>
                <w:rFonts w:ascii="宋体" w:hAnsi="宋体" w:cs="宋体"/>
                <w:color w:val="auto"/>
                <w:sz w:val="2"/>
                <w:szCs w:val="2"/>
                <w:highlight w:val="none"/>
              </w:rPr>
            </w:pPr>
          </w:p>
        </w:tc>
        <w:tc>
          <w:tcPr>
            <w:tcW w:w="1060" w:type="dxa"/>
            <w:tcBorders>
              <w:left w:val="single" w:color="auto" w:sz="8" w:space="0"/>
            </w:tcBorders>
            <w:vAlign w:val="bottom"/>
          </w:tcPr>
          <w:p>
            <w:pPr>
              <w:spacing w:line="20" w:lineRule="exact"/>
              <w:rPr>
                <w:rFonts w:ascii="宋体" w:hAnsi="宋体" w:cs="宋体"/>
                <w:color w:val="auto"/>
                <w:sz w:val="2"/>
                <w:szCs w:val="2"/>
                <w:highlight w:val="none"/>
              </w:rPr>
            </w:pPr>
          </w:p>
        </w:tc>
        <w:tc>
          <w:tcPr>
            <w:tcW w:w="320" w:type="dxa"/>
            <w:vAlign w:val="bottom"/>
          </w:tcPr>
          <w:p>
            <w:pPr>
              <w:spacing w:line="20" w:lineRule="exact"/>
              <w:rPr>
                <w:rFonts w:ascii="宋体" w:hAnsi="宋体" w:cs="宋体"/>
                <w:color w:val="auto"/>
                <w:sz w:val="2"/>
                <w:szCs w:val="2"/>
                <w:highlight w:val="none"/>
              </w:rPr>
            </w:pPr>
          </w:p>
        </w:tc>
        <w:tc>
          <w:tcPr>
            <w:tcW w:w="840" w:type="dxa"/>
            <w:vAlign w:val="bottom"/>
          </w:tcPr>
          <w:p>
            <w:pPr>
              <w:spacing w:line="20" w:lineRule="exact"/>
              <w:rPr>
                <w:rFonts w:ascii="宋体" w:hAnsi="宋体" w:cs="宋体"/>
                <w:color w:val="auto"/>
                <w:sz w:val="2"/>
                <w:szCs w:val="2"/>
                <w:highlight w:val="none"/>
              </w:rPr>
            </w:pPr>
          </w:p>
        </w:tc>
        <w:tc>
          <w:tcPr>
            <w:tcW w:w="100" w:type="dxa"/>
            <w:vAlign w:val="bottom"/>
          </w:tcPr>
          <w:p>
            <w:pPr>
              <w:spacing w:line="20" w:lineRule="exact"/>
              <w:rPr>
                <w:rFonts w:ascii="宋体" w:hAnsi="宋体" w:cs="宋体"/>
                <w:color w:val="auto"/>
                <w:sz w:val="2"/>
                <w:szCs w:val="2"/>
                <w:highlight w:val="none"/>
              </w:rPr>
            </w:pPr>
          </w:p>
        </w:tc>
        <w:tc>
          <w:tcPr>
            <w:tcW w:w="2220" w:type="dxa"/>
            <w:vAlign w:val="bottom"/>
          </w:tcPr>
          <w:p>
            <w:pPr>
              <w:spacing w:line="20" w:lineRule="exact"/>
              <w:rPr>
                <w:rFonts w:ascii="宋体" w:hAnsi="宋体" w:cs="宋体"/>
                <w:color w:val="auto"/>
                <w:sz w:val="2"/>
                <w:szCs w:val="2"/>
                <w:highlight w:val="none"/>
              </w:rPr>
            </w:pPr>
          </w:p>
        </w:tc>
      </w:tr>
      <w:tr>
        <w:tblPrEx>
          <w:tblCellMar>
            <w:top w:w="0" w:type="dxa"/>
            <w:left w:w="0" w:type="dxa"/>
            <w:bottom w:w="0" w:type="dxa"/>
            <w:right w:w="0" w:type="dxa"/>
          </w:tblCellMar>
        </w:tblPrEx>
        <w:trPr>
          <w:trHeight w:val="388" w:hRule="atLeast"/>
        </w:trPr>
        <w:tc>
          <w:tcPr>
            <w:tcW w:w="6000" w:type="dxa"/>
            <w:gridSpan w:val="5"/>
            <w:vAlign w:val="bottom"/>
          </w:tcPr>
          <w:p>
            <w:pPr>
              <w:spacing w:line="240" w:lineRule="exact"/>
              <w:ind w:left="420"/>
              <w:rPr>
                <w:rFonts w:ascii="宋体" w:hAnsi="宋体" w:cs="宋体"/>
                <w:color w:val="auto"/>
                <w:sz w:val="20"/>
                <w:szCs w:val="20"/>
                <w:highlight w:val="none"/>
              </w:rPr>
            </w:pPr>
            <w:r>
              <w:rPr>
                <w:rFonts w:hint="eastAsia" w:ascii="宋体" w:hAnsi="宋体" w:cs="宋体"/>
                <w:color w:val="auto"/>
                <w:szCs w:val="21"/>
                <w:highlight w:val="none"/>
              </w:rPr>
              <w:t>根据上述标准，我企业属于监狱企业的理由为：</w:t>
            </w:r>
          </w:p>
        </w:tc>
        <w:tc>
          <w:tcPr>
            <w:tcW w:w="100" w:type="dxa"/>
            <w:vAlign w:val="bottom"/>
          </w:tcPr>
          <w:p>
            <w:pPr>
              <w:rPr>
                <w:rFonts w:ascii="宋体" w:hAnsi="宋体" w:cs="宋体"/>
                <w:color w:val="auto"/>
                <w:sz w:val="24"/>
                <w:szCs w:val="24"/>
                <w:highlight w:val="none"/>
              </w:rPr>
            </w:pPr>
          </w:p>
        </w:tc>
        <w:tc>
          <w:tcPr>
            <w:tcW w:w="2220" w:type="dxa"/>
            <w:vAlign w:val="bottom"/>
          </w:tcPr>
          <w:p>
            <w:pPr>
              <w:spacing w:line="240" w:lineRule="exact"/>
              <w:rPr>
                <w:rFonts w:ascii="宋体" w:hAnsi="宋体" w:cs="宋体"/>
                <w:color w:val="auto"/>
                <w:sz w:val="20"/>
                <w:szCs w:val="20"/>
                <w:highlight w:val="none"/>
              </w:rPr>
            </w:pPr>
            <w:r>
              <w:rPr>
                <w:rFonts w:hint="eastAsia" w:ascii="宋体" w:hAnsi="宋体" w:cs="宋体"/>
                <w:color w:val="auto"/>
                <w:szCs w:val="21"/>
                <w:highlight w:val="none"/>
              </w:rPr>
              <w:t>。</w:t>
            </w:r>
          </w:p>
        </w:tc>
      </w:tr>
      <w:tr>
        <w:tblPrEx>
          <w:tblCellMar>
            <w:top w:w="0" w:type="dxa"/>
            <w:left w:w="0" w:type="dxa"/>
            <w:bottom w:w="0" w:type="dxa"/>
            <w:right w:w="0" w:type="dxa"/>
          </w:tblCellMar>
        </w:tblPrEx>
        <w:trPr>
          <w:trHeight w:val="20" w:hRule="atLeast"/>
        </w:trPr>
        <w:tc>
          <w:tcPr>
            <w:tcW w:w="3000" w:type="dxa"/>
            <w:tcBorders>
              <w:right w:val="single" w:color="auto" w:sz="8" w:space="0"/>
            </w:tcBorders>
            <w:vAlign w:val="bottom"/>
          </w:tcPr>
          <w:p>
            <w:pPr>
              <w:spacing w:line="20" w:lineRule="exact"/>
              <w:rPr>
                <w:rFonts w:ascii="宋体" w:hAnsi="宋体" w:cs="宋体"/>
                <w:color w:val="auto"/>
                <w:sz w:val="2"/>
                <w:szCs w:val="2"/>
                <w:highlight w:val="none"/>
              </w:rPr>
            </w:pPr>
          </w:p>
        </w:tc>
        <w:tc>
          <w:tcPr>
            <w:tcW w:w="780" w:type="dxa"/>
            <w:shd w:val="clear" w:color="auto" w:fill="000000"/>
            <w:vAlign w:val="bottom"/>
          </w:tcPr>
          <w:p>
            <w:pPr>
              <w:spacing w:line="20" w:lineRule="exact"/>
              <w:rPr>
                <w:rFonts w:ascii="宋体" w:hAnsi="宋体" w:cs="宋体"/>
                <w:color w:val="auto"/>
                <w:sz w:val="2"/>
                <w:szCs w:val="2"/>
                <w:highlight w:val="none"/>
              </w:rPr>
            </w:pPr>
          </w:p>
        </w:tc>
        <w:tc>
          <w:tcPr>
            <w:tcW w:w="1060" w:type="dxa"/>
            <w:vAlign w:val="bottom"/>
          </w:tcPr>
          <w:p>
            <w:pPr>
              <w:spacing w:line="20" w:lineRule="exact"/>
              <w:rPr>
                <w:rFonts w:ascii="宋体" w:hAnsi="宋体" w:cs="宋体"/>
                <w:color w:val="auto"/>
                <w:sz w:val="2"/>
                <w:szCs w:val="2"/>
                <w:highlight w:val="none"/>
              </w:rPr>
            </w:pPr>
          </w:p>
        </w:tc>
        <w:tc>
          <w:tcPr>
            <w:tcW w:w="320" w:type="dxa"/>
            <w:shd w:val="clear" w:color="auto" w:fill="000000"/>
            <w:vAlign w:val="bottom"/>
          </w:tcPr>
          <w:p>
            <w:pPr>
              <w:spacing w:line="20" w:lineRule="exact"/>
              <w:rPr>
                <w:rFonts w:ascii="宋体" w:hAnsi="宋体" w:cs="宋体"/>
                <w:color w:val="auto"/>
                <w:sz w:val="2"/>
                <w:szCs w:val="2"/>
                <w:highlight w:val="none"/>
              </w:rPr>
            </w:pPr>
          </w:p>
        </w:tc>
        <w:tc>
          <w:tcPr>
            <w:tcW w:w="840" w:type="dxa"/>
            <w:shd w:val="clear" w:color="auto" w:fill="000000"/>
            <w:vAlign w:val="bottom"/>
          </w:tcPr>
          <w:p>
            <w:pPr>
              <w:spacing w:line="20" w:lineRule="exact"/>
              <w:rPr>
                <w:rFonts w:ascii="宋体" w:hAnsi="宋体" w:cs="宋体"/>
                <w:color w:val="auto"/>
                <w:sz w:val="2"/>
                <w:szCs w:val="2"/>
                <w:highlight w:val="none"/>
              </w:rPr>
            </w:pPr>
          </w:p>
        </w:tc>
        <w:tc>
          <w:tcPr>
            <w:tcW w:w="100" w:type="dxa"/>
            <w:shd w:val="clear" w:color="auto" w:fill="000000"/>
            <w:vAlign w:val="bottom"/>
          </w:tcPr>
          <w:p>
            <w:pPr>
              <w:spacing w:line="20" w:lineRule="exact"/>
              <w:rPr>
                <w:rFonts w:ascii="宋体" w:hAnsi="宋体" w:cs="宋体"/>
                <w:color w:val="auto"/>
                <w:sz w:val="2"/>
                <w:szCs w:val="2"/>
                <w:highlight w:val="none"/>
              </w:rPr>
            </w:pPr>
          </w:p>
        </w:tc>
        <w:tc>
          <w:tcPr>
            <w:tcW w:w="2220" w:type="dxa"/>
            <w:vAlign w:val="bottom"/>
          </w:tcPr>
          <w:p>
            <w:pPr>
              <w:spacing w:line="20" w:lineRule="exact"/>
              <w:rPr>
                <w:rFonts w:ascii="宋体" w:hAnsi="宋体" w:cs="宋体"/>
                <w:color w:val="auto"/>
                <w:sz w:val="2"/>
                <w:szCs w:val="2"/>
                <w:highlight w:val="none"/>
              </w:rPr>
            </w:pPr>
          </w:p>
        </w:tc>
      </w:tr>
      <w:tr>
        <w:tblPrEx>
          <w:tblCellMar>
            <w:top w:w="0" w:type="dxa"/>
            <w:left w:w="0" w:type="dxa"/>
            <w:bottom w:w="0" w:type="dxa"/>
            <w:right w:w="0" w:type="dxa"/>
          </w:tblCellMar>
        </w:tblPrEx>
        <w:trPr>
          <w:trHeight w:val="388" w:hRule="atLeast"/>
        </w:trPr>
        <w:tc>
          <w:tcPr>
            <w:tcW w:w="3000" w:type="dxa"/>
            <w:vAlign w:val="bottom"/>
          </w:tcPr>
          <w:p>
            <w:pPr>
              <w:spacing w:line="240" w:lineRule="exact"/>
              <w:ind w:left="420"/>
              <w:rPr>
                <w:rFonts w:ascii="宋体" w:hAnsi="宋体" w:cs="宋体"/>
                <w:color w:val="auto"/>
                <w:sz w:val="20"/>
                <w:szCs w:val="20"/>
                <w:highlight w:val="none"/>
              </w:rPr>
            </w:pPr>
            <w:r>
              <w:rPr>
                <w:rFonts w:hint="eastAsia" w:ascii="宋体" w:hAnsi="宋体" w:cs="宋体"/>
                <w:color w:val="auto"/>
                <w:szCs w:val="21"/>
                <w:highlight w:val="none"/>
              </w:rPr>
              <w:t>本企业为参加（项目名称：</w:t>
            </w:r>
          </w:p>
        </w:tc>
        <w:tc>
          <w:tcPr>
            <w:tcW w:w="780" w:type="dxa"/>
            <w:tcBorders>
              <w:bottom w:val="single" w:color="auto" w:sz="8" w:space="0"/>
            </w:tcBorders>
            <w:vAlign w:val="bottom"/>
          </w:tcPr>
          <w:p>
            <w:pPr>
              <w:rPr>
                <w:rFonts w:ascii="宋体" w:hAnsi="宋体" w:cs="宋体"/>
                <w:color w:val="auto"/>
                <w:sz w:val="24"/>
                <w:szCs w:val="24"/>
                <w:highlight w:val="none"/>
              </w:rPr>
            </w:pPr>
          </w:p>
        </w:tc>
        <w:tc>
          <w:tcPr>
            <w:tcW w:w="1380" w:type="dxa"/>
            <w:gridSpan w:val="2"/>
            <w:vAlign w:val="bottom"/>
          </w:tcPr>
          <w:p>
            <w:pPr>
              <w:spacing w:line="240" w:lineRule="exact"/>
              <w:rPr>
                <w:rFonts w:ascii="宋体" w:hAnsi="宋体" w:cs="宋体"/>
                <w:color w:val="auto"/>
                <w:sz w:val="20"/>
                <w:szCs w:val="20"/>
                <w:highlight w:val="none"/>
              </w:rPr>
            </w:pPr>
            <w:r>
              <w:rPr>
                <w:rFonts w:hint="eastAsia" w:ascii="宋体" w:hAnsi="宋体" w:cs="宋体"/>
                <w:color w:val="auto"/>
                <w:w w:val="92"/>
                <w:szCs w:val="21"/>
                <w:highlight w:val="none"/>
              </w:rPr>
              <w:t>）（项目编号：</w:t>
            </w:r>
          </w:p>
        </w:tc>
        <w:tc>
          <w:tcPr>
            <w:tcW w:w="840" w:type="dxa"/>
            <w:tcBorders>
              <w:bottom w:val="single" w:color="auto" w:sz="8" w:space="0"/>
            </w:tcBorders>
            <w:vAlign w:val="bottom"/>
          </w:tcPr>
          <w:p>
            <w:pPr>
              <w:rPr>
                <w:rFonts w:ascii="宋体" w:hAnsi="宋体" w:cs="宋体"/>
                <w:color w:val="auto"/>
                <w:sz w:val="24"/>
                <w:szCs w:val="24"/>
                <w:highlight w:val="none"/>
              </w:rPr>
            </w:pPr>
          </w:p>
        </w:tc>
        <w:tc>
          <w:tcPr>
            <w:tcW w:w="2320" w:type="dxa"/>
            <w:gridSpan w:val="2"/>
            <w:vAlign w:val="bottom"/>
          </w:tcPr>
          <w:p>
            <w:pPr>
              <w:spacing w:line="240" w:lineRule="exact"/>
              <w:rPr>
                <w:rFonts w:ascii="宋体" w:hAnsi="宋体" w:cs="宋体"/>
                <w:color w:val="auto"/>
                <w:sz w:val="20"/>
                <w:szCs w:val="20"/>
                <w:highlight w:val="none"/>
              </w:rPr>
            </w:pPr>
            <w:r>
              <w:rPr>
                <w:rFonts w:hint="eastAsia" w:ascii="宋体" w:hAnsi="宋体" w:cs="宋体"/>
                <w:color w:val="auto"/>
                <w:w w:val="99"/>
                <w:szCs w:val="21"/>
                <w:highlight w:val="none"/>
              </w:rPr>
              <w:t>）采购活动提供本企业的</w:t>
            </w:r>
          </w:p>
        </w:tc>
      </w:tr>
      <w:tr>
        <w:tblPrEx>
          <w:tblCellMar>
            <w:top w:w="0" w:type="dxa"/>
            <w:left w:w="0" w:type="dxa"/>
            <w:bottom w:w="0" w:type="dxa"/>
            <w:right w:w="0" w:type="dxa"/>
          </w:tblCellMar>
        </w:tblPrEx>
        <w:trPr>
          <w:trHeight w:val="388" w:hRule="atLeast"/>
        </w:trPr>
        <w:tc>
          <w:tcPr>
            <w:tcW w:w="3000" w:type="dxa"/>
            <w:vAlign w:val="bottom"/>
          </w:tcPr>
          <w:p>
            <w:pPr>
              <w:spacing w:line="240" w:lineRule="exact"/>
              <w:rPr>
                <w:rFonts w:ascii="宋体" w:hAnsi="宋体" w:cs="宋体"/>
                <w:color w:val="auto"/>
                <w:sz w:val="20"/>
                <w:szCs w:val="20"/>
                <w:highlight w:val="none"/>
              </w:rPr>
            </w:pPr>
            <w:r>
              <w:rPr>
                <w:rFonts w:hint="eastAsia" w:ascii="宋体" w:hAnsi="宋体" w:cs="宋体"/>
                <w:color w:val="auto"/>
                <w:szCs w:val="21"/>
                <w:highlight w:val="none"/>
              </w:rPr>
              <w:t>产品。</w:t>
            </w:r>
          </w:p>
        </w:tc>
        <w:tc>
          <w:tcPr>
            <w:tcW w:w="780" w:type="dxa"/>
            <w:vAlign w:val="bottom"/>
          </w:tcPr>
          <w:p>
            <w:pPr>
              <w:rPr>
                <w:rFonts w:ascii="宋体" w:hAnsi="宋体" w:cs="宋体"/>
                <w:color w:val="auto"/>
                <w:sz w:val="24"/>
                <w:szCs w:val="24"/>
                <w:highlight w:val="none"/>
              </w:rPr>
            </w:pPr>
          </w:p>
        </w:tc>
        <w:tc>
          <w:tcPr>
            <w:tcW w:w="1060" w:type="dxa"/>
            <w:vAlign w:val="bottom"/>
          </w:tcPr>
          <w:p>
            <w:pPr>
              <w:rPr>
                <w:rFonts w:ascii="宋体" w:hAnsi="宋体" w:cs="宋体"/>
                <w:color w:val="auto"/>
                <w:sz w:val="24"/>
                <w:szCs w:val="24"/>
                <w:highlight w:val="none"/>
              </w:rPr>
            </w:pPr>
          </w:p>
        </w:tc>
        <w:tc>
          <w:tcPr>
            <w:tcW w:w="320" w:type="dxa"/>
            <w:vAlign w:val="bottom"/>
          </w:tcPr>
          <w:p>
            <w:pPr>
              <w:rPr>
                <w:rFonts w:ascii="宋体" w:hAnsi="宋体" w:cs="宋体"/>
                <w:color w:val="auto"/>
                <w:sz w:val="24"/>
                <w:szCs w:val="24"/>
                <w:highlight w:val="none"/>
              </w:rPr>
            </w:pPr>
          </w:p>
        </w:tc>
        <w:tc>
          <w:tcPr>
            <w:tcW w:w="840" w:type="dxa"/>
            <w:vAlign w:val="bottom"/>
          </w:tcPr>
          <w:p>
            <w:pPr>
              <w:rPr>
                <w:rFonts w:ascii="宋体" w:hAnsi="宋体" w:cs="宋体"/>
                <w:color w:val="auto"/>
                <w:sz w:val="24"/>
                <w:szCs w:val="24"/>
                <w:highlight w:val="none"/>
              </w:rPr>
            </w:pPr>
          </w:p>
        </w:tc>
        <w:tc>
          <w:tcPr>
            <w:tcW w:w="100" w:type="dxa"/>
            <w:vAlign w:val="bottom"/>
          </w:tcPr>
          <w:p>
            <w:pPr>
              <w:rPr>
                <w:rFonts w:ascii="宋体" w:hAnsi="宋体" w:cs="宋体"/>
                <w:color w:val="auto"/>
                <w:sz w:val="24"/>
                <w:szCs w:val="24"/>
                <w:highlight w:val="none"/>
              </w:rPr>
            </w:pPr>
          </w:p>
        </w:tc>
        <w:tc>
          <w:tcPr>
            <w:tcW w:w="2220" w:type="dxa"/>
            <w:vAlign w:val="bottom"/>
          </w:tcPr>
          <w:p>
            <w:pPr>
              <w:rPr>
                <w:rFonts w:ascii="宋体" w:hAnsi="宋体" w:cs="宋体"/>
                <w:color w:val="auto"/>
                <w:sz w:val="24"/>
                <w:szCs w:val="24"/>
                <w:highlight w:val="none"/>
              </w:rPr>
            </w:pPr>
          </w:p>
        </w:tc>
      </w:tr>
    </w:tbl>
    <w:p>
      <w:pPr>
        <w:spacing w:line="171" w:lineRule="exact"/>
        <w:rPr>
          <w:rFonts w:ascii="宋体" w:hAnsi="宋体" w:cs="宋体"/>
          <w:color w:val="auto"/>
          <w:sz w:val="20"/>
          <w:szCs w:val="20"/>
          <w:highlight w:val="none"/>
        </w:rPr>
      </w:pPr>
    </w:p>
    <w:p>
      <w:pPr>
        <w:spacing w:line="240" w:lineRule="exact"/>
        <w:ind w:left="780"/>
        <w:rPr>
          <w:rFonts w:ascii="宋体" w:hAnsi="宋体" w:cs="宋体"/>
          <w:color w:val="auto"/>
          <w:sz w:val="20"/>
          <w:szCs w:val="20"/>
          <w:highlight w:val="none"/>
        </w:rPr>
      </w:pPr>
      <w:r>
        <w:rPr>
          <w:rFonts w:hint="eastAsia" w:ascii="宋体" w:hAnsi="宋体" w:cs="宋体"/>
          <w:color w:val="auto"/>
          <w:szCs w:val="21"/>
          <w:highlight w:val="none"/>
        </w:rPr>
        <w:t>本企业对上述声明的真实性负责。如有虚假，将依法承担相应责任。</w:t>
      </w:r>
    </w:p>
    <w:p>
      <w:pPr>
        <w:spacing w:line="200" w:lineRule="exact"/>
        <w:rPr>
          <w:rFonts w:ascii="宋体" w:hAnsi="宋体" w:cs="宋体"/>
          <w:color w:val="auto"/>
          <w:sz w:val="20"/>
          <w:szCs w:val="20"/>
          <w:highlight w:val="none"/>
        </w:rPr>
      </w:pPr>
    </w:p>
    <w:p>
      <w:pPr>
        <w:spacing w:line="376" w:lineRule="exact"/>
        <w:rPr>
          <w:rFonts w:ascii="宋体" w:hAnsi="宋体" w:cs="宋体"/>
          <w:color w:val="auto"/>
          <w:sz w:val="20"/>
          <w:szCs w:val="20"/>
          <w:highlight w:val="none"/>
        </w:rPr>
      </w:pPr>
    </w:p>
    <w:p>
      <w:pPr>
        <w:spacing w:line="240" w:lineRule="exact"/>
        <w:ind w:left="780"/>
        <w:rPr>
          <w:rFonts w:ascii="宋体" w:hAnsi="宋体" w:cs="宋体"/>
          <w:color w:val="auto"/>
          <w:sz w:val="20"/>
          <w:szCs w:val="20"/>
          <w:highlight w:val="none"/>
        </w:rPr>
      </w:pPr>
      <w:r>
        <w:rPr>
          <w:rFonts w:hint="eastAsia" w:ascii="宋体" w:hAnsi="宋体" w:cs="宋体"/>
          <w:color w:val="auto"/>
          <w:szCs w:val="21"/>
          <w:highlight w:val="none"/>
        </w:rPr>
        <w:t>供应商全称（盖章）：</w:t>
      </w:r>
    </w:p>
    <w:p>
      <w:pPr>
        <w:spacing w:line="168" w:lineRule="exact"/>
        <w:rPr>
          <w:rFonts w:ascii="宋体" w:hAnsi="宋体" w:cs="宋体"/>
          <w:color w:val="auto"/>
          <w:sz w:val="20"/>
          <w:szCs w:val="20"/>
          <w:highlight w:val="none"/>
        </w:rPr>
      </w:pPr>
    </w:p>
    <w:p>
      <w:pPr>
        <w:spacing w:line="240" w:lineRule="exact"/>
        <w:ind w:left="780"/>
        <w:rPr>
          <w:rFonts w:ascii="宋体" w:hAnsi="宋体" w:cs="宋体"/>
          <w:color w:val="auto"/>
          <w:sz w:val="20"/>
          <w:szCs w:val="20"/>
          <w:highlight w:val="none"/>
        </w:rPr>
      </w:pPr>
      <w:r>
        <w:rPr>
          <w:rFonts w:hint="eastAsia" w:ascii="宋体" w:hAnsi="宋体" w:cs="宋体"/>
          <w:color w:val="auto"/>
          <w:szCs w:val="21"/>
          <w:highlight w:val="none"/>
        </w:rPr>
        <w:t>日期：年月日</w:t>
      </w:r>
    </w:p>
    <w:p>
      <w:pPr>
        <w:spacing w:line="200" w:lineRule="exact"/>
        <w:rPr>
          <w:rFonts w:ascii="宋体" w:hAnsi="宋体" w:cs="宋体"/>
          <w:color w:val="auto"/>
          <w:sz w:val="20"/>
          <w:szCs w:val="20"/>
          <w:highlight w:val="none"/>
        </w:rPr>
      </w:pPr>
    </w:p>
    <w:p>
      <w:pPr>
        <w:spacing w:line="360" w:lineRule="auto"/>
        <w:ind w:left="360" w:right="346" w:firstLine="420"/>
        <w:rPr>
          <w:rFonts w:ascii="宋体" w:hAnsi="宋体" w:cs="宋体"/>
          <w:color w:val="auto"/>
          <w:szCs w:val="21"/>
          <w:highlight w:val="none"/>
        </w:rPr>
      </w:pPr>
    </w:p>
    <w:p>
      <w:pPr>
        <w:spacing w:line="360" w:lineRule="auto"/>
        <w:ind w:left="360" w:right="346" w:firstLine="420"/>
        <w:rPr>
          <w:rFonts w:ascii="宋体" w:hAnsi="宋体" w:cs="宋体"/>
          <w:color w:val="auto"/>
          <w:szCs w:val="21"/>
          <w:highlight w:val="none"/>
          <w:u w:val="single"/>
        </w:rPr>
      </w:pPr>
      <w:r>
        <w:rPr>
          <w:rFonts w:hint="eastAsia" w:ascii="宋体" w:hAnsi="宋体" w:cs="宋体"/>
          <w:color w:val="auto"/>
          <w:szCs w:val="21"/>
          <w:highlight w:val="none"/>
          <w:u w:val="single"/>
        </w:rPr>
        <w:t>监狱企业参加政府采购活动时，应当提供由省级以上监狱管理局、戒毒管理局（含新疆生产建设兵团）出具的属于监狱企业的证明文件。</w:t>
      </w:r>
    </w:p>
    <w:p>
      <w:pPr>
        <w:spacing w:line="360" w:lineRule="auto"/>
        <w:ind w:left="360" w:right="266" w:firstLine="210" w:firstLineChars="100"/>
        <w:jc w:val="both"/>
        <w:rPr>
          <w:rFonts w:ascii="宋体" w:hAnsi="宋体" w:cs="宋体"/>
          <w:color w:val="auto"/>
          <w:sz w:val="20"/>
          <w:szCs w:val="20"/>
          <w:highlight w:val="none"/>
        </w:rPr>
      </w:pPr>
      <w:r>
        <w:rPr>
          <w:rFonts w:hint="eastAsia" w:ascii="宋体" w:hAnsi="宋体" w:cs="宋体"/>
          <w:color w:val="auto"/>
          <w:szCs w:val="21"/>
          <w:highlight w:val="none"/>
          <w:u w:val="singl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366" w:lineRule="exact"/>
        <w:ind w:right="-13"/>
        <w:jc w:val="center"/>
        <w:outlineLvl w:val="0"/>
        <w:rPr>
          <w:rFonts w:ascii="宋体" w:hAnsi="宋体" w:cs="宋体"/>
          <w:b/>
          <w:bCs/>
          <w:color w:val="auto"/>
          <w:sz w:val="24"/>
          <w:szCs w:val="24"/>
          <w:highlight w:val="none"/>
        </w:rPr>
      </w:pPr>
      <w:bookmarkStart w:id="132" w:name="_Toc9302"/>
      <w:r>
        <w:rPr>
          <w:rFonts w:hint="eastAsia" w:ascii="宋体" w:hAnsi="宋体" w:cs="宋体"/>
          <w:b/>
          <w:bCs/>
          <w:color w:val="auto"/>
          <w:sz w:val="24"/>
          <w:szCs w:val="24"/>
          <w:highlight w:val="none"/>
        </w:rPr>
        <w:t>残疾人福利性单位声明函</w:t>
      </w:r>
      <w:bookmarkEnd w:id="132"/>
    </w:p>
    <w:p>
      <w:pPr>
        <w:spacing w:line="203" w:lineRule="exact"/>
        <w:rPr>
          <w:rFonts w:ascii="宋体" w:hAnsi="宋体" w:cs="宋体"/>
          <w:color w:val="auto"/>
          <w:sz w:val="20"/>
          <w:szCs w:val="20"/>
          <w:highlight w:val="none"/>
        </w:rPr>
      </w:pPr>
    </w:p>
    <w:p>
      <w:pPr>
        <w:spacing w:line="240" w:lineRule="exact"/>
        <w:ind w:right="-413"/>
        <w:jc w:val="center"/>
        <w:outlineLvl w:val="1"/>
        <w:rPr>
          <w:rFonts w:ascii="宋体" w:hAnsi="宋体" w:cs="宋体"/>
          <w:color w:val="auto"/>
          <w:sz w:val="20"/>
          <w:szCs w:val="20"/>
          <w:highlight w:val="none"/>
        </w:rPr>
      </w:pPr>
      <w:bookmarkStart w:id="133" w:name="_Toc30098"/>
      <w:bookmarkStart w:id="134" w:name="_Toc1708_WPSOffice_Level2"/>
      <w:bookmarkStart w:id="135" w:name="_Toc20230_WPSOffice_Level2"/>
      <w:r>
        <w:rPr>
          <w:rFonts w:hint="eastAsia" w:ascii="宋体" w:hAnsi="宋体" w:cs="宋体"/>
          <w:color w:val="auto"/>
          <w:szCs w:val="21"/>
          <w:highlight w:val="none"/>
        </w:rPr>
        <w:t>【不属于残疾人福利性单位的无需填写、递交】</w:t>
      </w:r>
      <w:bookmarkEnd w:id="133"/>
      <w:bookmarkEnd w:id="134"/>
      <w:bookmarkEnd w:id="135"/>
    </w:p>
    <w:p>
      <w:pPr>
        <w:spacing w:line="360" w:lineRule="auto"/>
        <w:rPr>
          <w:rFonts w:ascii="宋体" w:hAnsi="宋体" w:cs="宋体"/>
          <w:color w:val="auto"/>
          <w:sz w:val="20"/>
          <w:szCs w:val="20"/>
          <w:highlight w:val="none"/>
        </w:rPr>
      </w:pPr>
    </w:p>
    <w:p>
      <w:pPr>
        <w:spacing w:line="360" w:lineRule="auto"/>
        <w:ind w:right="366" w:firstLine="420" w:firstLineChars="200"/>
        <w:rPr>
          <w:rFonts w:ascii="宋体" w:hAnsi="宋体" w:cs="宋体"/>
          <w:color w:val="auto"/>
          <w:sz w:val="20"/>
          <w:szCs w:val="20"/>
          <w:highlight w:val="none"/>
        </w:rPr>
      </w:pPr>
      <w:r>
        <w:rPr>
          <w:rFonts w:hint="eastAsia" w:ascii="宋体" w:hAnsi="宋体" w:cs="宋体"/>
          <w:color w:val="auto"/>
          <w:szCs w:val="21"/>
          <w:highlight w:val="none"/>
        </w:rPr>
        <w:t>本单位郑重声明，根据《财政部 民政部 中国残疾人联合会关于促进残疾人就业政府采购政策的通知》（财库〔2017〕141 号）的规定，本单位为符合条件的残疾人福利性单位，且本单位参加 （采购人名称）</w:t>
      </w:r>
      <w:r>
        <w:rPr>
          <w:rFonts w:hint="eastAsia" w:ascii="宋体" w:hAnsi="宋体" w:cs="宋体"/>
          <w:color w:val="auto"/>
          <w:szCs w:val="21"/>
          <w:highlight w:val="none"/>
        </w:rPr>
        <w:tab/>
      </w:r>
      <w:r>
        <w:rPr>
          <w:rFonts w:hint="eastAsia" w:ascii="宋体" w:hAnsi="宋体" w:cs="宋体"/>
          <w:color w:val="auto"/>
          <w:szCs w:val="21"/>
          <w:highlight w:val="none"/>
        </w:rPr>
        <w:t>单位的</w:t>
      </w:r>
      <w:r>
        <w:rPr>
          <w:rFonts w:hint="eastAsia" w:ascii="宋体" w:hAnsi="宋体" w:cs="宋体"/>
          <w:color w:val="auto"/>
          <w:sz w:val="20"/>
          <w:szCs w:val="20"/>
          <w:highlight w:val="none"/>
        </w:rPr>
        <w:tab/>
      </w:r>
      <w:r>
        <w:rPr>
          <w:rFonts w:hint="eastAsia" w:ascii="宋体" w:hAnsi="宋体" w:cs="宋体"/>
          <w:color w:val="auto"/>
          <w:szCs w:val="21"/>
          <w:highlight w:val="none"/>
        </w:rPr>
        <w:t>（项目名称）</w:t>
      </w:r>
      <w:r>
        <w:rPr>
          <w:rFonts w:hint="eastAsia" w:ascii="宋体" w:hAnsi="宋体" w:cs="宋体"/>
          <w:color w:val="auto"/>
          <w:sz w:val="20"/>
          <w:szCs w:val="20"/>
          <w:highlight w:val="none"/>
        </w:rPr>
        <w:tab/>
      </w:r>
      <w:r>
        <w:rPr>
          <w:rFonts w:hint="eastAsia" w:ascii="宋体" w:hAnsi="宋体" w:cs="宋体"/>
          <w:color w:val="auto"/>
          <w:szCs w:val="21"/>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本单位对上述声明的真实性负责。如有虚假，将依法承担相应责任。</w:t>
      </w:r>
    </w:p>
    <w:p>
      <w:pPr>
        <w:spacing w:line="360" w:lineRule="auto"/>
        <w:rPr>
          <w:rFonts w:ascii="宋体" w:hAnsi="宋体" w:cs="宋体"/>
          <w:color w:val="auto"/>
          <w:sz w:val="20"/>
          <w:szCs w:val="20"/>
          <w:highlight w:val="none"/>
        </w:rPr>
      </w:pPr>
    </w:p>
    <w:p>
      <w:pPr>
        <w:spacing w:line="360" w:lineRule="auto"/>
        <w:ind w:left="780"/>
        <w:rPr>
          <w:rFonts w:ascii="宋体" w:hAnsi="宋体" w:cs="宋体"/>
          <w:color w:val="auto"/>
          <w:sz w:val="20"/>
          <w:szCs w:val="20"/>
          <w:highlight w:val="none"/>
        </w:rPr>
      </w:pPr>
      <w:r>
        <w:rPr>
          <w:rFonts w:hint="eastAsia" w:ascii="宋体" w:hAnsi="宋体" w:cs="宋体"/>
          <w:color w:val="auto"/>
          <w:szCs w:val="21"/>
          <w:highlight w:val="none"/>
        </w:rPr>
        <w:t>供应商名称（盖章）：</w:t>
      </w:r>
    </w:p>
    <w:p>
      <w:pPr>
        <w:spacing w:line="79" w:lineRule="exact"/>
        <w:rPr>
          <w:rFonts w:ascii="宋体" w:hAnsi="宋体" w:cs="宋体"/>
          <w:color w:val="auto"/>
          <w:sz w:val="20"/>
          <w:szCs w:val="20"/>
          <w:highlight w:val="none"/>
        </w:rPr>
      </w:pPr>
    </w:p>
    <w:p>
      <w:pPr>
        <w:tabs>
          <w:tab w:val="left" w:pos="1700"/>
          <w:tab w:val="left" w:pos="2120"/>
          <w:tab w:val="left" w:pos="2540"/>
        </w:tabs>
        <w:spacing w:line="240" w:lineRule="exact"/>
        <w:ind w:left="780"/>
        <w:rPr>
          <w:rFonts w:ascii="宋体" w:hAnsi="宋体" w:cs="宋体"/>
          <w:color w:val="auto"/>
          <w:sz w:val="20"/>
          <w:szCs w:val="20"/>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rPr>
        <w:tab/>
      </w:r>
      <w:r>
        <w:rPr>
          <w:rFonts w:hint="eastAsia" w:ascii="宋体" w:hAnsi="宋体" w:cs="宋体"/>
          <w:color w:val="auto"/>
          <w:szCs w:val="21"/>
          <w:highlight w:val="none"/>
        </w:rPr>
        <w:t>年</w:t>
      </w:r>
      <w:r>
        <w:rPr>
          <w:rFonts w:hint="eastAsia" w:ascii="宋体" w:hAnsi="宋体" w:cs="宋体"/>
          <w:color w:val="auto"/>
          <w:szCs w:val="21"/>
          <w:highlight w:val="none"/>
        </w:rPr>
        <w:tab/>
      </w:r>
      <w:r>
        <w:rPr>
          <w:rFonts w:hint="eastAsia" w:ascii="宋体" w:hAnsi="宋体" w:cs="宋体"/>
          <w:color w:val="auto"/>
          <w:szCs w:val="21"/>
          <w:highlight w:val="none"/>
        </w:rPr>
        <w:t>月</w:t>
      </w:r>
      <w:r>
        <w:rPr>
          <w:rFonts w:hint="eastAsia" w:ascii="宋体" w:hAnsi="宋体" w:cs="宋体"/>
          <w:color w:val="auto"/>
          <w:szCs w:val="21"/>
          <w:highlight w:val="none"/>
        </w:rPr>
        <w:tab/>
      </w:r>
      <w:r>
        <w:rPr>
          <w:rFonts w:hint="eastAsia" w:ascii="宋体" w:hAnsi="宋体" w:cs="宋体"/>
          <w:color w:val="auto"/>
          <w:szCs w:val="21"/>
          <w:highlight w:val="none"/>
        </w:rPr>
        <w:t>日</w:t>
      </w: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320" w:lineRule="exact"/>
        <w:ind w:left="360"/>
        <w:rPr>
          <w:rFonts w:ascii="宋体" w:hAnsi="宋体" w:cs="宋体"/>
          <w:color w:val="auto"/>
          <w:szCs w:val="21"/>
          <w:highlight w:val="none"/>
          <w:u w:val="single"/>
        </w:rPr>
      </w:pPr>
      <w:bookmarkStart w:id="136" w:name="page75"/>
      <w:bookmarkEnd w:id="136"/>
      <w:r>
        <w:rPr>
          <w:rFonts w:hint="eastAsia" w:ascii="宋体" w:hAnsi="宋体" w:cs="宋体"/>
          <w:color w:val="auto"/>
          <w:szCs w:val="21"/>
          <w:highlight w:val="none"/>
          <w:u w:val="single"/>
        </w:rPr>
        <w:t>说明：</w:t>
      </w:r>
    </w:p>
    <w:p>
      <w:pPr>
        <w:spacing w:line="320" w:lineRule="exact"/>
        <w:ind w:left="360"/>
        <w:rPr>
          <w:rFonts w:ascii="宋体" w:hAnsi="宋体" w:cs="宋体"/>
          <w:color w:val="auto"/>
          <w:szCs w:val="21"/>
          <w:highlight w:val="none"/>
          <w:u w:val="single"/>
        </w:rPr>
      </w:pPr>
      <w:r>
        <w:rPr>
          <w:rFonts w:hint="eastAsia" w:ascii="宋体" w:hAnsi="宋体" w:cs="宋体"/>
          <w:color w:val="auto"/>
          <w:szCs w:val="21"/>
          <w:highlight w:val="none"/>
          <w:u w:val="single"/>
        </w:rPr>
        <w:t>1.若磋商响应供应商同时满足以下条件，则属于依法享受政府采购支持政策的残疾人福利性单位，可提供《残疾人福利性单位声明函》，并对声明的真实性负责：</w:t>
      </w:r>
    </w:p>
    <w:p>
      <w:pPr>
        <w:spacing w:line="320" w:lineRule="exact"/>
        <w:ind w:left="360"/>
        <w:rPr>
          <w:rFonts w:ascii="宋体" w:hAnsi="宋体" w:cs="宋体"/>
          <w:color w:val="auto"/>
          <w:szCs w:val="21"/>
          <w:highlight w:val="none"/>
          <w:u w:val="single"/>
        </w:rPr>
      </w:pPr>
      <w:r>
        <w:rPr>
          <w:rFonts w:hint="eastAsia" w:ascii="宋体" w:hAnsi="宋体" w:cs="宋体"/>
          <w:color w:val="auto"/>
          <w:szCs w:val="21"/>
          <w:highlight w:val="none"/>
          <w:u w:val="single"/>
        </w:rPr>
        <w:t>（一）安置的残疾人占本单位在职职工人数的比例不低于25%（含25%），并且安置的残疾人人数不少于10人（含10人）；</w:t>
      </w:r>
    </w:p>
    <w:p>
      <w:pPr>
        <w:spacing w:line="320" w:lineRule="exact"/>
        <w:ind w:left="360"/>
        <w:rPr>
          <w:rFonts w:ascii="宋体" w:hAnsi="宋体" w:cs="宋体"/>
          <w:color w:val="auto"/>
          <w:szCs w:val="21"/>
          <w:highlight w:val="none"/>
          <w:u w:val="single"/>
        </w:rPr>
      </w:pPr>
      <w:r>
        <w:rPr>
          <w:rFonts w:hint="eastAsia" w:ascii="宋体" w:hAnsi="宋体" w:cs="宋体"/>
          <w:color w:val="auto"/>
          <w:szCs w:val="21"/>
          <w:highlight w:val="none"/>
          <w:u w:val="single"/>
        </w:rPr>
        <w:t>（二）依法与安置的每位残疾人签订了一年以上（含一年）的劳动合同或服务协议；</w:t>
      </w:r>
    </w:p>
    <w:p>
      <w:pPr>
        <w:spacing w:line="320" w:lineRule="exact"/>
        <w:ind w:left="360"/>
        <w:rPr>
          <w:rFonts w:ascii="宋体" w:hAnsi="宋体" w:cs="宋体"/>
          <w:color w:val="auto"/>
          <w:szCs w:val="21"/>
          <w:highlight w:val="none"/>
          <w:u w:val="single"/>
        </w:rPr>
      </w:pPr>
      <w:r>
        <w:rPr>
          <w:rFonts w:hint="eastAsia" w:ascii="宋体" w:hAnsi="宋体" w:cs="宋体"/>
          <w:color w:val="auto"/>
          <w:szCs w:val="21"/>
          <w:highlight w:val="none"/>
          <w:u w:val="single"/>
        </w:rPr>
        <w:t>（三）为安置的每位残疾人按月足额缴纳了基本养老保险、基本医疗保险、失业保险、工伤保险和生育保险等社会保险费；</w:t>
      </w:r>
    </w:p>
    <w:p>
      <w:pPr>
        <w:spacing w:line="320" w:lineRule="exact"/>
        <w:ind w:left="360"/>
        <w:rPr>
          <w:rFonts w:ascii="宋体" w:hAnsi="宋体" w:cs="宋体"/>
          <w:color w:val="auto"/>
          <w:szCs w:val="21"/>
          <w:highlight w:val="none"/>
          <w:u w:val="single"/>
        </w:rPr>
      </w:pPr>
      <w:r>
        <w:rPr>
          <w:rFonts w:hint="eastAsia" w:ascii="宋体" w:hAnsi="宋体" w:cs="宋体"/>
          <w:color w:val="auto"/>
          <w:szCs w:val="21"/>
          <w:highlight w:val="none"/>
          <w:u w:val="single"/>
        </w:rPr>
        <w:t>（四）通过银行等金融机构向安置的每位残疾人，按月支付了不低于单位所在区县适用的经省级人民政府批准的月最低工资标准的工资；</w:t>
      </w:r>
    </w:p>
    <w:p>
      <w:pPr>
        <w:spacing w:line="320" w:lineRule="exact"/>
        <w:ind w:left="360"/>
        <w:rPr>
          <w:rFonts w:ascii="宋体" w:hAnsi="宋体" w:cs="宋体"/>
          <w:color w:val="auto"/>
          <w:szCs w:val="21"/>
          <w:highlight w:val="none"/>
          <w:u w:val="single"/>
        </w:rPr>
      </w:pPr>
      <w:r>
        <w:rPr>
          <w:rFonts w:hint="eastAsia" w:ascii="宋体" w:hAnsi="宋体" w:cs="宋体"/>
          <w:color w:val="auto"/>
          <w:szCs w:val="21"/>
          <w:highlight w:val="none"/>
          <w:u w:val="single"/>
        </w:rPr>
        <w:t>（五）提供本单位制造的货物、承担的工程或者服务（以下简称产品），或者提供其他残疾人福利性单位制造的货物（不包括使用非残疾人福利性单位注册商标的货物）。</w:t>
      </w:r>
    </w:p>
    <w:p>
      <w:pPr>
        <w:spacing w:line="320" w:lineRule="exact"/>
        <w:ind w:left="360"/>
        <w:rPr>
          <w:rFonts w:ascii="宋体" w:hAnsi="宋体" w:cs="宋体"/>
          <w:color w:val="auto"/>
          <w:szCs w:val="21"/>
          <w:highlight w:val="none"/>
          <w:u w:val="single"/>
        </w:rPr>
      </w:pPr>
      <w:r>
        <w:rPr>
          <w:rFonts w:hint="eastAsia" w:ascii="宋体" w:hAnsi="宋体" w:cs="宋体"/>
          <w:color w:val="auto"/>
          <w:szCs w:val="21"/>
          <w:highlight w:val="none"/>
          <w:u w:val="singl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20" w:lineRule="exact"/>
        <w:ind w:left="360"/>
        <w:rPr>
          <w:rFonts w:ascii="宋体" w:hAnsi="宋体" w:cs="宋体"/>
          <w:color w:val="auto"/>
          <w:sz w:val="28"/>
          <w:szCs w:val="28"/>
          <w:highlight w:val="none"/>
        </w:rPr>
      </w:pPr>
      <w:r>
        <w:rPr>
          <w:rFonts w:hint="eastAsia" w:ascii="宋体" w:hAnsi="宋体" w:cs="宋体"/>
          <w:color w:val="auto"/>
          <w:szCs w:val="21"/>
          <w:highlight w:val="none"/>
          <w:u w:val="single"/>
        </w:rPr>
        <w:t>2.成交供应商为残疾人福利性单位的，《残疾人福利性单位声明函》随中标结果同时公告，接受社会监督。</w:t>
      </w:r>
    </w:p>
    <w:p>
      <w:pPr>
        <w:spacing w:line="320" w:lineRule="exact"/>
        <w:ind w:left="360"/>
        <w:rPr>
          <w:rFonts w:ascii="宋体" w:hAnsi="宋体" w:cs="宋体"/>
          <w:color w:val="auto"/>
          <w:sz w:val="28"/>
          <w:szCs w:val="28"/>
          <w:highlight w:val="none"/>
        </w:rPr>
      </w:pPr>
    </w:p>
    <w:p>
      <w:pPr>
        <w:spacing w:line="320" w:lineRule="exact"/>
        <w:ind w:left="360"/>
        <w:rPr>
          <w:rFonts w:ascii="宋体" w:hAnsi="宋体" w:cs="宋体"/>
          <w:color w:val="auto"/>
          <w:sz w:val="28"/>
          <w:szCs w:val="28"/>
          <w:highlight w:val="none"/>
        </w:rPr>
      </w:pPr>
    </w:p>
    <w:p>
      <w:pPr>
        <w:spacing w:line="320" w:lineRule="exact"/>
        <w:ind w:left="360"/>
        <w:rPr>
          <w:rFonts w:ascii="宋体" w:hAnsi="宋体" w:cs="宋体"/>
          <w:color w:val="auto"/>
          <w:sz w:val="28"/>
          <w:szCs w:val="28"/>
          <w:highlight w:val="none"/>
        </w:rPr>
      </w:pPr>
    </w:p>
    <w:p>
      <w:pPr>
        <w:spacing w:line="320" w:lineRule="exact"/>
        <w:ind w:left="360"/>
        <w:rPr>
          <w:rFonts w:ascii="宋体" w:hAnsi="宋体" w:cs="宋体"/>
          <w:color w:val="auto"/>
          <w:sz w:val="28"/>
          <w:szCs w:val="28"/>
          <w:highlight w:val="none"/>
        </w:rPr>
      </w:pPr>
    </w:p>
    <w:p>
      <w:pPr>
        <w:spacing w:line="320" w:lineRule="exact"/>
        <w:ind w:left="360"/>
        <w:rPr>
          <w:rFonts w:ascii="宋体" w:hAnsi="宋体" w:cs="宋体"/>
          <w:color w:val="auto"/>
          <w:sz w:val="28"/>
          <w:szCs w:val="28"/>
          <w:highlight w:val="none"/>
        </w:rPr>
      </w:pPr>
    </w:p>
    <w:p>
      <w:pPr>
        <w:spacing w:line="320" w:lineRule="exact"/>
        <w:ind w:left="360"/>
        <w:rPr>
          <w:rFonts w:ascii="宋体" w:hAnsi="宋体" w:cs="宋体"/>
          <w:color w:val="auto"/>
          <w:sz w:val="28"/>
          <w:szCs w:val="28"/>
          <w:highlight w:val="none"/>
        </w:rPr>
      </w:pPr>
    </w:p>
    <w:p>
      <w:pPr>
        <w:spacing w:line="320" w:lineRule="exact"/>
        <w:ind w:left="360"/>
        <w:rPr>
          <w:rFonts w:ascii="宋体" w:hAnsi="宋体" w:cs="宋体"/>
          <w:color w:val="auto"/>
          <w:sz w:val="28"/>
          <w:szCs w:val="28"/>
          <w:highlight w:val="none"/>
        </w:rPr>
      </w:pPr>
    </w:p>
    <w:p>
      <w:pPr>
        <w:spacing w:line="320" w:lineRule="exact"/>
        <w:ind w:left="360"/>
        <w:rPr>
          <w:rFonts w:ascii="宋体" w:hAnsi="宋体" w:cs="宋体"/>
          <w:color w:val="auto"/>
          <w:sz w:val="28"/>
          <w:szCs w:val="28"/>
          <w:highlight w:val="none"/>
        </w:rPr>
      </w:pPr>
    </w:p>
    <w:p>
      <w:pPr>
        <w:spacing w:line="320" w:lineRule="exact"/>
        <w:ind w:left="360"/>
        <w:rPr>
          <w:rFonts w:ascii="宋体" w:hAnsi="宋体" w:cs="宋体"/>
          <w:color w:val="auto"/>
          <w:sz w:val="28"/>
          <w:szCs w:val="28"/>
          <w:highlight w:val="none"/>
        </w:rPr>
      </w:pPr>
    </w:p>
    <w:p>
      <w:pPr>
        <w:spacing w:line="320" w:lineRule="exact"/>
        <w:ind w:left="360"/>
        <w:rPr>
          <w:rFonts w:ascii="宋体" w:hAnsi="宋体" w:cs="宋体"/>
          <w:color w:val="auto"/>
          <w:sz w:val="28"/>
          <w:szCs w:val="28"/>
          <w:highlight w:val="none"/>
        </w:rPr>
      </w:pPr>
    </w:p>
    <w:p>
      <w:pPr>
        <w:spacing w:line="320" w:lineRule="exact"/>
        <w:ind w:left="360"/>
        <w:rPr>
          <w:rFonts w:ascii="宋体" w:hAnsi="宋体" w:cs="宋体"/>
          <w:color w:val="auto"/>
          <w:sz w:val="28"/>
          <w:szCs w:val="28"/>
          <w:highlight w:val="none"/>
        </w:rPr>
      </w:pPr>
    </w:p>
    <w:p>
      <w:pPr>
        <w:spacing w:line="320" w:lineRule="exact"/>
        <w:rPr>
          <w:rFonts w:ascii="宋体" w:hAnsi="宋体" w:cs="宋体"/>
          <w:color w:val="auto"/>
          <w:sz w:val="28"/>
          <w:szCs w:val="28"/>
          <w:highlight w:val="none"/>
        </w:rPr>
      </w:pPr>
    </w:p>
    <w:p>
      <w:pPr>
        <w:spacing w:line="320" w:lineRule="exact"/>
        <w:ind w:left="360"/>
        <w:rPr>
          <w:rFonts w:ascii="宋体" w:hAnsi="宋体" w:cs="宋体"/>
          <w:color w:val="auto"/>
          <w:sz w:val="28"/>
          <w:szCs w:val="28"/>
          <w:highlight w:val="none"/>
        </w:rPr>
      </w:pPr>
    </w:p>
    <w:p>
      <w:pPr>
        <w:spacing w:line="320" w:lineRule="exact"/>
        <w:ind w:left="360"/>
        <w:rPr>
          <w:rFonts w:ascii="宋体" w:hAnsi="宋体" w:cs="宋体"/>
          <w:color w:val="auto"/>
          <w:sz w:val="28"/>
          <w:szCs w:val="28"/>
          <w:highlight w:val="none"/>
        </w:rPr>
      </w:pPr>
    </w:p>
    <w:p>
      <w:pPr>
        <w:spacing w:line="320" w:lineRule="exact"/>
        <w:ind w:left="360"/>
        <w:rPr>
          <w:rFonts w:ascii="宋体" w:hAnsi="宋体" w:cs="宋体"/>
          <w:color w:val="auto"/>
          <w:sz w:val="28"/>
          <w:szCs w:val="28"/>
          <w:highlight w:val="none"/>
        </w:rPr>
        <w:sectPr>
          <w:pgSz w:w="11900" w:h="16838"/>
          <w:pgMar w:top="1440" w:right="1440" w:bottom="158" w:left="1440" w:header="567" w:footer="567" w:gutter="0"/>
          <w:cols w:equalWidth="0" w:num="1">
            <w:col w:w="9026"/>
          </w:cols>
        </w:sectPr>
      </w:pPr>
      <w:bookmarkStart w:id="137" w:name="_Toc5942_WPSOffice_Level2"/>
    </w:p>
    <w:p>
      <w:pPr>
        <w:spacing w:line="320" w:lineRule="exact"/>
        <w:ind w:left="360"/>
        <w:rPr>
          <w:rFonts w:ascii="宋体" w:hAnsi="宋体" w:cs="宋体"/>
          <w:color w:val="auto"/>
          <w:sz w:val="20"/>
          <w:szCs w:val="20"/>
          <w:highlight w:val="none"/>
        </w:rPr>
      </w:pPr>
      <w:r>
        <w:rPr>
          <w:rFonts w:hint="eastAsia" w:ascii="宋体" w:hAnsi="宋体" w:cs="宋体"/>
          <w:color w:val="auto"/>
          <w:sz w:val="28"/>
          <w:szCs w:val="28"/>
          <w:highlight w:val="none"/>
        </w:rPr>
        <w:t>商务技术文件封面</w:t>
      </w:r>
      <w:bookmarkEnd w:id="137"/>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308" w:lineRule="exact"/>
        <w:rPr>
          <w:rFonts w:ascii="宋体" w:hAnsi="宋体" w:cs="宋体"/>
          <w:color w:val="auto"/>
          <w:sz w:val="20"/>
          <w:szCs w:val="20"/>
          <w:highlight w:val="none"/>
        </w:rPr>
      </w:pPr>
    </w:p>
    <w:p>
      <w:pPr>
        <w:spacing w:line="320" w:lineRule="exact"/>
        <w:ind w:left="1340"/>
        <w:rPr>
          <w:rFonts w:ascii="宋体" w:hAnsi="宋体" w:cs="宋体"/>
          <w:color w:val="auto"/>
          <w:sz w:val="20"/>
          <w:szCs w:val="20"/>
          <w:highlight w:val="none"/>
        </w:rPr>
      </w:pPr>
      <w:bookmarkStart w:id="138" w:name="_Toc11046_WPSOffice_Level2"/>
      <w:r>
        <w:rPr>
          <w:rFonts w:hint="eastAsia" w:ascii="宋体" w:hAnsi="宋体" w:cs="宋体"/>
          <w:color w:val="auto"/>
          <w:sz w:val="28"/>
          <w:szCs w:val="28"/>
          <w:highlight w:val="none"/>
        </w:rPr>
        <w:t>项目名称：</w:t>
      </w:r>
      <w:bookmarkEnd w:id="138"/>
    </w:p>
    <w:p>
      <w:pPr>
        <w:spacing w:line="20" w:lineRule="exact"/>
        <w:rPr>
          <w:rFonts w:ascii="宋体" w:hAnsi="宋体" w:cs="宋体"/>
          <w:color w:val="auto"/>
          <w:sz w:val="20"/>
          <w:szCs w:val="20"/>
          <w:highlight w:val="none"/>
        </w:rPr>
      </w:pPr>
      <w:r>
        <w:rPr>
          <w:rFonts w:ascii="宋体" w:hAnsi="宋体" w:cs="宋体"/>
          <w:color w:val="auto"/>
          <w:highlight w:val="none"/>
        </w:rPr>
        <w:pict>
          <v:line id="Shape 316" o:spid="_x0000_s1051" o:spt="20" style="position:absolute;left:0pt;margin-left:136.95pt;margin-top:0.05pt;height:0pt;width:287.1pt;z-index:-1024;mso-width-relative:page;mso-height-relative:page;" filled="t" coordsize="21600,21600" o:allowincell="f">
            <v:path arrowok="t"/>
            <v:fill on="t" focussize="0,0"/>
            <v:stroke weight="1.08pt" joinstyle="miter"/>
            <v:imagedata o:title=""/>
            <o:lock v:ext="edit"/>
          </v:line>
        </w:pict>
      </w: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88" w:lineRule="exact"/>
        <w:rPr>
          <w:rFonts w:ascii="宋体" w:hAnsi="宋体" w:cs="宋体"/>
          <w:color w:val="auto"/>
          <w:sz w:val="20"/>
          <w:szCs w:val="20"/>
          <w:highlight w:val="none"/>
        </w:rPr>
      </w:pPr>
    </w:p>
    <w:p>
      <w:pPr>
        <w:spacing w:line="320" w:lineRule="exact"/>
        <w:ind w:left="1340"/>
        <w:rPr>
          <w:rFonts w:ascii="宋体" w:hAnsi="宋体" w:cs="宋体"/>
          <w:color w:val="auto"/>
          <w:sz w:val="20"/>
          <w:szCs w:val="20"/>
          <w:highlight w:val="none"/>
        </w:rPr>
      </w:pPr>
      <w:bookmarkStart w:id="139" w:name="_Toc4594_WPSOffice_Level2"/>
      <w:r>
        <w:rPr>
          <w:rFonts w:hint="eastAsia" w:ascii="宋体" w:hAnsi="宋体" w:cs="宋体"/>
          <w:color w:val="auto"/>
          <w:sz w:val="28"/>
          <w:szCs w:val="28"/>
          <w:highlight w:val="none"/>
        </w:rPr>
        <w:t>项目编号：</w:t>
      </w:r>
      <w:bookmarkEnd w:id="139"/>
    </w:p>
    <w:p>
      <w:pPr>
        <w:spacing w:line="20" w:lineRule="exact"/>
        <w:rPr>
          <w:rFonts w:ascii="宋体" w:hAnsi="宋体" w:cs="宋体"/>
          <w:color w:val="auto"/>
          <w:sz w:val="20"/>
          <w:szCs w:val="20"/>
          <w:highlight w:val="none"/>
        </w:rPr>
      </w:pPr>
      <w:r>
        <w:rPr>
          <w:rFonts w:ascii="宋体" w:hAnsi="宋体" w:cs="宋体"/>
          <w:color w:val="auto"/>
          <w:highlight w:val="none"/>
        </w:rPr>
        <w:pict>
          <v:line id="Shape 317" o:spid="_x0000_s1052" o:spt="20" style="position:absolute;left:0pt;margin-left:136.95pt;margin-top:0.05pt;height:0pt;width:287.1pt;z-index:-1024;mso-width-relative:page;mso-height-relative:page;" filled="t" coordsize="21600,21600" o:allowincell="f">
            <v:path arrowok="t"/>
            <v:fill on="t" focussize="0,0"/>
            <v:stroke weight="1.08pt" joinstyle="miter"/>
            <v:imagedata o:title=""/>
            <o:lock v:ext="edit"/>
          </v:line>
        </w:pict>
      </w: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25" w:lineRule="exact"/>
        <w:rPr>
          <w:rFonts w:ascii="宋体" w:hAnsi="宋体" w:cs="宋体"/>
          <w:color w:val="auto"/>
          <w:sz w:val="20"/>
          <w:szCs w:val="20"/>
          <w:highlight w:val="none"/>
        </w:rPr>
      </w:pPr>
    </w:p>
    <w:p>
      <w:pPr>
        <w:spacing w:line="822" w:lineRule="exact"/>
        <w:ind w:right="-33"/>
        <w:jc w:val="center"/>
        <w:rPr>
          <w:rFonts w:ascii="宋体" w:hAnsi="宋体" w:cs="宋体"/>
          <w:color w:val="auto"/>
          <w:sz w:val="20"/>
          <w:szCs w:val="20"/>
          <w:highlight w:val="none"/>
        </w:rPr>
      </w:pPr>
      <w:r>
        <w:rPr>
          <w:rFonts w:hint="eastAsia" w:ascii="宋体" w:hAnsi="宋体" w:cs="宋体"/>
          <w:color w:val="auto"/>
          <w:sz w:val="72"/>
          <w:szCs w:val="72"/>
          <w:highlight w:val="none"/>
        </w:rPr>
        <w:t>投 标 文 件</w:t>
      </w:r>
    </w:p>
    <w:p>
      <w:pPr>
        <w:spacing w:line="200" w:lineRule="exact"/>
        <w:rPr>
          <w:rFonts w:ascii="宋体" w:hAnsi="宋体" w:cs="宋体"/>
          <w:color w:val="auto"/>
          <w:sz w:val="20"/>
          <w:szCs w:val="20"/>
          <w:highlight w:val="none"/>
        </w:rPr>
      </w:pPr>
    </w:p>
    <w:p>
      <w:pPr>
        <w:spacing w:line="381" w:lineRule="exact"/>
        <w:rPr>
          <w:rFonts w:ascii="宋体" w:hAnsi="宋体" w:cs="宋体"/>
          <w:color w:val="auto"/>
          <w:sz w:val="20"/>
          <w:szCs w:val="20"/>
          <w:highlight w:val="none"/>
        </w:rPr>
      </w:pPr>
    </w:p>
    <w:p>
      <w:pPr>
        <w:spacing w:line="822" w:lineRule="exact"/>
        <w:ind w:right="-33"/>
        <w:jc w:val="center"/>
        <w:rPr>
          <w:rFonts w:ascii="宋体" w:hAnsi="宋体" w:cs="宋体"/>
          <w:color w:val="auto"/>
          <w:sz w:val="20"/>
          <w:szCs w:val="20"/>
          <w:highlight w:val="none"/>
        </w:rPr>
      </w:pPr>
      <w:r>
        <w:rPr>
          <w:rFonts w:hint="eastAsia" w:ascii="宋体" w:hAnsi="宋体" w:cs="宋体"/>
          <w:color w:val="auto"/>
          <w:sz w:val="72"/>
          <w:szCs w:val="72"/>
          <w:highlight w:val="none"/>
        </w:rPr>
        <w:t>（商务技术文件）</w:t>
      </w: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67" w:lineRule="exact"/>
        <w:rPr>
          <w:rFonts w:ascii="宋体" w:hAnsi="宋体" w:cs="宋体"/>
          <w:color w:val="auto"/>
          <w:sz w:val="20"/>
          <w:szCs w:val="20"/>
          <w:highlight w:val="none"/>
        </w:rPr>
      </w:pPr>
    </w:p>
    <w:p>
      <w:pPr>
        <w:tabs>
          <w:tab w:val="left" w:pos="5880"/>
        </w:tabs>
        <w:spacing w:line="320" w:lineRule="exact"/>
        <w:ind w:left="1140"/>
        <w:jc w:val="both"/>
        <w:rPr>
          <w:rFonts w:ascii="宋体" w:hAnsi="宋体" w:cs="宋体"/>
          <w:color w:val="auto"/>
          <w:sz w:val="20"/>
          <w:szCs w:val="20"/>
          <w:highlight w:val="none"/>
        </w:rPr>
      </w:pPr>
      <w:bookmarkStart w:id="140" w:name="_Toc1319_WPSOffice_Level2"/>
      <w:r>
        <w:rPr>
          <w:rFonts w:hint="eastAsia" w:ascii="宋体" w:hAnsi="宋体" w:cs="宋体"/>
          <w:color w:val="auto"/>
          <w:sz w:val="28"/>
          <w:szCs w:val="28"/>
          <w:highlight w:val="none"/>
        </w:rPr>
        <w:t>供应商：</w:t>
      </w:r>
      <w:r>
        <w:rPr>
          <w:rFonts w:hint="eastAsia" w:ascii="宋体" w:hAnsi="宋体" w:cs="宋体"/>
          <w:color w:val="auto"/>
          <w:sz w:val="20"/>
          <w:szCs w:val="20"/>
          <w:highlight w:val="none"/>
        </w:rPr>
        <w:tab/>
      </w:r>
      <w:r>
        <w:rPr>
          <w:rFonts w:hint="eastAsia" w:ascii="宋体" w:hAnsi="宋体" w:cs="宋体"/>
          <w:color w:val="auto"/>
          <w:sz w:val="28"/>
          <w:szCs w:val="28"/>
          <w:highlight w:val="none"/>
        </w:rPr>
        <w:t>（盖单位公章）</w:t>
      </w:r>
      <w:bookmarkEnd w:id="140"/>
    </w:p>
    <w:p>
      <w:pPr>
        <w:spacing w:line="20" w:lineRule="exact"/>
        <w:rPr>
          <w:rFonts w:ascii="宋体" w:hAnsi="宋体" w:cs="宋体"/>
          <w:color w:val="auto"/>
          <w:sz w:val="20"/>
          <w:szCs w:val="20"/>
          <w:highlight w:val="none"/>
        </w:rPr>
      </w:pPr>
      <w:r>
        <w:rPr>
          <w:rFonts w:ascii="宋体" w:hAnsi="宋体" w:cs="宋体"/>
          <w:color w:val="auto"/>
          <w:highlight w:val="none"/>
        </w:rPr>
        <w:pict>
          <v:line id="Shape 318" o:spid="_x0000_s1053" o:spt="20" style="position:absolute;left:0pt;margin-left:112.6pt;margin-top:0.05pt;height:0pt;width:182.05pt;z-index:-1024;mso-width-relative:page;mso-height-relative:page;" filled="t" coordsize="21600,21600" o:allowincell="f">
            <v:path arrowok="t"/>
            <v:fill on="t" focussize="0,0"/>
            <v:stroke weight="1.08pt" joinstyle="miter"/>
            <v:imagedata o:title=""/>
            <o:lock v:ext="edit"/>
          </v:line>
        </w:pict>
      </w:r>
    </w:p>
    <w:p>
      <w:pPr>
        <w:spacing w:line="205" w:lineRule="exact"/>
        <w:rPr>
          <w:rFonts w:ascii="宋体" w:hAnsi="宋体" w:cs="宋体"/>
          <w:color w:val="auto"/>
          <w:sz w:val="20"/>
          <w:szCs w:val="20"/>
          <w:highlight w:val="none"/>
        </w:rPr>
      </w:pPr>
    </w:p>
    <w:p>
      <w:pPr>
        <w:tabs>
          <w:tab w:val="left" w:pos="5460"/>
        </w:tabs>
        <w:spacing w:line="320" w:lineRule="exact"/>
        <w:ind w:left="1140"/>
        <w:rPr>
          <w:rFonts w:ascii="宋体" w:hAnsi="宋体" w:cs="宋体"/>
          <w:color w:val="auto"/>
          <w:sz w:val="20"/>
          <w:szCs w:val="20"/>
          <w:highlight w:val="none"/>
        </w:rPr>
      </w:pPr>
      <w:bookmarkStart w:id="141" w:name="_Toc18029_WPSOffice_Level2"/>
      <w:r>
        <w:rPr>
          <w:rFonts w:hint="eastAsia" w:ascii="宋体" w:hAnsi="宋体" w:cs="宋体"/>
          <w:color w:val="auto"/>
          <w:sz w:val="28"/>
          <w:szCs w:val="28"/>
          <w:highlight w:val="none"/>
        </w:rPr>
        <w:t>响应文件签署人：</w:t>
      </w:r>
      <w:r>
        <w:rPr>
          <w:rFonts w:hint="eastAsia" w:ascii="宋体" w:hAnsi="宋体" w:cs="宋体"/>
          <w:color w:val="auto"/>
          <w:sz w:val="20"/>
          <w:szCs w:val="20"/>
          <w:highlight w:val="none"/>
        </w:rPr>
        <w:tab/>
      </w:r>
      <w:r>
        <w:rPr>
          <w:rFonts w:hint="eastAsia" w:ascii="宋体" w:hAnsi="宋体" w:cs="宋体"/>
          <w:color w:val="auto"/>
          <w:sz w:val="28"/>
          <w:szCs w:val="28"/>
          <w:highlight w:val="none"/>
        </w:rPr>
        <w:t>（签字或盖章）</w:t>
      </w:r>
      <w:bookmarkEnd w:id="141"/>
    </w:p>
    <w:p>
      <w:pPr>
        <w:spacing w:line="20" w:lineRule="exact"/>
        <w:rPr>
          <w:rFonts w:ascii="宋体" w:hAnsi="宋体" w:cs="宋体"/>
          <w:color w:val="auto"/>
          <w:sz w:val="20"/>
          <w:szCs w:val="20"/>
          <w:highlight w:val="none"/>
        </w:rPr>
      </w:pPr>
      <w:r>
        <w:rPr>
          <w:rFonts w:ascii="宋体" w:hAnsi="宋体" w:cs="宋体"/>
          <w:color w:val="auto"/>
          <w:highlight w:val="none"/>
        </w:rPr>
        <w:pict>
          <v:line id="Shape 319" o:spid="_x0000_s1054" o:spt="20" style="position:absolute;left:0pt;margin-left:168.65pt;margin-top:0.05pt;height:0pt;width:105pt;z-index:-1024;mso-width-relative:page;mso-height-relative:page;" filled="t" coordsize="21600,21600" o:allowincell="f">
            <v:path arrowok="t"/>
            <v:fill on="t" focussize="0,0"/>
            <v:stroke weight="1.08pt" joinstyle="miter"/>
            <v:imagedata o:title=""/>
            <o:lock v:ext="edit"/>
          </v:line>
        </w:pict>
      </w: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88" w:lineRule="exact"/>
        <w:rPr>
          <w:rFonts w:ascii="宋体" w:hAnsi="宋体" w:cs="宋体"/>
          <w:color w:val="auto"/>
          <w:sz w:val="20"/>
          <w:szCs w:val="20"/>
          <w:highlight w:val="none"/>
        </w:rPr>
      </w:pPr>
    </w:p>
    <w:p>
      <w:pPr>
        <w:tabs>
          <w:tab w:val="left" w:pos="4600"/>
          <w:tab w:val="left" w:pos="5300"/>
        </w:tabs>
        <w:spacing w:line="320" w:lineRule="exact"/>
        <w:ind w:left="3920"/>
        <w:rPr>
          <w:rFonts w:ascii="宋体" w:hAnsi="宋体" w:cs="宋体"/>
          <w:color w:val="auto"/>
          <w:sz w:val="20"/>
          <w:szCs w:val="20"/>
          <w:highlight w:val="none"/>
        </w:rPr>
      </w:pPr>
      <w:bookmarkStart w:id="142" w:name="_Toc15576_WPSOffice_Level2"/>
      <w:r>
        <w:rPr>
          <w:rFonts w:hint="eastAsia" w:ascii="宋体" w:hAnsi="宋体" w:cs="宋体"/>
          <w:color w:val="auto"/>
          <w:sz w:val="28"/>
          <w:szCs w:val="28"/>
          <w:highlight w:val="none"/>
        </w:rPr>
        <w:t>年</w:t>
      </w:r>
      <w:r>
        <w:rPr>
          <w:rFonts w:hint="eastAsia" w:ascii="宋体" w:hAnsi="宋体" w:cs="宋体"/>
          <w:color w:val="auto"/>
          <w:sz w:val="28"/>
          <w:szCs w:val="28"/>
          <w:highlight w:val="none"/>
        </w:rPr>
        <w:tab/>
      </w:r>
      <w:r>
        <w:rPr>
          <w:rFonts w:hint="eastAsia" w:ascii="宋体" w:hAnsi="宋体" w:cs="宋体"/>
          <w:color w:val="auto"/>
          <w:sz w:val="28"/>
          <w:szCs w:val="28"/>
          <w:highlight w:val="none"/>
        </w:rPr>
        <w:t>月</w:t>
      </w:r>
      <w:r>
        <w:rPr>
          <w:rFonts w:hint="eastAsia" w:ascii="宋体" w:hAnsi="宋体" w:cs="宋体"/>
          <w:color w:val="auto"/>
          <w:sz w:val="28"/>
          <w:szCs w:val="28"/>
          <w:highlight w:val="none"/>
        </w:rPr>
        <w:tab/>
      </w:r>
      <w:r>
        <w:rPr>
          <w:rFonts w:hint="eastAsia" w:ascii="宋体" w:hAnsi="宋体" w:cs="宋体"/>
          <w:color w:val="auto"/>
          <w:sz w:val="28"/>
          <w:szCs w:val="28"/>
          <w:highlight w:val="none"/>
        </w:rPr>
        <w:t>日</w:t>
      </w:r>
      <w:bookmarkEnd w:id="142"/>
    </w:p>
    <w:p>
      <w:pPr>
        <w:spacing w:line="20" w:lineRule="exact"/>
        <w:rPr>
          <w:rFonts w:ascii="宋体" w:hAnsi="宋体" w:cs="宋体"/>
          <w:color w:val="auto"/>
          <w:sz w:val="20"/>
          <w:szCs w:val="20"/>
          <w:highlight w:val="none"/>
        </w:rPr>
      </w:pPr>
      <w:r>
        <w:rPr>
          <w:rFonts w:ascii="宋体" w:hAnsi="宋体" w:cs="宋体"/>
          <w:color w:val="auto"/>
          <w:highlight w:val="none"/>
        </w:rPr>
        <w:pict>
          <v:line id="Shape 320" o:spid="_x0000_s1055" o:spt="20" style="position:absolute;left:0pt;margin-left:153.85pt;margin-top:0.05pt;height:0pt;width:42.15pt;z-index:-1024;mso-width-relative:page;mso-height-relative:page;" filled="t" coordsize="21600,21600" o:allowincell="f">
            <v:path arrowok="t"/>
            <v:fill on="t" focussize="0,0"/>
            <v:stroke weight="1.08pt" joinstyle="miter"/>
            <v:imagedata o:title=""/>
            <o:lock v:ext="edit"/>
          </v:line>
        </w:pict>
      </w:r>
      <w:r>
        <w:rPr>
          <w:rFonts w:ascii="宋体" w:hAnsi="宋体" w:cs="宋体"/>
          <w:color w:val="auto"/>
          <w:highlight w:val="none"/>
        </w:rPr>
        <w:pict>
          <v:line id="Shape 321" o:spid="_x0000_s1056" o:spt="20" style="position:absolute;left:0pt;margin-left:209.9pt;margin-top:0.05pt;height:0pt;width:21.05pt;z-index:-1024;mso-width-relative:page;mso-height-relative:page;" filled="t" coordsize="21600,21600" o:allowincell="f">
            <v:path arrowok="t"/>
            <v:fill on="t" focussize="0,0"/>
            <v:stroke weight="1.08pt" joinstyle="miter"/>
            <v:imagedata o:title=""/>
            <o:lock v:ext="edit"/>
          </v:line>
        </w:pict>
      </w:r>
      <w:r>
        <w:rPr>
          <w:rFonts w:ascii="宋体" w:hAnsi="宋体" w:cs="宋体"/>
          <w:color w:val="auto"/>
          <w:highlight w:val="none"/>
        </w:rPr>
        <w:pict>
          <v:line id="Shape 322" o:spid="_x0000_s1057" o:spt="20" style="position:absolute;left:0pt;margin-left:244.95pt;margin-top:0.05pt;height:0pt;width:20.9pt;z-index:-1024;mso-width-relative:page;mso-height-relative:page;" filled="t" coordsize="21600,21600" o:allowincell="f">
            <v:path arrowok="t"/>
            <v:fill on="t" focussize="0,0"/>
            <v:stroke weight="1.08pt" joinstyle="miter"/>
            <v:imagedata o:title=""/>
            <o:lock v:ext="edit"/>
          </v:line>
        </w:pict>
      </w: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jc w:val="center"/>
        <w:rPr>
          <w:rFonts w:ascii="宋体" w:hAnsi="宋体" w:cs="宋体"/>
          <w:b/>
          <w:bCs/>
          <w:color w:val="auto"/>
          <w:sz w:val="28"/>
          <w:szCs w:val="28"/>
          <w:highlight w:val="none"/>
        </w:rPr>
      </w:pPr>
      <w:bookmarkStart w:id="143" w:name="_Toc18958_WPSOffice_Level2"/>
      <w:r>
        <w:rPr>
          <w:rFonts w:hint="eastAsia" w:ascii="宋体" w:hAnsi="宋体" w:cs="宋体"/>
          <w:b/>
          <w:bCs/>
          <w:color w:val="auto"/>
          <w:sz w:val="28"/>
          <w:szCs w:val="28"/>
          <w:highlight w:val="none"/>
        </w:rPr>
        <w:t>索   引</w:t>
      </w:r>
      <w:bookmarkEnd w:id="143"/>
    </w:p>
    <w:p>
      <w:pPr>
        <w:jc w:val="center"/>
        <w:rPr>
          <w:rFonts w:ascii="宋体" w:hAnsi="宋体" w:cs="宋体"/>
          <w:b/>
          <w:bCs/>
          <w:color w:val="auto"/>
          <w:sz w:val="28"/>
          <w:szCs w:val="28"/>
          <w:highlight w:val="none"/>
        </w:rPr>
      </w:pPr>
    </w:p>
    <w:p>
      <w:pPr>
        <w:jc w:val="center"/>
        <w:rPr>
          <w:rFonts w:ascii="宋体" w:hAnsi="宋体" w:cs="宋体"/>
          <w:b/>
          <w:bCs/>
          <w:color w:val="auto"/>
          <w:sz w:val="28"/>
          <w:szCs w:val="28"/>
          <w:highlight w:val="none"/>
        </w:rPr>
      </w:pPr>
      <w:bookmarkStart w:id="144" w:name="_Toc13178_WPSOffice_Level2"/>
      <w:r>
        <w:rPr>
          <w:rFonts w:hint="eastAsia" w:ascii="宋体" w:hAnsi="宋体" w:cs="宋体"/>
          <w:b/>
          <w:bCs/>
          <w:color w:val="auto"/>
          <w:sz w:val="28"/>
          <w:szCs w:val="28"/>
          <w:highlight w:val="none"/>
        </w:rPr>
        <w:t>（请磋商响应供应商自行在评分表基础上自拟）</w:t>
      </w:r>
      <w:bookmarkEnd w:id="144"/>
    </w:p>
    <w:p>
      <w:pPr>
        <w:spacing w:line="251" w:lineRule="exact"/>
        <w:rPr>
          <w:rFonts w:ascii="宋体" w:hAnsi="宋体" w:cs="宋体"/>
          <w:color w:val="auto"/>
          <w:sz w:val="20"/>
          <w:szCs w:val="20"/>
          <w:highlight w:val="none"/>
        </w:rPr>
      </w:pPr>
    </w:p>
    <w:p>
      <w:pPr>
        <w:rPr>
          <w:rFonts w:ascii="宋体" w:hAnsi="宋体" w:cs="宋体"/>
          <w:color w:val="auto"/>
          <w:highlight w:val="none"/>
        </w:rPr>
      </w:pPr>
      <w:bookmarkStart w:id="145" w:name="page76"/>
      <w:bookmarkEnd w:id="145"/>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spacing w:line="366" w:lineRule="exact"/>
        <w:rPr>
          <w:rFonts w:ascii="宋体" w:hAnsi="宋体" w:cs="宋体"/>
          <w:b/>
          <w:bCs/>
          <w:color w:val="auto"/>
          <w:sz w:val="28"/>
          <w:szCs w:val="28"/>
          <w:highlight w:val="none"/>
        </w:rPr>
      </w:pPr>
    </w:p>
    <w:p>
      <w:pPr>
        <w:spacing w:line="366" w:lineRule="exact"/>
        <w:rPr>
          <w:rFonts w:ascii="宋体" w:hAnsi="宋体" w:cs="宋体"/>
          <w:b/>
          <w:bCs/>
          <w:color w:val="auto"/>
          <w:sz w:val="28"/>
          <w:szCs w:val="28"/>
          <w:highlight w:val="none"/>
        </w:rPr>
        <w:sectPr>
          <w:pgSz w:w="11900" w:h="16838"/>
          <w:pgMar w:top="1440" w:right="1440" w:bottom="158" w:left="1440" w:header="567" w:footer="567" w:gutter="0"/>
          <w:cols w:equalWidth="0" w:num="1">
            <w:col w:w="9026"/>
          </w:cols>
        </w:sectPr>
      </w:pPr>
    </w:p>
    <w:p>
      <w:pPr>
        <w:spacing w:line="366" w:lineRule="exact"/>
        <w:rPr>
          <w:rFonts w:ascii="宋体" w:hAnsi="宋体" w:cs="宋体"/>
          <w:b/>
          <w:bCs/>
          <w:color w:val="auto"/>
          <w:sz w:val="28"/>
          <w:szCs w:val="28"/>
          <w:highlight w:val="none"/>
        </w:rPr>
      </w:pPr>
      <w:r>
        <w:rPr>
          <w:rFonts w:hint="eastAsia" w:ascii="宋体" w:hAnsi="宋体" w:cs="宋体"/>
          <w:b/>
          <w:bCs/>
          <w:color w:val="auto"/>
          <w:sz w:val="28"/>
          <w:szCs w:val="28"/>
          <w:highlight w:val="none"/>
        </w:rPr>
        <w:t>商务文件</w:t>
      </w:r>
    </w:p>
    <w:p>
      <w:pPr>
        <w:spacing w:line="366"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一、法定代表人资格证明书</w:t>
      </w:r>
    </w:p>
    <w:p>
      <w:pPr>
        <w:pStyle w:val="9"/>
        <w:adjustRightInd w:val="0"/>
        <w:spacing w:before="120" w:after="120" w:line="360" w:lineRule="auto"/>
        <w:ind w:firstLine="480" w:firstLineChars="229"/>
        <w:rPr>
          <w:rFonts w:hAnsi="宋体" w:cs="宋体"/>
          <w:color w:val="auto"/>
          <w:sz w:val="21"/>
          <w:szCs w:val="21"/>
          <w:highlight w:val="none"/>
          <w:u w:val="single"/>
        </w:rPr>
      </w:pPr>
      <w:r>
        <w:rPr>
          <w:rFonts w:hint="eastAsia" w:hAnsi="宋体" w:cs="宋体"/>
          <w:color w:val="auto"/>
          <w:sz w:val="21"/>
          <w:szCs w:val="21"/>
          <w:highlight w:val="none"/>
          <w:u w:val="single"/>
        </w:rPr>
        <w:t xml:space="preserve">（采购人单位名称）：         </w:t>
      </w:r>
    </w:p>
    <w:p>
      <w:pPr>
        <w:pStyle w:val="9"/>
        <w:adjustRightInd w:val="0"/>
        <w:spacing w:before="120" w:after="120" w:line="360" w:lineRule="auto"/>
        <w:ind w:firstLine="482"/>
        <w:rPr>
          <w:rFonts w:hAnsi="宋体" w:cs="宋体"/>
          <w:color w:val="auto"/>
          <w:sz w:val="21"/>
          <w:szCs w:val="21"/>
          <w:highlight w:val="none"/>
        </w:rPr>
      </w:pPr>
      <w:r>
        <w:rPr>
          <w:rFonts w:hint="eastAsia" w:hAnsi="宋体" w:cs="宋体"/>
          <w:color w:val="auto"/>
          <w:sz w:val="21"/>
          <w:szCs w:val="21"/>
          <w:highlight w:val="none"/>
          <w:u w:val="single"/>
        </w:rPr>
        <w:t>浙江五石工程咨询有限公司：</w:t>
      </w:r>
    </w:p>
    <w:p>
      <w:pPr>
        <w:pStyle w:val="2"/>
        <w:adjustRightInd w:val="0"/>
        <w:spacing w:line="360" w:lineRule="auto"/>
        <w:ind w:firstLine="420" w:firstLineChars="200"/>
        <w:rPr>
          <w:rFonts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u w:val="single"/>
        </w:rPr>
        <w:t xml:space="preserve">     （姓名）    </w:t>
      </w:r>
      <w:r>
        <w:rPr>
          <w:rFonts w:hint="eastAsia" w:ascii="宋体" w:hAnsi="宋体" w:eastAsia="宋体" w:cs="宋体"/>
          <w:snapToGrid w:val="0"/>
          <w:color w:val="auto"/>
          <w:szCs w:val="21"/>
          <w:highlight w:val="none"/>
        </w:rPr>
        <w:t>系</w:t>
      </w:r>
      <w:r>
        <w:rPr>
          <w:rFonts w:hint="eastAsia" w:ascii="宋体" w:hAnsi="宋体" w:eastAsia="宋体" w:cs="宋体"/>
          <w:snapToGrid w:val="0"/>
          <w:color w:val="auto"/>
          <w:szCs w:val="21"/>
          <w:highlight w:val="none"/>
          <w:u w:val="single"/>
        </w:rPr>
        <w:t xml:space="preserve">  （单位名称）  </w:t>
      </w:r>
      <w:r>
        <w:rPr>
          <w:rFonts w:hint="eastAsia" w:ascii="宋体" w:hAnsi="宋体" w:eastAsia="宋体" w:cs="宋体"/>
          <w:snapToGrid w:val="0"/>
          <w:color w:val="auto"/>
          <w:szCs w:val="21"/>
          <w:highlight w:val="none"/>
        </w:rPr>
        <w:t>的法定代表人，</w:t>
      </w:r>
      <w:r>
        <w:rPr>
          <w:rFonts w:hint="eastAsia" w:ascii="宋体" w:hAnsi="宋体" w:eastAsia="宋体" w:cs="宋体"/>
          <w:snapToGrid w:val="0"/>
          <w:color w:val="auto"/>
          <w:szCs w:val="21"/>
          <w:highlight w:val="none"/>
          <w:u w:val="single"/>
        </w:rPr>
        <w:t xml:space="preserve">   （身份证号）     </w:t>
      </w:r>
      <w:r>
        <w:rPr>
          <w:rFonts w:hint="eastAsia" w:ascii="宋体" w:hAnsi="宋体" w:eastAsia="宋体" w:cs="宋体"/>
          <w:snapToGrid w:val="0"/>
          <w:color w:val="auto"/>
          <w:szCs w:val="21"/>
          <w:highlight w:val="none"/>
        </w:rPr>
        <w:t>。</w:t>
      </w:r>
    </w:p>
    <w:p>
      <w:pPr>
        <w:pStyle w:val="2"/>
        <w:adjustRightInd w:val="0"/>
        <w:spacing w:line="360" w:lineRule="auto"/>
        <w:ind w:firstLine="420" w:firstLineChars="200"/>
        <w:rPr>
          <w:rFonts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特此证明。</w:t>
      </w:r>
    </w:p>
    <w:p>
      <w:pPr>
        <w:pStyle w:val="2"/>
        <w:adjustRightInd w:val="0"/>
        <w:spacing w:line="360" w:lineRule="auto"/>
        <w:ind w:firstLine="420" w:firstLineChars="200"/>
        <w:rPr>
          <w:rFonts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磋商响应供应商：（盖单位公章）</w:t>
      </w:r>
    </w:p>
    <w:p>
      <w:pPr>
        <w:adjustRightInd w:val="0"/>
        <w:snapToGrid w:val="0"/>
        <w:spacing w:line="360" w:lineRule="auto"/>
        <w:ind w:firstLine="420" w:firstLineChars="200"/>
        <w:rPr>
          <w:rFonts w:ascii="宋体" w:hAnsi="宋体" w:cs="宋体"/>
          <w:snapToGrid w:val="0"/>
          <w:color w:val="auto"/>
          <w:szCs w:val="21"/>
          <w:highlight w:val="none"/>
        </w:rPr>
      </w:pPr>
      <w:r>
        <w:rPr>
          <w:rFonts w:hint="eastAsia" w:ascii="宋体" w:hAnsi="宋体" w:cs="宋体"/>
          <w:snapToGrid w:val="0"/>
          <w:color w:val="auto"/>
          <w:szCs w:val="21"/>
          <w:highlight w:val="none"/>
        </w:rPr>
        <w:t>日期：</w:t>
      </w:r>
      <w:r>
        <w:rPr>
          <w:rFonts w:hint="eastAsia" w:ascii="宋体" w:hAnsi="宋体" w:cs="宋体"/>
          <w:snapToGrid w:val="0"/>
          <w:color w:val="auto"/>
          <w:szCs w:val="21"/>
          <w:highlight w:val="none"/>
          <w:u w:val="single"/>
        </w:rPr>
        <w:t xml:space="preserve">      </w:t>
      </w:r>
      <w:r>
        <w:rPr>
          <w:rFonts w:hint="eastAsia" w:ascii="宋体" w:hAnsi="宋体" w:cs="宋体"/>
          <w:snapToGrid w:val="0"/>
          <w:color w:val="auto"/>
          <w:szCs w:val="21"/>
          <w:highlight w:val="none"/>
        </w:rPr>
        <w:t>年</w:t>
      </w:r>
      <w:r>
        <w:rPr>
          <w:rFonts w:hint="eastAsia" w:ascii="宋体" w:hAnsi="宋体" w:cs="宋体"/>
          <w:snapToGrid w:val="0"/>
          <w:color w:val="auto"/>
          <w:szCs w:val="21"/>
          <w:highlight w:val="none"/>
          <w:u w:val="single"/>
        </w:rPr>
        <w:t xml:space="preserve">    </w:t>
      </w:r>
      <w:r>
        <w:rPr>
          <w:rFonts w:hint="eastAsia" w:ascii="宋体" w:hAnsi="宋体" w:cs="宋体"/>
          <w:snapToGrid w:val="0"/>
          <w:color w:val="auto"/>
          <w:szCs w:val="21"/>
          <w:highlight w:val="none"/>
        </w:rPr>
        <w:t>月</w:t>
      </w:r>
      <w:r>
        <w:rPr>
          <w:rFonts w:hint="eastAsia" w:ascii="宋体" w:hAnsi="宋体" w:cs="宋体"/>
          <w:snapToGrid w:val="0"/>
          <w:color w:val="auto"/>
          <w:szCs w:val="21"/>
          <w:highlight w:val="none"/>
          <w:u w:val="single"/>
        </w:rPr>
        <w:t xml:space="preserve">     </w:t>
      </w:r>
      <w:r>
        <w:rPr>
          <w:rFonts w:hint="eastAsia" w:ascii="宋体" w:hAnsi="宋体" w:cs="宋体"/>
          <w:snapToGrid w:val="0"/>
          <w:color w:val="auto"/>
          <w:szCs w:val="21"/>
          <w:highlight w:val="none"/>
        </w:rPr>
        <w:t>日</w:t>
      </w:r>
    </w:p>
    <w:p>
      <w:pPr>
        <w:adjustRightInd w:val="0"/>
        <w:snapToGrid w:val="0"/>
        <w:spacing w:line="360" w:lineRule="auto"/>
        <w:ind w:firstLine="420" w:firstLineChars="200"/>
        <w:rPr>
          <w:rFonts w:ascii="宋体" w:hAnsi="宋体" w:cs="宋体"/>
          <w:snapToGrid w:val="0"/>
          <w:color w:val="auto"/>
          <w:szCs w:val="21"/>
          <w:highlight w:val="none"/>
        </w:rPr>
      </w:pPr>
      <w:r>
        <w:rPr>
          <w:rFonts w:hint="eastAsia" w:ascii="宋体" w:hAnsi="宋体" w:cs="宋体"/>
          <w:snapToGrid w:val="0"/>
          <w:color w:val="auto"/>
          <w:szCs w:val="21"/>
          <w:highlight w:val="none"/>
        </w:rPr>
        <w:t>附：</w:t>
      </w:r>
    </w:p>
    <w:p>
      <w:pPr>
        <w:adjustRightInd w:val="0"/>
        <w:snapToGrid w:val="0"/>
        <w:spacing w:line="360" w:lineRule="auto"/>
        <w:ind w:firstLine="420" w:firstLineChars="200"/>
        <w:rPr>
          <w:rFonts w:ascii="宋体" w:hAnsi="宋体" w:cs="宋体"/>
          <w:snapToGrid w:val="0"/>
          <w:color w:val="auto"/>
          <w:szCs w:val="21"/>
          <w:highlight w:val="none"/>
        </w:rPr>
      </w:pPr>
      <w:r>
        <w:rPr>
          <w:rFonts w:hint="eastAsia" w:ascii="宋体" w:hAnsi="宋体" w:cs="宋体"/>
          <w:snapToGrid w:val="0"/>
          <w:color w:val="auto"/>
          <w:szCs w:val="21"/>
          <w:highlight w:val="none"/>
        </w:rPr>
        <w:t>法定代表人联系方式及身份证复印件</w:t>
      </w:r>
    </w:p>
    <w:p>
      <w:pPr>
        <w:adjustRightInd w:val="0"/>
        <w:snapToGrid w:val="0"/>
        <w:spacing w:line="360" w:lineRule="auto"/>
        <w:ind w:firstLine="422" w:firstLineChars="200"/>
        <w:rPr>
          <w:rFonts w:ascii="宋体" w:hAnsi="宋体" w:cs="宋体"/>
          <w:b/>
          <w:bCs/>
          <w:color w:val="auto"/>
          <w:szCs w:val="21"/>
          <w:highlight w:val="none"/>
        </w:rPr>
      </w:pPr>
      <w:r>
        <w:rPr>
          <w:rFonts w:hint="eastAsia" w:ascii="宋体" w:hAnsi="宋体" w:cs="宋体"/>
          <w:b/>
          <w:snapToGrid w:val="0"/>
          <w:color w:val="auto"/>
          <w:szCs w:val="21"/>
          <w:highlight w:val="none"/>
        </w:rPr>
        <w:t>注：法定代表人直接签署响应文件并参加投标的，在响应文件中出具此资格证明书及身份证复印件。</w:t>
      </w:r>
    </w:p>
    <w:p>
      <w:pPr>
        <w:spacing w:line="366" w:lineRule="exact"/>
        <w:jc w:val="center"/>
        <w:rPr>
          <w:rFonts w:ascii="宋体" w:hAnsi="宋体" w:cs="宋体"/>
          <w:b/>
          <w:bCs/>
          <w:color w:val="auto"/>
          <w:sz w:val="28"/>
          <w:szCs w:val="28"/>
          <w:highlight w:val="none"/>
        </w:rPr>
      </w:pPr>
      <w:bookmarkStart w:id="146" w:name="_Toc23739_WPSOffice_Level2"/>
      <w:r>
        <w:rPr>
          <w:rFonts w:hint="eastAsia" w:ascii="宋体" w:hAnsi="宋体" w:cs="宋体"/>
          <w:b/>
          <w:bCs/>
          <w:color w:val="auto"/>
          <w:sz w:val="28"/>
          <w:szCs w:val="28"/>
          <w:highlight w:val="none"/>
        </w:rPr>
        <w:t>法定代表人授权委托书</w:t>
      </w:r>
      <w:bookmarkEnd w:id="146"/>
    </w:p>
    <w:p>
      <w:pPr>
        <w:pStyle w:val="9"/>
        <w:adjustRightInd w:val="0"/>
        <w:spacing w:before="120" w:after="120" w:line="360" w:lineRule="auto"/>
        <w:ind w:firstLine="420" w:firstLineChars="200"/>
        <w:rPr>
          <w:rFonts w:hAnsi="宋体" w:cs="宋体"/>
          <w:color w:val="auto"/>
          <w:sz w:val="21"/>
          <w:szCs w:val="21"/>
          <w:highlight w:val="none"/>
          <w:u w:val="single"/>
        </w:rPr>
      </w:pPr>
      <w:r>
        <w:rPr>
          <w:rFonts w:hint="eastAsia" w:hAnsi="宋体" w:cs="宋体"/>
          <w:color w:val="auto"/>
          <w:sz w:val="21"/>
          <w:szCs w:val="21"/>
          <w:highlight w:val="none"/>
          <w:u w:val="single"/>
        </w:rPr>
        <w:t>（采购人单位名称）：</w:t>
      </w:r>
    </w:p>
    <w:p>
      <w:pPr>
        <w:pStyle w:val="9"/>
        <w:adjustRightInd w:val="0"/>
        <w:spacing w:before="120" w:after="120" w:line="360" w:lineRule="auto"/>
        <w:ind w:firstLine="420" w:firstLineChars="200"/>
        <w:rPr>
          <w:rFonts w:hAnsi="宋体" w:cs="宋体"/>
          <w:color w:val="auto"/>
          <w:sz w:val="21"/>
          <w:szCs w:val="21"/>
          <w:highlight w:val="none"/>
          <w:u w:val="single"/>
        </w:rPr>
      </w:pPr>
      <w:r>
        <w:rPr>
          <w:rFonts w:hint="eastAsia" w:hAnsi="宋体" w:cs="宋体"/>
          <w:color w:val="auto"/>
          <w:sz w:val="21"/>
          <w:szCs w:val="21"/>
          <w:highlight w:val="none"/>
          <w:u w:val="single"/>
        </w:rPr>
        <w:t>浙江五石工程咨询有限公司：</w:t>
      </w:r>
    </w:p>
    <w:p>
      <w:pPr>
        <w:pStyle w:val="9"/>
        <w:spacing w:before="120" w:after="120"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我以</w:t>
      </w:r>
      <w:r>
        <w:rPr>
          <w:rFonts w:hint="eastAsia" w:hAnsi="宋体" w:cs="宋体"/>
          <w:color w:val="auto"/>
          <w:sz w:val="21"/>
          <w:szCs w:val="21"/>
          <w:highlight w:val="none"/>
          <w:u w:val="single"/>
        </w:rPr>
        <w:t xml:space="preserve">        （磋商响应供应商全称）    </w:t>
      </w:r>
      <w:r>
        <w:rPr>
          <w:rFonts w:hint="eastAsia" w:hAnsi="宋体" w:cs="宋体"/>
          <w:color w:val="auto"/>
          <w:sz w:val="21"/>
          <w:szCs w:val="21"/>
          <w:highlight w:val="none"/>
        </w:rPr>
        <w:t>法定代表人的身份授权</w:t>
      </w:r>
      <w:r>
        <w:rPr>
          <w:rFonts w:hint="eastAsia" w:hAnsi="宋体" w:cs="宋体"/>
          <w:color w:val="auto"/>
          <w:sz w:val="21"/>
          <w:szCs w:val="21"/>
          <w:highlight w:val="none"/>
          <w:u w:val="single"/>
        </w:rPr>
        <w:t>（全权代表姓名）</w:t>
      </w:r>
      <w:r>
        <w:rPr>
          <w:rFonts w:hint="eastAsia" w:hAnsi="宋体" w:cs="宋体"/>
          <w:color w:val="auto"/>
          <w:sz w:val="21"/>
          <w:szCs w:val="21"/>
          <w:highlight w:val="none"/>
        </w:rPr>
        <w:t>、</w:t>
      </w:r>
      <w:r>
        <w:rPr>
          <w:rFonts w:hint="eastAsia" w:hAnsi="宋体" w:cs="宋体"/>
          <w:color w:val="auto"/>
          <w:sz w:val="21"/>
          <w:szCs w:val="21"/>
          <w:highlight w:val="none"/>
          <w:u w:val="single"/>
        </w:rPr>
        <w:t xml:space="preserve">  （身份证号</w:t>
      </w:r>
      <w:r>
        <w:rPr>
          <w:rFonts w:hint="eastAsia" w:hAnsi="宋体" w:cs="宋体"/>
          <w:color w:val="auto"/>
          <w:sz w:val="21"/>
          <w:szCs w:val="21"/>
          <w:highlight w:val="none"/>
          <w:u w:val="single"/>
        </w:rPr>
        <w:tab/>
      </w:r>
      <w:r>
        <w:rPr>
          <w:rFonts w:hint="eastAsia" w:hAnsi="宋体" w:cs="宋体"/>
          <w:color w:val="auto"/>
          <w:sz w:val="21"/>
          <w:szCs w:val="21"/>
          <w:highlight w:val="none"/>
          <w:u w:val="single"/>
        </w:rPr>
        <w:tab/>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，为我单位的全权代表，参加贵处组织的</w:t>
      </w:r>
      <w:r>
        <w:rPr>
          <w:rFonts w:hint="eastAsia" w:hAnsi="宋体" w:cs="宋体"/>
          <w:color w:val="auto"/>
          <w:sz w:val="21"/>
          <w:szCs w:val="21"/>
          <w:highlight w:val="none"/>
          <w:u w:val="single"/>
        </w:rPr>
        <w:t xml:space="preserve">  （项目名称） </w:t>
      </w:r>
      <w:r>
        <w:rPr>
          <w:rFonts w:hint="eastAsia" w:hAnsi="宋体" w:cs="宋体"/>
          <w:color w:val="auto"/>
          <w:sz w:val="21"/>
          <w:szCs w:val="21"/>
          <w:highlight w:val="none"/>
        </w:rPr>
        <w:t>（</w:t>
      </w:r>
      <w:r>
        <w:rPr>
          <w:rFonts w:hint="eastAsia" w:hAnsi="宋体" w:cs="宋体"/>
          <w:color w:val="auto"/>
          <w:sz w:val="21"/>
          <w:szCs w:val="21"/>
          <w:highlight w:val="none"/>
          <w:u w:val="single"/>
        </w:rPr>
        <w:t>招标项目编号</w:t>
      </w:r>
      <w:r>
        <w:rPr>
          <w:rFonts w:hint="eastAsia" w:hAnsi="宋体" w:cs="宋体"/>
          <w:color w:val="auto"/>
          <w:sz w:val="21"/>
          <w:szCs w:val="21"/>
          <w:highlight w:val="none"/>
        </w:rPr>
        <w:t>）</w:t>
      </w:r>
      <w:r>
        <w:rPr>
          <w:rFonts w:hint="eastAsia" w:hAnsi="宋体" w:cs="宋体"/>
          <w:color w:val="auto"/>
          <w:sz w:val="21"/>
          <w:szCs w:val="21"/>
          <w:highlight w:val="none"/>
          <w:u w:val="single"/>
        </w:rPr>
        <w:t xml:space="preserve">  （标项内容）</w:t>
      </w:r>
      <w:r>
        <w:rPr>
          <w:rFonts w:hint="eastAsia" w:hAnsi="宋体" w:cs="宋体"/>
          <w:color w:val="auto"/>
          <w:sz w:val="21"/>
          <w:szCs w:val="21"/>
          <w:highlight w:val="none"/>
        </w:rPr>
        <w:t>的招标，签署本项目相关响应文件并全权处理投标活动中的一切事宜。我单位承认全权代表做出的与本项目招投标活动有关的全部行为。</w:t>
      </w:r>
    </w:p>
    <w:p>
      <w:pPr>
        <w:pStyle w:val="9"/>
        <w:spacing w:before="120" w:after="120"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磋商响应供应商全称（盖单位公章）：</w:t>
      </w:r>
    </w:p>
    <w:p>
      <w:pPr>
        <w:pStyle w:val="9"/>
        <w:spacing w:before="120" w:after="120"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法定代表人（签字或盖章）：</w:t>
      </w:r>
    </w:p>
    <w:p>
      <w:pPr>
        <w:pStyle w:val="9"/>
        <w:spacing w:before="120" w:after="120"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电话：</w:t>
      </w:r>
    </w:p>
    <w:p>
      <w:pPr>
        <w:pStyle w:val="9"/>
        <w:spacing w:before="120" w:after="120"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日期：</w:t>
      </w:r>
    </w:p>
    <w:p>
      <w:pPr>
        <w:pStyle w:val="9"/>
        <w:spacing w:before="120" w:after="120" w:line="360" w:lineRule="auto"/>
        <w:ind w:firstLine="480"/>
        <w:rPr>
          <w:rFonts w:hAnsi="宋体" w:cs="宋体"/>
          <w:color w:val="auto"/>
          <w:sz w:val="21"/>
          <w:szCs w:val="21"/>
          <w:highlight w:val="none"/>
        </w:rPr>
      </w:pPr>
      <w:r>
        <w:rPr>
          <w:rFonts w:hint="eastAsia" w:hAnsi="宋体" w:cs="宋体"/>
          <w:color w:val="auto"/>
          <w:sz w:val="21"/>
          <w:szCs w:val="21"/>
          <w:highlight w:val="none"/>
        </w:rPr>
        <w:t>附：</w:t>
      </w:r>
    </w:p>
    <w:p>
      <w:pPr>
        <w:pStyle w:val="9"/>
        <w:spacing w:before="120" w:after="120" w:line="360" w:lineRule="auto"/>
        <w:ind w:firstLine="480"/>
        <w:rPr>
          <w:rFonts w:hAnsi="宋体" w:cs="宋体"/>
          <w:color w:val="auto"/>
          <w:sz w:val="21"/>
          <w:szCs w:val="21"/>
          <w:highlight w:val="none"/>
        </w:rPr>
      </w:pPr>
      <w:r>
        <w:rPr>
          <w:rFonts w:hint="eastAsia" w:hAnsi="宋体" w:cs="宋体"/>
          <w:color w:val="auto"/>
          <w:sz w:val="21"/>
          <w:szCs w:val="21"/>
          <w:highlight w:val="none"/>
        </w:rPr>
        <w:t>全权代表姓名：     身份证号码：      职  务：         电  话：</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全权代表身份证复印件：</w:t>
      </w:r>
    </w:p>
    <w:p>
      <w:pPr>
        <w:ind w:firstLine="422" w:firstLineChars="200"/>
        <w:rPr>
          <w:rFonts w:ascii="宋体" w:hAnsi="宋体" w:cs="宋体"/>
          <w:b/>
          <w:color w:val="auto"/>
          <w:szCs w:val="21"/>
          <w:highlight w:val="none"/>
        </w:rPr>
      </w:pPr>
      <w:r>
        <w:rPr>
          <w:rFonts w:hint="eastAsia" w:ascii="宋体" w:hAnsi="宋体" w:cs="宋体"/>
          <w:b/>
          <w:color w:val="auto"/>
          <w:szCs w:val="21"/>
          <w:highlight w:val="none"/>
        </w:rPr>
        <w:t>注：法定代表人授权其公司员工签署及参加投标的，在响应文件中同时出具法定代表人资格证明书及此授权书，并附身份证复印件。</w:t>
      </w:r>
    </w:p>
    <w:p>
      <w:pPr>
        <w:ind w:firstLine="422" w:firstLineChars="200"/>
        <w:rPr>
          <w:rFonts w:ascii="宋体" w:hAnsi="宋体" w:cs="宋体"/>
          <w:b/>
          <w:color w:val="auto"/>
          <w:szCs w:val="21"/>
          <w:highlight w:val="none"/>
        </w:rPr>
      </w:pPr>
      <w:r>
        <w:rPr>
          <w:rFonts w:hint="eastAsia" w:ascii="宋体" w:hAnsi="宋体" w:cs="宋体"/>
          <w:b/>
          <w:color w:val="auto"/>
          <w:szCs w:val="21"/>
          <w:highlight w:val="none"/>
        </w:rPr>
        <w:t>响应文件格式中所提到的响应文件签署人是指以上两文件确定的签署人员。</w:t>
      </w:r>
    </w:p>
    <w:p>
      <w:pPr>
        <w:ind w:firstLine="422" w:firstLineChars="200"/>
        <w:rPr>
          <w:rFonts w:ascii="宋体" w:hAnsi="宋体" w:cs="宋体"/>
          <w:color w:val="auto"/>
          <w:sz w:val="20"/>
          <w:szCs w:val="20"/>
          <w:highlight w:val="none"/>
        </w:rPr>
      </w:pPr>
      <w:r>
        <w:rPr>
          <w:rFonts w:hint="eastAsia" w:ascii="宋体" w:hAnsi="宋体" w:cs="宋体"/>
          <w:b/>
          <w:color w:val="auto"/>
          <w:szCs w:val="21"/>
          <w:highlight w:val="none"/>
        </w:rPr>
        <w:t>如参加开标并在开评标过程中签署文件的人员与响应文件签署人不一致，须另行提供授权书。</w:t>
      </w:r>
      <w:bookmarkStart w:id="147" w:name="page77"/>
      <w:bookmarkEnd w:id="147"/>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tabs>
          <w:tab w:val="left" w:pos="3899"/>
        </w:tabs>
        <w:rPr>
          <w:rFonts w:ascii="宋体" w:hAnsi="宋体" w:cs="宋体"/>
          <w:color w:val="auto"/>
          <w:highlight w:val="none"/>
        </w:rPr>
        <w:sectPr>
          <w:pgSz w:w="11900" w:h="16838"/>
          <w:pgMar w:top="1440" w:right="1440" w:bottom="158" w:left="1440" w:header="567" w:footer="567" w:gutter="0"/>
          <w:cols w:equalWidth="0" w:num="1">
            <w:col w:w="9026"/>
          </w:cols>
        </w:sectPr>
      </w:pPr>
    </w:p>
    <w:p>
      <w:pPr>
        <w:spacing w:line="366" w:lineRule="exact"/>
        <w:jc w:val="center"/>
        <w:rPr>
          <w:rFonts w:ascii="宋体" w:hAnsi="宋体" w:cs="宋体"/>
          <w:b/>
          <w:bCs/>
          <w:color w:val="auto"/>
          <w:sz w:val="28"/>
          <w:szCs w:val="28"/>
          <w:highlight w:val="none"/>
        </w:rPr>
      </w:pPr>
      <w:bookmarkStart w:id="148" w:name="page78"/>
      <w:bookmarkEnd w:id="148"/>
      <w:bookmarkStart w:id="149" w:name="_Toc9817_WPSOffice_Level2"/>
      <w:r>
        <w:rPr>
          <w:rFonts w:hint="eastAsia" w:ascii="宋体" w:hAnsi="宋体" w:cs="宋体"/>
          <w:b/>
          <w:bCs/>
          <w:color w:val="auto"/>
          <w:sz w:val="28"/>
          <w:szCs w:val="28"/>
          <w:highlight w:val="none"/>
        </w:rPr>
        <w:t>二、资格审查资料</w:t>
      </w:r>
      <w:bookmarkEnd w:id="149"/>
    </w:p>
    <w:p>
      <w:pPr>
        <w:spacing w:line="33" w:lineRule="exact"/>
        <w:rPr>
          <w:rFonts w:ascii="宋体" w:hAnsi="宋体" w:cs="宋体"/>
          <w:color w:val="auto"/>
          <w:sz w:val="20"/>
          <w:szCs w:val="20"/>
          <w:highlight w:val="none"/>
        </w:rPr>
      </w:pPr>
    </w:p>
    <w:p>
      <w:pPr>
        <w:spacing w:line="258" w:lineRule="exact"/>
        <w:rPr>
          <w:rFonts w:ascii="宋体" w:hAnsi="宋体" w:cs="宋体"/>
          <w:color w:val="auto"/>
          <w:sz w:val="20"/>
          <w:szCs w:val="20"/>
          <w:highlight w:val="none"/>
        </w:rPr>
      </w:pPr>
    </w:p>
    <w:p>
      <w:pPr>
        <w:spacing w:line="360" w:lineRule="auto"/>
        <w:ind w:left="780"/>
        <w:rPr>
          <w:rFonts w:ascii="宋体" w:hAnsi="宋体" w:cs="宋体"/>
          <w:b/>
          <w:bCs/>
          <w:color w:val="auto"/>
          <w:sz w:val="20"/>
          <w:szCs w:val="20"/>
          <w:highlight w:val="none"/>
        </w:rPr>
      </w:pPr>
      <w:r>
        <w:rPr>
          <w:rFonts w:hint="eastAsia" w:ascii="宋体" w:hAnsi="宋体" w:cs="宋体"/>
          <w:b/>
          <w:bCs/>
          <w:color w:val="auto"/>
          <w:szCs w:val="21"/>
          <w:highlight w:val="none"/>
        </w:rPr>
        <w:t>（一）资格审查须知</w:t>
      </w:r>
    </w:p>
    <w:p>
      <w:pPr>
        <w:spacing w:line="360" w:lineRule="auto"/>
        <w:ind w:left="780"/>
        <w:rPr>
          <w:rFonts w:ascii="宋体" w:hAnsi="宋体" w:cs="宋体"/>
          <w:color w:val="auto"/>
          <w:sz w:val="20"/>
          <w:szCs w:val="20"/>
          <w:highlight w:val="none"/>
        </w:rPr>
      </w:pPr>
      <w:r>
        <w:rPr>
          <w:rFonts w:hint="eastAsia" w:ascii="宋体" w:hAnsi="宋体" w:cs="宋体"/>
          <w:color w:val="auto"/>
          <w:szCs w:val="21"/>
          <w:highlight w:val="none"/>
        </w:rPr>
        <w:t>1、供应商必须认真填写竞争性磋商文件规定的所有表格，并对其真实性负责，招标人</w:t>
      </w:r>
    </w:p>
    <w:p>
      <w:pPr>
        <w:spacing w:line="360" w:lineRule="auto"/>
        <w:ind w:left="360"/>
        <w:rPr>
          <w:rFonts w:ascii="宋体" w:hAnsi="宋体" w:cs="宋体"/>
          <w:color w:val="auto"/>
          <w:sz w:val="20"/>
          <w:szCs w:val="20"/>
          <w:highlight w:val="none"/>
        </w:rPr>
      </w:pPr>
      <w:r>
        <w:rPr>
          <w:rFonts w:hint="eastAsia" w:ascii="宋体" w:hAnsi="宋体" w:cs="宋体"/>
          <w:color w:val="auto"/>
          <w:szCs w:val="21"/>
          <w:highlight w:val="none"/>
        </w:rPr>
        <w:t>有权对其进行调查核实和要求澄清。</w:t>
      </w:r>
    </w:p>
    <w:p>
      <w:pPr>
        <w:spacing w:line="360" w:lineRule="auto"/>
        <w:ind w:left="780"/>
        <w:rPr>
          <w:rFonts w:ascii="宋体" w:hAnsi="宋体" w:cs="宋体"/>
          <w:color w:val="auto"/>
          <w:sz w:val="20"/>
          <w:szCs w:val="20"/>
          <w:highlight w:val="none"/>
        </w:rPr>
      </w:pPr>
      <w:r>
        <w:rPr>
          <w:rFonts w:hint="eastAsia" w:ascii="宋体" w:hAnsi="宋体" w:cs="宋体"/>
          <w:color w:val="auto"/>
          <w:szCs w:val="21"/>
          <w:highlight w:val="none"/>
        </w:rPr>
        <w:t>2、资格审查按通过和不通过两种方式进行评定，供应商的资格等方面的要求作为资格</w:t>
      </w:r>
    </w:p>
    <w:p>
      <w:pPr>
        <w:spacing w:line="360" w:lineRule="auto"/>
        <w:ind w:left="360"/>
        <w:rPr>
          <w:rFonts w:ascii="宋体" w:hAnsi="宋体" w:cs="宋体"/>
          <w:color w:val="auto"/>
          <w:szCs w:val="21"/>
          <w:highlight w:val="none"/>
        </w:rPr>
      </w:pPr>
      <w:r>
        <w:rPr>
          <w:rFonts w:hint="eastAsia" w:ascii="宋体" w:hAnsi="宋体" w:cs="宋体"/>
          <w:color w:val="auto"/>
          <w:szCs w:val="21"/>
          <w:highlight w:val="none"/>
        </w:rPr>
        <w:t>审查通过的强制性资格条件，经核实有一项不符合要求，则供应商的资格为不通过，不通过</w:t>
      </w:r>
    </w:p>
    <w:p>
      <w:pPr>
        <w:spacing w:line="360" w:lineRule="auto"/>
        <w:ind w:left="360"/>
        <w:rPr>
          <w:rFonts w:ascii="宋体" w:hAnsi="宋体" w:cs="宋体"/>
          <w:color w:val="auto"/>
          <w:sz w:val="20"/>
          <w:szCs w:val="20"/>
          <w:highlight w:val="none"/>
        </w:rPr>
      </w:pPr>
      <w:r>
        <w:rPr>
          <w:rFonts w:hint="eastAsia" w:ascii="宋体" w:hAnsi="宋体" w:cs="宋体"/>
          <w:color w:val="auto"/>
          <w:szCs w:val="21"/>
          <w:highlight w:val="none"/>
        </w:rPr>
        <w:t>的供应商对其响应文件不进行后续评审。</w:t>
      </w:r>
    </w:p>
    <w:p>
      <w:pPr>
        <w:spacing w:line="360" w:lineRule="auto"/>
        <w:ind w:left="780"/>
        <w:rPr>
          <w:rFonts w:ascii="宋体" w:hAnsi="宋体" w:cs="宋体"/>
          <w:b/>
          <w:bCs/>
          <w:color w:val="auto"/>
          <w:sz w:val="20"/>
          <w:szCs w:val="20"/>
          <w:highlight w:val="none"/>
        </w:rPr>
      </w:pPr>
      <w:r>
        <w:rPr>
          <w:rFonts w:hint="eastAsia" w:ascii="宋体" w:hAnsi="宋体" w:cs="宋体"/>
          <w:b/>
          <w:bCs/>
          <w:color w:val="auto"/>
          <w:szCs w:val="21"/>
          <w:highlight w:val="none"/>
        </w:rPr>
        <w:t>（二）资格审查资料格式</w:t>
      </w:r>
    </w:p>
    <w:p>
      <w:pPr>
        <w:spacing w:line="360" w:lineRule="auto"/>
        <w:ind w:left="780"/>
        <w:rPr>
          <w:rFonts w:ascii="宋体" w:hAnsi="宋体" w:cs="宋体"/>
          <w:color w:val="auto"/>
          <w:szCs w:val="21"/>
          <w:highlight w:val="none"/>
        </w:rPr>
      </w:pPr>
      <w:bookmarkStart w:id="150" w:name="_Toc30302_WPSOffice_Level2"/>
      <w:bookmarkStart w:id="151" w:name="_Toc9431"/>
      <w:bookmarkStart w:id="152" w:name="_Toc17625_WPSOffice_Level2"/>
      <w:r>
        <w:rPr>
          <w:rFonts w:hint="eastAsia" w:ascii="宋体" w:hAnsi="宋体" w:cs="宋体"/>
          <w:color w:val="auto"/>
          <w:szCs w:val="21"/>
          <w:highlight w:val="none"/>
        </w:rPr>
        <w:t>附件一 强制性资格条件</w:t>
      </w:r>
      <w:bookmarkEnd w:id="150"/>
      <w:bookmarkEnd w:id="151"/>
      <w:bookmarkEnd w:id="152"/>
    </w:p>
    <w:p>
      <w:pPr>
        <w:spacing w:line="360" w:lineRule="auto"/>
        <w:ind w:left="780"/>
        <w:rPr>
          <w:rFonts w:ascii="宋体" w:hAnsi="宋体" w:cs="宋体"/>
          <w:color w:val="auto"/>
          <w:szCs w:val="21"/>
          <w:highlight w:val="none"/>
        </w:rPr>
      </w:pPr>
      <w:bookmarkStart w:id="153" w:name="_Toc31807_WPSOffice_Level2"/>
      <w:bookmarkStart w:id="154" w:name="_Toc24393"/>
      <w:bookmarkStart w:id="155" w:name="_Toc20100_WPSOffice_Level2"/>
      <w:r>
        <w:rPr>
          <w:rFonts w:hint="eastAsia" w:ascii="宋体" w:hAnsi="宋体" w:cs="宋体"/>
          <w:color w:val="auto"/>
          <w:szCs w:val="21"/>
          <w:highlight w:val="none"/>
        </w:rPr>
        <w:t>附件二 基本资格条件审查资料</w:t>
      </w:r>
      <w:bookmarkEnd w:id="153"/>
      <w:bookmarkEnd w:id="154"/>
      <w:bookmarkEnd w:id="155"/>
    </w:p>
    <w:p>
      <w:pPr>
        <w:spacing w:line="264" w:lineRule="exact"/>
        <w:rPr>
          <w:rFonts w:ascii="宋体" w:hAnsi="宋体" w:cs="宋体"/>
          <w:color w:val="auto"/>
          <w:sz w:val="20"/>
          <w:szCs w:val="20"/>
          <w:highlight w:val="none"/>
        </w:rPr>
      </w:pPr>
    </w:p>
    <w:p>
      <w:pPr>
        <w:rPr>
          <w:rFonts w:ascii="宋体" w:hAnsi="宋体" w:cs="宋体"/>
          <w:color w:val="auto"/>
          <w:highlight w:val="none"/>
        </w:rPr>
        <w:sectPr>
          <w:pgSz w:w="11900" w:h="16838"/>
          <w:pgMar w:top="1440" w:right="1440" w:bottom="158" w:left="1440" w:header="567" w:footer="567" w:gutter="0"/>
          <w:cols w:equalWidth="0" w:num="1">
            <w:col w:w="9026"/>
          </w:cols>
        </w:sectPr>
      </w:pPr>
    </w:p>
    <w:p>
      <w:pPr>
        <w:spacing w:line="240" w:lineRule="exact"/>
        <w:ind w:left="900"/>
        <w:outlineLvl w:val="0"/>
        <w:rPr>
          <w:rFonts w:ascii="宋体" w:hAnsi="宋体" w:cs="宋体"/>
          <w:b/>
          <w:bCs/>
          <w:color w:val="auto"/>
          <w:sz w:val="20"/>
          <w:szCs w:val="20"/>
          <w:highlight w:val="none"/>
        </w:rPr>
      </w:pPr>
      <w:bookmarkStart w:id="156" w:name="page79"/>
      <w:bookmarkEnd w:id="156"/>
      <w:bookmarkStart w:id="157" w:name="_Toc4344_WPSOffice_Level2"/>
      <w:bookmarkStart w:id="158" w:name="_Toc931"/>
      <w:bookmarkStart w:id="159" w:name="_Toc21048_WPSOffice_Level2"/>
      <w:r>
        <w:rPr>
          <w:rFonts w:hint="eastAsia" w:ascii="宋体" w:hAnsi="宋体" w:cs="宋体"/>
          <w:b/>
          <w:bCs/>
          <w:color w:val="auto"/>
          <w:szCs w:val="21"/>
          <w:highlight w:val="none"/>
        </w:rPr>
        <w:t>附件一：强制性资格条件</w:t>
      </w:r>
      <w:bookmarkEnd w:id="157"/>
      <w:bookmarkEnd w:id="158"/>
      <w:bookmarkEnd w:id="159"/>
    </w:p>
    <w:p>
      <w:pPr>
        <w:spacing w:line="149" w:lineRule="exact"/>
        <w:rPr>
          <w:rFonts w:ascii="宋体" w:hAnsi="宋体" w:cs="宋体"/>
          <w:color w:val="auto"/>
          <w:sz w:val="20"/>
          <w:szCs w:val="20"/>
          <w:highlight w:val="none"/>
        </w:rPr>
      </w:pPr>
    </w:p>
    <w:tbl>
      <w:tblPr>
        <w:tblStyle w:val="19"/>
        <w:tblW w:w="10280" w:type="dxa"/>
        <w:tblInd w:w="0" w:type="dxa"/>
        <w:tblLayout w:type="fixed"/>
        <w:tblCellMar>
          <w:top w:w="0" w:type="dxa"/>
          <w:left w:w="0" w:type="dxa"/>
          <w:bottom w:w="0" w:type="dxa"/>
          <w:right w:w="0" w:type="dxa"/>
        </w:tblCellMar>
      </w:tblPr>
      <w:tblGrid>
        <w:gridCol w:w="650"/>
        <w:gridCol w:w="4300"/>
        <w:gridCol w:w="2690"/>
        <w:gridCol w:w="2280"/>
        <w:gridCol w:w="360"/>
      </w:tblGrid>
      <w:tr>
        <w:tblPrEx>
          <w:tblCellMar>
            <w:top w:w="0" w:type="dxa"/>
            <w:left w:w="0" w:type="dxa"/>
            <w:bottom w:w="0" w:type="dxa"/>
            <w:right w:w="0" w:type="dxa"/>
          </w:tblCellMar>
        </w:tblPrEx>
        <w:trPr>
          <w:trHeight w:val="249" w:hRule="atLeast"/>
        </w:trPr>
        <w:tc>
          <w:tcPr>
            <w:tcW w:w="650" w:type="dxa"/>
            <w:tcBorders>
              <w:top w:val="single" w:color="auto" w:sz="8" w:space="0"/>
              <w:left w:val="single" w:color="auto" w:sz="8" w:space="0"/>
              <w:right w:val="single" w:color="auto" w:sz="8" w:space="0"/>
            </w:tcBorders>
            <w:vAlign w:val="center"/>
          </w:tcPr>
          <w:p>
            <w:pPr>
              <w:jc w:val="center"/>
              <w:rPr>
                <w:rFonts w:ascii="宋体" w:hAnsi="宋体" w:cs="宋体"/>
                <w:color w:val="auto"/>
                <w:szCs w:val="21"/>
                <w:highlight w:val="none"/>
              </w:rPr>
            </w:pPr>
          </w:p>
        </w:tc>
        <w:tc>
          <w:tcPr>
            <w:tcW w:w="4300" w:type="dxa"/>
            <w:tcBorders>
              <w:top w:val="single" w:color="auto" w:sz="8" w:space="0"/>
              <w:right w:val="single" w:color="auto" w:sz="8" w:space="0"/>
            </w:tcBorders>
            <w:vAlign w:val="center"/>
          </w:tcPr>
          <w:p>
            <w:pPr>
              <w:jc w:val="center"/>
              <w:rPr>
                <w:rFonts w:ascii="宋体" w:hAnsi="宋体" w:cs="宋体"/>
                <w:color w:val="auto"/>
                <w:szCs w:val="21"/>
                <w:highlight w:val="none"/>
              </w:rPr>
            </w:pPr>
          </w:p>
        </w:tc>
        <w:tc>
          <w:tcPr>
            <w:tcW w:w="2690" w:type="dxa"/>
            <w:tcBorders>
              <w:top w:val="single" w:color="auto" w:sz="8" w:space="0"/>
              <w:right w:val="single" w:color="auto" w:sz="8" w:space="0"/>
            </w:tcBorders>
            <w:vAlign w:val="center"/>
          </w:tcPr>
          <w:p>
            <w:pPr>
              <w:jc w:val="center"/>
              <w:rPr>
                <w:rFonts w:ascii="宋体" w:hAnsi="宋体" w:cs="宋体"/>
                <w:color w:val="auto"/>
                <w:szCs w:val="21"/>
                <w:highlight w:val="none"/>
              </w:rPr>
            </w:pPr>
            <w:r>
              <w:rPr>
                <w:rFonts w:hint="eastAsia" w:ascii="宋体" w:hAnsi="宋体" w:cs="宋体"/>
                <w:color w:val="auto"/>
                <w:w w:val="99"/>
                <w:szCs w:val="21"/>
                <w:highlight w:val="none"/>
              </w:rPr>
              <w:t>供应商对能达到</w:t>
            </w:r>
          </w:p>
        </w:tc>
        <w:tc>
          <w:tcPr>
            <w:tcW w:w="2280" w:type="dxa"/>
            <w:vMerge w:val="restart"/>
            <w:tcBorders>
              <w:top w:val="single" w:color="auto" w:sz="8" w:space="0"/>
              <w:right w:val="single" w:color="auto" w:sz="8" w:space="0"/>
            </w:tcBorders>
            <w:vAlign w:val="center"/>
          </w:tcPr>
          <w:p>
            <w:pPr>
              <w:jc w:val="center"/>
              <w:rPr>
                <w:rFonts w:ascii="宋体" w:hAnsi="宋体" w:cs="宋体"/>
                <w:color w:val="auto"/>
                <w:szCs w:val="21"/>
                <w:highlight w:val="none"/>
              </w:rPr>
            </w:pPr>
            <w:r>
              <w:rPr>
                <w:rFonts w:hint="eastAsia" w:ascii="宋体" w:hAnsi="宋体" w:cs="宋体"/>
                <w:color w:val="auto"/>
                <w:w w:val="99"/>
                <w:szCs w:val="21"/>
                <w:highlight w:val="none"/>
              </w:rPr>
              <w:t>证明资料附后</w:t>
            </w:r>
          </w:p>
        </w:tc>
        <w:tc>
          <w:tcPr>
            <w:tcW w:w="360" w:type="dxa"/>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137" w:hRule="atLeast"/>
        </w:trPr>
        <w:tc>
          <w:tcPr>
            <w:tcW w:w="650" w:type="dxa"/>
            <w:vMerge w:val="restart"/>
            <w:tcBorders>
              <w:left w:val="single" w:color="auto" w:sz="8" w:space="0"/>
              <w:right w:val="single" w:color="auto" w:sz="8" w:space="0"/>
            </w:tcBorders>
            <w:vAlign w:val="center"/>
          </w:tcPr>
          <w:p>
            <w:pPr>
              <w:jc w:val="center"/>
              <w:rPr>
                <w:rFonts w:ascii="宋体" w:hAnsi="宋体" w:cs="宋体"/>
                <w:color w:val="auto"/>
                <w:szCs w:val="21"/>
                <w:highlight w:val="none"/>
              </w:rPr>
            </w:pPr>
            <w:r>
              <w:rPr>
                <w:rFonts w:hint="eastAsia" w:ascii="宋体" w:hAnsi="宋体" w:cs="宋体"/>
                <w:color w:val="auto"/>
                <w:w w:val="99"/>
                <w:szCs w:val="21"/>
                <w:highlight w:val="none"/>
              </w:rPr>
              <w:t>序号</w:t>
            </w:r>
          </w:p>
        </w:tc>
        <w:tc>
          <w:tcPr>
            <w:tcW w:w="4300" w:type="dxa"/>
            <w:vMerge w:val="restart"/>
            <w:tcBorders>
              <w:right w:val="single" w:color="auto" w:sz="8"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强制性资格条件</w:t>
            </w:r>
          </w:p>
        </w:tc>
        <w:tc>
          <w:tcPr>
            <w:tcW w:w="2690" w:type="dxa"/>
            <w:vMerge w:val="restart"/>
            <w:tcBorders>
              <w:right w:val="single" w:color="auto" w:sz="8"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程度的简述</w:t>
            </w:r>
          </w:p>
        </w:tc>
        <w:tc>
          <w:tcPr>
            <w:tcW w:w="2280" w:type="dxa"/>
            <w:vMerge w:val="continue"/>
            <w:tcBorders>
              <w:right w:val="single" w:color="auto" w:sz="8" w:space="0"/>
            </w:tcBorders>
            <w:vAlign w:val="center"/>
          </w:tcPr>
          <w:p>
            <w:pPr>
              <w:jc w:val="center"/>
              <w:rPr>
                <w:rFonts w:ascii="宋体" w:hAnsi="宋体" w:cs="宋体"/>
                <w:color w:val="auto"/>
                <w:szCs w:val="21"/>
                <w:highlight w:val="none"/>
              </w:rPr>
            </w:pPr>
          </w:p>
        </w:tc>
        <w:tc>
          <w:tcPr>
            <w:tcW w:w="360" w:type="dxa"/>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137" w:hRule="atLeast"/>
        </w:trPr>
        <w:tc>
          <w:tcPr>
            <w:tcW w:w="650" w:type="dxa"/>
            <w:vMerge w:val="continue"/>
            <w:tcBorders>
              <w:left w:val="single" w:color="auto" w:sz="8" w:space="0"/>
              <w:right w:val="single" w:color="auto" w:sz="8" w:space="0"/>
            </w:tcBorders>
            <w:vAlign w:val="center"/>
          </w:tcPr>
          <w:p>
            <w:pPr>
              <w:jc w:val="center"/>
              <w:rPr>
                <w:rFonts w:ascii="宋体" w:hAnsi="宋体" w:cs="宋体"/>
                <w:color w:val="auto"/>
                <w:szCs w:val="21"/>
                <w:highlight w:val="none"/>
              </w:rPr>
            </w:pPr>
          </w:p>
        </w:tc>
        <w:tc>
          <w:tcPr>
            <w:tcW w:w="4300" w:type="dxa"/>
            <w:vMerge w:val="continue"/>
            <w:tcBorders>
              <w:right w:val="single" w:color="auto" w:sz="8" w:space="0"/>
            </w:tcBorders>
            <w:vAlign w:val="center"/>
          </w:tcPr>
          <w:p>
            <w:pPr>
              <w:jc w:val="center"/>
              <w:rPr>
                <w:rFonts w:ascii="宋体" w:hAnsi="宋体" w:cs="宋体"/>
                <w:color w:val="auto"/>
                <w:szCs w:val="21"/>
                <w:highlight w:val="none"/>
              </w:rPr>
            </w:pPr>
          </w:p>
        </w:tc>
        <w:tc>
          <w:tcPr>
            <w:tcW w:w="2690" w:type="dxa"/>
            <w:vMerge w:val="continue"/>
            <w:tcBorders>
              <w:right w:val="single" w:color="auto" w:sz="8" w:space="0"/>
            </w:tcBorders>
            <w:vAlign w:val="center"/>
          </w:tcPr>
          <w:p>
            <w:pPr>
              <w:jc w:val="center"/>
              <w:rPr>
                <w:rFonts w:ascii="宋体" w:hAnsi="宋体" w:cs="宋体"/>
                <w:color w:val="auto"/>
                <w:szCs w:val="21"/>
                <w:highlight w:val="none"/>
              </w:rPr>
            </w:pPr>
          </w:p>
        </w:tc>
        <w:tc>
          <w:tcPr>
            <w:tcW w:w="2280" w:type="dxa"/>
            <w:vMerge w:val="restart"/>
            <w:tcBorders>
              <w:right w:val="single" w:color="auto" w:sz="8"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（复印件加盖公章）</w:t>
            </w:r>
          </w:p>
        </w:tc>
        <w:tc>
          <w:tcPr>
            <w:tcW w:w="360" w:type="dxa"/>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137" w:hRule="atLeast"/>
        </w:trPr>
        <w:tc>
          <w:tcPr>
            <w:tcW w:w="650" w:type="dxa"/>
            <w:tcBorders>
              <w:left w:val="single" w:color="auto" w:sz="8" w:space="0"/>
              <w:right w:val="single" w:color="auto" w:sz="8" w:space="0"/>
            </w:tcBorders>
            <w:vAlign w:val="center"/>
          </w:tcPr>
          <w:p>
            <w:pPr>
              <w:jc w:val="center"/>
              <w:rPr>
                <w:rFonts w:ascii="宋体" w:hAnsi="宋体" w:cs="宋体"/>
                <w:color w:val="auto"/>
                <w:szCs w:val="21"/>
                <w:highlight w:val="none"/>
              </w:rPr>
            </w:pPr>
          </w:p>
        </w:tc>
        <w:tc>
          <w:tcPr>
            <w:tcW w:w="4300" w:type="dxa"/>
            <w:tcBorders>
              <w:right w:val="single" w:color="auto" w:sz="8" w:space="0"/>
            </w:tcBorders>
            <w:vAlign w:val="center"/>
          </w:tcPr>
          <w:p>
            <w:pPr>
              <w:jc w:val="center"/>
              <w:rPr>
                <w:rFonts w:ascii="宋体" w:hAnsi="宋体" w:cs="宋体"/>
                <w:color w:val="auto"/>
                <w:szCs w:val="21"/>
                <w:highlight w:val="none"/>
              </w:rPr>
            </w:pPr>
          </w:p>
        </w:tc>
        <w:tc>
          <w:tcPr>
            <w:tcW w:w="2690" w:type="dxa"/>
            <w:vMerge w:val="restart"/>
            <w:tcBorders>
              <w:right w:val="single" w:color="auto" w:sz="8" w:space="0"/>
            </w:tcBorders>
            <w:vAlign w:val="center"/>
          </w:tcPr>
          <w:p>
            <w:pPr>
              <w:jc w:val="center"/>
              <w:rPr>
                <w:rFonts w:ascii="宋体" w:hAnsi="宋体" w:cs="宋体"/>
                <w:color w:val="auto"/>
                <w:szCs w:val="21"/>
                <w:highlight w:val="none"/>
              </w:rPr>
            </w:pPr>
            <w:r>
              <w:rPr>
                <w:rFonts w:hint="eastAsia" w:ascii="宋体" w:hAnsi="宋体" w:cs="宋体"/>
                <w:color w:val="auto"/>
                <w:w w:val="99"/>
                <w:szCs w:val="21"/>
                <w:highlight w:val="none"/>
              </w:rPr>
              <w:t>（供应商填写）</w:t>
            </w:r>
          </w:p>
        </w:tc>
        <w:tc>
          <w:tcPr>
            <w:tcW w:w="2280" w:type="dxa"/>
            <w:vMerge w:val="continue"/>
            <w:tcBorders>
              <w:right w:val="single" w:color="auto" w:sz="8" w:space="0"/>
            </w:tcBorders>
            <w:vAlign w:val="center"/>
          </w:tcPr>
          <w:p>
            <w:pPr>
              <w:jc w:val="center"/>
              <w:rPr>
                <w:rFonts w:ascii="宋体" w:hAnsi="宋体" w:cs="宋体"/>
                <w:color w:val="auto"/>
                <w:szCs w:val="21"/>
                <w:highlight w:val="none"/>
              </w:rPr>
            </w:pPr>
          </w:p>
        </w:tc>
        <w:tc>
          <w:tcPr>
            <w:tcW w:w="360" w:type="dxa"/>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134" w:hRule="atLeast"/>
        </w:trPr>
        <w:tc>
          <w:tcPr>
            <w:tcW w:w="650" w:type="dxa"/>
            <w:tcBorders>
              <w:left w:val="single" w:color="auto" w:sz="8" w:space="0"/>
              <w:right w:val="single" w:color="auto" w:sz="8" w:space="0"/>
            </w:tcBorders>
            <w:vAlign w:val="center"/>
          </w:tcPr>
          <w:p>
            <w:pPr>
              <w:jc w:val="center"/>
              <w:rPr>
                <w:rFonts w:ascii="宋体" w:hAnsi="宋体" w:cs="宋体"/>
                <w:color w:val="auto"/>
                <w:szCs w:val="21"/>
                <w:highlight w:val="none"/>
              </w:rPr>
            </w:pPr>
          </w:p>
        </w:tc>
        <w:tc>
          <w:tcPr>
            <w:tcW w:w="4300" w:type="dxa"/>
            <w:tcBorders>
              <w:right w:val="single" w:color="auto" w:sz="8" w:space="0"/>
            </w:tcBorders>
            <w:vAlign w:val="center"/>
          </w:tcPr>
          <w:p>
            <w:pPr>
              <w:jc w:val="center"/>
              <w:rPr>
                <w:rFonts w:ascii="宋体" w:hAnsi="宋体" w:cs="宋体"/>
                <w:color w:val="auto"/>
                <w:szCs w:val="21"/>
                <w:highlight w:val="none"/>
              </w:rPr>
            </w:pPr>
          </w:p>
        </w:tc>
        <w:tc>
          <w:tcPr>
            <w:tcW w:w="2690" w:type="dxa"/>
            <w:vMerge w:val="continue"/>
            <w:tcBorders>
              <w:right w:val="single" w:color="auto" w:sz="8" w:space="0"/>
            </w:tcBorders>
            <w:vAlign w:val="center"/>
          </w:tcPr>
          <w:p>
            <w:pPr>
              <w:jc w:val="center"/>
              <w:rPr>
                <w:rFonts w:ascii="宋体" w:hAnsi="宋体" w:cs="宋体"/>
                <w:color w:val="auto"/>
                <w:szCs w:val="21"/>
                <w:highlight w:val="none"/>
              </w:rPr>
            </w:pPr>
          </w:p>
        </w:tc>
        <w:tc>
          <w:tcPr>
            <w:tcW w:w="2280" w:type="dxa"/>
            <w:tcBorders>
              <w:right w:val="single" w:color="auto" w:sz="8" w:space="0"/>
            </w:tcBorders>
            <w:vAlign w:val="center"/>
          </w:tcPr>
          <w:p>
            <w:pPr>
              <w:jc w:val="center"/>
              <w:rPr>
                <w:rFonts w:ascii="宋体" w:hAnsi="宋体" w:cs="宋体"/>
                <w:color w:val="auto"/>
                <w:szCs w:val="21"/>
                <w:highlight w:val="none"/>
              </w:rPr>
            </w:pPr>
          </w:p>
        </w:tc>
        <w:tc>
          <w:tcPr>
            <w:tcW w:w="360" w:type="dxa"/>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454" w:hRule="atLeast"/>
        </w:trPr>
        <w:tc>
          <w:tcPr>
            <w:tcW w:w="6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b/>
                <w:bCs/>
                <w:color w:val="auto"/>
                <w:szCs w:val="21"/>
                <w:highlight w:val="none"/>
              </w:rPr>
              <w:t>一</w:t>
            </w:r>
          </w:p>
        </w:tc>
        <w:tc>
          <w:tcPr>
            <w:tcW w:w="4300" w:type="dxa"/>
            <w:tcBorders>
              <w:top w:val="single" w:color="auto" w:sz="4" w:space="0"/>
              <w:left w:val="single" w:color="auto" w:sz="4" w:space="0"/>
              <w:bottom w:val="single" w:color="auto" w:sz="4" w:space="0"/>
              <w:right w:val="single" w:color="auto" w:sz="4" w:space="0"/>
            </w:tcBorders>
            <w:vAlign w:val="center"/>
          </w:tcPr>
          <w:p>
            <w:pPr>
              <w:ind w:left="100"/>
              <w:jc w:val="center"/>
              <w:rPr>
                <w:rFonts w:ascii="宋体" w:hAnsi="宋体" w:cs="宋体"/>
                <w:color w:val="auto"/>
                <w:szCs w:val="21"/>
                <w:highlight w:val="none"/>
              </w:rPr>
            </w:pPr>
            <w:r>
              <w:rPr>
                <w:rFonts w:hint="eastAsia" w:ascii="宋体" w:hAnsi="宋体" w:cs="宋体"/>
                <w:b/>
                <w:bCs/>
                <w:color w:val="auto"/>
                <w:szCs w:val="21"/>
                <w:highlight w:val="none"/>
              </w:rPr>
              <w:t>企业资质要求</w:t>
            </w:r>
          </w:p>
        </w:tc>
        <w:tc>
          <w:tcPr>
            <w:tcW w:w="26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22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360" w:type="dxa"/>
            <w:tcBorders>
              <w:left w:val="single" w:color="auto" w:sz="4" w:space="0"/>
            </w:tcBorders>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1212" w:hRule="atLeast"/>
        </w:trPr>
        <w:tc>
          <w:tcPr>
            <w:tcW w:w="650" w:type="dxa"/>
            <w:tcBorders>
              <w:top w:val="single" w:color="auto" w:sz="4" w:space="0"/>
              <w:left w:val="single" w:color="auto" w:sz="8" w:space="0"/>
              <w:bottom w:val="single" w:color="auto" w:sz="4" w:space="0"/>
              <w:right w:val="single" w:color="auto" w:sz="8"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4300" w:type="dxa"/>
            <w:tcBorders>
              <w:top w:val="single" w:color="auto" w:sz="4" w:space="0"/>
              <w:bottom w:val="single" w:color="auto" w:sz="4" w:space="0"/>
              <w:right w:val="single" w:color="auto" w:sz="8" w:space="0"/>
            </w:tcBorders>
            <w:vAlign w:val="center"/>
          </w:tcPr>
          <w:p>
            <w:pPr>
              <w:ind w:left="100"/>
              <w:jc w:val="both"/>
              <w:rPr>
                <w:rFonts w:ascii="宋体" w:hAnsi="宋体" w:cs="宋体"/>
                <w:color w:val="auto"/>
                <w:szCs w:val="21"/>
                <w:highlight w:val="none"/>
              </w:rPr>
            </w:pPr>
            <w:r>
              <w:rPr>
                <w:rFonts w:hint="eastAsia" w:ascii="宋体" w:hAnsi="宋体" w:cs="宋体"/>
                <w:b/>
                <w:bCs/>
                <w:color w:val="auto"/>
                <w:szCs w:val="21"/>
                <w:highlight w:val="none"/>
              </w:rPr>
              <w:t>具有建设行政主管部门核定的建筑装修装饰工程专业承包贰级及以上资质，或具有房屋建筑工程施工总承包企业三级及以上资质；</w:t>
            </w:r>
          </w:p>
        </w:tc>
        <w:tc>
          <w:tcPr>
            <w:tcW w:w="2690" w:type="dxa"/>
            <w:tcBorders>
              <w:top w:val="single" w:color="auto" w:sz="4" w:space="0"/>
              <w:bottom w:val="single" w:color="auto" w:sz="4" w:space="0"/>
              <w:right w:val="single" w:color="auto" w:sz="8" w:space="0"/>
            </w:tcBorders>
            <w:vAlign w:val="center"/>
          </w:tcPr>
          <w:p>
            <w:pPr>
              <w:jc w:val="center"/>
              <w:rPr>
                <w:rFonts w:ascii="宋体" w:hAnsi="宋体" w:cs="宋体"/>
                <w:color w:val="auto"/>
                <w:szCs w:val="21"/>
                <w:highlight w:val="none"/>
              </w:rPr>
            </w:pPr>
          </w:p>
        </w:tc>
        <w:tc>
          <w:tcPr>
            <w:tcW w:w="2280" w:type="dxa"/>
            <w:tcBorders>
              <w:top w:val="single" w:color="auto" w:sz="4" w:space="0"/>
              <w:bottom w:val="single" w:color="auto" w:sz="4" w:space="0"/>
              <w:right w:val="single" w:color="auto" w:sz="8" w:space="0"/>
            </w:tcBorders>
            <w:vAlign w:val="center"/>
          </w:tcPr>
          <w:p>
            <w:pPr>
              <w:ind w:left="100"/>
              <w:jc w:val="center"/>
              <w:rPr>
                <w:rFonts w:ascii="宋体" w:hAnsi="宋体" w:cs="宋体"/>
                <w:color w:val="auto"/>
                <w:szCs w:val="21"/>
                <w:highlight w:val="none"/>
              </w:rPr>
            </w:pPr>
            <w:r>
              <w:rPr>
                <w:rFonts w:hint="eastAsia" w:ascii="宋体" w:hAnsi="宋体" w:cs="宋体"/>
                <w:color w:val="auto"/>
                <w:szCs w:val="21"/>
                <w:highlight w:val="none"/>
              </w:rPr>
              <w:t>证书</w:t>
            </w:r>
          </w:p>
        </w:tc>
        <w:tc>
          <w:tcPr>
            <w:tcW w:w="360" w:type="dxa"/>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715" w:hRule="atLeast"/>
        </w:trPr>
        <w:tc>
          <w:tcPr>
            <w:tcW w:w="6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43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b/>
                <w:bCs/>
                <w:color w:val="auto"/>
                <w:szCs w:val="21"/>
                <w:highlight w:val="none"/>
              </w:rPr>
              <w:t>企业具有安全生产许可证，且在有效期内</w:t>
            </w:r>
          </w:p>
        </w:tc>
        <w:tc>
          <w:tcPr>
            <w:tcW w:w="26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22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证书</w:t>
            </w:r>
          </w:p>
        </w:tc>
        <w:tc>
          <w:tcPr>
            <w:tcW w:w="360" w:type="dxa"/>
            <w:tcBorders>
              <w:left w:val="single" w:color="auto" w:sz="4" w:space="0"/>
            </w:tcBorders>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305" w:hRule="atLeast"/>
        </w:trPr>
        <w:tc>
          <w:tcPr>
            <w:tcW w:w="650" w:type="dxa"/>
            <w:tcBorders>
              <w:top w:val="single" w:color="auto" w:sz="4" w:space="0"/>
              <w:left w:val="single" w:color="auto" w:sz="8" w:space="0"/>
              <w:right w:val="single" w:color="auto" w:sz="8" w:space="0"/>
            </w:tcBorders>
            <w:vAlign w:val="center"/>
          </w:tcPr>
          <w:p>
            <w:pPr>
              <w:jc w:val="center"/>
              <w:rPr>
                <w:rFonts w:ascii="宋体" w:hAnsi="宋体" w:cs="宋体"/>
                <w:color w:val="auto"/>
                <w:w w:val="85"/>
                <w:szCs w:val="21"/>
                <w:highlight w:val="none"/>
              </w:rPr>
            </w:pPr>
          </w:p>
          <w:p>
            <w:pPr>
              <w:jc w:val="center"/>
              <w:rPr>
                <w:rFonts w:ascii="宋体" w:hAnsi="宋体" w:cs="宋体"/>
                <w:color w:val="auto"/>
                <w:szCs w:val="21"/>
                <w:highlight w:val="none"/>
              </w:rPr>
            </w:pPr>
            <w:r>
              <w:rPr>
                <w:rFonts w:hint="eastAsia" w:ascii="宋体" w:hAnsi="宋体" w:cs="宋体"/>
                <w:color w:val="auto"/>
                <w:w w:val="85"/>
                <w:szCs w:val="21"/>
                <w:highlight w:val="none"/>
              </w:rPr>
              <w:t>3</w:t>
            </w:r>
          </w:p>
        </w:tc>
        <w:tc>
          <w:tcPr>
            <w:tcW w:w="4300" w:type="dxa"/>
            <w:tcBorders>
              <w:top w:val="single" w:color="auto" w:sz="4" w:space="0"/>
              <w:right w:val="single" w:color="auto" w:sz="8" w:space="0"/>
            </w:tcBorders>
            <w:vAlign w:val="center"/>
          </w:tcPr>
          <w:p>
            <w:pPr>
              <w:ind w:left="100"/>
              <w:jc w:val="center"/>
              <w:rPr>
                <w:rFonts w:ascii="宋体" w:hAnsi="宋体" w:cs="宋体"/>
                <w:color w:val="auto"/>
                <w:szCs w:val="21"/>
                <w:highlight w:val="none"/>
              </w:rPr>
            </w:pPr>
          </w:p>
          <w:p>
            <w:pPr>
              <w:ind w:left="100"/>
              <w:jc w:val="both"/>
              <w:rPr>
                <w:rFonts w:ascii="宋体" w:hAnsi="宋体" w:cs="宋体"/>
                <w:b/>
                <w:bCs/>
                <w:color w:val="auto"/>
                <w:szCs w:val="21"/>
                <w:highlight w:val="none"/>
              </w:rPr>
            </w:pPr>
            <w:r>
              <w:rPr>
                <w:rFonts w:hint="eastAsia" w:ascii="宋体" w:hAnsi="宋体" w:cs="宋体"/>
                <w:b/>
                <w:bCs/>
                <w:color w:val="auto"/>
                <w:szCs w:val="21"/>
                <w:highlight w:val="none"/>
              </w:rPr>
              <w:t>拟派项目经理具有建筑工程专业二级及以上建造师注册证书；</w:t>
            </w:r>
          </w:p>
          <w:p>
            <w:pPr>
              <w:ind w:left="100"/>
              <w:jc w:val="center"/>
              <w:rPr>
                <w:rFonts w:ascii="宋体" w:hAnsi="宋体" w:cs="宋体"/>
                <w:color w:val="auto"/>
                <w:szCs w:val="21"/>
                <w:highlight w:val="none"/>
              </w:rPr>
            </w:pPr>
          </w:p>
        </w:tc>
        <w:tc>
          <w:tcPr>
            <w:tcW w:w="2690" w:type="dxa"/>
            <w:tcBorders>
              <w:top w:val="single" w:color="auto" w:sz="4" w:space="0"/>
              <w:right w:val="single" w:color="auto" w:sz="8" w:space="0"/>
            </w:tcBorders>
            <w:vAlign w:val="center"/>
          </w:tcPr>
          <w:p>
            <w:pPr>
              <w:jc w:val="center"/>
              <w:rPr>
                <w:rFonts w:ascii="宋体" w:hAnsi="宋体" w:cs="宋体"/>
                <w:color w:val="auto"/>
                <w:szCs w:val="21"/>
                <w:highlight w:val="none"/>
              </w:rPr>
            </w:pPr>
          </w:p>
        </w:tc>
        <w:tc>
          <w:tcPr>
            <w:tcW w:w="2280" w:type="dxa"/>
            <w:tcBorders>
              <w:top w:val="single" w:color="auto" w:sz="4" w:space="0"/>
              <w:right w:val="single" w:color="auto" w:sz="8" w:space="0"/>
            </w:tcBorders>
            <w:vAlign w:val="center"/>
          </w:tcPr>
          <w:p>
            <w:pPr>
              <w:jc w:val="center"/>
              <w:rPr>
                <w:rFonts w:ascii="宋体" w:hAnsi="宋体" w:cs="宋体"/>
                <w:color w:val="auto"/>
                <w:szCs w:val="21"/>
                <w:highlight w:val="none"/>
              </w:rPr>
            </w:pPr>
          </w:p>
          <w:p>
            <w:pPr>
              <w:jc w:val="center"/>
              <w:rPr>
                <w:rFonts w:ascii="宋体" w:hAnsi="宋体" w:cs="宋体"/>
                <w:color w:val="auto"/>
                <w:szCs w:val="21"/>
                <w:highlight w:val="none"/>
              </w:rPr>
            </w:pPr>
            <w:r>
              <w:rPr>
                <w:rFonts w:hint="eastAsia" w:ascii="宋体" w:hAnsi="宋体" w:cs="宋体"/>
                <w:color w:val="auto"/>
                <w:szCs w:val="21"/>
                <w:highlight w:val="none"/>
              </w:rPr>
              <w:t>建造师执业注册证书</w:t>
            </w:r>
          </w:p>
        </w:tc>
        <w:tc>
          <w:tcPr>
            <w:tcW w:w="360" w:type="dxa"/>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86" w:hRule="atLeast"/>
        </w:trPr>
        <w:tc>
          <w:tcPr>
            <w:tcW w:w="650" w:type="dxa"/>
            <w:tcBorders>
              <w:left w:val="single" w:color="auto" w:sz="8" w:space="0"/>
              <w:bottom w:val="single" w:color="auto" w:sz="8" w:space="0"/>
              <w:right w:val="single" w:color="auto" w:sz="8" w:space="0"/>
            </w:tcBorders>
            <w:vAlign w:val="center"/>
          </w:tcPr>
          <w:p>
            <w:pPr>
              <w:jc w:val="center"/>
              <w:rPr>
                <w:rFonts w:ascii="宋体" w:hAnsi="宋体" w:cs="宋体"/>
                <w:color w:val="auto"/>
                <w:szCs w:val="21"/>
                <w:highlight w:val="none"/>
              </w:rPr>
            </w:pPr>
          </w:p>
        </w:tc>
        <w:tc>
          <w:tcPr>
            <w:tcW w:w="4300" w:type="dxa"/>
            <w:tcBorders>
              <w:bottom w:val="single" w:color="auto" w:sz="8" w:space="0"/>
              <w:right w:val="single" w:color="auto" w:sz="8" w:space="0"/>
            </w:tcBorders>
            <w:vAlign w:val="center"/>
          </w:tcPr>
          <w:p>
            <w:pPr>
              <w:jc w:val="center"/>
              <w:rPr>
                <w:rFonts w:ascii="宋体" w:hAnsi="宋体" w:cs="宋体"/>
                <w:color w:val="auto"/>
                <w:szCs w:val="21"/>
                <w:highlight w:val="none"/>
              </w:rPr>
            </w:pPr>
          </w:p>
        </w:tc>
        <w:tc>
          <w:tcPr>
            <w:tcW w:w="2690" w:type="dxa"/>
            <w:tcBorders>
              <w:bottom w:val="single" w:color="auto" w:sz="8" w:space="0"/>
              <w:right w:val="single" w:color="auto" w:sz="8" w:space="0"/>
            </w:tcBorders>
            <w:vAlign w:val="center"/>
          </w:tcPr>
          <w:p>
            <w:pPr>
              <w:jc w:val="center"/>
              <w:rPr>
                <w:rFonts w:ascii="宋体" w:hAnsi="宋体" w:cs="宋体"/>
                <w:color w:val="auto"/>
                <w:szCs w:val="21"/>
                <w:highlight w:val="none"/>
              </w:rPr>
            </w:pPr>
          </w:p>
        </w:tc>
        <w:tc>
          <w:tcPr>
            <w:tcW w:w="2280" w:type="dxa"/>
            <w:tcBorders>
              <w:bottom w:val="single" w:color="auto" w:sz="8" w:space="0"/>
              <w:right w:val="single" w:color="auto" w:sz="8" w:space="0"/>
            </w:tcBorders>
            <w:vAlign w:val="center"/>
          </w:tcPr>
          <w:p>
            <w:pPr>
              <w:jc w:val="center"/>
              <w:rPr>
                <w:rFonts w:ascii="宋体" w:hAnsi="宋体" w:cs="宋体"/>
                <w:color w:val="auto"/>
                <w:szCs w:val="21"/>
                <w:highlight w:val="none"/>
              </w:rPr>
            </w:pPr>
          </w:p>
        </w:tc>
        <w:tc>
          <w:tcPr>
            <w:tcW w:w="360" w:type="dxa"/>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772" w:hRule="atLeast"/>
        </w:trPr>
        <w:tc>
          <w:tcPr>
            <w:tcW w:w="650" w:type="dxa"/>
            <w:vMerge w:val="restart"/>
            <w:tcBorders>
              <w:left w:val="single" w:color="auto" w:sz="8" w:space="0"/>
              <w:right w:val="single" w:color="auto" w:sz="8" w:space="0"/>
            </w:tcBorders>
            <w:vAlign w:val="center"/>
          </w:tcPr>
          <w:p>
            <w:pPr>
              <w:jc w:val="center"/>
              <w:rPr>
                <w:rFonts w:ascii="宋体" w:hAnsi="宋体" w:cs="宋体"/>
                <w:color w:val="auto"/>
                <w:w w:val="85"/>
                <w:szCs w:val="21"/>
                <w:highlight w:val="none"/>
              </w:rPr>
            </w:pPr>
          </w:p>
          <w:p>
            <w:pPr>
              <w:jc w:val="center"/>
              <w:rPr>
                <w:rFonts w:ascii="宋体" w:hAnsi="宋体" w:cs="宋体"/>
                <w:color w:val="auto"/>
                <w:w w:val="85"/>
                <w:szCs w:val="21"/>
                <w:highlight w:val="none"/>
              </w:rPr>
            </w:pPr>
          </w:p>
          <w:p>
            <w:pPr>
              <w:jc w:val="center"/>
              <w:rPr>
                <w:rFonts w:ascii="宋体" w:hAnsi="宋体" w:cs="宋体"/>
                <w:color w:val="auto"/>
                <w:szCs w:val="21"/>
                <w:highlight w:val="none"/>
              </w:rPr>
            </w:pPr>
            <w:r>
              <w:rPr>
                <w:rFonts w:hint="eastAsia" w:ascii="宋体" w:hAnsi="宋体" w:cs="宋体"/>
                <w:color w:val="auto"/>
                <w:w w:val="85"/>
                <w:szCs w:val="21"/>
                <w:highlight w:val="none"/>
              </w:rPr>
              <w:t>4</w:t>
            </w:r>
          </w:p>
        </w:tc>
        <w:tc>
          <w:tcPr>
            <w:tcW w:w="4300" w:type="dxa"/>
            <w:tcBorders>
              <w:right w:val="single" w:color="auto" w:sz="8" w:space="0"/>
            </w:tcBorders>
            <w:vAlign w:val="center"/>
          </w:tcPr>
          <w:p>
            <w:pPr>
              <w:ind w:left="100"/>
              <w:jc w:val="center"/>
              <w:rPr>
                <w:rFonts w:ascii="宋体" w:hAnsi="宋体" w:cs="宋体"/>
                <w:color w:val="auto"/>
                <w:szCs w:val="21"/>
                <w:highlight w:val="none"/>
              </w:rPr>
            </w:pPr>
            <w:r>
              <w:rPr>
                <w:rFonts w:hint="eastAsia" w:ascii="宋体" w:hAnsi="宋体" w:cs="宋体"/>
                <w:color w:val="auto"/>
                <w:szCs w:val="21"/>
                <w:highlight w:val="none"/>
              </w:rPr>
              <w:t>符合《中华人民共和国政府采购法》第二十二条的规定；</w:t>
            </w:r>
          </w:p>
        </w:tc>
        <w:tc>
          <w:tcPr>
            <w:tcW w:w="2690" w:type="dxa"/>
            <w:tcBorders>
              <w:right w:val="single" w:color="auto" w:sz="8" w:space="0"/>
            </w:tcBorders>
            <w:vAlign w:val="center"/>
          </w:tcPr>
          <w:p>
            <w:pPr>
              <w:jc w:val="center"/>
              <w:rPr>
                <w:rFonts w:ascii="宋体" w:hAnsi="宋体" w:cs="宋体"/>
                <w:color w:val="auto"/>
                <w:szCs w:val="21"/>
                <w:highlight w:val="none"/>
              </w:rPr>
            </w:pPr>
          </w:p>
        </w:tc>
        <w:tc>
          <w:tcPr>
            <w:tcW w:w="2280" w:type="dxa"/>
            <w:vMerge w:val="restart"/>
            <w:tcBorders>
              <w:right w:val="single" w:color="auto" w:sz="8" w:space="0"/>
            </w:tcBorders>
            <w:vAlign w:val="center"/>
          </w:tcPr>
          <w:p>
            <w:pPr>
              <w:jc w:val="center"/>
              <w:rPr>
                <w:rFonts w:ascii="宋体" w:hAnsi="宋体" w:cs="宋体"/>
                <w:color w:val="auto"/>
                <w:w w:val="99"/>
                <w:szCs w:val="21"/>
                <w:highlight w:val="none"/>
              </w:rPr>
            </w:pPr>
          </w:p>
          <w:p>
            <w:pPr>
              <w:jc w:val="center"/>
              <w:rPr>
                <w:rFonts w:ascii="宋体" w:hAnsi="宋体" w:cs="宋体"/>
                <w:color w:val="auto"/>
                <w:szCs w:val="21"/>
                <w:highlight w:val="none"/>
              </w:rPr>
            </w:pPr>
            <w:r>
              <w:rPr>
                <w:rFonts w:hint="eastAsia" w:ascii="宋体" w:hAnsi="宋体" w:cs="宋体"/>
                <w:color w:val="auto"/>
                <w:w w:val="99"/>
                <w:szCs w:val="21"/>
                <w:highlight w:val="none"/>
              </w:rPr>
              <w:t>见附件二</w:t>
            </w:r>
          </w:p>
        </w:tc>
        <w:tc>
          <w:tcPr>
            <w:tcW w:w="360" w:type="dxa"/>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161" w:hRule="atLeast"/>
        </w:trPr>
        <w:tc>
          <w:tcPr>
            <w:tcW w:w="650" w:type="dxa"/>
            <w:vMerge w:val="continue"/>
            <w:tcBorders>
              <w:left w:val="single" w:color="auto" w:sz="8" w:space="0"/>
              <w:right w:val="single" w:color="auto" w:sz="8" w:space="0"/>
            </w:tcBorders>
            <w:vAlign w:val="center"/>
          </w:tcPr>
          <w:p>
            <w:pPr>
              <w:jc w:val="center"/>
              <w:rPr>
                <w:rFonts w:ascii="宋体" w:hAnsi="宋体" w:cs="宋体"/>
                <w:color w:val="auto"/>
                <w:szCs w:val="21"/>
                <w:highlight w:val="none"/>
              </w:rPr>
            </w:pPr>
          </w:p>
        </w:tc>
        <w:tc>
          <w:tcPr>
            <w:tcW w:w="4300" w:type="dxa"/>
            <w:vMerge w:val="restart"/>
            <w:tcBorders>
              <w:right w:val="single" w:color="auto" w:sz="8" w:space="0"/>
            </w:tcBorders>
            <w:vAlign w:val="center"/>
          </w:tcPr>
          <w:p>
            <w:pPr>
              <w:jc w:val="center"/>
              <w:rPr>
                <w:rFonts w:ascii="宋体" w:hAnsi="宋体" w:cs="宋体"/>
                <w:color w:val="auto"/>
                <w:szCs w:val="21"/>
                <w:highlight w:val="none"/>
              </w:rPr>
            </w:pPr>
          </w:p>
        </w:tc>
        <w:tc>
          <w:tcPr>
            <w:tcW w:w="2690" w:type="dxa"/>
            <w:tcBorders>
              <w:right w:val="single" w:color="auto" w:sz="8" w:space="0"/>
            </w:tcBorders>
            <w:vAlign w:val="center"/>
          </w:tcPr>
          <w:p>
            <w:pPr>
              <w:jc w:val="center"/>
              <w:rPr>
                <w:rFonts w:ascii="宋体" w:hAnsi="宋体" w:cs="宋体"/>
                <w:color w:val="auto"/>
                <w:szCs w:val="21"/>
                <w:highlight w:val="none"/>
              </w:rPr>
            </w:pPr>
          </w:p>
        </w:tc>
        <w:tc>
          <w:tcPr>
            <w:tcW w:w="2280" w:type="dxa"/>
            <w:vMerge w:val="continue"/>
            <w:tcBorders>
              <w:right w:val="single" w:color="auto" w:sz="8" w:space="0"/>
            </w:tcBorders>
            <w:vAlign w:val="center"/>
          </w:tcPr>
          <w:p>
            <w:pPr>
              <w:jc w:val="center"/>
              <w:rPr>
                <w:rFonts w:ascii="宋体" w:hAnsi="宋体" w:cs="宋体"/>
                <w:color w:val="auto"/>
                <w:szCs w:val="21"/>
                <w:highlight w:val="none"/>
              </w:rPr>
            </w:pPr>
          </w:p>
        </w:tc>
        <w:tc>
          <w:tcPr>
            <w:tcW w:w="360" w:type="dxa"/>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90" w:hRule="atLeast"/>
        </w:trPr>
        <w:tc>
          <w:tcPr>
            <w:tcW w:w="650" w:type="dxa"/>
            <w:tcBorders>
              <w:left w:val="single" w:color="auto" w:sz="8" w:space="0"/>
              <w:right w:val="single" w:color="auto" w:sz="8" w:space="0"/>
            </w:tcBorders>
            <w:vAlign w:val="center"/>
          </w:tcPr>
          <w:p>
            <w:pPr>
              <w:jc w:val="center"/>
              <w:rPr>
                <w:rFonts w:ascii="宋体" w:hAnsi="宋体" w:cs="宋体"/>
                <w:color w:val="auto"/>
                <w:szCs w:val="21"/>
                <w:highlight w:val="none"/>
              </w:rPr>
            </w:pPr>
          </w:p>
        </w:tc>
        <w:tc>
          <w:tcPr>
            <w:tcW w:w="4300" w:type="dxa"/>
            <w:vMerge w:val="continue"/>
            <w:tcBorders>
              <w:right w:val="single" w:color="auto" w:sz="8" w:space="0"/>
            </w:tcBorders>
            <w:vAlign w:val="center"/>
          </w:tcPr>
          <w:p>
            <w:pPr>
              <w:jc w:val="center"/>
              <w:rPr>
                <w:rFonts w:ascii="宋体" w:hAnsi="宋体" w:cs="宋体"/>
                <w:color w:val="auto"/>
                <w:szCs w:val="21"/>
                <w:highlight w:val="none"/>
              </w:rPr>
            </w:pPr>
          </w:p>
        </w:tc>
        <w:tc>
          <w:tcPr>
            <w:tcW w:w="2690" w:type="dxa"/>
            <w:tcBorders>
              <w:right w:val="single" w:color="auto" w:sz="8" w:space="0"/>
            </w:tcBorders>
            <w:vAlign w:val="center"/>
          </w:tcPr>
          <w:p>
            <w:pPr>
              <w:jc w:val="both"/>
              <w:rPr>
                <w:rFonts w:ascii="宋体" w:hAnsi="宋体" w:cs="宋体"/>
                <w:color w:val="auto"/>
                <w:szCs w:val="21"/>
                <w:highlight w:val="none"/>
              </w:rPr>
            </w:pPr>
          </w:p>
        </w:tc>
        <w:tc>
          <w:tcPr>
            <w:tcW w:w="2280" w:type="dxa"/>
            <w:tcBorders>
              <w:right w:val="single" w:color="auto" w:sz="8" w:space="0"/>
            </w:tcBorders>
            <w:vAlign w:val="center"/>
          </w:tcPr>
          <w:p>
            <w:pPr>
              <w:jc w:val="center"/>
              <w:rPr>
                <w:rFonts w:ascii="宋体" w:hAnsi="宋体" w:cs="宋体"/>
                <w:color w:val="auto"/>
                <w:szCs w:val="21"/>
                <w:highlight w:val="none"/>
              </w:rPr>
            </w:pPr>
          </w:p>
        </w:tc>
        <w:tc>
          <w:tcPr>
            <w:tcW w:w="360" w:type="dxa"/>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90" w:hRule="atLeast"/>
        </w:trPr>
        <w:tc>
          <w:tcPr>
            <w:tcW w:w="650" w:type="dxa"/>
            <w:tcBorders>
              <w:left w:val="single" w:color="auto" w:sz="8" w:space="0"/>
              <w:bottom w:val="single" w:color="auto" w:sz="8" w:space="0"/>
              <w:right w:val="single" w:color="auto" w:sz="8" w:space="0"/>
            </w:tcBorders>
            <w:vAlign w:val="center"/>
          </w:tcPr>
          <w:p>
            <w:pPr>
              <w:jc w:val="center"/>
              <w:rPr>
                <w:rFonts w:ascii="宋体" w:hAnsi="宋体" w:cs="宋体"/>
                <w:color w:val="auto"/>
                <w:szCs w:val="21"/>
                <w:highlight w:val="none"/>
              </w:rPr>
            </w:pPr>
          </w:p>
        </w:tc>
        <w:tc>
          <w:tcPr>
            <w:tcW w:w="4300" w:type="dxa"/>
            <w:tcBorders>
              <w:bottom w:val="single" w:color="auto" w:sz="8" w:space="0"/>
              <w:right w:val="single" w:color="auto" w:sz="8" w:space="0"/>
            </w:tcBorders>
            <w:vAlign w:val="center"/>
          </w:tcPr>
          <w:p>
            <w:pPr>
              <w:jc w:val="both"/>
              <w:rPr>
                <w:rFonts w:ascii="宋体" w:hAnsi="宋体" w:cs="宋体"/>
                <w:color w:val="auto"/>
                <w:szCs w:val="21"/>
                <w:highlight w:val="none"/>
              </w:rPr>
            </w:pPr>
          </w:p>
        </w:tc>
        <w:tc>
          <w:tcPr>
            <w:tcW w:w="2690" w:type="dxa"/>
            <w:tcBorders>
              <w:bottom w:val="single" w:color="auto" w:sz="8" w:space="0"/>
              <w:right w:val="single" w:color="auto" w:sz="8" w:space="0"/>
            </w:tcBorders>
            <w:vAlign w:val="center"/>
          </w:tcPr>
          <w:p>
            <w:pPr>
              <w:jc w:val="center"/>
              <w:rPr>
                <w:rFonts w:ascii="宋体" w:hAnsi="宋体" w:cs="宋体"/>
                <w:color w:val="auto"/>
                <w:szCs w:val="21"/>
                <w:highlight w:val="none"/>
              </w:rPr>
            </w:pPr>
          </w:p>
        </w:tc>
        <w:tc>
          <w:tcPr>
            <w:tcW w:w="2280" w:type="dxa"/>
            <w:tcBorders>
              <w:bottom w:val="single" w:color="auto" w:sz="8" w:space="0"/>
              <w:right w:val="single" w:color="auto" w:sz="8" w:space="0"/>
            </w:tcBorders>
            <w:vAlign w:val="center"/>
          </w:tcPr>
          <w:p>
            <w:pPr>
              <w:jc w:val="both"/>
              <w:rPr>
                <w:rFonts w:ascii="宋体" w:hAnsi="宋体" w:cs="宋体"/>
                <w:color w:val="auto"/>
                <w:szCs w:val="21"/>
                <w:highlight w:val="none"/>
              </w:rPr>
            </w:pPr>
          </w:p>
        </w:tc>
        <w:tc>
          <w:tcPr>
            <w:tcW w:w="360" w:type="dxa"/>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231" w:hRule="atLeast"/>
        </w:trPr>
        <w:tc>
          <w:tcPr>
            <w:tcW w:w="650" w:type="dxa"/>
            <w:vMerge w:val="restart"/>
            <w:tcBorders>
              <w:left w:val="single" w:color="auto" w:sz="8" w:space="0"/>
              <w:right w:val="single" w:color="auto" w:sz="8" w:space="0"/>
            </w:tcBorders>
            <w:vAlign w:val="center"/>
          </w:tcPr>
          <w:p>
            <w:pPr>
              <w:jc w:val="center"/>
              <w:rPr>
                <w:rFonts w:ascii="宋体" w:hAnsi="宋体" w:cs="宋体"/>
                <w:color w:val="auto"/>
                <w:w w:val="85"/>
                <w:szCs w:val="21"/>
                <w:highlight w:val="none"/>
              </w:rPr>
            </w:pPr>
          </w:p>
          <w:p>
            <w:pPr>
              <w:jc w:val="center"/>
              <w:rPr>
                <w:rFonts w:ascii="宋体" w:hAnsi="宋体" w:cs="宋体"/>
                <w:color w:val="auto"/>
                <w:szCs w:val="21"/>
                <w:highlight w:val="none"/>
              </w:rPr>
            </w:pPr>
            <w:r>
              <w:rPr>
                <w:rFonts w:hint="eastAsia" w:ascii="宋体" w:hAnsi="宋体" w:cs="宋体"/>
                <w:color w:val="auto"/>
                <w:w w:val="85"/>
                <w:szCs w:val="21"/>
                <w:highlight w:val="none"/>
              </w:rPr>
              <w:t>5</w:t>
            </w:r>
          </w:p>
        </w:tc>
        <w:tc>
          <w:tcPr>
            <w:tcW w:w="4300" w:type="dxa"/>
            <w:tcBorders>
              <w:right w:val="single" w:color="auto" w:sz="8" w:space="0"/>
            </w:tcBorders>
            <w:vAlign w:val="center"/>
          </w:tcPr>
          <w:p>
            <w:pPr>
              <w:ind w:left="100"/>
              <w:jc w:val="center"/>
              <w:rPr>
                <w:rFonts w:ascii="宋体" w:hAnsi="宋体" w:cs="宋体"/>
                <w:color w:val="auto"/>
                <w:szCs w:val="21"/>
                <w:highlight w:val="none"/>
              </w:rPr>
            </w:pPr>
          </w:p>
          <w:p>
            <w:pPr>
              <w:ind w:left="100"/>
              <w:jc w:val="center"/>
              <w:rPr>
                <w:rFonts w:ascii="宋体" w:hAnsi="宋体" w:cs="宋体"/>
                <w:color w:val="auto"/>
                <w:szCs w:val="21"/>
                <w:highlight w:val="none"/>
              </w:rPr>
            </w:pPr>
            <w:r>
              <w:rPr>
                <w:rFonts w:hint="eastAsia" w:ascii="宋体" w:hAnsi="宋体" w:cs="宋体"/>
                <w:color w:val="auto"/>
                <w:szCs w:val="21"/>
                <w:highlight w:val="none"/>
              </w:rPr>
              <w:t>参加采购活动前三年内，在经营活动中没有重大违法</w:t>
            </w:r>
          </w:p>
        </w:tc>
        <w:tc>
          <w:tcPr>
            <w:tcW w:w="2690" w:type="dxa"/>
            <w:tcBorders>
              <w:right w:val="single" w:color="auto" w:sz="8" w:space="0"/>
            </w:tcBorders>
            <w:vAlign w:val="center"/>
          </w:tcPr>
          <w:p>
            <w:pPr>
              <w:jc w:val="center"/>
              <w:rPr>
                <w:rFonts w:ascii="宋体" w:hAnsi="宋体" w:cs="宋体"/>
                <w:color w:val="auto"/>
                <w:szCs w:val="21"/>
                <w:highlight w:val="none"/>
              </w:rPr>
            </w:pPr>
          </w:p>
        </w:tc>
        <w:tc>
          <w:tcPr>
            <w:tcW w:w="2280" w:type="dxa"/>
            <w:vMerge w:val="restart"/>
            <w:tcBorders>
              <w:right w:val="single" w:color="auto" w:sz="8" w:space="0"/>
            </w:tcBorders>
            <w:vAlign w:val="center"/>
          </w:tcPr>
          <w:p>
            <w:pPr>
              <w:jc w:val="center"/>
              <w:rPr>
                <w:rFonts w:ascii="宋体" w:hAnsi="宋体" w:cs="宋体"/>
                <w:color w:val="auto"/>
                <w:w w:val="99"/>
                <w:szCs w:val="21"/>
                <w:highlight w:val="none"/>
              </w:rPr>
            </w:pPr>
          </w:p>
          <w:p>
            <w:pPr>
              <w:jc w:val="center"/>
              <w:rPr>
                <w:rFonts w:ascii="宋体" w:hAnsi="宋体" w:cs="宋体"/>
                <w:color w:val="auto"/>
                <w:szCs w:val="21"/>
                <w:highlight w:val="none"/>
              </w:rPr>
            </w:pPr>
            <w:r>
              <w:rPr>
                <w:rFonts w:hint="eastAsia" w:ascii="宋体" w:hAnsi="宋体" w:cs="宋体"/>
                <w:color w:val="auto"/>
                <w:w w:val="99"/>
                <w:szCs w:val="21"/>
                <w:highlight w:val="none"/>
              </w:rPr>
              <w:t>内容见承诺书</w:t>
            </w:r>
          </w:p>
        </w:tc>
        <w:tc>
          <w:tcPr>
            <w:tcW w:w="360" w:type="dxa"/>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148" w:hRule="atLeast"/>
        </w:trPr>
        <w:tc>
          <w:tcPr>
            <w:tcW w:w="650" w:type="dxa"/>
            <w:vMerge w:val="continue"/>
            <w:tcBorders>
              <w:left w:val="single" w:color="auto" w:sz="8" w:space="0"/>
              <w:right w:val="single" w:color="auto" w:sz="8" w:space="0"/>
            </w:tcBorders>
            <w:vAlign w:val="center"/>
          </w:tcPr>
          <w:p>
            <w:pPr>
              <w:jc w:val="center"/>
              <w:rPr>
                <w:rFonts w:ascii="宋体" w:hAnsi="宋体" w:cs="宋体"/>
                <w:color w:val="auto"/>
                <w:szCs w:val="21"/>
                <w:highlight w:val="none"/>
              </w:rPr>
            </w:pPr>
          </w:p>
        </w:tc>
        <w:tc>
          <w:tcPr>
            <w:tcW w:w="4300" w:type="dxa"/>
            <w:vMerge w:val="restart"/>
            <w:tcBorders>
              <w:right w:val="single" w:color="auto" w:sz="8" w:space="0"/>
            </w:tcBorders>
            <w:vAlign w:val="center"/>
          </w:tcPr>
          <w:p>
            <w:pPr>
              <w:ind w:left="100"/>
              <w:jc w:val="center"/>
              <w:rPr>
                <w:rFonts w:ascii="宋体" w:hAnsi="宋体" w:cs="宋体"/>
                <w:color w:val="auto"/>
                <w:szCs w:val="21"/>
                <w:highlight w:val="none"/>
              </w:rPr>
            </w:pPr>
            <w:r>
              <w:rPr>
                <w:rFonts w:hint="eastAsia" w:ascii="宋体" w:hAnsi="宋体" w:cs="宋体"/>
                <w:color w:val="auto"/>
                <w:szCs w:val="21"/>
                <w:highlight w:val="none"/>
              </w:rPr>
              <w:t>记录</w:t>
            </w:r>
          </w:p>
        </w:tc>
        <w:tc>
          <w:tcPr>
            <w:tcW w:w="2690" w:type="dxa"/>
            <w:tcBorders>
              <w:right w:val="single" w:color="auto" w:sz="8" w:space="0"/>
            </w:tcBorders>
            <w:vAlign w:val="center"/>
          </w:tcPr>
          <w:p>
            <w:pPr>
              <w:jc w:val="center"/>
              <w:rPr>
                <w:rFonts w:ascii="宋体" w:hAnsi="宋体" w:cs="宋体"/>
                <w:color w:val="auto"/>
                <w:szCs w:val="21"/>
                <w:highlight w:val="none"/>
              </w:rPr>
            </w:pPr>
          </w:p>
        </w:tc>
        <w:tc>
          <w:tcPr>
            <w:tcW w:w="2280" w:type="dxa"/>
            <w:vMerge w:val="continue"/>
            <w:tcBorders>
              <w:right w:val="single" w:color="auto" w:sz="8" w:space="0"/>
            </w:tcBorders>
            <w:vAlign w:val="center"/>
          </w:tcPr>
          <w:p>
            <w:pPr>
              <w:jc w:val="center"/>
              <w:rPr>
                <w:rFonts w:ascii="宋体" w:hAnsi="宋体" w:cs="宋体"/>
                <w:color w:val="auto"/>
                <w:szCs w:val="21"/>
                <w:highlight w:val="none"/>
              </w:rPr>
            </w:pPr>
          </w:p>
        </w:tc>
        <w:tc>
          <w:tcPr>
            <w:tcW w:w="360" w:type="dxa"/>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123" w:hRule="atLeast"/>
        </w:trPr>
        <w:tc>
          <w:tcPr>
            <w:tcW w:w="650" w:type="dxa"/>
            <w:tcBorders>
              <w:left w:val="single" w:color="auto" w:sz="8" w:space="0"/>
              <w:right w:val="single" w:color="auto" w:sz="8" w:space="0"/>
            </w:tcBorders>
            <w:vAlign w:val="center"/>
          </w:tcPr>
          <w:p>
            <w:pPr>
              <w:jc w:val="center"/>
              <w:rPr>
                <w:rFonts w:ascii="宋体" w:hAnsi="宋体" w:cs="宋体"/>
                <w:color w:val="auto"/>
                <w:szCs w:val="21"/>
                <w:highlight w:val="none"/>
              </w:rPr>
            </w:pPr>
          </w:p>
        </w:tc>
        <w:tc>
          <w:tcPr>
            <w:tcW w:w="4300" w:type="dxa"/>
            <w:vMerge w:val="continue"/>
            <w:tcBorders>
              <w:right w:val="single" w:color="auto" w:sz="8" w:space="0"/>
            </w:tcBorders>
            <w:vAlign w:val="center"/>
          </w:tcPr>
          <w:p>
            <w:pPr>
              <w:jc w:val="center"/>
              <w:rPr>
                <w:rFonts w:ascii="宋体" w:hAnsi="宋体" w:cs="宋体"/>
                <w:color w:val="auto"/>
                <w:szCs w:val="21"/>
                <w:highlight w:val="none"/>
              </w:rPr>
            </w:pPr>
          </w:p>
        </w:tc>
        <w:tc>
          <w:tcPr>
            <w:tcW w:w="2690" w:type="dxa"/>
            <w:tcBorders>
              <w:right w:val="single" w:color="auto" w:sz="8" w:space="0"/>
            </w:tcBorders>
            <w:vAlign w:val="center"/>
          </w:tcPr>
          <w:p>
            <w:pPr>
              <w:jc w:val="center"/>
              <w:rPr>
                <w:rFonts w:ascii="宋体" w:hAnsi="宋体" w:cs="宋体"/>
                <w:color w:val="auto"/>
                <w:szCs w:val="21"/>
                <w:highlight w:val="none"/>
              </w:rPr>
            </w:pPr>
          </w:p>
        </w:tc>
        <w:tc>
          <w:tcPr>
            <w:tcW w:w="2280" w:type="dxa"/>
            <w:tcBorders>
              <w:right w:val="single" w:color="auto" w:sz="8" w:space="0"/>
            </w:tcBorders>
            <w:vAlign w:val="center"/>
          </w:tcPr>
          <w:p>
            <w:pPr>
              <w:jc w:val="center"/>
              <w:rPr>
                <w:rFonts w:ascii="宋体" w:hAnsi="宋体" w:cs="宋体"/>
                <w:color w:val="auto"/>
                <w:szCs w:val="21"/>
                <w:highlight w:val="none"/>
              </w:rPr>
            </w:pPr>
          </w:p>
        </w:tc>
        <w:tc>
          <w:tcPr>
            <w:tcW w:w="360" w:type="dxa"/>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34" w:hRule="atLeast"/>
        </w:trPr>
        <w:tc>
          <w:tcPr>
            <w:tcW w:w="650" w:type="dxa"/>
            <w:tcBorders>
              <w:left w:val="single" w:color="auto" w:sz="8" w:space="0"/>
              <w:bottom w:val="single" w:color="auto" w:sz="8" w:space="0"/>
              <w:right w:val="single" w:color="auto" w:sz="8" w:space="0"/>
            </w:tcBorders>
            <w:vAlign w:val="center"/>
          </w:tcPr>
          <w:p>
            <w:pPr>
              <w:jc w:val="center"/>
              <w:rPr>
                <w:rFonts w:ascii="宋体" w:hAnsi="宋体" w:cs="宋体"/>
                <w:color w:val="auto"/>
                <w:szCs w:val="21"/>
                <w:highlight w:val="none"/>
              </w:rPr>
            </w:pPr>
          </w:p>
        </w:tc>
        <w:tc>
          <w:tcPr>
            <w:tcW w:w="4300" w:type="dxa"/>
            <w:tcBorders>
              <w:bottom w:val="single" w:color="auto" w:sz="8" w:space="0"/>
              <w:right w:val="single" w:color="auto" w:sz="8" w:space="0"/>
            </w:tcBorders>
            <w:vAlign w:val="center"/>
          </w:tcPr>
          <w:p>
            <w:pPr>
              <w:jc w:val="center"/>
              <w:rPr>
                <w:rFonts w:ascii="宋体" w:hAnsi="宋体" w:cs="宋体"/>
                <w:color w:val="auto"/>
                <w:szCs w:val="21"/>
                <w:highlight w:val="none"/>
              </w:rPr>
            </w:pPr>
          </w:p>
        </w:tc>
        <w:tc>
          <w:tcPr>
            <w:tcW w:w="2690" w:type="dxa"/>
            <w:tcBorders>
              <w:bottom w:val="single" w:color="auto" w:sz="8" w:space="0"/>
              <w:right w:val="single" w:color="auto" w:sz="8" w:space="0"/>
            </w:tcBorders>
            <w:vAlign w:val="center"/>
          </w:tcPr>
          <w:p>
            <w:pPr>
              <w:jc w:val="center"/>
              <w:rPr>
                <w:rFonts w:ascii="宋体" w:hAnsi="宋体" w:cs="宋体"/>
                <w:color w:val="auto"/>
                <w:szCs w:val="21"/>
                <w:highlight w:val="none"/>
              </w:rPr>
            </w:pPr>
          </w:p>
        </w:tc>
        <w:tc>
          <w:tcPr>
            <w:tcW w:w="2280" w:type="dxa"/>
            <w:tcBorders>
              <w:bottom w:val="single" w:color="auto" w:sz="8" w:space="0"/>
              <w:right w:val="single" w:color="auto" w:sz="8" w:space="0"/>
            </w:tcBorders>
            <w:vAlign w:val="center"/>
          </w:tcPr>
          <w:p>
            <w:pPr>
              <w:jc w:val="center"/>
              <w:rPr>
                <w:rFonts w:ascii="宋体" w:hAnsi="宋体" w:cs="宋体"/>
                <w:color w:val="auto"/>
                <w:szCs w:val="21"/>
                <w:highlight w:val="none"/>
              </w:rPr>
            </w:pPr>
          </w:p>
        </w:tc>
        <w:tc>
          <w:tcPr>
            <w:tcW w:w="360" w:type="dxa"/>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229" w:hRule="atLeast"/>
        </w:trPr>
        <w:tc>
          <w:tcPr>
            <w:tcW w:w="650" w:type="dxa"/>
            <w:tcBorders>
              <w:left w:val="single" w:color="auto" w:sz="8" w:space="0"/>
              <w:right w:val="single" w:color="auto" w:sz="8" w:space="0"/>
            </w:tcBorders>
            <w:vAlign w:val="center"/>
          </w:tcPr>
          <w:p>
            <w:pPr>
              <w:jc w:val="center"/>
              <w:rPr>
                <w:rFonts w:ascii="宋体" w:hAnsi="宋体" w:cs="宋体"/>
                <w:color w:val="auto"/>
                <w:szCs w:val="21"/>
                <w:highlight w:val="none"/>
              </w:rPr>
            </w:pPr>
          </w:p>
        </w:tc>
        <w:tc>
          <w:tcPr>
            <w:tcW w:w="4300" w:type="dxa"/>
            <w:tcBorders>
              <w:right w:val="single" w:color="auto" w:sz="8" w:space="0"/>
            </w:tcBorders>
            <w:vAlign w:val="center"/>
          </w:tcPr>
          <w:p>
            <w:pPr>
              <w:ind w:left="100"/>
              <w:jc w:val="center"/>
              <w:rPr>
                <w:rFonts w:ascii="宋体" w:hAnsi="宋体" w:cs="宋体"/>
                <w:color w:val="auto"/>
                <w:szCs w:val="21"/>
                <w:highlight w:val="none"/>
              </w:rPr>
            </w:pPr>
            <w:r>
              <w:rPr>
                <w:rFonts w:hint="eastAsia" w:ascii="宋体" w:hAnsi="宋体" w:cs="宋体"/>
                <w:color w:val="auto"/>
                <w:szCs w:val="21"/>
                <w:highlight w:val="none"/>
              </w:rPr>
              <w:t>供应商未被列入失信被执行人名单、重大税收违法案</w:t>
            </w:r>
          </w:p>
        </w:tc>
        <w:tc>
          <w:tcPr>
            <w:tcW w:w="2690" w:type="dxa"/>
            <w:tcBorders>
              <w:right w:val="single" w:color="auto" w:sz="8" w:space="0"/>
            </w:tcBorders>
            <w:vAlign w:val="center"/>
          </w:tcPr>
          <w:p>
            <w:pPr>
              <w:jc w:val="center"/>
              <w:rPr>
                <w:rFonts w:ascii="宋体" w:hAnsi="宋体" w:cs="宋体"/>
                <w:color w:val="auto"/>
                <w:szCs w:val="21"/>
                <w:highlight w:val="none"/>
              </w:rPr>
            </w:pPr>
          </w:p>
        </w:tc>
        <w:tc>
          <w:tcPr>
            <w:tcW w:w="2280" w:type="dxa"/>
            <w:tcBorders>
              <w:right w:val="single" w:color="auto" w:sz="8" w:space="0"/>
            </w:tcBorders>
            <w:vAlign w:val="center"/>
          </w:tcPr>
          <w:p>
            <w:pPr>
              <w:jc w:val="center"/>
              <w:rPr>
                <w:rFonts w:ascii="宋体" w:hAnsi="宋体" w:cs="宋体"/>
                <w:color w:val="auto"/>
                <w:szCs w:val="21"/>
                <w:highlight w:val="none"/>
              </w:rPr>
            </w:pPr>
          </w:p>
        </w:tc>
        <w:tc>
          <w:tcPr>
            <w:tcW w:w="360" w:type="dxa"/>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271" w:hRule="atLeast"/>
        </w:trPr>
        <w:tc>
          <w:tcPr>
            <w:tcW w:w="650" w:type="dxa"/>
            <w:vMerge w:val="restart"/>
            <w:tcBorders>
              <w:left w:val="single" w:color="auto" w:sz="8" w:space="0"/>
              <w:right w:val="single" w:color="auto" w:sz="8" w:space="0"/>
            </w:tcBorders>
            <w:vAlign w:val="center"/>
          </w:tcPr>
          <w:p>
            <w:pPr>
              <w:jc w:val="center"/>
              <w:rPr>
                <w:rFonts w:ascii="宋体" w:hAnsi="宋体" w:cs="宋体"/>
                <w:color w:val="auto"/>
                <w:w w:val="85"/>
                <w:szCs w:val="21"/>
                <w:highlight w:val="none"/>
              </w:rPr>
            </w:pPr>
          </w:p>
          <w:p>
            <w:pPr>
              <w:jc w:val="center"/>
              <w:rPr>
                <w:rFonts w:ascii="宋体" w:hAnsi="宋体" w:cs="宋体"/>
                <w:color w:val="auto"/>
                <w:szCs w:val="21"/>
                <w:highlight w:val="none"/>
              </w:rPr>
            </w:pPr>
            <w:r>
              <w:rPr>
                <w:rFonts w:hint="eastAsia" w:ascii="宋体" w:hAnsi="宋体" w:cs="宋体"/>
                <w:color w:val="auto"/>
                <w:w w:val="85"/>
                <w:szCs w:val="21"/>
                <w:highlight w:val="none"/>
              </w:rPr>
              <w:t>6</w:t>
            </w:r>
          </w:p>
        </w:tc>
        <w:tc>
          <w:tcPr>
            <w:tcW w:w="4300" w:type="dxa"/>
            <w:tcBorders>
              <w:right w:val="single" w:color="auto" w:sz="8" w:space="0"/>
            </w:tcBorders>
            <w:vAlign w:val="center"/>
          </w:tcPr>
          <w:p>
            <w:pPr>
              <w:ind w:left="100"/>
              <w:jc w:val="center"/>
              <w:rPr>
                <w:rFonts w:ascii="宋体" w:hAnsi="宋体" w:cs="宋体"/>
                <w:color w:val="auto"/>
                <w:szCs w:val="21"/>
                <w:highlight w:val="none"/>
              </w:rPr>
            </w:pPr>
            <w:r>
              <w:rPr>
                <w:rFonts w:hint="eastAsia" w:ascii="宋体" w:hAnsi="宋体" w:cs="宋体"/>
                <w:color w:val="auto"/>
                <w:w w:val="97"/>
                <w:szCs w:val="21"/>
                <w:highlight w:val="none"/>
              </w:rPr>
              <w:t>件当事人名单、政府采购严重违法失信行为记录名单，</w:t>
            </w:r>
          </w:p>
        </w:tc>
        <w:tc>
          <w:tcPr>
            <w:tcW w:w="2690" w:type="dxa"/>
            <w:tcBorders>
              <w:right w:val="single" w:color="auto" w:sz="8" w:space="0"/>
            </w:tcBorders>
            <w:vAlign w:val="center"/>
          </w:tcPr>
          <w:p>
            <w:pPr>
              <w:jc w:val="center"/>
              <w:rPr>
                <w:rFonts w:ascii="宋体" w:hAnsi="宋体" w:cs="宋体"/>
                <w:color w:val="auto"/>
                <w:szCs w:val="21"/>
                <w:highlight w:val="none"/>
              </w:rPr>
            </w:pPr>
          </w:p>
        </w:tc>
        <w:tc>
          <w:tcPr>
            <w:tcW w:w="2280" w:type="dxa"/>
            <w:tcBorders>
              <w:right w:val="single" w:color="auto" w:sz="8"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以采购代理机构开标</w:t>
            </w:r>
          </w:p>
        </w:tc>
        <w:tc>
          <w:tcPr>
            <w:tcW w:w="360" w:type="dxa"/>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148" w:hRule="atLeast"/>
        </w:trPr>
        <w:tc>
          <w:tcPr>
            <w:tcW w:w="650" w:type="dxa"/>
            <w:vMerge w:val="continue"/>
            <w:tcBorders>
              <w:left w:val="single" w:color="auto" w:sz="8" w:space="0"/>
              <w:right w:val="single" w:color="auto" w:sz="8" w:space="0"/>
            </w:tcBorders>
            <w:vAlign w:val="center"/>
          </w:tcPr>
          <w:p>
            <w:pPr>
              <w:jc w:val="center"/>
              <w:rPr>
                <w:rFonts w:ascii="宋体" w:hAnsi="宋体" w:cs="宋体"/>
                <w:color w:val="auto"/>
                <w:szCs w:val="21"/>
                <w:highlight w:val="none"/>
              </w:rPr>
            </w:pPr>
          </w:p>
        </w:tc>
        <w:tc>
          <w:tcPr>
            <w:tcW w:w="4300" w:type="dxa"/>
            <w:vMerge w:val="restart"/>
            <w:tcBorders>
              <w:right w:val="single" w:color="auto" w:sz="8" w:space="0"/>
            </w:tcBorders>
            <w:vAlign w:val="center"/>
          </w:tcPr>
          <w:p>
            <w:pPr>
              <w:ind w:left="100"/>
              <w:jc w:val="center"/>
              <w:rPr>
                <w:rFonts w:ascii="宋体" w:hAnsi="宋体" w:cs="宋体"/>
                <w:color w:val="auto"/>
                <w:szCs w:val="21"/>
                <w:highlight w:val="none"/>
              </w:rPr>
            </w:pPr>
            <w:r>
              <w:rPr>
                <w:rFonts w:hint="eastAsia" w:ascii="宋体" w:hAnsi="宋体" w:cs="宋体"/>
                <w:color w:val="auto"/>
                <w:w w:val="95"/>
                <w:szCs w:val="21"/>
                <w:highlight w:val="none"/>
              </w:rPr>
              <w:t>信用信息以信用中国网站（www.creditchina.gov.cn）、</w:t>
            </w:r>
          </w:p>
        </w:tc>
        <w:tc>
          <w:tcPr>
            <w:tcW w:w="2690" w:type="dxa"/>
            <w:tcBorders>
              <w:right w:val="single" w:color="auto" w:sz="8" w:space="0"/>
            </w:tcBorders>
            <w:vAlign w:val="center"/>
          </w:tcPr>
          <w:p>
            <w:pPr>
              <w:jc w:val="center"/>
              <w:rPr>
                <w:rFonts w:ascii="宋体" w:hAnsi="宋体" w:cs="宋体"/>
                <w:color w:val="auto"/>
                <w:szCs w:val="21"/>
                <w:highlight w:val="none"/>
              </w:rPr>
            </w:pPr>
          </w:p>
        </w:tc>
        <w:tc>
          <w:tcPr>
            <w:tcW w:w="2280" w:type="dxa"/>
            <w:vMerge w:val="restart"/>
            <w:tcBorders>
              <w:right w:val="single" w:color="auto" w:sz="8" w:space="0"/>
            </w:tcBorders>
            <w:vAlign w:val="center"/>
          </w:tcPr>
          <w:p>
            <w:pPr>
              <w:jc w:val="center"/>
              <w:rPr>
                <w:rFonts w:ascii="宋体" w:hAnsi="宋体" w:cs="宋体"/>
                <w:color w:val="auto"/>
                <w:szCs w:val="21"/>
                <w:highlight w:val="none"/>
              </w:rPr>
            </w:pPr>
            <w:r>
              <w:rPr>
                <w:rFonts w:hint="eastAsia" w:ascii="宋体" w:hAnsi="宋体" w:cs="宋体"/>
                <w:color w:val="auto"/>
                <w:w w:val="99"/>
                <w:szCs w:val="21"/>
                <w:highlight w:val="none"/>
              </w:rPr>
              <w:t>前网页查询为准</w:t>
            </w:r>
          </w:p>
        </w:tc>
        <w:tc>
          <w:tcPr>
            <w:tcW w:w="360" w:type="dxa"/>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142" w:hRule="atLeast"/>
        </w:trPr>
        <w:tc>
          <w:tcPr>
            <w:tcW w:w="650" w:type="dxa"/>
            <w:tcBorders>
              <w:left w:val="single" w:color="auto" w:sz="8" w:space="0"/>
              <w:right w:val="single" w:color="auto" w:sz="8" w:space="0"/>
            </w:tcBorders>
            <w:vAlign w:val="center"/>
          </w:tcPr>
          <w:p>
            <w:pPr>
              <w:jc w:val="center"/>
              <w:rPr>
                <w:rFonts w:ascii="宋体" w:hAnsi="宋体" w:cs="宋体"/>
                <w:color w:val="auto"/>
                <w:szCs w:val="21"/>
                <w:highlight w:val="none"/>
              </w:rPr>
            </w:pPr>
          </w:p>
        </w:tc>
        <w:tc>
          <w:tcPr>
            <w:tcW w:w="4300" w:type="dxa"/>
            <w:vMerge w:val="continue"/>
            <w:tcBorders>
              <w:right w:val="single" w:color="auto" w:sz="8" w:space="0"/>
            </w:tcBorders>
            <w:vAlign w:val="center"/>
          </w:tcPr>
          <w:p>
            <w:pPr>
              <w:jc w:val="center"/>
              <w:rPr>
                <w:rFonts w:ascii="宋体" w:hAnsi="宋体" w:cs="宋体"/>
                <w:color w:val="auto"/>
                <w:szCs w:val="21"/>
                <w:highlight w:val="none"/>
              </w:rPr>
            </w:pPr>
          </w:p>
        </w:tc>
        <w:tc>
          <w:tcPr>
            <w:tcW w:w="2690" w:type="dxa"/>
            <w:tcBorders>
              <w:right w:val="single" w:color="auto" w:sz="8" w:space="0"/>
            </w:tcBorders>
            <w:vAlign w:val="center"/>
          </w:tcPr>
          <w:p>
            <w:pPr>
              <w:jc w:val="center"/>
              <w:rPr>
                <w:rFonts w:ascii="宋体" w:hAnsi="宋体" w:cs="宋体"/>
                <w:color w:val="auto"/>
                <w:szCs w:val="21"/>
                <w:highlight w:val="none"/>
              </w:rPr>
            </w:pPr>
          </w:p>
        </w:tc>
        <w:tc>
          <w:tcPr>
            <w:tcW w:w="2280" w:type="dxa"/>
            <w:vMerge w:val="continue"/>
            <w:tcBorders>
              <w:right w:val="single" w:color="auto" w:sz="8" w:space="0"/>
            </w:tcBorders>
            <w:vAlign w:val="center"/>
          </w:tcPr>
          <w:p>
            <w:pPr>
              <w:jc w:val="center"/>
              <w:rPr>
                <w:rFonts w:ascii="宋体" w:hAnsi="宋体" w:cs="宋体"/>
                <w:color w:val="auto"/>
                <w:szCs w:val="21"/>
                <w:highlight w:val="none"/>
              </w:rPr>
            </w:pPr>
          </w:p>
        </w:tc>
        <w:tc>
          <w:tcPr>
            <w:tcW w:w="360" w:type="dxa"/>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280" w:hRule="atLeast"/>
        </w:trPr>
        <w:tc>
          <w:tcPr>
            <w:tcW w:w="650" w:type="dxa"/>
            <w:tcBorders>
              <w:left w:val="single" w:color="auto" w:sz="8" w:space="0"/>
              <w:bottom w:val="single" w:color="auto" w:sz="8" w:space="0"/>
              <w:right w:val="single" w:color="auto" w:sz="8" w:space="0"/>
            </w:tcBorders>
            <w:vAlign w:val="center"/>
          </w:tcPr>
          <w:p>
            <w:pPr>
              <w:jc w:val="center"/>
              <w:rPr>
                <w:rFonts w:ascii="宋体" w:hAnsi="宋体" w:cs="宋体"/>
                <w:color w:val="auto"/>
                <w:szCs w:val="21"/>
                <w:highlight w:val="none"/>
              </w:rPr>
            </w:pPr>
          </w:p>
        </w:tc>
        <w:tc>
          <w:tcPr>
            <w:tcW w:w="4300" w:type="dxa"/>
            <w:tcBorders>
              <w:bottom w:val="single" w:color="auto" w:sz="8" w:space="0"/>
              <w:right w:val="single" w:color="auto" w:sz="8" w:space="0"/>
            </w:tcBorders>
            <w:vAlign w:val="center"/>
          </w:tcPr>
          <w:p>
            <w:pPr>
              <w:ind w:left="100"/>
              <w:jc w:val="center"/>
              <w:rPr>
                <w:rFonts w:ascii="宋体" w:hAnsi="宋体" w:cs="宋体"/>
                <w:color w:val="auto"/>
                <w:szCs w:val="21"/>
                <w:highlight w:val="none"/>
              </w:rPr>
            </w:pPr>
            <w:r>
              <w:rPr>
                <w:rFonts w:hint="eastAsia" w:ascii="宋体" w:hAnsi="宋体" w:cs="宋体"/>
                <w:color w:val="auto"/>
                <w:szCs w:val="21"/>
                <w:highlight w:val="none"/>
              </w:rPr>
              <w:t>中国政府采购网（www.ccgp.gov.cn）公布为准；</w:t>
            </w:r>
          </w:p>
        </w:tc>
        <w:tc>
          <w:tcPr>
            <w:tcW w:w="2690" w:type="dxa"/>
            <w:tcBorders>
              <w:bottom w:val="single" w:color="auto" w:sz="8" w:space="0"/>
              <w:right w:val="single" w:color="auto" w:sz="8" w:space="0"/>
            </w:tcBorders>
            <w:vAlign w:val="center"/>
          </w:tcPr>
          <w:p>
            <w:pPr>
              <w:jc w:val="center"/>
              <w:rPr>
                <w:rFonts w:ascii="宋体" w:hAnsi="宋体" w:cs="宋体"/>
                <w:color w:val="auto"/>
                <w:szCs w:val="21"/>
                <w:highlight w:val="none"/>
              </w:rPr>
            </w:pPr>
          </w:p>
        </w:tc>
        <w:tc>
          <w:tcPr>
            <w:tcW w:w="2280" w:type="dxa"/>
            <w:tcBorders>
              <w:bottom w:val="single" w:color="auto" w:sz="8" w:space="0"/>
              <w:right w:val="single" w:color="auto" w:sz="8" w:space="0"/>
            </w:tcBorders>
            <w:vAlign w:val="center"/>
          </w:tcPr>
          <w:p>
            <w:pPr>
              <w:jc w:val="center"/>
              <w:rPr>
                <w:rFonts w:ascii="宋体" w:hAnsi="宋体" w:cs="宋体"/>
                <w:color w:val="auto"/>
                <w:szCs w:val="21"/>
                <w:highlight w:val="none"/>
              </w:rPr>
            </w:pPr>
          </w:p>
        </w:tc>
        <w:tc>
          <w:tcPr>
            <w:tcW w:w="360" w:type="dxa"/>
            <w:vAlign w:val="center"/>
          </w:tcPr>
          <w:p>
            <w:pPr>
              <w:jc w:val="center"/>
              <w:rPr>
                <w:rFonts w:ascii="宋体" w:hAnsi="宋体" w:cs="宋体"/>
                <w:color w:val="auto"/>
                <w:szCs w:val="21"/>
                <w:highlight w:val="none"/>
              </w:rPr>
            </w:pPr>
          </w:p>
        </w:tc>
      </w:tr>
    </w:tbl>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3" w:lineRule="exact"/>
        <w:rPr>
          <w:rFonts w:ascii="宋体" w:hAnsi="宋体" w:cs="宋体"/>
          <w:color w:val="auto"/>
          <w:sz w:val="20"/>
          <w:szCs w:val="20"/>
          <w:highlight w:val="none"/>
        </w:rPr>
      </w:pPr>
    </w:p>
    <w:p>
      <w:pPr>
        <w:spacing w:line="255" w:lineRule="exact"/>
        <w:ind w:left="1320"/>
        <w:rPr>
          <w:rFonts w:ascii="宋体" w:hAnsi="宋体" w:cs="宋体"/>
          <w:color w:val="auto"/>
          <w:sz w:val="20"/>
          <w:szCs w:val="20"/>
          <w:highlight w:val="none"/>
        </w:rPr>
      </w:pPr>
      <w:r>
        <w:rPr>
          <w:rFonts w:hint="eastAsia" w:ascii="宋体" w:hAnsi="宋体" w:cs="宋体"/>
          <w:b/>
          <w:bCs/>
          <w:color w:val="auto"/>
          <w:szCs w:val="21"/>
          <w:highlight w:val="none"/>
        </w:rPr>
        <w:t>注：1、证明材料复印件需齐全，不得缺页，否则证明无效，加盖公章。</w:t>
      </w:r>
    </w:p>
    <w:p>
      <w:pPr>
        <w:spacing w:line="156" w:lineRule="exact"/>
        <w:rPr>
          <w:rFonts w:ascii="宋体" w:hAnsi="宋体" w:cs="宋体"/>
          <w:color w:val="auto"/>
          <w:sz w:val="20"/>
          <w:szCs w:val="20"/>
          <w:highlight w:val="none"/>
        </w:rPr>
      </w:pPr>
    </w:p>
    <w:p>
      <w:pPr>
        <w:spacing w:line="255" w:lineRule="exact"/>
        <w:ind w:left="1320"/>
        <w:rPr>
          <w:rFonts w:ascii="宋体" w:hAnsi="宋体" w:cs="宋体"/>
          <w:color w:val="auto"/>
          <w:sz w:val="20"/>
          <w:szCs w:val="20"/>
          <w:highlight w:val="none"/>
        </w:rPr>
      </w:pPr>
      <w:r>
        <w:rPr>
          <w:rFonts w:hint="eastAsia" w:ascii="宋体" w:hAnsi="宋体" w:cs="宋体"/>
          <w:b/>
          <w:bCs/>
          <w:color w:val="auto"/>
          <w:szCs w:val="21"/>
          <w:highlight w:val="none"/>
        </w:rPr>
        <w:t>2、证明材料因具备充分性，与要求相对应，否则由此产生的责任和风险磋商响应供应商承担。</w:t>
      </w:r>
    </w:p>
    <w:p>
      <w:pPr>
        <w:spacing w:line="200" w:lineRule="exact"/>
        <w:rPr>
          <w:rFonts w:ascii="宋体" w:hAnsi="宋体" w:cs="宋体"/>
          <w:color w:val="auto"/>
          <w:sz w:val="20"/>
          <w:szCs w:val="20"/>
          <w:highlight w:val="none"/>
        </w:rPr>
      </w:pPr>
    </w:p>
    <w:p>
      <w:pPr>
        <w:spacing w:line="315" w:lineRule="exact"/>
        <w:rPr>
          <w:rFonts w:ascii="宋体" w:hAnsi="宋体" w:cs="宋体"/>
          <w:color w:val="auto"/>
          <w:sz w:val="20"/>
          <w:szCs w:val="20"/>
          <w:highlight w:val="none"/>
        </w:rPr>
      </w:pPr>
    </w:p>
    <w:p>
      <w:pPr>
        <w:spacing w:line="240" w:lineRule="exact"/>
        <w:ind w:left="900"/>
        <w:rPr>
          <w:rFonts w:ascii="宋体" w:hAnsi="宋体" w:cs="宋体"/>
          <w:color w:val="auto"/>
          <w:sz w:val="20"/>
          <w:szCs w:val="20"/>
          <w:highlight w:val="none"/>
        </w:rPr>
      </w:pPr>
      <w:r>
        <w:rPr>
          <w:rFonts w:hint="eastAsia" w:ascii="宋体" w:hAnsi="宋体" w:cs="宋体"/>
          <w:color w:val="auto"/>
          <w:szCs w:val="21"/>
          <w:highlight w:val="none"/>
        </w:rPr>
        <w:t>供应商全称（盖单位公章）：</w:t>
      </w:r>
    </w:p>
    <w:p>
      <w:pPr>
        <w:spacing w:line="168" w:lineRule="exact"/>
        <w:rPr>
          <w:rFonts w:ascii="宋体" w:hAnsi="宋体" w:cs="宋体"/>
          <w:color w:val="auto"/>
          <w:sz w:val="20"/>
          <w:szCs w:val="20"/>
          <w:highlight w:val="none"/>
        </w:rPr>
      </w:pPr>
    </w:p>
    <w:p>
      <w:pPr>
        <w:spacing w:line="240" w:lineRule="exact"/>
        <w:ind w:left="900"/>
        <w:rPr>
          <w:rFonts w:ascii="宋体" w:hAnsi="宋体" w:cs="宋体"/>
          <w:color w:val="auto"/>
          <w:sz w:val="20"/>
          <w:szCs w:val="20"/>
          <w:highlight w:val="none"/>
        </w:rPr>
      </w:pPr>
      <w:r>
        <w:rPr>
          <w:rFonts w:hint="eastAsia" w:ascii="宋体" w:hAnsi="宋体" w:cs="宋体"/>
          <w:color w:val="auto"/>
          <w:szCs w:val="21"/>
          <w:highlight w:val="none"/>
        </w:rPr>
        <w:t>响应文件签署人（签字或盖章）：</w:t>
      </w:r>
    </w:p>
    <w:p>
      <w:pPr>
        <w:spacing w:line="168" w:lineRule="exact"/>
        <w:rPr>
          <w:rFonts w:ascii="宋体" w:hAnsi="宋体" w:cs="宋体"/>
          <w:color w:val="auto"/>
          <w:sz w:val="20"/>
          <w:szCs w:val="20"/>
          <w:highlight w:val="none"/>
        </w:rPr>
      </w:pPr>
    </w:p>
    <w:p>
      <w:pPr>
        <w:spacing w:line="240" w:lineRule="exact"/>
        <w:ind w:left="900"/>
        <w:rPr>
          <w:rFonts w:ascii="宋体" w:hAnsi="宋体" w:cs="宋体"/>
          <w:color w:val="auto"/>
          <w:sz w:val="20"/>
          <w:szCs w:val="20"/>
          <w:highlight w:val="none"/>
        </w:rPr>
      </w:pPr>
      <w:r>
        <w:rPr>
          <w:rFonts w:hint="eastAsia" w:ascii="宋体" w:hAnsi="宋体" w:cs="宋体"/>
          <w:color w:val="auto"/>
          <w:szCs w:val="21"/>
          <w:highlight w:val="none"/>
        </w:rPr>
        <w:t>日期：</w:t>
      </w:r>
    </w:p>
    <w:p>
      <w:pPr>
        <w:rPr>
          <w:rFonts w:ascii="宋体" w:hAnsi="宋体" w:cs="宋体"/>
          <w:color w:val="auto"/>
          <w:highlight w:val="none"/>
        </w:rPr>
        <w:sectPr>
          <w:pgSz w:w="11900" w:h="16838"/>
          <w:pgMar w:top="1440" w:right="1106" w:bottom="158" w:left="900" w:header="567" w:footer="567" w:gutter="0"/>
          <w:cols w:equalWidth="0" w:num="1">
            <w:col w:w="9900"/>
          </w:cols>
        </w:sectPr>
      </w:pPr>
    </w:p>
    <w:p>
      <w:pPr>
        <w:spacing w:line="240" w:lineRule="exact"/>
        <w:outlineLvl w:val="0"/>
        <w:rPr>
          <w:rFonts w:ascii="宋体" w:hAnsi="宋体" w:cs="宋体"/>
          <w:b/>
          <w:bCs/>
          <w:color w:val="auto"/>
          <w:sz w:val="20"/>
          <w:szCs w:val="20"/>
          <w:highlight w:val="none"/>
        </w:rPr>
      </w:pPr>
      <w:bookmarkStart w:id="160" w:name="page80"/>
      <w:bookmarkEnd w:id="160"/>
      <w:bookmarkStart w:id="161" w:name="_Toc22070"/>
      <w:bookmarkStart w:id="162" w:name="_Toc32408_WPSOffice_Level2"/>
      <w:bookmarkStart w:id="163" w:name="_Toc12285_WPSOffice_Level2"/>
      <w:r>
        <w:rPr>
          <w:rFonts w:hint="eastAsia" w:ascii="宋体" w:hAnsi="宋体" w:cs="宋体"/>
          <w:b/>
          <w:bCs/>
          <w:color w:val="auto"/>
          <w:szCs w:val="21"/>
          <w:highlight w:val="none"/>
        </w:rPr>
        <w:t>附件二：基本资格条件审查资料</w:t>
      </w:r>
      <w:bookmarkEnd w:id="161"/>
      <w:bookmarkEnd w:id="162"/>
      <w:bookmarkEnd w:id="163"/>
    </w:p>
    <w:p>
      <w:pPr>
        <w:spacing w:line="200" w:lineRule="exact"/>
        <w:rPr>
          <w:rFonts w:ascii="宋体" w:hAnsi="宋体" w:cs="宋体"/>
          <w:color w:val="auto"/>
          <w:sz w:val="20"/>
          <w:szCs w:val="20"/>
          <w:highlight w:val="none"/>
        </w:rPr>
      </w:pPr>
    </w:p>
    <w:p>
      <w:pPr>
        <w:pStyle w:val="2"/>
        <w:spacing w:line="360" w:lineRule="auto"/>
        <w:ind w:firstLine="396" w:firstLineChars="200"/>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（1）有效的法人或者其他组织的营业执照等证明文件（复印件加盖公章），自然人的身份证明；</w:t>
      </w:r>
    </w:p>
    <w:p>
      <w:pPr>
        <w:pStyle w:val="2"/>
        <w:spacing w:line="360" w:lineRule="auto"/>
        <w:ind w:firstLine="396" w:firstLineChars="200"/>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（2）最近六个月任意一月依法缴纳税收的证明材料；（依法免税的磋商响应供应商，应提供相应文件证明其依法免税）</w:t>
      </w:r>
    </w:p>
    <w:p>
      <w:pPr>
        <w:pStyle w:val="2"/>
        <w:spacing w:line="360" w:lineRule="auto"/>
        <w:ind w:firstLine="396" w:firstLineChars="200"/>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（3）最近六个月任意一月依法缴社会保障资金的证明材料；（依法不需要缴纳社会保障资金的磋商响应供应商，应提供相应文件证明其依法不需要缴纳社会保障资金）</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（4）具有履行合同所必需的设备和专业技术能力的承诺函；</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（5）参加政府采购活动前 3 年内在经营活动中没有重大违法记录的声明函；</w:t>
      </w:r>
    </w:p>
    <w:p>
      <w:pPr>
        <w:spacing w:line="360" w:lineRule="auto"/>
        <w:rPr>
          <w:rFonts w:ascii="宋体" w:hAnsi="宋体" w:cs="宋体"/>
          <w:color w:val="auto"/>
          <w:sz w:val="20"/>
          <w:szCs w:val="20"/>
          <w:highlight w:val="none"/>
        </w:rPr>
      </w:pPr>
    </w:p>
    <w:p>
      <w:pPr>
        <w:spacing w:line="360" w:lineRule="auto"/>
        <w:ind w:left="360"/>
        <w:jc w:val="center"/>
        <w:rPr>
          <w:rFonts w:ascii="宋体" w:hAnsi="宋体" w:cs="宋体"/>
          <w:b/>
          <w:bCs/>
          <w:color w:val="auto"/>
          <w:sz w:val="28"/>
          <w:szCs w:val="28"/>
          <w:highlight w:val="none"/>
        </w:rPr>
      </w:pPr>
    </w:p>
    <w:p>
      <w:pPr>
        <w:spacing w:line="360" w:lineRule="auto"/>
        <w:ind w:left="360"/>
        <w:jc w:val="center"/>
        <w:rPr>
          <w:rFonts w:ascii="宋体" w:hAnsi="宋体" w:cs="宋体"/>
          <w:b/>
          <w:bCs/>
          <w:color w:val="auto"/>
          <w:sz w:val="28"/>
          <w:szCs w:val="28"/>
          <w:highlight w:val="none"/>
        </w:rPr>
      </w:pPr>
      <w:bookmarkStart w:id="164" w:name="_Toc22411_WPSOffice_Level2"/>
      <w:r>
        <w:rPr>
          <w:rFonts w:hint="eastAsia" w:ascii="宋体" w:hAnsi="宋体" w:cs="宋体"/>
          <w:b/>
          <w:bCs/>
          <w:color w:val="auto"/>
          <w:sz w:val="28"/>
          <w:szCs w:val="28"/>
          <w:highlight w:val="none"/>
        </w:rPr>
        <w:t>具有履行合同所必需的设备和专业技术能力的承诺函</w:t>
      </w:r>
      <w:bookmarkEnd w:id="164"/>
    </w:p>
    <w:p>
      <w:pPr>
        <w:spacing w:line="360" w:lineRule="auto"/>
        <w:rPr>
          <w:rFonts w:ascii="宋体" w:hAnsi="宋体" w:cs="宋体"/>
          <w:color w:val="auto"/>
          <w:sz w:val="20"/>
          <w:szCs w:val="20"/>
          <w:highlight w:val="none"/>
        </w:rPr>
      </w:pPr>
    </w:p>
    <w:p>
      <w:pPr>
        <w:spacing w:line="360" w:lineRule="auto"/>
        <w:ind w:left="360"/>
        <w:rPr>
          <w:rFonts w:ascii="宋体" w:hAnsi="宋体" w:cs="宋体"/>
          <w:color w:val="auto"/>
          <w:sz w:val="20"/>
          <w:szCs w:val="20"/>
          <w:highlight w:val="none"/>
        </w:rPr>
      </w:pPr>
      <w:r>
        <w:rPr>
          <w:rFonts w:hint="eastAsia" w:ascii="宋体" w:hAnsi="宋体" w:cs="宋体"/>
          <w:color w:val="auto"/>
          <w:szCs w:val="21"/>
          <w:highlight w:val="none"/>
          <w:u w:val="single"/>
        </w:rPr>
        <w:t>（采购人）</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我方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承诺具有履行合同所必需的设备和专业技术能力。如有虚假，采购人可取消我方任何资格（投标/中标/签订合同），我方对此无任何异议。</w:t>
      </w:r>
    </w:p>
    <w:p>
      <w:pPr>
        <w:spacing w:line="360" w:lineRule="auto"/>
        <w:rPr>
          <w:rFonts w:ascii="宋体" w:hAnsi="宋体" w:cs="宋体"/>
          <w:color w:val="auto"/>
          <w:sz w:val="20"/>
          <w:szCs w:val="20"/>
          <w:highlight w:val="none"/>
        </w:rPr>
      </w:pPr>
    </w:p>
    <w:p>
      <w:pPr>
        <w:spacing w:line="360" w:lineRule="auto"/>
        <w:ind w:left="780"/>
        <w:rPr>
          <w:rFonts w:ascii="宋体" w:hAnsi="宋体" w:cs="宋体"/>
          <w:color w:val="auto"/>
          <w:sz w:val="20"/>
          <w:szCs w:val="20"/>
          <w:highlight w:val="none"/>
        </w:rPr>
      </w:pPr>
      <w:r>
        <w:rPr>
          <w:rFonts w:hint="eastAsia" w:ascii="宋体" w:hAnsi="宋体" w:cs="宋体"/>
          <w:color w:val="auto"/>
          <w:szCs w:val="21"/>
          <w:highlight w:val="none"/>
        </w:rPr>
        <w:t>特此承诺！</w:t>
      </w:r>
    </w:p>
    <w:p>
      <w:pPr>
        <w:spacing w:line="360" w:lineRule="auto"/>
        <w:ind w:left="780"/>
        <w:rPr>
          <w:rFonts w:ascii="宋体" w:hAnsi="宋体" w:cs="宋体"/>
          <w:color w:val="auto"/>
          <w:sz w:val="20"/>
          <w:szCs w:val="20"/>
          <w:highlight w:val="none"/>
        </w:rPr>
      </w:pPr>
      <w:r>
        <w:rPr>
          <w:rFonts w:hint="eastAsia" w:ascii="宋体" w:hAnsi="宋体" w:cs="宋体"/>
          <w:color w:val="auto"/>
          <w:szCs w:val="21"/>
          <w:highlight w:val="none"/>
        </w:rPr>
        <w:t>供应商名称（盖章） ：</w:t>
      </w:r>
    </w:p>
    <w:p>
      <w:pPr>
        <w:spacing w:line="360" w:lineRule="auto"/>
        <w:ind w:left="780"/>
        <w:rPr>
          <w:rFonts w:ascii="宋体" w:hAnsi="宋体" w:cs="宋体"/>
          <w:color w:val="auto"/>
          <w:sz w:val="20"/>
          <w:szCs w:val="20"/>
          <w:highlight w:val="none"/>
        </w:rPr>
      </w:pPr>
      <w:r>
        <w:rPr>
          <w:rFonts w:hint="eastAsia" w:ascii="宋体" w:hAnsi="宋体" w:cs="宋体"/>
          <w:color w:val="auto"/>
          <w:szCs w:val="21"/>
          <w:highlight w:val="none"/>
        </w:rPr>
        <w:t>法定代表人或其授权代表（签字或盖章）：</w:t>
      </w:r>
    </w:p>
    <w:p>
      <w:pPr>
        <w:tabs>
          <w:tab w:val="left" w:pos="1920"/>
          <w:tab w:val="left" w:pos="2340"/>
          <w:tab w:val="left" w:pos="2760"/>
        </w:tabs>
        <w:spacing w:line="360" w:lineRule="auto"/>
        <w:ind w:left="780"/>
        <w:rPr>
          <w:rFonts w:ascii="宋体" w:hAnsi="宋体" w:cs="宋体"/>
          <w:color w:val="auto"/>
          <w:sz w:val="20"/>
          <w:szCs w:val="20"/>
          <w:highlight w:val="none"/>
        </w:rPr>
      </w:pPr>
      <w:r>
        <w:rPr>
          <w:rFonts w:hint="eastAsia" w:ascii="宋体" w:hAnsi="宋体" w:cs="宋体"/>
          <w:color w:val="auto"/>
          <w:szCs w:val="21"/>
          <w:highlight w:val="none"/>
        </w:rPr>
        <w:t xml:space="preserve">日期：  年  </w:t>
      </w:r>
      <w:r>
        <w:rPr>
          <w:rFonts w:hint="eastAsia" w:ascii="宋体" w:hAnsi="宋体" w:cs="宋体"/>
          <w:color w:val="auto"/>
          <w:szCs w:val="21"/>
          <w:highlight w:val="none"/>
        </w:rPr>
        <w:tab/>
      </w:r>
      <w:r>
        <w:rPr>
          <w:rFonts w:hint="eastAsia" w:ascii="宋体" w:hAnsi="宋体" w:cs="宋体"/>
          <w:color w:val="auto"/>
          <w:szCs w:val="21"/>
          <w:highlight w:val="none"/>
        </w:rPr>
        <w:t>月</w:t>
      </w:r>
      <w:r>
        <w:rPr>
          <w:rFonts w:hint="eastAsia" w:ascii="宋体" w:hAnsi="宋体" w:cs="宋体"/>
          <w:color w:val="auto"/>
          <w:sz w:val="20"/>
          <w:szCs w:val="20"/>
          <w:highlight w:val="none"/>
        </w:rPr>
        <w:tab/>
      </w:r>
      <w:r>
        <w:rPr>
          <w:rFonts w:hint="eastAsia" w:ascii="宋体" w:hAnsi="宋体" w:cs="宋体"/>
          <w:color w:val="auto"/>
          <w:sz w:val="20"/>
          <w:szCs w:val="20"/>
          <w:highlight w:val="none"/>
        </w:rPr>
        <w:t xml:space="preserve"> 日</w:t>
      </w: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spacing w:line="200" w:lineRule="exact"/>
        <w:rPr>
          <w:rFonts w:ascii="宋体" w:hAnsi="宋体" w:cs="宋体"/>
          <w:color w:val="auto"/>
          <w:sz w:val="20"/>
          <w:szCs w:val="20"/>
          <w:highlight w:val="none"/>
        </w:rPr>
      </w:pPr>
    </w:p>
    <w:p>
      <w:pPr>
        <w:rPr>
          <w:rFonts w:ascii="宋体" w:hAnsi="宋体" w:cs="宋体"/>
          <w:color w:val="auto"/>
          <w:highlight w:val="none"/>
        </w:rPr>
        <w:sectPr>
          <w:pgSz w:w="11900" w:h="16838"/>
          <w:pgMar w:top="1440" w:right="1440" w:bottom="158" w:left="1440" w:header="567" w:footer="567" w:gutter="0"/>
          <w:cols w:equalWidth="0" w:num="1">
            <w:col w:w="9026"/>
          </w:cols>
        </w:sectPr>
      </w:pPr>
    </w:p>
    <w:p>
      <w:pPr>
        <w:spacing w:line="366" w:lineRule="exact"/>
        <w:jc w:val="center"/>
        <w:rPr>
          <w:rFonts w:ascii="宋体" w:hAnsi="宋体" w:cs="宋体"/>
          <w:b/>
          <w:bCs/>
          <w:color w:val="auto"/>
          <w:sz w:val="28"/>
          <w:szCs w:val="28"/>
          <w:highlight w:val="none"/>
        </w:rPr>
      </w:pPr>
      <w:bookmarkStart w:id="165" w:name="page81"/>
      <w:bookmarkEnd w:id="165"/>
      <w:bookmarkStart w:id="166" w:name="_Toc16196_WPSOffice_Level2"/>
      <w:r>
        <w:rPr>
          <w:rFonts w:hint="eastAsia" w:ascii="宋体" w:hAnsi="宋体" w:cs="宋体"/>
          <w:b/>
          <w:bCs/>
          <w:color w:val="auto"/>
          <w:sz w:val="28"/>
          <w:szCs w:val="28"/>
          <w:highlight w:val="none"/>
        </w:rPr>
        <w:t>没有重大违法记录承诺函</w:t>
      </w:r>
      <w:bookmarkEnd w:id="166"/>
    </w:p>
    <w:p>
      <w:pPr>
        <w:spacing w:line="375" w:lineRule="exact"/>
        <w:rPr>
          <w:rFonts w:ascii="宋体" w:hAnsi="宋体" w:cs="宋体"/>
          <w:color w:val="auto"/>
          <w:sz w:val="20"/>
          <w:szCs w:val="20"/>
          <w:highlight w:val="none"/>
        </w:rPr>
      </w:pPr>
    </w:p>
    <w:p>
      <w:pPr>
        <w:spacing w:line="360" w:lineRule="auto"/>
        <w:ind w:left="360" w:firstLine="210" w:firstLineChars="100"/>
        <w:rPr>
          <w:rFonts w:ascii="宋体" w:hAnsi="宋体" w:cs="宋体"/>
          <w:color w:val="auto"/>
          <w:sz w:val="20"/>
          <w:szCs w:val="20"/>
          <w:highlight w:val="none"/>
        </w:rPr>
      </w:pPr>
      <w:r>
        <w:rPr>
          <w:rFonts w:hint="eastAsia" w:ascii="宋体" w:hAnsi="宋体" w:cs="宋体"/>
          <w:color w:val="auto"/>
          <w:szCs w:val="21"/>
          <w:highlight w:val="none"/>
          <w:u w:val="single"/>
        </w:rPr>
        <w:t>（采购人）：</w:t>
      </w:r>
    </w:p>
    <w:p>
      <w:pPr>
        <w:spacing w:line="360" w:lineRule="auto"/>
        <w:ind w:right="346" w:firstLine="630" w:firstLineChars="300"/>
        <w:jc w:val="both"/>
        <w:rPr>
          <w:rFonts w:ascii="宋体" w:hAnsi="宋体" w:cs="宋体"/>
          <w:color w:val="auto"/>
          <w:szCs w:val="21"/>
          <w:highlight w:val="none"/>
        </w:rPr>
      </w:pPr>
      <w:r>
        <w:rPr>
          <w:rFonts w:hint="eastAsia" w:ascii="宋体" w:hAnsi="宋体" w:cs="宋体"/>
          <w:color w:val="auto"/>
          <w:szCs w:val="21"/>
          <w:highlight w:val="none"/>
        </w:rPr>
        <w:t>我方</w:t>
      </w:r>
      <w:r>
        <w:rPr>
          <w:rFonts w:hint="eastAsia" w:ascii="宋体" w:hAnsi="宋体" w:cs="宋体"/>
          <w:color w:val="auto"/>
          <w:szCs w:val="21"/>
          <w:highlight w:val="none"/>
          <w:u w:val="single"/>
        </w:rPr>
        <w:t>（供应商）</w:t>
      </w:r>
      <w:r>
        <w:rPr>
          <w:rFonts w:hint="eastAsia" w:ascii="宋体" w:hAnsi="宋体" w:cs="宋体"/>
          <w:color w:val="auto"/>
          <w:szCs w:val="21"/>
          <w:highlight w:val="none"/>
        </w:rPr>
        <w:t>具有良好的商业信誉，依法缴纳税收和社会保障资金，未被列入失信被执行人名单、重大税收违法案件当事人名单、政府采购严重违法失信行为记录名单，在参加政府采购活动前三年内没有重大违法记录（重大违法记录是指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spacing w:line="360" w:lineRule="auto"/>
        <w:ind w:right="346" w:firstLine="630" w:firstLineChars="300"/>
        <w:jc w:val="both"/>
        <w:rPr>
          <w:rFonts w:ascii="宋体" w:hAnsi="宋体" w:cs="宋体"/>
          <w:color w:val="auto"/>
          <w:szCs w:val="21"/>
          <w:highlight w:val="none"/>
        </w:rPr>
      </w:pPr>
    </w:p>
    <w:p>
      <w:pPr>
        <w:spacing w:line="360" w:lineRule="auto"/>
        <w:ind w:right="346" w:firstLine="630" w:firstLineChars="300"/>
        <w:jc w:val="both"/>
        <w:rPr>
          <w:rFonts w:ascii="宋体" w:hAnsi="宋体" w:cs="宋体"/>
          <w:color w:val="auto"/>
          <w:szCs w:val="21"/>
          <w:highlight w:val="none"/>
        </w:rPr>
      </w:pPr>
    </w:p>
    <w:p>
      <w:pPr>
        <w:spacing w:line="360" w:lineRule="auto"/>
        <w:ind w:left="780"/>
        <w:rPr>
          <w:rFonts w:ascii="宋体" w:hAnsi="宋体" w:cs="宋体"/>
          <w:color w:val="auto"/>
          <w:sz w:val="20"/>
          <w:szCs w:val="20"/>
          <w:highlight w:val="none"/>
        </w:rPr>
      </w:pPr>
      <w:r>
        <w:rPr>
          <w:rFonts w:hint="eastAsia" w:ascii="宋体" w:hAnsi="宋体" w:cs="宋体"/>
          <w:color w:val="auto"/>
          <w:szCs w:val="21"/>
          <w:highlight w:val="none"/>
        </w:rPr>
        <w:t>特此承诺！</w:t>
      </w:r>
    </w:p>
    <w:p>
      <w:pPr>
        <w:spacing w:line="360" w:lineRule="auto"/>
        <w:ind w:left="360"/>
        <w:rPr>
          <w:rFonts w:ascii="宋体" w:hAnsi="宋体" w:cs="宋体"/>
          <w:color w:val="auto"/>
          <w:szCs w:val="21"/>
          <w:highlight w:val="none"/>
        </w:rPr>
      </w:pPr>
    </w:p>
    <w:p>
      <w:pPr>
        <w:spacing w:line="360" w:lineRule="auto"/>
        <w:ind w:left="360"/>
        <w:rPr>
          <w:rFonts w:ascii="宋体" w:hAnsi="宋体" w:cs="宋体"/>
          <w:color w:val="auto"/>
          <w:szCs w:val="21"/>
          <w:highlight w:val="none"/>
        </w:rPr>
      </w:pPr>
    </w:p>
    <w:p>
      <w:pPr>
        <w:spacing w:line="360" w:lineRule="auto"/>
        <w:ind w:left="360"/>
        <w:rPr>
          <w:rFonts w:ascii="宋体" w:hAnsi="宋体" w:cs="宋体"/>
          <w:color w:val="auto"/>
          <w:sz w:val="20"/>
          <w:szCs w:val="20"/>
          <w:highlight w:val="none"/>
        </w:rPr>
      </w:pPr>
      <w:r>
        <w:rPr>
          <w:rFonts w:hint="eastAsia" w:ascii="宋体" w:hAnsi="宋体" w:cs="宋体"/>
          <w:color w:val="auto"/>
          <w:szCs w:val="21"/>
          <w:highlight w:val="none"/>
        </w:rPr>
        <w:t>供应商全称（盖单位公章）：</w:t>
      </w:r>
    </w:p>
    <w:p>
      <w:pPr>
        <w:spacing w:line="360" w:lineRule="auto"/>
        <w:ind w:left="360"/>
        <w:rPr>
          <w:rFonts w:ascii="宋体" w:hAnsi="宋体" w:cs="宋体"/>
          <w:color w:val="auto"/>
          <w:sz w:val="20"/>
          <w:szCs w:val="20"/>
          <w:highlight w:val="none"/>
        </w:rPr>
      </w:pPr>
      <w:r>
        <w:rPr>
          <w:rFonts w:hint="eastAsia" w:ascii="宋体" w:hAnsi="宋体" w:cs="宋体"/>
          <w:color w:val="auto"/>
          <w:szCs w:val="21"/>
          <w:highlight w:val="none"/>
        </w:rPr>
        <w:t>响应文件签署人（签字或盖章）：</w:t>
      </w:r>
    </w:p>
    <w:p>
      <w:pPr>
        <w:spacing w:line="360" w:lineRule="auto"/>
        <w:ind w:left="360"/>
        <w:rPr>
          <w:rFonts w:ascii="宋体" w:hAnsi="宋体" w:cs="宋体"/>
          <w:color w:val="auto"/>
          <w:sz w:val="20"/>
          <w:szCs w:val="20"/>
          <w:highlight w:val="none"/>
        </w:rPr>
      </w:pPr>
      <w:r>
        <w:rPr>
          <w:rFonts w:hint="eastAsia" w:ascii="宋体" w:hAnsi="宋体" w:cs="宋体"/>
          <w:color w:val="auto"/>
          <w:szCs w:val="21"/>
          <w:highlight w:val="none"/>
        </w:rPr>
        <w:t>日期：</w:t>
      </w:r>
    </w:p>
    <w:p>
      <w:pPr>
        <w:rPr>
          <w:rFonts w:ascii="宋体" w:hAnsi="宋体" w:cs="宋体"/>
          <w:color w:val="auto"/>
          <w:highlight w:val="none"/>
        </w:rPr>
      </w:pPr>
    </w:p>
    <w:p>
      <w:pPr>
        <w:spacing w:line="366" w:lineRule="exact"/>
        <w:jc w:val="center"/>
        <w:rPr>
          <w:rFonts w:ascii="宋体" w:hAnsi="宋体" w:cs="宋体"/>
          <w:b/>
          <w:bCs/>
          <w:color w:val="auto"/>
          <w:sz w:val="28"/>
          <w:szCs w:val="28"/>
          <w:highlight w:val="none"/>
        </w:rPr>
        <w:sectPr>
          <w:pgSz w:w="11900" w:h="16838"/>
          <w:pgMar w:top="1440" w:right="1440" w:bottom="158" w:left="1440" w:header="567" w:footer="567" w:gutter="0"/>
          <w:cols w:equalWidth="0" w:num="1">
            <w:col w:w="9026"/>
          </w:cols>
        </w:sectPr>
      </w:pPr>
    </w:p>
    <w:p>
      <w:pPr>
        <w:spacing w:line="366"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三、声明函</w:t>
      </w:r>
    </w:p>
    <w:p>
      <w:pPr>
        <w:spacing w:line="360" w:lineRule="auto"/>
        <w:rPr>
          <w:rFonts w:ascii="宋体" w:hAnsi="宋体" w:cs="宋体"/>
          <w:color w:val="auto"/>
          <w:spacing w:val="-6"/>
          <w:szCs w:val="21"/>
          <w:highlight w:val="none"/>
        </w:rPr>
      </w:pPr>
    </w:p>
    <w:p>
      <w:pPr>
        <w:spacing w:line="360" w:lineRule="auto"/>
        <w:rPr>
          <w:rFonts w:ascii="宋体" w:hAnsi="宋体" w:cs="宋体"/>
          <w:color w:val="auto"/>
          <w:spacing w:val="-6"/>
          <w:szCs w:val="21"/>
          <w:highlight w:val="none"/>
        </w:rPr>
      </w:pPr>
      <w:r>
        <w:rPr>
          <w:rFonts w:hint="eastAsia" w:ascii="宋体" w:hAnsi="宋体" w:cs="宋体"/>
          <w:color w:val="auto"/>
          <w:spacing w:val="-6"/>
          <w:szCs w:val="21"/>
          <w:highlight w:val="none"/>
        </w:rPr>
        <w:t>致：</w:t>
      </w:r>
      <w:r>
        <w:rPr>
          <w:rFonts w:hint="eastAsia" w:ascii="宋体" w:hAnsi="宋体" w:cs="宋体"/>
          <w:color w:val="auto"/>
          <w:spacing w:val="-6"/>
          <w:szCs w:val="21"/>
          <w:highlight w:val="none"/>
          <w:u w:val="single"/>
        </w:rPr>
        <w:t>浙江五石工程咨询有限公司</w:t>
      </w:r>
      <w:r>
        <w:rPr>
          <w:rFonts w:hint="eastAsia" w:ascii="宋体" w:hAnsi="宋体" w:cs="宋体"/>
          <w:color w:val="auto"/>
          <w:spacing w:val="-6"/>
          <w:szCs w:val="21"/>
          <w:highlight w:val="none"/>
        </w:rPr>
        <w:t>：</w:t>
      </w:r>
    </w:p>
    <w:p>
      <w:pPr>
        <w:spacing w:line="360" w:lineRule="auto"/>
        <w:ind w:firstLine="594" w:firstLineChars="300"/>
        <w:rPr>
          <w:rFonts w:ascii="宋体" w:hAnsi="宋体" w:cs="宋体"/>
          <w:color w:val="auto"/>
          <w:spacing w:val="-6"/>
          <w:szCs w:val="21"/>
          <w:highlight w:val="none"/>
        </w:rPr>
      </w:pPr>
      <w:r>
        <w:rPr>
          <w:rFonts w:hint="eastAsia"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（磋商响应供应商名称）系中华人民共和国合法企业，经营地址</w:t>
      </w:r>
      <w:r>
        <w:rPr>
          <w:rFonts w:hint="eastAsia"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w:t>
      </w:r>
    </w:p>
    <w:p>
      <w:pPr>
        <w:spacing w:line="360" w:lineRule="auto"/>
        <w:ind w:firstLine="396"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我方愿意参加贵方组织的</w:t>
      </w:r>
      <w:r>
        <w:rPr>
          <w:rFonts w:hint="eastAsia" w:ascii="宋体" w:hAnsi="宋体" w:cs="宋体"/>
          <w:bCs/>
          <w:color w:val="auto"/>
          <w:spacing w:val="-6"/>
          <w:szCs w:val="21"/>
          <w:highlight w:val="none"/>
          <w:u w:val="single"/>
          <w:lang w:eastAsia="zh-CN"/>
        </w:rPr>
        <w:t>教学大楼西侧卫生间改造工程</w:t>
      </w:r>
      <w:r>
        <w:rPr>
          <w:rFonts w:hint="eastAsia" w:ascii="宋体" w:hAnsi="宋体" w:cs="宋体"/>
          <w:color w:val="auto"/>
          <w:spacing w:val="-6"/>
          <w:szCs w:val="21"/>
          <w:highlight w:val="none"/>
        </w:rPr>
        <w:t>的磋商响应，为便于贵方公正、择优地确定成交供应商及其磋商响应产品和服务，我方就本次磋商有关事项郑重声明如下：</w:t>
      </w:r>
    </w:p>
    <w:p>
      <w:pPr>
        <w:spacing w:line="360" w:lineRule="auto"/>
        <w:ind w:firstLine="396"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1、我方向贵方提交的所有响应文件、资料都是准确的和真实的；</w:t>
      </w:r>
    </w:p>
    <w:p>
      <w:pPr>
        <w:spacing w:line="360" w:lineRule="auto"/>
        <w:ind w:firstLine="396"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2、我方不是采购人的附属机构；在获知本项目采购信息后，与采购人聘请的为此项目提供咨询服务的公司及其附属机构没有任何联系。</w:t>
      </w:r>
    </w:p>
    <w:p>
      <w:pPr>
        <w:spacing w:line="360" w:lineRule="auto"/>
        <w:ind w:firstLine="396"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3、我方最近三年内的被公开披露或查处的违法违规行为有：</w:t>
      </w:r>
    </w:p>
    <w:p>
      <w:pPr>
        <w:spacing w:line="360" w:lineRule="auto"/>
        <w:ind w:firstLine="396"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　</w:t>
      </w:r>
      <w:r>
        <w:rPr>
          <w:rFonts w:hint="eastAsia"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　　</w:t>
      </w:r>
    </w:p>
    <w:p>
      <w:pPr>
        <w:pStyle w:val="26"/>
        <w:rPr>
          <w:color w:val="auto"/>
          <w:highlight w:val="none"/>
        </w:rPr>
      </w:pPr>
    </w:p>
    <w:p>
      <w:pPr>
        <w:spacing w:line="360" w:lineRule="auto"/>
        <w:ind w:firstLine="396"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4、以上事项如有虚假或隐瞒，我方愿意承担一切后果和责任。</w:t>
      </w:r>
    </w:p>
    <w:p>
      <w:pPr>
        <w:pStyle w:val="41"/>
        <w:spacing w:line="360" w:lineRule="auto"/>
        <w:rPr>
          <w:rFonts w:ascii="宋体" w:hAnsi="宋体" w:cs="宋体"/>
          <w:color w:val="auto"/>
          <w:spacing w:val="-6"/>
          <w:sz w:val="21"/>
          <w:szCs w:val="21"/>
          <w:highlight w:val="none"/>
        </w:rPr>
      </w:pPr>
    </w:p>
    <w:p>
      <w:pPr>
        <w:pStyle w:val="41"/>
        <w:spacing w:line="360" w:lineRule="auto"/>
        <w:rPr>
          <w:rFonts w:ascii="宋体" w:hAnsi="宋体" w:cs="宋体"/>
          <w:color w:val="auto"/>
          <w:spacing w:val="-6"/>
          <w:sz w:val="21"/>
          <w:szCs w:val="21"/>
          <w:highlight w:val="none"/>
        </w:rPr>
      </w:pPr>
    </w:p>
    <w:p>
      <w:pPr>
        <w:spacing w:line="360" w:lineRule="auto"/>
        <w:rPr>
          <w:rFonts w:ascii="宋体" w:hAnsi="宋体" w:cs="宋体"/>
          <w:color w:val="auto"/>
          <w:spacing w:val="-6"/>
          <w:szCs w:val="21"/>
          <w:highlight w:val="none"/>
        </w:rPr>
      </w:pPr>
      <w:r>
        <w:rPr>
          <w:rFonts w:hint="eastAsia" w:ascii="宋体" w:hAnsi="宋体" w:cs="宋体"/>
          <w:color w:val="auto"/>
          <w:spacing w:val="-6"/>
          <w:szCs w:val="21"/>
          <w:highlight w:val="none"/>
        </w:rPr>
        <w:t xml:space="preserve">磋商响应供应商名称（盖章）： </w:t>
      </w:r>
    </w:p>
    <w:p>
      <w:pPr>
        <w:spacing w:line="360" w:lineRule="auto"/>
        <w:rPr>
          <w:rFonts w:ascii="宋体" w:hAnsi="宋体" w:cs="宋体"/>
          <w:color w:val="auto"/>
          <w:spacing w:val="-6"/>
          <w:szCs w:val="21"/>
          <w:highlight w:val="none"/>
        </w:rPr>
      </w:pPr>
      <w:r>
        <w:rPr>
          <w:rFonts w:hint="eastAsia" w:ascii="宋体" w:hAnsi="宋体" w:cs="宋体"/>
          <w:color w:val="auto"/>
          <w:spacing w:val="-6"/>
          <w:szCs w:val="21"/>
          <w:highlight w:val="none"/>
        </w:rPr>
        <w:t>授权代表签字：</w:t>
      </w:r>
    </w:p>
    <w:p>
      <w:pPr>
        <w:spacing w:line="360" w:lineRule="auto"/>
        <w:rPr>
          <w:rFonts w:ascii="宋体" w:hAnsi="宋体" w:cs="宋体"/>
          <w:color w:val="auto"/>
          <w:spacing w:val="-6"/>
          <w:szCs w:val="21"/>
          <w:highlight w:val="none"/>
        </w:rPr>
      </w:pPr>
      <w:r>
        <w:rPr>
          <w:rFonts w:hint="eastAsia" w:ascii="宋体" w:hAnsi="宋体" w:cs="宋体"/>
          <w:bCs/>
          <w:color w:val="auto"/>
          <w:spacing w:val="-6"/>
          <w:szCs w:val="21"/>
          <w:highlight w:val="none"/>
        </w:rPr>
        <w:t>日期：  年  月  日</w:t>
      </w:r>
    </w:p>
    <w:p>
      <w:pPr>
        <w:spacing w:line="200" w:lineRule="exact"/>
        <w:rPr>
          <w:rFonts w:ascii="宋体" w:hAnsi="宋体" w:cs="宋体"/>
          <w:color w:val="auto"/>
          <w:sz w:val="20"/>
          <w:szCs w:val="20"/>
          <w:highlight w:val="none"/>
        </w:rPr>
      </w:pPr>
    </w:p>
    <w:p>
      <w:pPr>
        <w:spacing w:line="366" w:lineRule="exact"/>
        <w:jc w:val="center"/>
        <w:rPr>
          <w:rFonts w:ascii="宋体" w:hAnsi="宋体" w:cs="宋体"/>
          <w:b/>
          <w:bCs/>
          <w:color w:val="auto"/>
          <w:sz w:val="28"/>
          <w:szCs w:val="28"/>
          <w:highlight w:val="none"/>
        </w:rPr>
        <w:sectPr>
          <w:pgSz w:w="11900" w:h="16838"/>
          <w:pgMar w:top="1440" w:right="1440" w:bottom="158" w:left="1440" w:header="567" w:footer="567" w:gutter="0"/>
          <w:cols w:equalWidth="0" w:num="1">
            <w:col w:w="9026"/>
          </w:cols>
        </w:sectPr>
      </w:pPr>
    </w:p>
    <w:p>
      <w:pPr>
        <w:spacing w:line="366"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四、公司基本情况介绍</w:t>
      </w:r>
    </w:p>
    <w:p>
      <w:pPr>
        <w:spacing w:line="360" w:lineRule="auto"/>
        <w:rPr>
          <w:rFonts w:ascii="宋体" w:hAnsi="宋体" w:cs="宋体"/>
          <w:color w:val="auto"/>
          <w:spacing w:val="-6"/>
          <w:highlight w:val="none"/>
        </w:rPr>
      </w:pPr>
    </w:p>
    <w:tbl>
      <w:tblPr>
        <w:tblStyle w:val="1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281"/>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pPr>
              <w:spacing w:line="360" w:lineRule="auto"/>
              <w:jc w:val="center"/>
              <w:rPr>
                <w:rFonts w:ascii="宋体" w:hAnsi="宋体" w:cs="宋体"/>
                <w:color w:val="auto"/>
                <w:spacing w:val="-6"/>
                <w:sz w:val="24"/>
                <w:highlight w:val="none"/>
              </w:rPr>
            </w:pPr>
            <w:r>
              <w:rPr>
                <w:rFonts w:hint="eastAsia" w:ascii="宋体" w:hAnsi="宋体" w:cs="宋体"/>
                <w:color w:val="auto"/>
                <w:spacing w:val="-6"/>
                <w:sz w:val="24"/>
                <w:highlight w:val="none"/>
              </w:rPr>
              <w:t>1</w:t>
            </w:r>
          </w:p>
        </w:tc>
        <w:tc>
          <w:tcPr>
            <w:tcW w:w="7629" w:type="dxa"/>
            <w:gridSpan w:val="3"/>
            <w:vAlign w:val="center"/>
          </w:tcPr>
          <w:p>
            <w:pPr>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pPr>
              <w:spacing w:line="360" w:lineRule="auto"/>
              <w:jc w:val="center"/>
              <w:rPr>
                <w:rFonts w:ascii="宋体" w:hAnsi="宋体" w:cs="宋体"/>
                <w:color w:val="auto"/>
                <w:spacing w:val="-6"/>
                <w:sz w:val="24"/>
                <w:highlight w:val="none"/>
              </w:rPr>
            </w:pPr>
            <w:r>
              <w:rPr>
                <w:rFonts w:hint="eastAsia" w:ascii="宋体" w:hAnsi="宋体" w:cs="宋体"/>
                <w:color w:val="auto"/>
                <w:spacing w:val="-6"/>
                <w:sz w:val="24"/>
                <w:highlight w:val="none"/>
              </w:rPr>
              <w:t>2</w:t>
            </w:r>
          </w:p>
        </w:tc>
        <w:tc>
          <w:tcPr>
            <w:tcW w:w="7629" w:type="dxa"/>
            <w:gridSpan w:val="3"/>
            <w:vAlign w:val="center"/>
          </w:tcPr>
          <w:p>
            <w:pPr>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pPr>
              <w:spacing w:line="360" w:lineRule="auto"/>
              <w:jc w:val="center"/>
              <w:rPr>
                <w:rFonts w:ascii="宋体" w:hAnsi="宋体" w:cs="宋体"/>
                <w:color w:val="auto"/>
                <w:spacing w:val="-6"/>
                <w:sz w:val="24"/>
                <w:highlight w:val="none"/>
              </w:rPr>
            </w:pPr>
            <w:r>
              <w:rPr>
                <w:rFonts w:hint="eastAsia" w:ascii="宋体" w:hAnsi="宋体" w:cs="宋体"/>
                <w:color w:val="auto"/>
                <w:spacing w:val="-6"/>
                <w:sz w:val="24"/>
                <w:highlight w:val="none"/>
              </w:rPr>
              <w:t>3</w:t>
            </w:r>
          </w:p>
        </w:tc>
        <w:tc>
          <w:tcPr>
            <w:tcW w:w="7629" w:type="dxa"/>
            <w:gridSpan w:val="3"/>
            <w:vAlign w:val="center"/>
          </w:tcPr>
          <w:p>
            <w:pPr>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pPr>
              <w:spacing w:line="360" w:lineRule="auto"/>
              <w:jc w:val="center"/>
              <w:rPr>
                <w:rFonts w:ascii="宋体" w:hAnsi="宋体" w:cs="宋体"/>
                <w:color w:val="auto"/>
                <w:spacing w:val="-6"/>
                <w:sz w:val="24"/>
                <w:highlight w:val="none"/>
              </w:rPr>
            </w:pPr>
            <w:r>
              <w:rPr>
                <w:rFonts w:hint="eastAsia" w:ascii="宋体" w:hAnsi="宋体" w:cs="宋体"/>
                <w:color w:val="auto"/>
                <w:spacing w:val="-6"/>
                <w:sz w:val="24"/>
                <w:highlight w:val="none"/>
              </w:rPr>
              <w:t>4</w:t>
            </w:r>
          </w:p>
        </w:tc>
        <w:tc>
          <w:tcPr>
            <w:tcW w:w="3801" w:type="dxa"/>
            <w:gridSpan w:val="2"/>
            <w:vAlign w:val="center"/>
          </w:tcPr>
          <w:p>
            <w:pPr>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电话：</w:t>
            </w:r>
          </w:p>
        </w:tc>
        <w:tc>
          <w:tcPr>
            <w:tcW w:w="3828" w:type="dxa"/>
            <w:vAlign w:val="center"/>
          </w:tcPr>
          <w:p>
            <w:pPr>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pPr>
              <w:spacing w:line="360" w:lineRule="auto"/>
              <w:jc w:val="center"/>
              <w:rPr>
                <w:rFonts w:ascii="宋体" w:hAnsi="宋体" w:cs="宋体"/>
                <w:color w:val="auto"/>
                <w:spacing w:val="-6"/>
                <w:sz w:val="24"/>
                <w:highlight w:val="none"/>
              </w:rPr>
            </w:pPr>
            <w:r>
              <w:rPr>
                <w:rFonts w:hint="eastAsia" w:ascii="宋体" w:hAnsi="宋体" w:cs="宋体"/>
                <w:color w:val="auto"/>
                <w:spacing w:val="-6"/>
                <w:sz w:val="24"/>
                <w:highlight w:val="none"/>
              </w:rPr>
              <w:t>5</w:t>
            </w:r>
          </w:p>
        </w:tc>
        <w:tc>
          <w:tcPr>
            <w:tcW w:w="3801" w:type="dxa"/>
            <w:gridSpan w:val="2"/>
            <w:vAlign w:val="center"/>
          </w:tcPr>
          <w:p>
            <w:pPr>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传真：</w:t>
            </w:r>
          </w:p>
        </w:tc>
        <w:tc>
          <w:tcPr>
            <w:tcW w:w="3828" w:type="dxa"/>
            <w:vAlign w:val="center"/>
          </w:tcPr>
          <w:p>
            <w:pPr>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pPr>
              <w:spacing w:line="360" w:lineRule="auto"/>
              <w:jc w:val="center"/>
              <w:rPr>
                <w:rFonts w:ascii="宋体" w:hAnsi="宋体" w:cs="宋体"/>
                <w:color w:val="auto"/>
                <w:spacing w:val="-6"/>
                <w:sz w:val="24"/>
                <w:highlight w:val="none"/>
              </w:rPr>
            </w:pPr>
            <w:r>
              <w:rPr>
                <w:rFonts w:hint="eastAsia" w:ascii="宋体" w:hAnsi="宋体" w:cs="宋体"/>
                <w:color w:val="auto"/>
                <w:spacing w:val="-6"/>
                <w:sz w:val="24"/>
                <w:highlight w:val="none"/>
              </w:rPr>
              <w:t>6</w:t>
            </w:r>
          </w:p>
        </w:tc>
        <w:tc>
          <w:tcPr>
            <w:tcW w:w="3801" w:type="dxa"/>
            <w:gridSpan w:val="2"/>
            <w:vAlign w:val="center"/>
          </w:tcPr>
          <w:p>
            <w:pPr>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注册地：</w:t>
            </w:r>
          </w:p>
        </w:tc>
        <w:tc>
          <w:tcPr>
            <w:tcW w:w="3828" w:type="dxa"/>
            <w:vAlign w:val="center"/>
          </w:tcPr>
          <w:p>
            <w:pPr>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pPr>
              <w:spacing w:line="360" w:lineRule="auto"/>
              <w:jc w:val="center"/>
              <w:rPr>
                <w:rFonts w:ascii="宋体" w:hAnsi="宋体" w:cs="宋体"/>
                <w:color w:val="auto"/>
                <w:spacing w:val="-6"/>
                <w:sz w:val="24"/>
                <w:highlight w:val="none"/>
              </w:rPr>
            </w:pPr>
            <w:r>
              <w:rPr>
                <w:rFonts w:hint="eastAsia" w:ascii="宋体" w:hAnsi="宋体" w:cs="宋体"/>
                <w:color w:val="auto"/>
                <w:spacing w:val="-6"/>
                <w:sz w:val="24"/>
                <w:highlight w:val="none"/>
              </w:rPr>
              <w:t>7</w:t>
            </w:r>
          </w:p>
        </w:tc>
        <w:tc>
          <w:tcPr>
            <w:tcW w:w="7629" w:type="dxa"/>
            <w:gridSpan w:val="3"/>
            <w:vAlign w:val="center"/>
          </w:tcPr>
          <w:p>
            <w:pPr>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pPr>
              <w:spacing w:line="360" w:lineRule="auto"/>
              <w:jc w:val="center"/>
              <w:rPr>
                <w:rFonts w:ascii="宋体" w:hAnsi="宋体" w:cs="宋体"/>
                <w:color w:val="auto"/>
                <w:spacing w:val="-6"/>
                <w:sz w:val="24"/>
                <w:highlight w:val="none"/>
              </w:rPr>
            </w:pPr>
            <w:r>
              <w:rPr>
                <w:rFonts w:hint="eastAsia" w:ascii="宋体" w:hAnsi="宋体" w:cs="宋体"/>
                <w:color w:val="auto"/>
                <w:spacing w:val="-6"/>
                <w:sz w:val="24"/>
                <w:highlight w:val="none"/>
              </w:rPr>
              <w:t>8</w:t>
            </w:r>
          </w:p>
        </w:tc>
        <w:tc>
          <w:tcPr>
            <w:tcW w:w="7629" w:type="dxa"/>
            <w:gridSpan w:val="3"/>
            <w:vAlign w:val="center"/>
          </w:tcPr>
          <w:p>
            <w:pPr>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pPr>
              <w:spacing w:line="360" w:lineRule="auto"/>
              <w:jc w:val="center"/>
              <w:rPr>
                <w:rFonts w:ascii="宋体" w:hAnsi="宋体" w:cs="宋体"/>
                <w:color w:val="auto"/>
                <w:spacing w:val="-6"/>
                <w:sz w:val="24"/>
                <w:highlight w:val="none"/>
              </w:rPr>
            </w:pPr>
            <w:r>
              <w:rPr>
                <w:rFonts w:hint="eastAsia" w:ascii="宋体" w:hAnsi="宋体" w:cs="宋体"/>
                <w:color w:val="auto"/>
                <w:spacing w:val="-6"/>
                <w:sz w:val="24"/>
                <w:highlight w:val="none"/>
              </w:rPr>
              <w:t>9</w:t>
            </w:r>
          </w:p>
        </w:tc>
        <w:tc>
          <w:tcPr>
            <w:tcW w:w="2520" w:type="dxa"/>
            <w:vAlign w:val="center"/>
          </w:tcPr>
          <w:p>
            <w:pPr>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作为承包人经历年数：</w:t>
            </w:r>
          </w:p>
        </w:tc>
        <w:tc>
          <w:tcPr>
            <w:tcW w:w="5109" w:type="dxa"/>
            <w:gridSpan w:val="2"/>
            <w:vAlign w:val="center"/>
          </w:tcPr>
          <w:p>
            <w:pPr>
              <w:spacing w:line="360" w:lineRule="auto"/>
              <w:rPr>
                <w:rFonts w:ascii="宋体" w:hAnsi="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pPr>
              <w:spacing w:line="360" w:lineRule="auto"/>
              <w:jc w:val="center"/>
              <w:rPr>
                <w:rFonts w:ascii="宋体" w:hAnsi="宋体" w:cs="宋体"/>
                <w:color w:val="auto"/>
                <w:spacing w:val="-6"/>
                <w:sz w:val="24"/>
                <w:highlight w:val="none"/>
              </w:rPr>
            </w:pPr>
            <w:r>
              <w:rPr>
                <w:rFonts w:hint="eastAsia" w:ascii="宋体" w:hAnsi="宋体" w:cs="宋体"/>
                <w:color w:val="auto"/>
                <w:spacing w:val="-6"/>
                <w:sz w:val="24"/>
                <w:highlight w:val="none"/>
              </w:rPr>
              <w:t>10</w:t>
            </w:r>
          </w:p>
        </w:tc>
        <w:tc>
          <w:tcPr>
            <w:tcW w:w="2520" w:type="dxa"/>
            <w:vAlign w:val="center"/>
          </w:tcPr>
          <w:p>
            <w:pPr>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其他需要说明的情况</w:t>
            </w:r>
          </w:p>
        </w:tc>
        <w:tc>
          <w:tcPr>
            <w:tcW w:w="5109" w:type="dxa"/>
            <w:gridSpan w:val="2"/>
            <w:vAlign w:val="center"/>
          </w:tcPr>
          <w:p>
            <w:pPr>
              <w:spacing w:line="360" w:lineRule="auto"/>
              <w:rPr>
                <w:rFonts w:ascii="宋体" w:hAnsi="宋体" w:cs="宋体"/>
                <w:color w:val="auto"/>
                <w:spacing w:val="-6"/>
                <w:sz w:val="24"/>
                <w:highlight w:val="none"/>
              </w:rPr>
            </w:pPr>
          </w:p>
          <w:p>
            <w:pPr>
              <w:spacing w:line="360" w:lineRule="auto"/>
              <w:rPr>
                <w:rFonts w:ascii="宋体" w:hAnsi="宋体" w:cs="宋体"/>
                <w:color w:val="auto"/>
                <w:spacing w:val="-6"/>
                <w:sz w:val="24"/>
                <w:highlight w:val="none"/>
              </w:rPr>
            </w:pPr>
          </w:p>
          <w:p>
            <w:pPr>
              <w:spacing w:line="360" w:lineRule="auto"/>
              <w:rPr>
                <w:rFonts w:ascii="宋体" w:hAnsi="宋体" w:cs="宋体"/>
                <w:color w:val="auto"/>
                <w:spacing w:val="-6"/>
                <w:sz w:val="24"/>
                <w:highlight w:val="none"/>
              </w:rPr>
            </w:pPr>
          </w:p>
        </w:tc>
      </w:tr>
    </w:tbl>
    <w:p>
      <w:pPr>
        <w:spacing w:line="360" w:lineRule="auto"/>
        <w:rPr>
          <w:rFonts w:ascii="宋体" w:hAnsi="宋体" w:cs="宋体"/>
          <w:color w:val="auto"/>
          <w:spacing w:val="-6"/>
          <w:sz w:val="24"/>
          <w:highlight w:val="none"/>
        </w:rPr>
      </w:pPr>
    </w:p>
    <w:p>
      <w:pPr>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说明：所有响应方都须填写此表，后附企业信用、资质证书；</w:t>
      </w:r>
    </w:p>
    <w:p>
      <w:pPr>
        <w:spacing w:line="360" w:lineRule="auto"/>
        <w:rPr>
          <w:rFonts w:ascii="宋体" w:hAnsi="宋体" w:cs="宋体"/>
          <w:color w:val="auto"/>
          <w:spacing w:val="-6"/>
          <w:sz w:val="24"/>
          <w:highlight w:val="none"/>
        </w:rPr>
      </w:pPr>
    </w:p>
    <w:p>
      <w:pPr>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响应方全称（加盖公章）：</w:t>
      </w:r>
    </w:p>
    <w:p>
      <w:pPr>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全权代表签字：</w:t>
      </w:r>
    </w:p>
    <w:p>
      <w:pPr>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日期：</w:t>
      </w:r>
    </w:p>
    <w:p>
      <w:pPr>
        <w:spacing w:line="366" w:lineRule="exact"/>
        <w:jc w:val="center"/>
        <w:rPr>
          <w:rFonts w:ascii="宋体" w:hAnsi="宋体" w:cs="宋体"/>
          <w:b/>
          <w:bCs/>
          <w:color w:val="auto"/>
          <w:sz w:val="28"/>
          <w:szCs w:val="28"/>
          <w:highlight w:val="none"/>
        </w:rPr>
        <w:sectPr>
          <w:pgSz w:w="11900" w:h="16838"/>
          <w:pgMar w:top="1440" w:right="1440" w:bottom="158" w:left="1440" w:header="567" w:footer="567" w:gutter="0"/>
          <w:cols w:equalWidth="0" w:num="1">
            <w:col w:w="9026"/>
          </w:cols>
        </w:sectPr>
      </w:pPr>
    </w:p>
    <w:p>
      <w:pPr>
        <w:spacing w:line="366"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五、类似业绩证明</w:t>
      </w:r>
    </w:p>
    <w:p>
      <w:pPr>
        <w:pStyle w:val="2"/>
        <w:spacing w:line="360" w:lineRule="auto"/>
        <w:ind w:firstLine="0"/>
        <w:rPr>
          <w:rFonts w:ascii="宋体" w:hAnsi="宋体" w:eastAsia="宋体" w:cs="宋体"/>
          <w:color w:val="auto"/>
          <w:spacing w:val="-6"/>
          <w:szCs w:val="21"/>
          <w:highlight w:val="none"/>
        </w:rPr>
      </w:pPr>
    </w:p>
    <w:p>
      <w:pPr>
        <w:pStyle w:val="15"/>
        <w:spacing w:line="360" w:lineRule="auto"/>
        <w:ind w:left="0" w:firstLine="0" w:firstLineChars="0"/>
        <w:jc w:val="center"/>
        <w:rPr>
          <w:rFonts w:ascii="宋体" w:hAnsi="宋体" w:cs="宋体"/>
          <w:color w:val="auto"/>
          <w:sz w:val="24"/>
          <w:highlight w:val="none"/>
        </w:rPr>
      </w:pPr>
      <w:bookmarkStart w:id="167" w:name="_Toc26073_WPSOffice_Level2"/>
      <w:bookmarkStart w:id="168" w:name="_Toc32559_WPSOffice_Level2"/>
      <w:bookmarkStart w:id="169" w:name="_Toc20880_WPSOffice_Level2"/>
      <w:r>
        <w:rPr>
          <w:rFonts w:hint="eastAsia" w:ascii="宋体" w:hAnsi="宋体" w:cs="宋体"/>
          <w:color w:val="auto"/>
          <w:sz w:val="24"/>
          <w:highlight w:val="none"/>
        </w:rPr>
        <w:t>（提供同类项目合同复印件）</w:t>
      </w:r>
      <w:bookmarkEnd w:id="167"/>
      <w:bookmarkEnd w:id="168"/>
      <w:bookmarkEnd w:id="169"/>
    </w:p>
    <w:tbl>
      <w:tblPr>
        <w:tblStyle w:val="19"/>
        <w:tblW w:w="841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10"/>
        <w:gridCol w:w="1111"/>
        <w:gridCol w:w="2032"/>
        <w:gridCol w:w="1155"/>
        <w:gridCol w:w="1234"/>
        <w:gridCol w:w="17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0" w:type="dxa"/>
            <w:tcBorders>
              <w:top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采购单位名称</w:t>
            </w: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项目名称</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合同金额</w:t>
            </w:r>
          </w:p>
          <w:p>
            <w:pPr>
              <w:jc w:val="center"/>
              <w:rPr>
                <w:rFonts w:ascii="宋体" w:hAnsi="宋体" w:cs="宋体"/>
                <w:b/>
                <w:color w:val="auto"/>
                <w:szCs w:val="21"/>
                <w:highlight w:val="none"/>
              </w:rPr>
            </w:pPr>
            <w:r>
              <w:rPr>
                <w:rFonts w:hint="eastAsia" w:ascii="宋体" w:hAnsi="宋体" w:cs="宋体"/>
                <w:b/>
                <w:color w:val="auto"/>
                <w:szCs w:val="21"/>
                <w:highlight w:val="none"/>
              </w:rPr>
              <w:t>（万元）</w:t>
            </w: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附件页码</w:t>
            </w:r>
          </w:p>
        </w:tc>
        <w:tc>
          <w:tcPr>
            <w:tcW w:w="1771" w:type="dxa"/>
            <w:tcBorders>
              <w:top w:val="single" w:color="auto" w:sz="4" w:space="0"/>
              <w:left w:val="single" w:color="auto" w:sz="4" w:space="0"/>
              <w:bottom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采购单位联系人及联系电话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0" w:type="dxa"/>
            <w:tcBorders>
              <w:top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771" w:type="dxa"/>
            <w:tcBorders>
              <w:top w:val="single" w:color="auto" w:sz="4" w:space="0"/>
              <w:left w:val="single" w:color="auto" w:sz="4" w:space="0"/>
              <w:bottom w:val="single" w:color="auto" w:sz="4" w:space="0"/>
            </w:tcBorders>
            <w:vAlign w:val="center"/>
          </w:tcPr>
          <w:p>
            <w:pPr>
              <w:jc w:val="center"/>
              <w:rPr>
                <w:rFonts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0" w:type="dxa"/>
            <w:tcBorders>
              <w:top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771" w:type="dxa"/>
            <w:tcBorders>
              <w:top w:val="single" w:color="auto" w:sz="4" w:space="0"/>
              <w:left w:val="single" w:color="auto" w:sz="4" w:space="0"/>
              <w:bottom w:val="single" w:color="auto" w:sz="4" w:space="0"/>
            </w:tcBorders>
            <w:vAlign w:val="center"/>
          </w:tcPr>
          <w:p>
            <w:pPr>
              <w:jc w:val="center"/>
              <w:rPr>
                <w:rFonts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0" w:type="dxa"/>
            <w:tcBorders>
              <w:top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771" w:type="dxa"/>
            <w:tcBorders>
              <w:top w:val="single" w:color="auto" w:sz="4" w:space="0"/>
              <w:left w:val="single" w:color="auto" w:sz="4" w:space="0"/>
              <w:bottom w:val="single" w:color="auto" w:sz="4" w:space="0"/>
            </w:tcBorders>
            <w:vAlign w:val="center"/>
          </w:tcPr>
          <w:p>
            <w:pPr>
              <w:jc w:val="center"/>
              <w:rPr>
                <w:rFonts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0" w:type="dxa"/>
            <w:tcBorders>
              <w:top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771" w:type="dxa"/>
            <w:tcBorders>
              <w:top w:val="single" w:color="auto" w:sz="4" w:space="0"/>
              <w:left w:val="single" w:color="auto" w:sz="4" w:space="0"/>
              <w:bottom w:val="single" w:color="auto" w:sz="4" w:space="0"/>
            </w:tcBorders>
            <w:vAlign w:val="center"/>
          </w:tcPr>
          <w:p>
            <w:pPr>
              <w:jc w:val="center"/>
              <w:rPr>
                <w:rFonts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0" w:type="dxa"/>
            <w:tcBorders>
              <w:top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771" w:type="dxa"/>
            <w:tcBorders>
              <w:top w:val="single" w:color="auto" w:sz="4" w:space="0"/>
              <w:left w:val="single" w:color="auto" w:sz="4" w:space="0"/>
              <w:bottom w:val="single" w:color="auto" w:sz="4" w:space="0"/>
            </w:tcBorders>
            <w:vAlign w:val="center"/>
          </w:tcPr>
          <w:p>
            <w:pPr>
              <w:jc w:val="center"/>
              <w:rPr>
                <w:rFonts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0" w:type="dxa"/>
            <w:tcBorders>
              <w:top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771" w:type="dxa"/>
            <w:tcBorders>
              <w:top w:val="single" w:color="auto" w:sz="4" w:space="0"/>
              <w:left w:val="single" w:color="auto" w:sz="4" w:space="0"/>
              <w:bottom w:val="single" w:color="auto" w:sz="4" w:space="0"/>
            </w:tcBorders>
            <w:vAlign w:val="center"/>
          </w:tcPr>
          <w:p>
            <w:pPr>
              <w:jc w:val="center"/>
              <w:rPr>
                <w:rFonts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0" w:type="dxa"/>
            <w:tcBorders>
              <w:top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771" w:type="dxa"/>
            <w:tcBorders>
              <w:top w:val="single" w:color="auto" w:sz="4" w:space="0"/>
              <w:left w:val="single" w:color="auto" w:sz="4" w:space="0"/>
              <w:bottom w:val="single" w:color="auto" w:sz="4" w:space="0"/>
            </w:tcBorders>
            <w:vAlign w:val="center"/>
          </w:tcPr>
          <w:p>
            <w:pPr>
              <w:jc w:val="center"/>
              <w:rPr>
                <w:rFonts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0" w:type="dxa"/>
            <w:tcBorders>
              <w:top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771" w:type="dxa"/>
            <w:tcBorders>
              <w:top w:val="single" w:color="auto" w:sz="4" w:space="0"/>
              <w:left w:val="single" w:color="auto" w:sz="4" w:space="0"/>
              <w:bottom w:val="single" w:color="auto" w:sz="4" w:space="0"/>
            </w:tcBorders>
            <w:vAlign w:val="center"/>
          </w:tcPr>
          <w:p>
            <w:pPr>
              <w:jc w:val="center"/>
              <w:rPr>
                <w:rFonts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0" w:type="dxa"/>
            <w:tcBorders>
              <w:top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771" w:type="dxa"/>
            <w:tcBorders>
              <w:top w:val="single" w:color="auto" w:sz="4" w:space="0"/>
              <w:left w:val="single" w:color="auto" w:sz="4" w:space="0"/>
              <w:bottom w:val="single" w:color="auto" w:sz="4" w:space="0"/>
            </w:tcBorders>
            <w:vAlign w:val="center"/>
          </w:tcPr>
          <w:p>
            <w:pPr>
              <w:jc w:val="center"/>
              <w:rPr>
                <w:rFonts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0" w:type="dxa"/>
            <w:tcBorders>
              <w:top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0"/>
                <w:highlight w:val="none"/>
              </w:rPr>
            </w:pPr>
          </w:p>
        </w:tc>
        <w:tc>
          <w:tcPr>
            <w:tcW w:w="1771" w:type="dxa"/>
            <w:tcBorders>
              <w:top w:val="single" w:color="auto" w:sz="4" w:space="0"/>
              <w:left w:val="single" w:color="auto" w:sz="4" w:space="0"/>
              <w:bottom w:val="single" w:color="auto" w:sz="4" w:space="0"/>
            </w:tcBorders>
            <w:vAlign w:val="center"/>
          </w:tcPr>
          <w:p>
            <w:pPr>
              <w:jc w:val="center"/>
              <w:rPr>
                <w:rFonts w:ascii="宋体" w:hAnsi="宋体" w:cs="宋体"/>
                <w:color w:val="auto"/>
                <w:sz w:val="24"/>
                <w:szCs w:val="20"/>
                <w:highlight w:val="none"/>
              </w:rPr>
            </w:pPr>
          </w:p>
        </w:tc>
      </w:tr>
    </w:tbl>
    <w:p>
      <w:pPr>
        <w:spacing w:line="360" w:lineRule="auto"/>
        <w:rPr>
          <w:rFonts w:ascii="宋体" w:hAnsi="宋体" w:cs="宋体"/>
          <w:color w:val="auto"/>
          <w:spacing w:val="-6"/>
          <w:sz w:val="24"/>
          <w:highlight w:val="none"/>
        </w:rPr>
      </w:pPr>
    </w:p>
    <w:p>
      <w:pPr>
        <w:spacing w:line="360" w:lineRule="auto"/>
        <w:rPr>
          <w:rFonts w:ascii="宋体" w:hAnsi="宋体" w:cs="宋体"/>
          <w:color w:val="auto"/>
          <w:spacing w:val="-6"/>
          <w:sz w:val="24"/>
          <w:highlight w:val="none"/>
        </w:rPr>
      </w:pPr>
    </w:p>
    <w:p>
      <w:pPr>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响应方全称（加盖公章）：</w:t>
      </w:r>
    </w:p>
    <w:p>
      <w:pPr>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全权代表签字：</w:t>
      </w:r>
    </w:p>
    <w:p>
      <w:pPr>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日期：</w:t>
      </w:r>
    </w:p>
    <w:p>
      <w:pPr>
        <w:rPr>
          <w:rFonts w:ascii="宋体" w:hAnsi="宋体" w:cs="宋体"/>
          <w:color w:val="auto"/>
          <w:highlight w:val="none"/>
        </w:rPr>
      </w:pPr>
    </w:p>
    <w:p>
      <w:pPr>
        <w:rPr>
          <w:rFonts w:ascii="宋体" w:hAnsi="宋体" w:cs="宋体"/>
          <w:color w:val="auto"/>
          <w:highlight w:val="none"/>
        </w:rPr>
        <w:sectPr>
          <w:pgSz w:w="11900" w:h="16838"/>
          <w:pgMar w:top="1440" w:right="1440" w:bottom="158" w:left="1440" w:header="567" w:footer="567" w:gutter="0"/>
          <w:cols w:equalWidth="0" w:num="1">
            <w:col w:w="9026"/>
          </w:cols>
        </w:sectPr>
      </w:pPr>
    </w:p>
    <w:p>
      <w:pPr>
        <w:ind w:left="363"/>
        <w:rPr>
          <w:rFonts w:ascii="宋体" w:hAnsi="宋体" w:cs="宋体"/>
          <w:b/>
          <w:bCs/>
          <w:color w:val="auto"/>
          <w:sz w:val="28"/>
          <w:szCs w:val="28"/>
          <w:highlight w:val="none"/>
        </w:rPr>
      </w:pPr>
      <w:bookmarkStart w:id="170" w:name="page83"/>
      <w:bookmarkEnd w:id="170"/>
      <w:r>
        <w:rPr>
          <w:rFonts w:hint="eastAsia" w:ascii="宋体" w:hAnsi="宋体" w:cs="宋体"/>
          <w:b/>
          <w:bCs/>
          <w:color w:val="auto"/>
          <w:sz w:val="28"/>
          <w:szCs w:val="28"/>
          <w:highlight w:val="none"/>
        </w:rPr>
        <w:t>技术文件</w:t>
      </w:r>
    </w:p>
    <w:p>
      <w:pPr>
        <w:jc w:val="both"/>
        <w:rPr>
          <w:rFonts w:ascii="宋体" w:hAnsi="宋体" w:cs="宋体"/>
          <w:b/>
          <w:bCs/>
          <w:color w:val="auto"/>
          <w:sz w:val="28"/>
          <w:szCs w:val="28"/>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（1）施工方案；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（2）质量保证措施；</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（3）拟投入的主要施工机械设备情况、主要施工机械计划；</w:t>
      </w:r>
    </w:p>
    <w:p>
      <w:pPr>
        <w:spacing w:line="360" w:lineRule="auto"/>
        <w:ind w:firstLine="396"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（4）工期承诺、进度控制措施及施工质量控制措施；</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（5）投入本项目的工程技术管理人员的专业配置情况；附表三、附表四、附表五</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（6）关键工序、复杂环节的相应技术措施；</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（7）安全文明施工保证措施；</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（8）材料设备进场计划及施工计划情况；</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（9）应急处置方案及售后服务；</w:t>
      </w:r>
    </w:p>
    <w:p>
      <w:pPr>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（10）主要材料品牌表；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（11）供应商认为需要提供的资料。</w:t>
      </w:r>
    </w:p>
    <w:p>
      <w:pPr>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采用文字表述外可附下列图表，图表及格式要求附后，没有图表的可格式自拟。</w:t>
      </w:r>
    </w:p>
    <w:p>
      <w:pPr>
        <w:spacing w:line="360" w:lineRule="auto"/>
        <w:ind w:firstLine="420" w:firstLineChars="200"/>
        <w:outlineLvl w:val="0"/>
        <w:rPr>
          <w:rFonts w:ascii="宋体" w:hAnsi="宋体" w:cs="宋体"/>
          <w:color w:val="auto"/>
          <w:szCs w:val="21"/>
          <w:highlight w:val="none"/>
        </w:rPr>
      </w:pPr>
      <w:bookmarkStart w:id="171" w:name="_Toc12163"/>
      <w:r>
        <w:rPr>
          <w:rFonts w:hint="eastAsia" w:ascii="宋体" w:hAnsi="宋体" w:cs="宋体"/>
          <w:color w:val="auto"/>
          <w:szCs w:val="21"/>
          <w:highlight w:val="none"/>
        </w:rPr>
        <w:t>附表一  拟投入的主要施工设备表</w:t>
      </w:r>
      <w:bookmarkEnd w:id="171"/>
    </w:p>
    <w:p>
      <w:pPr>
        <w:spacing w:line="360" w:lineRule="auto"/>
        <w:ind w:firstLine="420" w:firstLineChars="200"/>
        <w:outlineLvl w:val="0"/>
        <w:rPr>
          <w:rFonts w:ascii="宋体" w:hAnsi="宋体" w:cs="宋体"/>
          <w:color w:val="auto"/>
          <w:szCs w:val="21"/>
          <w:highlight w:val="none"/>
        </w:rPr>
      </w:pPr>
      <w:bookmarkStart w:id="172" w:name="_Toc16569"/>
      <w:r>
        <w:rPr>
          <w:rFonts w:hint="eastAsia" w:ascii="宋体" w:hAnsi="宋体" w:cs="宋体"/>
          <w:color w:val="auto"/>
          <w:szCs w:val="21"/>
          <w:highlight w:val="none"/>
        </w:rPr>
        <w:t>附表二  拟配备的试验和检测仪器设备表</w:t>
      </w:r>
      <w:bookmarkEnd w:id="172"/>
    </w:p>
    <w:p>
      <w:pPr>
        <w:spacing w:line="360" w:lineRule="auto"/>
        <w:ind w:firstLine="420" w:firstLineChars="200"/>
        <w:outlineLvl w:val="0"/>
        <w:rPr>
          <w:rFonts w:ascii="宋体" w:hAnsi="宋体" w:cs="宋体"/>
          <w:color w:val="auto"/>
          <w:szCs w:val="21"/>
          <w:highlight w:val="none"/>
        </w:rPr>
      </w:pPr>
      <w:bookmarkStart w:id="173" w:name="_Toc17712"/>
      <w:r>
        <w:rPr>
          <w:rFonts w:hint="eastAsia" w:ascii="宋体" w:hAnsi="宋体" w:cs="宋体"/>
          <w:color w:val="auto"/>
          <w:szCs w:val="21"/>
          <w:highlight w:val="none"/>
        </w:rPr>
        <w:t>附表三  项目管理班子配备情况表</w:t>
      </w:r>
      <w:bookmarkEnd w:id="173"/>
    </w:p>
    <w:p>
      <w:pPr>
        <w:spacing w:line="360" w:lineRule="auto"/>
        <w:ind w:firstLine="420" w:firstLineChars="200"/>
        <w:outlineLvl w:val="0"/>
        <w:rPr>
          <w:rFonts w:ascii="宋体" w:hAnsi="宋体" w:cs="宋体"/>
          <w:color w:val="auto"/>
          <w:szCs w:val="21"/>
          <w:highlight w:val="none"/>
        </w:rPr>
      </w:pPr>
      <w:bookmarkStart w:id="174" w:name="_Toc8498"/>
      <w:r>
        <w:rPr>
          <w:rFonts w:hint="eastAsia" w:ascii="宋体" w:hAnsi="宋体" w:cs="宋体"/>
          <w:color w:val="auto"/>
          <w:szCs w:val="21"/>
          <w:highlight w:val="none"/>
        </w:rPr>
        <w:t>附表四、项目经理简历表</w:t>
      </w:r>
      <w:bookmarkEnd w:id="174"/>
    </w:p>
    <w:p>
      <w:pPr>
        <w:spacing w:line="360" w:lineRule="auto"/>
        <w:ind w:firstLine="420" w:firstLineChars="200"/>
        <w:outlineLvl w:val="0"/>
        <w:rPr>
          <w:rFonts w:ascii="宋体" w:hAnsi="宋体" w:cs="宋体"/>
          <w:color w:val="auto"/>
          <w:szCs w:val="21"/>
          <w:highlight w:val="none"/>
        </w:rPr>
      </w:pPr>
      <w:bookmarkStart w:id="175" w:name="_Toc23531"/>
      <w:r>
        <w:rPr>
          <w:rFonts w:hint="eastAsia" w:ascii="宋体" w:hAnsi="宋体" w:cs="宋体"/>
          <w:color w:val="auto"/>
          <w:szCs w:val="21"/>
          <w:highlight w:val="none"/>
        </w:rPr>
        <w:t>附表五、技术负责人简历表</w:t>
      </w:r>
      <w:bookmarkEnd w:id="175"/>
    </w:p>
    <w:p>
      <w:pPr>
        <w:spacing w:line="360" w:lineRule="auto"/>
        <w:ind w:firstLine="420" w:firstLineChars="200"/>
        <w:outlineLvl w:val="0"/>
        <w:rPr>
          <w:rFonts w:ascii="宋体" w:hAnsi="宋体" w:cs="宋体"/>
          <w:color w:val="auto"/>
          <w:szCs w:val="21"/>
          <w:highlight w:val="none"/>
        </w:rPr>
      </w:pPr>
      <w:bookmarkStart w:id="176" w:name="_Toc24245"/>
      <w:r>
        <w:rPr>
          <w:rFonts w:hint="eastAsia" w:ascii="宋体" w:hAnsi="宋体" w:cs="宋体"/>
          <w:color w:val="auto"/>
          <w:szCs w:val="21"/>
          <w:highlight w:val="none"/>
        </w:rPr>
        <w:t>附表六、劳动力计划表</w:t>
      </w:r>
      <w:bookmarkEnd w:id="176"/>
    </w:p>
    <w:p>
      <w:pPr>
        <w:spacing w:line="200" w:lineRule="exact"/>
        <w:rPr>
          <w:rFonts w:ascii="宋体" w:hAnsi="宋体" w:cs="宋体"/>
          <w:color w:val="auto"/>
          <w:sz w:val="20"/>
          <w:szCs w:val="20"/>
          <w:highlight w:val="none"/>
        </w:rPr>
      </w:pPr>
    </w:p>
    <w:p>
      <w:pPr>
        <w:rPr>
          <w:rFonts w:ascii="宋体" w:hAnsi="宋体" w:cs="宋体"/>
          <w:color w:val="auto"/>
          <w:highlight w:val="none"/>
        </w:rPr>
        <w:sectPr>
          <w:pgSz w:w="11900" w:h="16838"/>
          <w:pgMar w:top="1440" w:right="1440" w:bottom="158" w:left="1440" w:header="567" w:footer="567" w:gutter="0"/>
          <w:cols w:equalWidth="0" w:num="1">
            <w:col w:w="9026"/>
          </w:cols>
        </w:sectPr>
      </w:pPr>
    </w:p>
    <w:p>
      <w:pPr>
        <w:tabs>
          <w:tab w:val="left" w:pos="720"/>
        </w:tabs>
        <w:spacing w:line="360" w:lineRule="auto"/>
        <w:outlineLvl w:val="0"/>
        <w:rPr>
          <w:rFonts w:ascii="宋体" w:hAnsi="宋体" w:cs="宋体"/>
          <w:b/>
          <w:color w:val="auto"/>
          <w:sz w:val="24"/>
          <w:szCs w:val="24"/>
          <w:highlight w:val="none"/>
        </w:rPr>
      </w:pPr>
      <w:bookmarkStart w:id="177" w:name="page84"/>
      <w:bookmarkEnd w:id="177"/>
      <w:bookmarkStart w:id="178" w:name="_Toc10701_WPSOffice_Level2"/>
      <w:bookmarkStart w:id="179" w:name="_Toc28261_WPSOffice_Level2"/>
      <w:bookmarkStart w:id="180" w:name="_Toc8165"/>
      <w:bookmarkStart w:id="181" w:name="_Toc10163_WPSOffice_Level2"/>
      <w:r>
        <w:rPr>
          <w:rFonts w:hint="eastAsia" w:ascii="宋体" w:hAnsi="宋体" w:cs="宋体"/>
          <w:b/>
          <w:color w:val="auto"/>
          <w:sz w:val="24"/>
          <w:szCs w:val="24"/>
          <w:highlight w:val="none"/>
        </w:rPr>
        <w:t>附表一：拟投入的主要施工设备表</w:t>
      </w:r>
      <w:bookmarkEnd w:id="178"/>
      <w:bookmarkEnd w:id="179"/>
      <w:bookmarkEnd w:id="180"/>
      <w:bookmarkEnd w:id="181"/>
    </w:p>
    <w:tbl>
      <w:tblPr>
        <w:tblStyle w:val="19"/>
        <w:tblW w:w="96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925"/>
        <w:gridCol w:w="926"/>
        <w:gridCol w:w="926"/>
        <w:gridCol w:w="926"/>
        <w:gridCol w:w="928"/>
        <w:gridCol w:w="947"/>
        <w:gridCol w:w="928"/>
        <w:gridCol w:w="1285"/>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925" w:type="dxa"/>
            <w:vAlign w:val="center"/>
          </w:tcPr>
          <w:p>
            <w:pPr>
              <w:tabs>
                <w:tab w:val="left" w:pos="720"/>
              </w:tabs>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925" w:type="dxa"/>
            <w:vAlign w:val="center"/>
          </w:tcPr>
          <w:p>
            <w:pPr>
              <w:tabs>
                <w:tab w:val="left" w:pos="720"/>
              </w:tabs>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设备</w:t>
            </w:r>
          </w:p>
          <w:p>
            <w:pPr>
              <w:tabs>
                <w:tab w:val="left" w:pos="720"/>
              </w:tabs>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名称</w:t>
            </w:r>
          </w:p>
        </w:tc>
        <w:tc>
          <w:tcPr>
            <w:tcW w:w="926" w:type="dxa"/>
            <w:vAlign w:val="center"/>
          </w:tcPr>
          <w:p>
            <w:pPr>
              <w:tabs>
                <w:tab w:val="left" w:pos="720"/>
              </w:tabs>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型号</w:t>
            </w:r>
          </w:p>
          <w:p>
            <w:pPr>
              <w:tabs>
                <w:tab w:val="left" w:pos="720"/>
              </w:tabs>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规格</w:t>
            </w:r>
          </w:p>
        </w:tc>
        <w:tc>
          <w:tcPr>
            <w:tcW w:w="926" w:type="dxa"/>
            <w:vAlign w:val="center"/>
          </w:tcPr>
          <w:p>
            <w:pPr>
              <w:tabs>
                <w:tab w:val="left" w:pos="720"/>
              </w:tabs>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926" w:type="dxa"/>
            <w:vAlign w:val="center"/>
          </w:tcPr>
          <w:p>
            <w:pPr>
              <w:tabs>
                <w:tab w:val="left" w:pos="720"/>
              </w:tabs>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国别</w:t>
            </w:r>
          </w:p>
          <w:p>
            <w:pPr>
              <w:tabs>
                <w:tab w:val="left" w:pos="720"/>
              </w:tabs>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产地</w:t>
            </w:r>
          </w:p>
        </w:tc>
        <w:tc>
          <w:tcPr>
            <w:tcW w:w="928" w:type="dxa"/>
            <w:vAlign w:val="center"/>
          </w:tcPr>
          <w:p>
            <w:pPr>
              <w:tabs>
                <w:tab w:val="left" w:pos="720"/>
              </w:tabs>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制造</w:t>
            </w:r>
          </w:p>
          <w:p>
            <w:pPr>
              <w:tabs>
                <w:tab w:val="left" w:pos="720"/>
              </w:tabs>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年份</w:t>
            </w:r>
          </w:p>
        </w:tc>
        <w:tc>
          <w:tcPr>
            <w:tcW w:w="947" w:type="dxa"/>
            <w:vAlign w:val="center"/>
          </w:tcPr>
          <w:p>
            <w:pPr>
              <w:tabs>
                <w:tab w:val="left" w:pos="720"/>
              </w:tabs>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额定功率（KW）</w:t>
            </w:r>
          </w:p>
        </w:tc>
        <w:tc>
          <w:tcPr>
            <w:tcW w:w="928" w:type="dxa"/>
            <w:vAlign w:val="center"/>
          </w:tcPr>
          <w:p>
            <w:pPr>
              <w:tabs>
                <w:tab w:val="left" w:pos="720"/>
              </w:tabs>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生产</w:t>
            </w:r>
          </w:p>
          <w:p>
            <w:pPr>
              <w:tabs>
                <w:tab w:val="left" w:pos="720"/>
              </w:tabs>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能力</w:t>
            </w:r>
          </w:p>
        </w:tc>
        <w:tc>
          <w:tcPr>
            <w:tcW w:w="1285" w:type="dxa"/>
            <w:vAlign w:val="center"/>
          </w:tcPr>
          <w:p>
            <w:pPr>
              <w:tabs>
                <w:tab w:val="left" w:pos="720"/>
              </w:tabs>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用于施工部位</w:t>
            </w:r>
          </w:p>
        </w:tc>
        <w:tc>
          <w:tcPr>
            <w:tcW w:w="928" w:type="dxa"/>
            <w:vAlign w:val="center"/>
          </w:tcPr>
          <w:p>
            <w:pPr>
              <w:tabs>
                <w:tab w:val="left" w:pos="720"/>
              </w:tabs>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5" w:type="dxa"/>
            <w:vAlign w:val="center"/>
          </w:tcPr>
          <w:p>
            <w:pPr>
              <w:spacing w:line="440" w:lineRule="exact"/>
              <w:jc w:val="center"/>
              <w:rPr>
                <w:rFonts w:ascii="宋体" w:hAnsi="宋体" w:cs="宋体"/>
                <w:color w:val="auto"/>
                <w:szCs w:val="21"/>
                <w:highlight w:val="none"/>
              </w:rPr>
            </w:pPr>
          </w:p>
        </w:tc>
        <w:tc>
          <w:tcPr>
            <w:tcW w:w="925" w:type="dxa"/>
            <w:vAlign w:val="center"/>
          </w:tcPr>
          <w:p>
            <w:pPr>
              <w:spacing w:line="440" w:lineRule="exact"/>
              <w:jc w:val="center"/>
              <w:rPr>
                <w:rFonts w:ascii="宋体" w:hAnsi="宋体" w:cs="宋体"/>
                <w:color w:val="auto"/>
                <w:szCs w:val="21"/>
                <w:highlight w:val="none"/>
              </w:rPr>
            </w:pPr>
          </w:p>
        </w:tc>
        <w:tc>
          <w:tcPr>
            <w:tcW w:w="926" w:type="dxa"/>
            <w:vAlign w:val="center"/>
          </w:tcPr>
          <w:p>
            <w:pPr>
              <w:spacing w:line="440" w:lineRule="exact"/>
              <w:jc w:val="center"/>
              <w:rPr>
                <w:rFonts w:ascii="宋体" w:hAnsi="宋体" w:cs="宋体"/>
                <w:color w:val="auto"/>
                <w:szCs w:val="21"/>
                <w:highlight w:val="none"/>
              </w:rPr>
            </w:pPr>
          </w:p>
        </w:tc>
        <w:tc>
          <w:tcPr>
            <w:tcW w:w="926" w:type="dxa"/>
            <w:vAlign w:val="center"/>
          </w:tcPr>
          <w:p>
            <w:pPr>
              <w:spacing w:line="440" w:lineRule="exact"/>
              <w:jc w:val="center"/>
              <w:rPr>
                <w:rFonts w:ascii="宋体" w:hAnsi="宋体" w:cs="宋体"/>
                <w:color w:val="auto"/>
                <w:szCs w:val="21"/>
                <w:highlight w:val="none"/>
              </w:rPr>
            </w:pPr>
          </w:p>
        </w:tc>
        <w:tc>
          <w:tcPr>
            <w:tcW w:w="926" w:type="dxa"/>
            <w:vAlign w:val="center"/>
          </w:tcPr>
          <w:p>
            <w:pPr>
              <w:spacing w:line="440" w:lineRule="exact"/>
              <w:jc w:val="center"/>
              <w:rPr>
                <w:rFonts w:ascii="宋体" w:hAnsi="宋体" w:cs="宋体"/>
                <w:color w:val="auto"/>
                <w:szCs w:val="21"/>
                <w:highlight w:val="none"/>
              </w:rPr>
            </w:pPr>
          </w:p>
        </w:tc>
        <w:tc>
          <w:tcPr>
            <w:tcW w:w="928" w:type="dxa"/>
            <w:vAlign w:val="center"/>
          </w:tcPr>
          <w:p>
            <w:pPr>
              <w:spacing w:line="440" w:lineRule="exact"/>
              <w:jc w:val="center"/>
              <w:rPr>
                <w:rFonts w:ascii="宋体" w:hAnsi="宋体" w:cs="宋体"/>
                <w:color w:val="auto"/>
                <w:szCs w:val="21"/>
                <w:highlight w:val="none"/>
              </w:rPr>
            </w:pPr>
          </w:p>
        </w:tc>
        <w:tc>
          <w:tcPr>
            <w:tcW w:w="947" w:type="dxa"/>
            <w:vAlign w:val="center"/>
          </w:tcPr>
          <w:p>
            <w:pPr>
              <w:spacing w:line="440" w:lineRule="exact"/>
              <w:jc w:val="center"/>
              <w:rPr>
                <w:rFonts w:ascii="宋体" w:hAnsi="宋体" w:cs="宋体"/>
                <w:color w:val="auto"/>
                <w:szCs w:val="21"/>
                <w:highlight w:val="none"/>
              </w:rPr>
            </w:pPr>
          </w:p>
        </w:tc>
        <w:tc>
          <w:tcPr>
            <w:tcW w:w="928" w:type="dxa"/>
            <w:vAlign w:val="center"/>
          </w:tcPr>
          <w:p>
            <w:pPr>
              <w:spacing w:line="440" w:lineRule="exact"/>
              <w:jc w:val="center"/>
              <w:rPr>
                <w:rFonts w:ascii="宋体" w:hAnsi="宋体" w:cs="宋体"/>
                <w:color w:val="auto"/>
                <w:szCs w:val="21"/>
                <w:highlight w:val="none"/>
              </w:rPr>
            </w:pPr>
          </w:p>
        </w:tc>
        <w:tc>
          <w:tcPr>
            <w:tcW w:w="1285" w:type="dxa"/>
            <w:vAlign w:val="center"/>
          </w:tcPr>
          <w:p>
            <w:pPr>
              <w:spacing w:line="440" w:lineRule="exact"/>
              <w:jc w:val="center"/>
              <w:rPr>
                <w:rFonts w:ascii="宋体" w:hAnsi="宋体" w:cs="宋体"/>
                <w:color w:val="auto"/>
                <w:szCs w:val="21"/>
                <w:highlight w:val="none"/>
              </w:rPr>
            </w:pPr>
          </w:p>
        </w:tc>
        <w:tc>
          <w:tcPr>
            <w:tcW w:w="928" w:type="dxa"/>
            <w:vAlign w:val="center"/>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5" w:type="dxa"/>
            <w:vAlign w:val="center"/>
          </w:tcPr>
          <w:p>
            <w:pPr>
              <w:spacing w:line="440" w:lineRule="exact"/>
              <w:jc w:val="center"/>
              <w:rPr>
                <w:rFonts w:ascii="宋体" w:hAnsi="宋体" w:cs="宋体"/>
                <w:color w:val="auto"/>
                <w:szCs w:val="21"/>
                <w:highlight w:val="none"/>
              </w:rPr>
            </w:pPr>
          </w:p>
        </w:tc>
        <w:tc>
          <w:tcPr>
            <w:tcW w:w="925" w:type="dxa"/>
            <w:vAlign w:val="center"/>
          </w:tcPr>
          <w:p>
            <w:pPr>
              <w:spacing w:line="440" w:lineRule="exact"/>
              <w:jc w:val="center"/>
              <w:rPr>
                <w:rFonts w:ascii="宋体" w:hAnsi="宋体" w:cs="宋体"/>
                <w:color w:val="auto"/>
                <w:szCs w:val="21"/>
                <w:highlight w:val="none"/>
              </w:rPr>
            </w:pPr>
          </w:p>
        </w:tc>
        <w:tc>
          <w:tcPr>
            <w:tcW w:w="926" w:type="dxa"/>
            <w:vAlign w:val="center"/>
          </w:tcPr>
          <w:p>
            <w:pPr>
              <w:spacing w:line="440" w:lineRule="exact"/>
              <w:jc w:val="center"/>
              <w:rPr>
                <w:rFonts w:ascii="宋体" w:hAnsi="宋体" w:cs="宋体"/>
                <w:color w:val="auto"/>
                <w:szCs w:val="21"/>
                <w:highlight w:val="none"/>
              </w:rPr>
            </w:pPr>
          </w:p>
        </w:tc>
        <w:tc>
          <w:tcPr>
            <w:tcW w:w="926" w:type="dxa"/>
            <w:vAlign w:val="center"/>
          </w:tcPr>
          <w:p>
            <w:pPr>
              <w:spacing w:line="440" w:lineRule="exact"/>
              <w:jc w:val="center"/>
              <w:rPr>
                <w:rFonts w:ascii="宋体" w:hAnsi="宋体" w:cs="宋体"/>
                <w:color w:val="auto"/>
                <w:szCs w:val="21"/>
                <w:highlight w:val="none"/>
              </w:rPr>
            </w:pPr>
          </w:p>
        </w:tc>
        <w:tc>
          <w:tcPr>
            <w:tcW w:w="926" w:type="dxa"/>
            <w:vAlign w:val="center"/>
          </w:tcPr>
          <w:p>
            <w:pPr>
              <w:spacing w:line="440" w:lineRule="exact"/>
              <w:jc w:val="center"/>
              <w:rPr>
                <w:rFonts w:ascii="宋体" w:hAnsi="宋体" w:cs="宋体"/>
                <w:color w:val="auto"/>
                <w:szCs w:val="21"/>
                <w:highlight w:val="none"/>
              </w:rPr>
            </w:pPr>
          </w:p>
        </w:tc>
        <w:tc>
          <w:tcPr>
            <w:tcW w:w="928" w:type="dxa"/>
            <w:vAlign w:val="center"/>
          </w:tcPr>
          <w:p>
            <w:pPr>
              <w:spacing w:line="440" w:lineRule="exact"/>
              <w:jc w:val="center"/>
              <w:rPr>
                <w:rFonts w:ascii="宋体" w:hAnsi="宋体" w:cs="宋体"/>
                <w:color w:val="auto"/>
                <w:szCs w:val="21"/>
                <w:highlight w:val="none"/>
              </w:rPr>
            </w:pPr>
          </w:p>
        </w:tc>
        <w:tc>
          <w:tcPr>
            <w:tcW w:w="947" w:type="dxa"/>
            <w:vAlign w:val="center"/>
          </w:tcPr>
          <w:p>
            <w:pPr>
              <w:spacing w:line="440" w:lineRule="exact"/>
              <w:jc w:val="center"/>
              <w:rPr>
                <w:rFonts w:ascii="宋体" w:hAnsi="宋体" w:cs="宋体"/>
                <w:color w:val="auto"/>
                <w:szCs w:val="21"/>
                <w:highlight w:val="none"/>
              </w:rPr>
            </w:pPr>
          </w:p>
        </w:tc>
        <w:tc>
          <w:tcPr>
            <w:tcW w:w="928" w:type="dxa"/>
            <w:vAlign w:val="center"/>
          </w:tcPr>
          <w:p>
            <w:pPr>
              <w:spacing w:line="440" w:lineRule="exact"/>
              <w:jc w:val="center"/>
              <w:rPr>
                <w:rFonts w:ascii="宋体" w:hAnsi="宋体" w:cs="宋体"/>
                <w:color w:val="auto"/>
                <w:szCs w:val="21"/>
                <w:highlight w:val="none"/>
              </w:rPr>
            </w:pPr>
          </w:p>
        </w:tc>
        <w:tc>
          <w:tcPr>
            <w:tcW w:w="1285" w:type="dxa"/>
            <w:vAlign w:val="center"/>
          </w:tcPr>
          <w:p>
            <w:pPr>
              <w:spacing w:line="440" w:lineRule="exact"/>
              <w:jc w:val="center"/>
              <w:rPr>
                <w:rFonts w:ascii="宋体" w:hAnsi="宋体" w:cs="宋体"/>
                <w:color w:val="auto"/>
                <w:szCs w:val="21"/>
                <w:highlight w:val="none"/>
              </w:rPr>
            </w:pPr>
          </w:p>
        </w:tc>
        <w:tc>
          <w:tcPr>
            <w:tcW w:w="928" w:type="dxa"/>
            <w:vAlign w:val="center"/>
          </w:tcPr>
          <w:p>
            <w:pPr>
              <w:spacing w:line="440" w:lineRule="exact"/>
              <w:jc w:val="center"/>
              <w:rPr>
                <w:rFonts w:ascii="宋体" w:hAnsi="宋体" w:cs="宋体"/>
                <w:color w:val="auto"/>
                <w:szCs w:val="21"/>
                <w:highlight w:val="none"/>
              </w:rPr>
            </w:pPr>
          </w:p>
        </w:tc>
      </w:tr>
    </w:tbl>
    <w:p>
      <w:pPr>
        <w:tabs>
          <w:tab w:val="left" w:pos="720"/>
        </w:tabs>
        <w:spacing w:line="360" w:lineRule="auto"/>
        <w:rPr>
          <w:rFonts w:ascii="宋体" w:hAnsi="宋体" w:cs="宋体"/>
          <w:b/>
          <w:color w:val="auto"/>
          <w:sz w:val="24"/>
          <w:szCs w:val="24"/>
          <w:highlight w:val="none"/>
        </w:rPr>
      </w:pPr>
    </w:p>
    <w:p>
      <w:pPr>
        <w:tabs>
          <w:tab w:val="left" w:pos="720"/>
        </w:tabs>
        <w:spacing w:line="360" w:lineRule="auto"/>
        <w:outlineLvl w:val="0"/>
        <w:rPr>
          <w:rFonts w:ascii="宋体" w:hAnsi="宋体" w:cs="宋体"/>
          <w:b/>
          <w:color w:val="auto"/>
          <w:sz w:val="24"/>
          <w:szCs w:val="24"/>
          <w:highlight w:val="none"/>
        </w:rPr>
      </w:pPr>
      <w:bookmarkStart w:id="182" w:name="_Toc152042587"/>
      <w:bookmarkStart w:id="183" w:name="_Toc6235"/>
      <w:bookmarkStart w:id="184" w:name="_Toc23274_WPSOffice_Level2"/>
      <w:bookmarkStart w:id="185" w:name="_Toc144974866"/>
      <w:bookmarkStart w:id="186" w:name="_Toc179632818"/>
      <w:bookmarkStart w:id="187" w:name="_Toc246392156"/>
      <w:bookmarkStart w:id="188" w:name="_Toc1034_WPSOffice_Level2"/>
      <w:bookmarkStart w:id="189" w:name="_Toc152045798"/>
      <w:bookmarkStart w:id="190" w:name="_Toc15617_WPSOffice_Level2"/>
      <w:r>
        <w:rPr>
          <w:rFonts w:hint="eastAsia" w:ascii="宋体" w:hAnsi="宋体" w:cs="宋体"/>
          <w:b/>
          <w:color w:val="auto"/>
          <w:sz w:val="24"/>
          <w:szCs w:val="24"/>
          <w:highlight w:val="none"/>
        </w:rPr>
        <w:t>附表二：拟配备的试验和检测仪器设备表</w:t>
      </w:r>
      <w:bookmarkEnd w:id="182"/>
      <w:bookmarkEnd w:id="183"/>
      <w:bookmarkEnd w:id="184"/>
      <w:bookmarkEnd w:id="185"/>
      <w:bookmarkEnd w:id="186"/>
      <w:bookmarkEnd w:id="187"/>
      <w:bookmarkEnd w:id="188"/>
      <w:bookmarkEnd w:id="189"/>
      <w:bookmarkEnd w:id="190"/>
    </w:p>
    <w:tbl>
      <w:tblPr>
        <w:tblStyle w:val="19"/>
        <w:tblW w:w="9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252"/>
        <w:gridCol w:w="1062"/>
        <w:gridCol w:w="1144"/>
        <w:gridCol w:w="1045"/>
        <w:gridCol w:w="1039"/>
        <w:gridCol w:w="1221"/>
        <w:gridCol w:w="1223"/>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906" w:type="dxa"/>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252" w:type="dxa"/>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仪器设备名称</w:t>
            </w:r>
          </w:p>
        </w:tc>
        <w:tc>
          <w:tcPr>
            <w:tcW w:w="1062" w:type="dxa"/>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型号</w:t>
            </w:r>
          </w:p>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规格</w:t>
            </w:r>
          </w:p>
        </w:tc>
        <w:tc>
          <w:tcPr>
            <w:tcW w:w="1144" w:type="dxa"/>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1045" w:type="dxa"/>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国别</w:t>
            </w:r>
          </w:p>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产地</w:t>
            </w:r>
          </w:p>
        </w:tc>
        <w:tc>
          <w:tcPr>
            <w:tcW w:w="1039" w:type="dxa"/>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制造</w:t>
            </w:r>
          </w:p>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年份</w:t>
            </w:r>
          </w:p>
        </w:tc>
        <w:tc>
          <w:tcPr>
            <w:tcW w:w="1221" w:type="dxa"/>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已使用</w:t>
            </w:r>
          </w:p>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台时数</w:t>
            </w:r>
          </w:p>
        </w:tc>
        <w:tc>
          <w:tcPr>
            <w:tcW w:w="1223" w:type="dxa"/>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用途</w:t>
            </w:r>
          </w:p>
        </w:tc>
        <w:tc>
          <w:tcPr>
            <w:tcW w:w="784" w:type="dxa"/>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06" w:type="dxa"/>
            <w:vAlign w:val="center"/>
          </w:tcPr>
          <w:p>
            <w:pPr>
              <w:spacing w:line="240" w:lineRule="atLeast"/>
              <w:jc w:val="center"/>
              <w:rPr>
                <w:rFonts w:ascii="宋体" w:hAnsi="宋体" w:cs="宋体"/>
                <w:color w:val="auto"/>
                <w:szCs w:val="21"/>
                <w:highlight w:val="none"/>
              </w:rPr>
            </w:pPr>
          </w:p>
        </w:tc>
        <w:tc>
          <w:tcPr>
            <w:tcW w:w="1252" w:type="dxa"/>
            <w:vAlign w:val="center"/>
          </w:tcPr>
          <w:p>
            <w:pPr>
              <w:spacing w:line="240" w:lineRule="atLeast"/>
              <w:jc w:val="center"/>
              <w:rPr>
                <w:rFonts w:ascii="宋体" w:hAnsi="宋体" w:cs="宋体"/>
                <w:color w:val="auto"/>
                <w:szCs w:val="21"/>
                <w:highlight w:val="none"/>
              </w:rPr>
            </w:pPr>
          </w:p>
        </w:tc>
        <w:tc>
          <w:tcPr>
            <w:tcW w:w="1062" w:type="dxa"/>
            <w:vAlign w:val="center"/>
          </w:tcPr>
          <w:p>
            <w:pPr>
              <w:spacing w:line="240" w:lineRule="atLeast"/>
              <w:jc w:val="center"/>
              <w:rPr>
                <w:rFonts w:ascii="宋体" w:hAnsi="宋体" w:cs="宋体"/>
                <w:color w:val="auto"/>
                <w:szCs w:val="21"/>
                <w:highlight w:val="none"/>
              </w:rPr>
            </w:pPr>
          </w:p>
        </w:tc>
        <w:tc>
          <w:tcPr>
            <w:tcW w:w="1144" w:type="dxa"/>
            <w:vAlign w:val="center"/>
          </w:tcPr>
          <w:p>
            <w:pPr>
              <w:spacing w:line="240" w:lineRule="atLeast"/>
              <w:jc w:val="center"/>
              <w:rPr>
                <w:rFonts w:ascii="宋体" w:hAnsi="宋体" w:cs="宋体"/>
                <w:color w:val="auto"/>
                <w:szCs w:val="21"/>
                <w:highlight w:val="none"/>
              </w:rPr>
            </w:pPr>
          </w:p>
        </w:tc>
        <w:tc>
          <w:tcPr>
            <w:tcW w:w="1045" w:type="dxa"/>
            <w:vAlign w:val="center"/>
          </w:tcPr>
          <w:p>
            <w:pPr>
              <w:spacing w:line="240" w:lineRule="atLeast"/>
              <w:jc w:val="center"/>
              <w:rPr>
                <w:rFonts w:ascii="宋体" w:hAnsi="宋体" w:cs="宋体"/>
                <w:color w:val="auto"/>
                <w:szCs w:val="21"/>
                <w:highlight w:val="none"/>
              </w:rPr>
            </w:pPr>
          </w:p>
        </w:tc>
        <w:tc>
          <w:tcPr>
            <w:tcW w:w="1039" w:type="dxa"/>
            <w:vAlign w:val="center"/>
          </w:tcPr>
          <w:p>
            <w:pPr>
              <w:spacing w:line="240" w:lineRule="atLeast"/>
              <w:jc w:val="center"/>
              <w:rPr>
                <w:rFonts w:ascii="宋体" w:hAnsi="宋体" w:cs="宋体"/>
                <w:color w:val="auto"/>
                <w:szCs w:val="21"/>
                <w:highlight w:val="none"/>
              </w:rPr>
            </w:pPr>
          </w:p>
        </w:tc>
        <w:tc>
          <w:tcPr>
            <w:tcW w:w="1221" w:type="dxa"/>
            <w:vAlign w:val="center"/>
          </w:tcPr>
          <w:p>
            <w:pPr>
              <w:spacing w:line="240" w:lineRule="atLeast"/>
              <w:jc w:val="center"/>
              <w:rPr>
                <w:rFonts w:ascii="宋体" w:hAnsi="宋体" w:cs="宋体"/>
                <w:color w:val="auto"/>
                <w:szCs w:val="21"/>
                <w:highlight w:val="none"/>
              </w:rPr>
            </w:pPr>
          </w:p>
        </w:tc>
        <w:tc>
          <w:tcPr>
            <w:tcW w:w="1223" w:type="dxa"/>
            <w:vAlign w:val="center"/>
          </w:tcPr>
          <w:p>
            <w:pPr>
              <w:spacing w:line="240" w:lineRule="atLeast"/>
              <w:jc w:val="center"/>
              <w:rPr>
                <w:rFonts w:ascii="宋体" w:hAnsi="宋体" w:cs="宋体"/>
                <w:color w:val="auto"/>
                <w:szCs w:val="21"/>
                <w:highlight w:val="none"/>
              </w:rPr>
            </w:pPr>
          </w:p>
        </w:tc>
        <w:tc>
          <w:tcPr>
            <w:tcW w:w="784" w:type="dxa"/>
            <w:vAlign w:val="center"/>
          </w:tcPr>
          <w:p>
            <w:pPr>
              <w:spacing w:line="240" w:lineRule="atLeas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06" w:type="dxa"/>
            <w:vAlign w:val="center"/>
          </w:tcPr>
          <w:p>
            <w:pPr>
              <w:spacing w:line="240" w:lineRule="atLeast"/>
              <w:jc w:val="center"/>
              <w:rPr>
                <w:rFonts w:ascii="宋体" w:hAnsi="宋体" w:cs="宋体"/>
                <w:color w:val="auto"/>
                <w:szCs w:val="21"/>
                <w:highlight w:val="none"/>
              </w:rPr>
            </w:pPr>
          </w:p>
        </w:tc>
        <w:tc>
          <w:tcPr>
            <w:tcW w:w="1252" w:type="dxa"/>
            <w:vAlign w:val="center"/>
          </w:tcPr>
          <w:p>
            <w:pPr>
              <w:spacing w:line="240" w:lineRule="atLeast"/>
              <w:jc w:val="center"/>
              <w:rPr>
                <w:rFonts w:ascii="宋体" w:hAnsi="宋体" w:cs="宋体"/>
                <w:color w:val="auto"/>
                <w:szCs w:val="21"/>
                <w:highlight w:val="none"/>
              </w:rPr>
            </w:pPr>
          </w:p>
        </w:tc>
        <w:tc>
          <w:tcPr>
            <w:tcW w:w="1062" w:type="dxa"/>
            <w:vAlign w:val="center"/>
          </w:tcPr>
          <w:p>
            <w:pPr>
              <w:spacing w:line="240" w:lineRule="atLeast"/>
              <w:jc w:val="center"/>
              <w:rPr>
                <w:rFonts w:ascii="宋体" w:hAnsi="宋体" w:cs="宋体"/>
                <w:color w:val="auto"/>
                <w:szCs w:val="21"/>
                <w:highlight w:val="none"/>
              </w:rPr>
            </w:pPr>
          </w:p>
        </w:tc>
        <w:tc>
          <w:tcPr>
            <w:tcW w:w="1144" w:type="dxa"/>
            <w:vAlign w:val="center"/>
          </w:tcPr>
          <w:p>
            <w:pPr>
              <w:spacing w:line="240" w:lineRule="atLeast"/>
              <w:jc w:val="center"/>
              <w:rPr>
                <w:rFonts w:ascii="宋体" w:hAnsi="宋体" w:cs="宋体"/>
                <w:color w:val="auto"/>
                <w:szCs w:val="21"/>
                <w:highlight w:val="none"/>
              </w:rPr>
            </w:pPr>
          </w:p>
        </w:tc>
        <w:tc>
          <w:tcPr>
            <w:tcW w:w="1045" w:type="dxa"/>
            <w:vAlign w:val="center"/>
          </w:tcPr>
          <w:p>
            <w:pPr>
              <w:spacing w:line="240" w:lineRule="atLeast"/>
              <w:jc w:val="center"/>
              <w:rPr>
                <w:rFonts w:ascii="宋体" w:hAnsi="宋体" w:cs="宋体"/>
                <w:color w:val="auto"/>
                <w:szCs w:val="21"/>
                <w:highlight w:val="none"/>
              </w:rPr>
            </w:pPr>
          </w:p>
        </w:tc>
        <w:tc>
          <w:tcPr>
            <w:tcW w:w="1039" w:type="dxa"/>
            <w:vAlign w:val="center"/>
          </w:tcPr>
          <w:p>
            <w:pPr>
              <w:spacing w:line="240" w:lineRule="atLeast"/>
              <w:jc w:val="center"/>
              <w:rPr>
                <w:rFonts w:ascii="宋体" w:hAnsi="宋体" w:cs="宋体"/>
                <w:color w:val="auto"/>
                <w:szCs w:val="21"/>
                <w:highlight w:val="none"/>
              </w:rPr>
            </w:pPr>
          </w:p>
        </w:tc>
        <w:tc>
          <w:tcPr>
            <w:tcW w:w="1221" w:type="dxa"/>
            <w:vAlign w:val="center"/>
          </w:tcPr>
          <w:p>
            <w:pPr>
              <w:spacing w:line="240" w:lineRule="atLeast"/>
              <w:jc w:val="center"/>
              <w:rPr>
                <w:rFonts w:ascii="宋体" w:hAnsi="宋体" w:cs="宋体"/>
                <w:color w:val="auto"/>
                <w:szCs w:val="21"/>
                <w:highlight w:val="none"/>
              </w:rPr>
            </w:pPr>
          </w:p>
        </w:tc>
        <w:tc>
          <w:tcPr>
            <w:tcW w:w="1223" w:type="dxa"/>
            <w:vAlign w:val="center"/>
          </w:tcPr>
          <w:p>
            <w:pPr>
              <w:spacing w:line="240" w:lineRule="atLeast"/>
              <w:jc w:val="center"/>
              <w:rPr>
                <w:rFonts w:ascii="宋体" w:hAnsi="宋体" w:cs="宋体"/>
                <w:color w:val="auto"/>
                <w:szCs w:val="21"/>
                <w:highlight w:val="none"/>
              </w:rPr>
            </w:pPr>
          </w:p>
        </w:tc>
        <w:tc>
          <w:tcPr>
            <w:tcW w:w="784" w:type="dxa"/>
            <w:vAlign w:val="center"/>
          </w:tcPr>
          <w:p>
            <w:pPr>
              <w:spacing w:line="240" w:lineRule="atLeas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06" w:type="dxa"/>
          </w:tcPr>
          <w:p>
            <w:pPr>
              <w:spacing w:line="240" w:lineRule="atLeast"/>
              <w:jc w:val="center"/>
              <w:rPr>
                <w:rFonts w:ascii="宋体" w:hAnsi="宋体" w:cs="宋体"/>
                <w:color w:val="auto"/>
                <w:szCs w:val="21"/>
                <w:highlight w:val="none"/>
              </w:rPr>
            </w:pPr>
          </w:p>
        </w:tc>
        <w:tc>
          <w:tcPr>
            <w:tcW w:w="1252" w:type="dxa"/>
          </w:tcPr>
          <w:p>
            <w:pPr>
              <w:spacing w:line="240" w:lineRule="atLeast"/>
              <w:jc w:val="center"/>
              <w:rPr>
                <w:rFonts w:ascii="宋体" w:hAnsi="宋体" w:cs="宋体"/>
                <w:color w:val="auto"/>
                <w:szCs w:val="21"/>
                <w:highlight w:val="none"/>
              </w:rPr>
            </w:pPr>
          </w:p>
        </w:tc>
        <w:tc>
          <w:tcPr>
            <w:tcW w:w="1062" w:type="dxa"/>
          </w:tcPr>
          <w:p>
            <w:pPr>
              <w:spacing w:line="240" w:lineRule="atLeast"/>
              <w:jc w:val="center"/>
              <w:rPr>
                <w:rFonts w:ascii="宋体" w:hAnsi="宋体" w:cs="宋体"/>
                <w:color w:val="auto"/>
                <w:szCs w:val="21"/>
                <w:highlight w:val="none"/>
              </w:rPr>
            </w:pPr>
          </w:p>
        </w:tc>
        <w:tc>
          <w:tcPr>
            <w:tcW w:w="1144" w:type="dxa"/>
          </w:tcPr>
          <w:p>
            <w:pPr>
              <w:spacing w:line="240" w:lineRule="atLeast"/>
              <w:jc w:val="center"/>
              <w:rPr>
                <w:rFonts w:ascii="宋体" w:hAnsi="宋体" w:cs="宋体"/>
                <w:color w:val="auto"/>
                <w:szCs w:val="21"/>
                <w:highlight w:val="none"/>
              </w:rPr>
            </w:pPr>
          </w:p>
        </w:tc>
        <w:tc>
          <w:tcPr>
            <w:tcW w:w="1045" w:type="dxa"/>
          </w:tcPr>
          <w:p>
            <w:pPr>
              <w:spacing w:line="240" w:lineRule="atLeast"/>
              <w:jc w:val="center"/>
              <w:rPr>
                <w:rFonts w:ascii="宋体" w:hAnsi="宋体" w:cs="宋体"/>
                <w:color w:val="auto"/>
                <w:szCs w:val="21"/>
                <w:highlight w:val="none"/>
              </w:rPr>
            </w:pPr>
          </w:p>
        </w:tc>
        <w:tc>
          <w:tcPr>
            <w:tcW w:w="1039" w:type="dxa"/>
          </w:tcPr>
          <w:p>
            <w:pPr>
              <w:spacing w:line="240" w:lineRule="atLeast"/>
              <w:jc w:val="center"/>
              <w:rPr>
                <w:rFonts w:ascii="宋体" w:hAnsi="宋体" w:cs="宋体"/>
                <w:color w:val="auto"/>
                <w:szCs w:val="21"/>
                <w:highlight w:val="none"/>
              </w:rPr>
            </w:pPr>
          </w:p>
        </w:tc>
        <w:tc>
          <w:tcPr>
            <w:tcW w:w="1221" w:type="dxa"/>
          </w:tcPr>
          <w:p>
            <w:pPr>
              <w:spacing w:line="240" w:lineRule="atLeast"/>
              <w:jc w:val="center"/>
              <w:rPr>
                <w:rFonts w:ascii="宋体" w:hAnsi="宋体" w:cs="宋体"/>
                <w:color w:val="auto"/>
                <w:szCs w:val="21"/>
                <w:highlight w:val="none"/>
              </w:rPr>
            </w:pPr>
          </w:p>
        </w:tc>
        <w:tc>
          <w:tcPr>
            <w:tcW w:w="1223" w:type="dxa"/>
          </w:tcPr>
          <w:p>
            <w:pPr>
              <w:spacing w:line="240" w:lineRule="atLeast"/>
              <w:jc w:val="center"/>
              <w:rPr>
                <w:rFonts w:ascii="宋体" w:hAnsi="宋体" w:cs="宋体"/>
                <w:color w:val="auto"/>
                <w:szCs w:val="21"/>
                <w:highlight w:val="none"/>
              </w:rPr>
            </w:pPr>
          </w:p>
        </w:tc>
        <w:tc>
          <w:tcPr>
            <w:tcW w:w="784" w:type="dxa"/>
          </w:tcPr>
          <w:p>
            <w:pPr>
              <w:spacing w:line="240" w:lineRule="atLeas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06" w:type="dxa"/>
          </w:tcPr>
          <w:p>
            <w:pPr>
              <w:spacing w:line="240" w:lineRule="atLeast"/>
              <w:jc w:val="center"/>
              <w:rPr>
                <w:rFonts w:ascii="宋体" w:hAnsi="宋体" w:cs="宋体"/>
                <w:color w:val="auto"/>
                <w:szCs w:val="21"/>
                <w:highlight w:val="none"/>
              </w:rPr>
            </w:pPr>
          </w:p>
        </w:tc>
        <w:tc>
          <w:tcPr>
            <w:tcW w:w="1252" w:type="dxa"/>
          </w:tcPr>
          <w:p>
            <w:pPr>
              <w:spacing w:line="240" w:lineRule="atLeast"/>
              <w:jc w:val="center"/>
              <w:rPr>
                <w:rFonts w:ascii="宋体" w:hAnsi="宋体" w:cs="宋体"/>
                <w:color w:val="auto"/>
                <w:szCs w:val="21"/>
                <w:highlight w:val="none"/>
              </w:rPr>
            </w:pPr>
          </w:p>
        </w:tc>
        <w:tc>
          <w:tcPr>
            <w:tcW w:w="1062" w:type="dxa"/>
          </w:tcPr>
          <w:p>
            <w:pPr>
              <w:spacing w:line="240" w:lineRule="atLeast"/>
              <w:jc w:val="center"/>
              <w:rPr>
                <w:rFonts w:ascii="宋体" w:hAnsi="宋体" w:cs="宋体"/>
                <w:color w:val="auto"/>
                <w:szCs w:val="21"/>
                <w:highlight w:val="none"/>
              </w:rPr>
            </w:pPr>
          </w:p>
        </w:tc>
        <w:tc>
          <w:tcPr>
            <w:tcW w:w="1144" w:type="dxa"/>
          </w:tcPr>
          <w:p>
            <w:pPr>
              <w:spacing w:line="240" w:lineRule="atLeast"/>
              <w:jc w:val="center"/>
              <w:rPr>
                <w:rFonts w:ascii="宋体" w:hAnsi="宋体" w:cs="宋体"/>
                <w:color w:val="auto"/>
                <w:szCs w:val="21"/>
                <w:highlight w:val="none"/>
              </w:rPr>
            </w:pPr>
          </w:p>
        </w:tc>
        <w:tc>
          <w:tcPr>
            <w:tcW w:w="1045" w:type="dxa"/>
          </w:tcPr>
          <w:p>
            <w:pPr>
              <w:spacing w:line="240" w:lineRule="atLeast"/>
              <w:jc w:val="center"/>
              <w:rPr>
                <w:rFonts w:ascii="宋体" w:hAnsi="宋体" w:cs="宋体"/>
                <w:color w:val="auto"/>
                <w:szCs w:val="21"/>
                <w:highlight w:val="none"/>
              </w:rPr>
            </w:pPr>
          </w:p>
        </w:tc>
        <w:tc>
          <w:tcPr>
            <w:tcW w:w="1039" w:type="dxa"/>
          </w:tcPr>
          <w:p>
            <w:pPr>
              <w:spacing w:line="240" w:lineRule="atLeast"/>
              <w:jc w:val="center"/>
              <w:rPr>
                <w:rFonts w:ascii="宋体" w:hAnsi="宋体" w:cs="宋体"/>
                <w:color w:val="auto"/>
                <w:szCs w:val="21"/>
                <w:highlight w:val="none"/>
              </w:rPr>
            </w:pPr>
          </w:p>
        </w:tc>
        <w:tc>
          <w:tcPr>
            <w:tcW w:w="1221" w:type="dxa"/>
          </w:tcPr>
          <w:p>
            <w:pPr>
              <w:spacing w:line="240" w:lineRule="atLeast"/>
              <w:jc w:val="center"/>
              <w:rPr>
                <w:rFonts w:ascii="宋体" w:hAnsi="宋体" w:cs="宋体"/>
                <w:color w:val="auto"/>
                <w:szCs w:val="21"/>
                <w:highlight w:val="none"/>
              </w:rPr>
            </w:pPr>
          </w:p>
        </w:tc>
        <w:tc>
          <w:tcPr>
            <w:tcW w:w="1223" w:type="dxa"/>
          </w:tcPr>
          <w:p>
            <w:pPr>
              <w:spacing w:line="240" w:lineRule="atLeast"/>
              <w:jc w:val="center"/>
              <w:rPr>
                <w:rFonts w:ascii="宋体" w:hAnsi="宋体" w:cs="宋体"/>
                <w:color w:val="auto"/>
                <w:szCs w:val="21"/>
                <w:highlight w:val="none"/>
              </w:rPr>
            </w:pPr>
          </w:p>
        </w:tc>
        <w:tc>
          <w:tcPr>
            <w:tcW w:w="784" w:type="dxa"/>
          </w:tcPr>
          <w:p>
            <w:pPr>
              <w:spacing w:line="240" w:lineRule="atLeast"/>
              <w:jc w:val="center"/>
              <w:rPr>
                <w:rFonts w:ascii="宋体" w:hAnsi="宋体" w:cs="宋体"/>
                <w:color w:val="auto"/>
                <w:szCs w:val="21"/>
                <w:highlight w:val="none"/>
              </w:rPr>
            </w:pPr>
          </w:p>
        </w:tc>
      </w:tr>
    </w:tbl>
    <w:p>
      <w:pPr>
        <w:spacing w:line="440" w:lineRule="exact"/>
        <w:rPr>
          <w:rFonts w:ascii="宋体" w:hAnsi="宋体" w:cs="宋体"/>
          <w:color w:val="auto"/>
          <w:sz w:val="20"/>
          <w:highlight w:val="none"/>
        </w:rPr>
      </w:pPr>
    </w:p>
    <w:p>
      <w:pPr>
        <w:tabs>
          <w:tab w:val="left" w:pos="720"/>
        </w:tabs>
        <w:spacing w:line="360" w:lineRule="auto"/>
        <w:outlineLvl w:val="0"/>
        <w:rPr>
          <w:rFonts w:ascii="宋体" w:hAnsi="宋体" w:cs="宋体"/>
          <w:b/>
          <w:color w:val="auto"/>
          <w:sz w:val="24"/>
          <w:szCs w:val="24"/>
          <w:highlight w:val="none"/>
        </w:rPr>
      </w:pPr>
      <w:bookmarkStart w:id="191" w:name="_Toc23409_WPSOffice_Level2"/>
      <w:bookmarkStart w:id="192" w:name="_Toc26491_WPSOffice_Level2"/>
      <w:bookmarkStart w:id="193" w:name="_Toc28889"/>
      <w:bookmarkStart w:id="194" w:name="_Toc13628_WPSOffice_Level2"/>
      <w:r>
        <w:rPr>
          <w:rFonts w:hint="eastAsia" w:ascii="宋体" w:hAnsi="宋体" w:cs="宋体"/>
          <w:b/>
          <w:color w:val="auto"/>
          <w:sz w:val="24"/>
          <w:szCs w:val="24"/>
          <w:highlight w:val="none"/>
        </w:rPr>
        <w:t>附表三、项目管理班子配备情况表</w:t>
      </w:r>
      <w:bookmarkEnd w:id="191"/>
      <w:bookmarkEnd w:id="192"/>
      <w:bookmarkEnd w:id="193"/>
      <w:bookmarkEnd w:id="194"/>
    </w:p>
    <w:tbl>
      <w:tblPr>
        <w:tblStyle w:val="1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20"/>
        <w:gridCol w:w="720"/>
        <w:gridCol w:w="888"/>
        <w:gridCol w:w="888"/>
        <w:gridCol w:w="888"/>
        <w:gridCol w:w="888"/>
        <w:gridCol w:w="1488"/>
        <w:gridCol w:w="889"/>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restar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职务</w:t>
            </w:r>
          </w:p>
        </w:tc>
        <w:tc>
          <w:tcPr>
            <w:tcW w:w="720" w:type="dxa"/>
            <w:vMerge w:val="restar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720" w:type="dxa"/>
            <w:vMerge w:val="restar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职称</w:t>
            </w:r>
          </w:p>
        </w:tc>
        <w:tc>
          <w:tcPr>
            <w:tcW w:w="5040" w:type="dxa"/>
            <w:gridSpan w:val="5"/>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上岗资格证明</w:t>
            </w:r>
          </w:p>
        </w:tc>
        <w:tc>
          <w:tcPr>
            <w:tcW w:w="2052" w:type="dxa"/>
            <w:gridSpan w:val="2"/>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已承担在建工程情况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continue"/>
          </w:tcPr>
          <w:p>
            <w:pPr>
              <w:spacing w:line="360" w:lineRule="auto"/>
              <w:rPr>
                <w:rFonts w:ascii="宋体" w:hAnsi="宋体" w:cs="宋体"/>
                <w:color w:val="auto"/>
                <w:szCs w:val="21"/>
                <w:highlight w:val="none"/>
              </w:rPr>
            </w:pPr>
          </w:p>
        </w:tc>
        <w:tc>
          <w:tcPr>
            <w:tcW w:w="720" w:type="dxa"/>
            <w:vMerge w:val="continue"/>
          </w:tcPr>
          <w:p>
            <w:pPr>
              <w:spacing w:line="360" w:lineRule="auto"/>
              <w:rPr>
                <w:rFonts w:ascii="宋体" w:hAnsi="宋体" w:cs="宋体"/>
                <w:color w:val="auto"/>
                <w:szCs w:val="21"/>
                <w:highlight w:val="none"/>
              </w:rPr>
            </w:pPr>
          </w:p>
        </w:tc>
        <w:tc>
          <w:tcPr>
            <w:tcW w:w="720" w:type="dxa"/>
            <w:vMerge w:val="continue"/>
          </w:tcPr>
          <w:p>
            <w:pPr>
              <w:spacing w:line="360" w:lineRule="auto"/>
              <w:rPr>
                <w:rFonts w:ascii="宋体" w:hAnsi="宋体" w:cs="宋体"/>
                <w:color w:val="auto"/>
                <w:szCs w:val="21"/>
                <w:highlight w:val="none"/>
              </w:rPr>
            </w:pPr>
          </w:p>
        </w:tc>
        <w:tc>
          <w:tcPr>
            <w:tcW w:w="88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证书</w:t>
            </w:r>
          </w:p>
          <w:p>
            <w:pPr>
              <w:jc w:val="center"/>
              <w:rPr>
                <w:rFonts w:ascii="宋体" w:hAnsi="宋体" w:cs="宋体"/>
                <w:color w:val="auto"/>
                <w:szCs w:val="21"/>
                <w:highlight w:val="none"/>
              </w:rPr>
            </w:pPr>
            <w:r>
              <w:rPr>
                <w:rFonts w:hint="eastAsia" w:ascii="宋体" w:hAnsi="宋体" w:cs="宋体"/>
                <w:color w:val="auto"/>
                <w:szCs w:val="21"/>
                <w:highlight w:val="none"/>
              </w:rPr>
              <w:t>名称</w:t>
            </w:r>
          </w:p>
        </w:tc>
        <w:tc>
          <w:tcPr>
            <w:tcW w:w="88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级别</w:t>
            </w:r>
          </w:p>
        </w:tc>
        <w:tc>
          <w:tcPr>
            <w:tcW w:w="88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证号</w:t>
            </w:r>
          </w:p>
        </w:tc>
        <w:tc>
          <w:tcPr>
            <w:tcW w:w="88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专业</w:t>
            </w:r>
          </w:p>
        </w:tc>
        <w:tc>
          <w:tcPr>
            <w:tcW w:w="148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原服务单位</w:t>
            </w:r>
          </w:p>
        </w:tc>
        <w:tc>
          <w:tcPr>
            <w:tcW w:w="88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项目数</w:t>
            </w:r>
          </w:p>
        </w:tc>
        <w:tc>
          <w:tcPr>
            <w:tcW w:w="1163"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主要项目名称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Pr>
          <w:p>
            <w:pPr>
              <w:spacing w:line="360" w:lineRule="auto"/>
              <w:rPr>
                <w:rFonts w:ascii="宋体" w:hAnsi="宋体" w:cs="宋体"/>
                <w:color w:val="auto"/>
                <w:szCs w:val="21"/>
                <w:highlight w:val="none"/>
              </w:rPr>
            </w:pPr>
          </w:p>
        </w:tc>
        <w:tc>
          <w:tcPr>
            <w:tcW w:w="720" w:type="dxa"/>
          </w:tcPr>
          <w:p>
            <w:pPr>
              <w:spacing w:line="360" w:lineRule="auto"/>
              <w:rPr>
                <w:rFonts w:ascii="宋体" w:hAnsi="宋体" w:cs="宋体"/>
                <w:color w:val="auto"/>
                <w:szCs w:val="21"/>
                <w:highlight w:val="none"/>
              </w:rPr>
            </w:pPr>
          </w:p>
        </w:tc>
        <w:tc>
          <w:tcPr>
            <w:tcW w:w="720" w:type="dxa"/>
          </w:tcPr>
          <w:p>
            <w:pPr>
              <w:spacing w:line="360" w:lineRule="auto"/>
              <w:rPr>
                <w:rFonts w:ascii="宋体" w:hAnsi="宋体" w:cs="宋体"/>
                <w:color w:val="auto"/>
                <w:szCs w:val="21"/>
                <w:highlight w:val="none"/>
              </w:rPr>
            </w:pPr>
          </w:p>
        </w:tc>
        <w:tc>
          <w:tcPr>
            <w:tcW w:w="888" w:type="dxa"/>
          </w:tcPr>
          <w:p>
            <w:pPr>
              <w:spacing w:line="360" w:lineRule="auto"/>
              <w:rPr>
                <w:rFonts w:ascii="宋体" w:hAnsi="宋体" w:cs="宋体"/>
                <w:color w:val="auto"/>
                <w:szCs w:val="21"/>
                <w:highlight w:val="none"/>
              </w:rPr>
            </w:pPr>
          </w:p>
        </w:tc>
        <w:tc>
          <w:tcPr>
            <w:tcW w:w="888" w:type="dxa"/>
          </w:tcPr>
          <w:p>
            <w:pPr>
              <w:spacing w:line="360" w:lineRule="auto"/>
              <w:rPr>
                <w:rFonts w:ascii="宋体" w:hAnsi="宋体" w:cs="宋体"/>
                <w:color w:val="auto"/>
                <w:szCs w:val="21"/>
                <w:highlight w:val="none"/>
              </w:rPr>
            </w:pPr>
          </w:p>
        </w:tc>
        <w:tc>
          <w:tcPr>
            <w:tcW w:w="888" w:type="dxa"/>
          </w:tcPr>
          <w:p>
            <w:pPr>
              <w:spacing w:line="360" w:lineRule="auto"/>
              <w:rPr>
                <w:rFonts w:ascii="宋体" w:hAnsi="宋体" w:cs="宋体"/>
                <w:color w:val="auto"/>
                <w:szCs w:val="21"/>
                <w:highlight w:val="none"/>
              </w:rPr>
            </w:pPr>
          </w:p>
        </w:tc>
        <w:tc>
          <w:tcPr>
            <w:tcW w:w="888" w:type="dxa"/>
          </w:tcPr>
          <w:p>
            <w:pPr>
              <w:spacing w:line="360" w:lineRule="auto"/>
              <w:rPr>
                <w:rFonts w:ascii="宋体" w:hAnsi="宋体" w:cs="宋体"/>
                <w:color w:val="auto"/>
                <w:szCs w:val="21"/>
                <w:highlight w:val="none"/>
              </w:rPr>
            </w:pPr>
          </w:p>
        </w:tc>
        <w:tc>
          <w:tcPr>
            <w:tcW w:w="1488" w:type="dxa"/>
          </w:tcPr>
          <w:p>
            <w:pPr>
              <w:spacing w:line="360" w:lineRule="auto"/>
              <w:rPr>
                <w:rFonts w:ascii="宋体" w:hAnsi="宋体" w:cs="宋体"/>
                <w:color w:val="auto"/>
                <w:szCs w:val="21"/>
                <w:highlight w:val="none"/>
              </w:rPr>
            </w:pPr>
          </w:p>
        </w:tc>
        <w:tc>
          <w:tcPr>
            <w:tcW w:w="889" w:type="dxa"/>
          </w:tcPr>
          <w:p>
            <w:pPr>
              <w:spacing w:line="360" w:lineRule="auto"/>
              <w:rPr>
                <w:rFonts w:ascii="宋体" w:hAnsi="宋体" w:cs="宋体"/>
                <w:color w:val="auto"/>
                <w:szCs w:val="21"/>
                <w:highlight w:val="none"/>
              </w:rPr>
            </w:pPr>
          </w:p>
        </w:tc>
        <w:tc>
          <w:tcPr>
            <w:tcW w:w="1163" w:type="dxa"/>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Pr>
          <w:p>
            <w:pPr>
              <w:spacing w:line="360" w:lineRule="auto"/>
              <w:rPr>
                <w:rFonts w:ascii="宋体" w:hAnsi="宋体" w:cs="宋体"/>
                <w:color w:val="auto"/>
                <w:szCs w:val="21"/>
                <w:highlight w:val="none"/>
              </w:rPr>
            </w:pPr>
          </w:p>
        </w:tc>
        <w:tc>
          <w:tcPr>
            <w:tcW w:w="720" w:type="dxa"/>
          </w:tcPr>
          <w:p>
            <w:pPr>
              <w:spacing w:line="360" w:lineRule="auto"/>
              <w:rPr>
                <w:rFonts w:ascii="宋体" w:hAnsi="宋体" w:cs="宋体"/>
                <w:color w:val="auto"/>
                <w:szCs w:val="21"/>
                <w:highlight w:val="none"/>
              </w:rPr>
            </w:pPr>
          </w:p>
        </w:tc>
        <w:tc>
          <w:tcPr>
            <w:tcW w:w="720" w:type="dxa"/>
          </w:tcPr>
          <w:p>
            <w:pPr>
              <w:spacing w:line="360" w:lineRule="auto"/>
              <w:rPr>
                <w:rFonts w:ascii="宋体" w:hAnsi="宋体" w:cs="宋体"/>
                <w:color w:val="auto"/>
                <w:szCs w:val="21"/>
                <w:highlight w:val="none"/>
              </w:rPr>
            </w:pPr>
          </w:p>
        </w:tc>
        <w:tc>
          <w:tcPr>
            <w:tcW w:w="888" w:type="dxa"/>
          </w:tcPr>
          <w:p>
            <w:pPr>
              <w:spacing w:line="360" w:lineRule="auto"/>
              <w:rPr>
                <w:rFonts w:ascii="宋体" w:hAnsi="宋体" w:cs="宋体"/>
                <w:color w:val="auto"/>
                <w:szCs w:val="21"/>
                <w:highlight w:val="none"/>
              </w:rPr>
            </w:pPr>
          </w:p>
        </w:tc>
        <w:tc>
          <w:tcPr>
            <w:tcW w:w="888" w:type="dxa"/>
          </w:tcPr>
          <w:p>
            <w:pPr>
              <w:spacing w:line="360" w:lineRule="auto"/>
              <w:rPr>
                <w:rFonts w:ascii="宋体" w:hAnsi="宋体" w:cs="宋体"/>
                <w:color w:val="auto"/>
                <w:szCs w:val="21"/>
                <w:highlight w:val="none"/>
              </w:rPr>
            </w:pPr>
          </w:p>
        </w:tc>
        <w:tc>
          <w:tcPr>
            <w:tcW w:w="888" w:type="dxa"/>
          </w:tcPr>
          <w:p>
            <w:pPr>
              <w:spacing w:line="360" w:lineRule="auto"/>
              <w:rPr>
                <w:rFonts w:ascii="宋体" w:hAnsi="宋体" w:cs="宋体"/>
                <w:color w:val="auto"/>
                <w:szCs w:val="21"/>
                <w:highlight w:val="none"/>
              </w:rPr>
            </w:pPr>
          </w:p>
        </w:tc>
        <w:tc>
          <w:tcPr>
            <w:tcW w:w="888" w:type="dxa"/>
          </w:tcPr>
          <w:p>
            <w:pPr>
              <w:spacing w:line="360" w:lineRule="auto"/>
              <w:rPr>
                <w:rFonts w:ascii="宋体" w:hAnsi="宋体" w:cs="宋体"/>
                <w:color w:val="auto"/>
                <w:szCs w:val="21"/>
                <w:highlight w:val="none"/>
              </w:rPr>
            </w:pPr>
          </w:p>
        </w:tc>
        <w:tc>
          <w:tcPr>
            <w:tcW w:w="1488" w:type="dxa"/>
          </w:tcPr>
          <w:p>
            <w:pPr>
              <w:spacing w:line="360" w:lineRule="auto"/>
              <w:rPr>
                <w:rFonts w:ascii="宋体" w:hAnsi="宋体" w:cs="宋体"/>
                <w:color w:val="auto"/>
                <w:szCs w:val="21"/>
                <w:highlight w:val="none"/>
              </w:rPr>
            </w:pPr>
          </w:p>
        </w:tc>
        <w:tc>
          <w:tcPr>
            <w:tcW w:w="889" w:type="dxa"/>
          </w:tcPr>
          <w:p>
            <w:pPr>
              <w:spacing w:line="360" w:lineRule="auto"/>
              <w:rPr>
                <w:rFonts w:ascii="宋体" w:hAnsi="宋体" w:cs="宋体"/>
                <w:color w:val="auto"/>
                <w:szCs w:val="21"/>
                <w:highlight w:val="none"/>
              </w:rPr>
            </w:pPr>
          </w:p>
        </w:tc>
        <w:tc>
          <w:tcPr>
            <w:tcW w:w="1163" w:type="dxa"/>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Pr>
          <w:p>
            <w:pPr>
              <w:spacing w:line="360" w:lineRule="auto"/>
              <w:rPr>
                <w:rFonts w:ascii="宋体" w:hAnsi="宋体" w:cs="宋体"/>
                <w:color w:val="auto"/>
                <w:szCs w:val="21"/>
                <w:highlight w:val="none"/>
              </w:rPr>
            </w:pPr>
          </w:p>
        </w:tc>
        <w:tc>
          <w:tcPr>
            <w:tcW w:w="720" w:type="dxa"/>
          </w:tcPr>
          <w:p>
            <w:pPr>
              <w:spacing w:line="360" w:lineRule="auto"/>
              <w:rPr>
                <w:rFonts w:ascii="宋体" w:hAnsi="宋体" w:cs="宋体"/>
                <w:color w:val="auto"/>
                <w:szCs w:val="21"/>
                <w:highlight w:val="none"/>
              </w:rPr>
            </w:pPr>
          </w:p>
        </w:tc>
        <w:tc>
          <w:tcPr>
            <w:tcW w:w="720" w:type="dxa"/>
          </w:tcPr>
          <w:p>
            <w:pPr>
              <w:spacing w:line="360" w:lineRule="auto"/>
              <w:rPr>
                <w:rFonts w:ascii="宋体" w:hAnsi="宋体" w:cs="宋体"/>
                <w:color w:val="auto"/>
                <w:szCs w:val="21"/>
                <w:highlight w:val="none"/>
              </w:rPr>
            </w:pPr>
          </w:p>
        </w:tc>
        <w:tc>
          <w:tcPr>
            <w:tcW w:w="888" w:type="dxa"/>
          </w:tcPr>
          <w:p>
            <w:pPr>
              <w:spacing w:line="360" w:lineRule="auto"/>
              <w:rPr>
                <w:rFonts w:ascii="宋体" w:hAnsi="宋体" w:cs="宋体"/>
                <w:color w:val="auto"/>
                <w:szCs w:val="21"/>
                <w:highlight w:val="none"/>
              </w:rPr>
            </w:pPr>
          </w:p>
        </w:tc>
        <w:tc>
          <w:tcPr>
            <w:tcW w:w="888" w:type="dxa"/>
          </w:tcPr>
          <w:p>
            <w:pPr>
              <w:spacing w:line="360" w:lineRule="auto"/>
              <w:rPr>
                <w:rFonts w:ascii="宋体" w:hAnsi="宋体" w:cs="宋体"/>
                <w:color w:val="auto"/>
                <w:szCs w:val="21"/>
                <w:highlight w:val="none"/>
              </w:rPr>
            </w:pPr>
          </w:p>
        </w:tc>
        <w:tc>
          <w:tcPr>
            <w:tcW w:w="888" w:type="dxa"/>
          </w:tcPr>
          <w:p>
            <w:pPr>
              <w:spacing w:line="360" w:lineRule="auto"/>
              <w:rPr>
                <w:rFonts w:ascii="宋体" w:hAnsi="宋体" w:cs="宋体"/>
                <w:color w:val="auto"/>
                <w:szCs w:val="21"/>
                <w:highlight w:val="none"/>
              </w:rPr>
            </w:pPr>
          </w:p>
        </w:tc>
        <w:tc>
          <w:tcPr>
            <w:tcW w:w="888" w:type="dxa"/>
          </w:tcPr>
          <w:p>
            <w:pPr>
              <w:spacing w:line="360" w:lineRule="auto"/>
              <w:rPr>
                <w:rFonts w:ascii="宋体" w:hAnsi="宋体" w:cs="宋体"/>
                <w:color w:val="auto"/>
                <w:szCs w:val="21"/>
                <w:highlight w:val="none"/>
              </w:rPr>
            </w:pPr>
          </w:p>
        </w:tc>
        <w:tc>
          <w:tcPr>
            <w:tcW w:w="1488" w:type="dxa"/>
          </w:tcPr>
          <w:p>
            <w:pPr>
              <w:spacing w:line="360" w:lineRule="auto"/>
              <w:rPr>
                <w:rFonts w:ascii="宋体" w:hAnsi="宋体" w:cs="宋体"/>
                <w:color w:val="auto"/>
                <w:szCs w:val="21"/>
                <w:highlight w:val="none"/>
              </w:rPr>
            </w:pPr>
          </w:p>
        </w:tc>
        <w:tc>
          <w:tcPr>
            <w:tcW w:w="889" w:type="dxa"/>
          </w:tcPr>
          <w:p>
            <w:pPr>
              <w:spacing w:line="360" w:lineRule="auto"/>
              <w:rPr>
                <w:rFonts w:ascii="宋体" w:hAnsi="宋体" w:cs="宋体"/>
                <w:color w:val="auto"/>
                <w:szCs w:val="21"/>
                <w:highlight w:val="none"/>
              </w:rPr>
            </w:pPr>
          </w:p>
        </w:tc>
        <w:tc>
          <w:tcPr>
            <w:tcW w:w="1163" w:type="dxa"/>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Pr>
          <w:p>
            <w:pPr>
              <w:spacing w:line="360" w:lineRule="auto"/>
              <w:rPr>
                <w:rFonts w:ascii="宋体" w:hAnsi="宋体" w:cs="宋体"/>
                <w:color w:val="auto"/>
                <w:szCs w:val="21"/>
                <w:highlight w:val="none"/>
              </w:rPr>
            </w:pPr>
          </w:p>
        </w:tc>
        <w:tc>
          <w:tcPr>
            <w:tcW w:w="720" w:type="dxa"/>
          </w:tcPr>
          <w:p>
            <w:pPr>
              <w:spacing w:line="360" w:lineRule="auto"/>
              <w:rPr>
                <w:rFonts w:ascii="宋体" w:hAnsi="宋体" w:cs="宋体"/>
                <w:color w:val="auto"/>
                <w:szCs w:val="21"/>
                <w:highlight w:val="none"/>
              </w:rPr>
            </w:pPr>
          </w:p>
        </w:tc>
        <w:tc>
          <w:tcPr>
            <w:tcW w:w="720" w:type="dxa"/>
          </w:tcPr>
          <w:p>
            <w:pPr>
              <w:spacing w:line="360" w:lineRule="auto"/>
              <w:rPr>
                <w:rFonts w:ascii="宋体" w:hAnsi="宋体" w:cs="宋体"/>
                <w:color w:val="auto"/>
                <w:szCs w:val="21"/>
                <w:highlight w:val="none"/>
              </w:rPr>
            </w:pPr>
          </w:p>
        </w:tc>
        <w:tc>
          <w:tcPr>
            <w:tcW w:w="888" w:type="dxa"/>
          </w:tcPr>
          <w:p>
            <w:pPr>
              <w:spacing w:line="360" w:lineRule="auto"/>
              <w:rPr>
                <w:rFonts w:ascii="宋体" w:hAnsi="宋体" w:cs="宋体"/>
                <w:color w:val="auto"/>
                <w:szCs w:val="21"/>
                <w:highlight w:val="none"/>
              </w:rPr>
            </w:pPr>
          </w:p>
        </w:tc>
        <w:tc>
          <w:tcPr>
            <w:tcW w:w="888" w:type="dxa"/>
          </w:tcPr>
          <w:p>
            <w:pPr>
              <w:spacing w:line="360" w:lineRule="auto"/>
              <w:rPr>
                <w:rFonts w:ascii="宋体" w:hAnsi="宋体" w:cs="宋体"/>
                <w:color w:val="auto"/>
                <w:szCs w:val="21"/>
                <w:highlight w:val="none"/>
              </w:rPr>
            </w:pPr>
          </w:p>
        </w:tc>
        <w:tc>
          <w:tcPr>
            <w:tcW w:w="888" w:type="dxa"/>
          </w:tcPr>
          <w:p>
            <w:pPr>
              <w:spacing w:line="360" w:lineRule="auto"/>
              <w:rPr>
                <w:rFonts w:ascii="宋体" w:hAnsi="宋体" w:cs="宋体"/>
                <w:color w:val="auto"/>
                <w:szCs w:val="21"/>
                <w:highlight w:val="none"/>
              </w:rPr>
            </w:pPr>
          </w:p>
        </w:tc>
        <w:tc>
          <w:tcPr>
            <w:tcW w:w="888" w:type="dxa"/>
          </w:tcPr>
          <w:p>
            <w:pPr>
              <w:spacing w:line="360" w:lineRule="auto"/>
              <w:rPr>
                <w:rFonts w:ascii="宋体" w:hAnsi="宋体" w:cs="宋体"/>
                <w:color w:val="auto"/>
                <w:szCs w:val="21"/>
                <w:highlight w:val="none"/>
              </w:rPr>
            </w:pPr>
          </w:p>
        </w:tc>
        <w:tc>
          <w:tcPr>
            <w:tcW w:w="1488" w:type="dxa"/>
          </w:tcPr>
          <w:p>
            <w:pPr>
              <w:spacing w:line="360" w:lineRule="auto"/>
              <w:rPr>
                <w:rFonts w:ascii="宋体" w:hAnsi="宋体" w:cs="宋体"/>
                <w:color w:val="auto"/>
                <w:szCs w:val="21"/>
                <w:highlight w:val="none"/>
              </w:rPr>
            </w:pPr>
          </w:p>
        </w:tc>
        <w:tc>
          <w:tcPr>
            <w:tcW w:w="889" w:type="dxa"/>
          </w:tcPr>
          <w:p>
            <w:pPr>
              <w:spacing w:line="360" w:lineRule="auto"/>
              <w:rPr>
                <w:rFonts w:ascii="宋体" w:hAnsi="宋体" w:cs="宋体"/>
                <w:color w:val="auto"/>
                <w:szCs w:val="21"/>
                <w:highlight w:val="none"/>
              </w:rPr>
            </w:pPr>
          </w:p>
        </w:tc>
        <w:tc>
          <w:tcPr>
            <w:tcW w:w="1163" w:type="dxa"/>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6" w:hRule="exact"/>
        </w:trPr>
        <w:tc>
          <w:tcPr>
            <w:tcW w:w="9180" w:type="dxa"/>
            <w:gridSpan w:val="10"/>
          </w:tcPr>
          <w:p>
            <w:pPr>
              <w:spacing w:line="360" w:lineRule="auto"/>
              <w:ind w:firstLine="472" w:firstLineChars="225"/>
              <w:rPr>
                <w:rFonts w:ascii="宋体" w:hAnsi="宋体" w:cs="宋体"/>
                <w:color w:val="auto"/>
                <w:szCs w:val="21"/>
                <w:highlight w:val="none"/>
              </w:rPr>
            </w:pPr>
            <w:r>
              <w:rPr>
                <w:rFonts w:hint="eastAsia" w:ascii="宋体" w:hAnsi="宋体" w:cs="宋体"/>
                <w:color w:val="auto"/>
                <w:szCs w:val="21"/>
                <w:highlight w:val="none"/>
              </w:rPr>
              <w:t>本工程一旦我单位中标，将实行项目经理负责制，并配备上述项目管理班子。上述填报内容真实，若不真实，愿按有关规定接受处理。项目管理班子机构设置、职责分工等情况另附资料说明。</w:t>
            </w:r>
          </w:p>
        </w:tc>
      </w:tr>
    </w:tbl>
    <w:p>
      <w:pPr>
        <w:tabs>
          <w:tab w:val="left" w:pos="720"/>
        </w:tabs>
        <w:spacing w:line="360" w:lineRule="auto"/>
        <w:rPr>
          <w:rFonts w:ascii="宋体" w:hAnsi="宋体" w:cs="宋体"/>
          <w:color w:val="auto"/>
          <w:sz w:val="24"/>
          <w:szCs w:val="24"/>
          <w:highlight w:val="none"/>
        </w:rPr>
        <w:sectPr>
          <w:pgSz w:w="11900" w:h="16838"/>
          <w:pgMar w:top="1440" w:right="1440" w:bottom="158" w:left="1440" w:header="567" w:footer="567" w:gutter="0"/>
          <w:cols w:equalWidth="0" w:num="1">
            <w:col w:w="9026"/>
          </w:cols>
        </w:sectPr>
      </w:pPr>
    </w:p>
    <w:p>
      <w:pPr>
        <w:tabs>
          <w:tab w:val="left" w:pos="720"/>
        </w:tabs>
        <w:spacing w:line="360" w:lineRule="auto"/>
        <w:outlineLvl w:val="0"/>
        <w:rPr>
          <w:rFonts w:ascii="宋体" w:hAnsi="宋体" w:cs="宋体"/>
          <w:b/>
          <w:color w:val="auto"/>
          <w:sz w:val="24"/>
          <w:szCs w:val="24"/>
          <w:highlight w:val="none"/>
        </w:rPr>
      </w:pPr>
      <w:bookmarkStart w:id="195" w:name="_Toc19415_WPSOffice_Level2"/>
      <w:bookmarkStart w:id="196" w:name="_Toc9230_WPSOffice_Level2"/>
      <w:bookmarkStart w:id="197" w:name="_Toc32746"/>
      <w:bookmarkStart w:id="198" w:name="_Toc22932_WPSOffice_Level2"/>
      <w:r>
        <w:rPr>
          <w:rFonts w:hint="eastAsia" w:ascii="宋体" w:hAnsi="宋体" w:cs="宋体"/>
          <w:b/>
          <w:color w:val="auto"/>
          <w:sz w:val="24"/>
          <w:szCs w:val="24"/>
          <w:highlight w:val="none"/>
        </w:rPr>
        <w:t>附表四、项目经理简历表</w:t>
      </w:r>
      <w:bookmarkEnd w:id="195"/>
      <w:bookmarkEnd w:id="196"/>
      <w:bookmarkEnd w:id="197"/>
      <w:bookmarkEnd w:id="198"/>
    </w:p>
    <w:tbl>
      <w:tblPr>
        <w:tblStyle w:val="19"/>
        <w:tblW w:w="90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480"/>
        <w:gridCol w:w="1480"/>
        <w:gridCol w:w="1608"/>
        <w:gridCol w:w="1481"/>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0" w:type="dxa"/>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480" w:type="dxa"/>
            <w:vAlign w:val="center"/>
          </w:tcPr>
          <w:p>
            <w:pPr>
              <w:spacing w:line="240" w:lineRule="atLeast"/>
              <w:jc w:val="center"/>
              <w:rPr>
                <w:rFonts w:ascii="宋体" w:hAnsi="宋体" w:cs="宋体"/>
                <w:color w:val="auto"/>
                <w:szCs w:val="21"/>
                <w:highlight w:val="none"/>
              </w:rPr>
            </w:pPr>
          </w:p>
        </w:tc>
        <w:tc>
          <w:tcPr>
            <w:tcW w:w="1480" w:type="dxa"/>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性别</w:t>
            </w:r>
          </w:p>
        </w:tc>
        <w:tc>
          <w:tcPr>
            <w:tcW w:w="1608" w:type="dxa"/>
            <w:vAlign w:val="center"/>
          </w:tcPr>
          <w:p>
            <w:pPr>
              <w:spacing w:line="240" w:lineRule="atLeast"/>
              <w:jc w:val="center"/>
              <w:rPr>
                <w:rFonts w:ascii="宋体" w:hAnsi="宋体" w:cs="宋体"/>
                <w:color w:val="auto"/>
                <w:szCs w:val="21"/>
                <w:highlight w:val="none"/>
              </w:rPr>
            </w:pPr>
          </w:p>
        </w:tc>
        <w:tc>
          <w:tcPr>
            <w:tcW w:w="1481" w:type="dxa"/>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年龄</w:t>
            </w:r>
          </w:p>
        </w:tc>
        <w:tc>
          <w:tcPr>
            <w:tcW w:w="1481" w:type="dxa"/>
            <w:vAlign w:val="center"/>
          </w:tcPr>
          <w:p>
            <w:pPr>
              <w:spacing w:line="240" w:lineRule="atLeas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0" w:type="dxa"/>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职务</w:t>
            </w:r>
          </w:p>
        </w:tc>
        <w:tc>
          <w:tcPr>
            <w:tcW w:w="1480" w:type="dxa"/>
            <w:vAlign w:val="center"/>
          </w:tcPr>
          <w:p>
            <w:pPr>
              <w:spacing w:line="240" w:lineRule="atLeast"/>
              <w:jc w:val="center"/>
              <w:rPr>
                <w:rFonts w:ascii="宋体" w:hAnsi="宋体" w:cs="宋体"/>
                <w:color w:val="auto"/>
                <w:szCs w:val="21"/>
                <w:highlight w:val="none"/>
              </w:rPr>
            </w:pPr>
          </w:p>
        </w:tc>
        <w:tc>
          <w:tcPr>
            <w:tcW w:w="1480" w:type="dxa"/>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职称</w:t>
            </w:r>
          </w:p>
        </w:tc>
        <w:tc>
          <w:tcPr>
            <w:tcW w:w="1608" w:type="dxa"/>
            <w:vAlign w:val="center"/>
          </w:tcPr>
          <w:p>
            <w:pPr>
              <w:spacing w:line="240" w:lineRule="atLeast"/>
              <w:jc w:val="center"/>
              <w:rPr>
                <w:rFonts w:ascii="宋体" w:hAnsi="宋体" w:cs="宋体"/>
                <w:color w:val="auto"/>
                <w:szCs w:val="21"/>
                <w:highlight w:val="none"/>
              </w:rPr>
            </w:pPr>
          </w:p>
        </w:tc>
        <w:tc>
          <w:tcPr>
            <w:tcW w:w="1481" w:type="dxa"/>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学历</w:t>
            </w:r>
          </w:p>
        </w:tc>
        <w:tc>
          <w:tcPr>
            <w:tcW w:w="1481" w:type="dxa"/>
            <w:vAlign w:val="center"/>
          </w:tcPr>
          <w:p>
            <w:pPr>
              <w:spacing w:line="240" w:lineRule="atLeas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60" w:type="dxa"/>
            <w:gridSpan w:val="2"/>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参加工作时间</w:t>
            </w:r>
          </w:p>
        </w:tc>
        <w:tc>
          <w:tcPr>
            <w:tcW w:w="1480" w:type="dxa"/>
            <w:vAlign w:val="center"/>
          </w:tcPr>
          <w:p>
            <w:pPr>
              <w:spacing w:line="240" w:lineRule="atLeast"/>
              <w:jc w:val="center"/>
              <w:rPr>
                <w:rFonts w:ascii="宋体" w:hAnsi="宋体" w:cs="宋体"/>
                <w:color w:val="auto"/>
                <w:szCs w:val="21"/>
                <w:highlight w:val="none"/>
              </w:rPr>
            </w:pPr>
          </w:p>
        </w:tc>
        <w:tc>
          <w:tcPr>
            <w:tcW w:w="3089" w:type="dxa"/>
            <w:gridSpan w:val="2"/>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从事项目经理年限</w:t>
            </w:r>
          </w:p>
        </w:tc>
        <w:tc>
          <w:tcPr>
            <w:tcW w:w="1481" w:type="dxa"/>
            <w:vAlign w:val="center"/>
          </w:tcPr>
          <w:p>
            <w:pPr>
              <w:spacing w:line="240" w:lineRule="atLeas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60" w:type="dxa"/>
            <w:gridSpan w:val="2"/>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项目经理资格证书编号</w:t>
            </w:r>
          </w:p>
        </w:tc>
        <w:tc>
          <w:tcPr>
            <w:tcW w:w="6050" w:type="dxa"/>
            <w:gridSpan w:val="4"/>
            <w:vAlign w:val="center"/>
          </w:tcPr>
          <w:p>
            <w:pPr>
              <w:spacing w:line="240" w:lineRule="atLeas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10" w:type="dxa"/>
            <w:gridSpan w:val="6"/>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0" w:type="dxa"/>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建设单位</w:t>
            </w:r>
          </w:p>
        </w:tc>
        <w:tc>
          <w:tcPr>
            <w:tcW w:w="1480" w:type="dxa"/>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1480" w:type="dxa"/>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建设规模</w:t>
            </w:r>
          </w:p>
        </w:tc>
        <w:tc>
          <w:tcPr>
            <w:tcW w:w="1608" w:type="dxa"/>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开、竣工日期</w:t>
            </w:r>
          </w:p>
        </w:tc>
        <w:tc>
          <w:tcPr>
            <w:tcW w:w="1481" w:type="dxa"/>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在建或已完</w:t>
            </w:r>
          </w:p>
        </w:tc>
        <w:tc>
          <w:tcPr>
            <w:tcW w:w="1481" w:type="dxa"/>
            <w:vAlign w:val="center"/>
          </w:tcPr>
          <w:p>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480" w:type="dxa"/>
          </w:tcPr>
          <w:p>
            <w:pPr>
              <w:spacing w:line="360" w:lineRule="auto"/>
              <w:rPr>
                <w:rFonts w:ascii="宋体" w:hAnsi="宋体" w:cs="宋体"/>
                <w:color w:val="auto"/>
                <w:szCs w:val="21"/>
                <w:highlight w:val="none"/>
              </w:rPr>
            </w:pPr>
          </w:p>
        </w:tc>
        <w:tc>
          <w:tcPr>
            <w:tcW w:w="1480" w:type="dxa"/>
          </w:tcPr>
          <w:p>
            <w:pPr>
              <w:spacing w:line="360" w:lineRule="auto"/>
              <w:rPr>
                <w:rFonts w:ascii="宋体" w:hAnsi="宋体" w:cs="宋体"/>
                <w:color w:val="auto"/>
                <w:szCs w:val="21"/>
                <w:highlight w:val="none"/>
              </w:rPr>
            </w:pPr>
          </w:p>
        </w:tc>
        <w:tc>
          <w:tcPr>
            <w:tcW w:w="1480" w:type="dxa"/>
          </w:tcPr>
          <w:p>
            <w:pPr>
              <w:spacing w:line="360" w:lineRule="auto"/>
              <w:rPr>
                <w:rFonts w:ascii="宋体" w:hAnsi="宋体" w:cs="宋体"/>
                <w:color w:val="auto"/>
                <w:szCs w:val="21"/>
                <w:highlight w:val="none"/>
              </w:rPr>
            </w:pPr>
          </w:p>
        </w:tc>
        <w:tc>
          <w:tcPr>
            <w:tcW w:w="1608" w:type="dxa"/>
          </w:tcPr>
          <w:p>
            <w:pPr>
              <w:spacing w:line="360" w:lineRule="auto"/>
              <w:rPr>
                <w:rFonts w:ascii="宋体" w:hAnsi="宋体" w:cs="宋体"/>
                <w:color w:val="auto"/>
                <w:szCs w:val="21"/>
                <w:highlight w:val="none"/>
              </w:rPr>
            </w:pPr>
          </w:p>
        </w:tc>
        <w:tc>
          <w:tcPr>
            <w:tcW w:w="1481" w:type="dxa"/>
          </w:tcPr>
          <w:p>
            <w:pPr>
              <w:spacing w:line="360" w:lineRule="auto"/>
              <w:rPr>
                <w:rFonts w:ascii="宋体" w:hAnsi="宋体" w:cs="宋体"/>
                <w:color w:val="auto"/>
                <w:szCs w:val="21"/>
                <w:highlight w:val="none"/>
              </w:rPr>
            </w:pPr>
          </w:p>
        </w:tc>
        <w:tc>
          <w:tcPr>
            <w:tcW w:w="1481" w:type="dxa"/>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480" w:type="dxa"/>
          </w:tcPr>
          <w:p>
            <w:pPr>
              <w:spacing w:line="360" w:lineRule="auto"/>
              <w:rPr>
                <w:rFonts w:ascii="宋体" w:hAnsi="宋体" w:cs="宋体"/>
                <w:color w:val="auto"/>
                <w:szCs w:val="21"/>
                <w:highlight w:val="none"/>
              </w:rPr>
            </w:pPr>
          </w:p>
        </w:tc>
        <w:tc>
          <w:tcPr>
            <w:tcW w:w="1480" w:type="dxa"/>
          </w:tcPr>
          <w:p>
            <w:pPr>
              <w:spacing w:line="360" w:lineRule="auto"/>
              <w:rPr>
                <w:rFonts w:ascii="宋体" w:hAnsi="宋体" w:cs="宋体"/>
                <w:color w:val="auto"/>
                <w:szCs w:val="21"/>
                <w:highlight w:val="none"/>
              </w:rPr>
            </w:pPr>
          </w:p>
        </w:tc>
        <w:tc>
          <w:tcPr>
            <w:tcW w:w="1480" w:type="dxa"/>
          </w:tcPr>
          <w:p>
            <w:pPr>
              <w:spacing w:line="360" w:lineRule="auto"/>
              <w:rPr>
                <w:rFonts w:ascii="宋体" w:hAnsi="宋体" w:cs="宋体"/>
                <w:color w:val="auto"/>
                <w:szCs w:val="21"/>
                <w:highlight w:val="none"/>
              </w:rPr>
            </w:pPr>
          </w:p>
        </w:tc>
        <w:tc>
          <w:tcPr>
            <w:tcW w:w="1608" w:type="dxa"/>
          </w:tcPr>
          <w:p>
            <w:pPr>
              <w:spacing w:line="360" w:lineRule="auto"/>
              <w:rPr>
                <w:rFonts w:ascii="宋体" w:hAnsi="宋体" w:cs="宋体"/>
                <w:color w:val="auto"/>
                <w:szCs w:val="21"/>
                <w:highlight w:val="none"/>
              </w:rPr>
            </w:pPr>
          </w:p>
        </w:tc>
        <w:tc>
          <w:tcPr>
            <w:tcW w:w="1481" w:type="dxa"/>
          </w:tcPr>
          <w:p>
            <w:pPr>
              <w:spacing w:line="360" w:lineRule="auto"/>
              <w:rPr>
                <w:rFonts w:ascii="宋体" w:hAnsi="宋体" w:cs="宋体"/>
                <w:color w:val="auto"/>
                <w:szCs w:val="21"/>
                <w:highlight w:val="none"/>
              </w:rPr>
            </w:pPr>
          </w:p>
        </w:tc>
        <w:tc>
          <w:tcPr>
            <w:tcW w:w="1481" w:type="dxa"/>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480" w:type="dxa"/>
          </w:tcPr>
          <w:p>
            <w:pPr>
              <w:spacing w:line="360" w:lineRule="auto"/>
              <w:rPr>
                <w:rFonts w:ascii="宋体" w:hAnsi="宋体" w:cs="宋体"/>
                <w:color w:val="auto"/>
                <w:szCs w:val="21"/>
                <w:highlight w:val="none"/>
              </w:rPr>
            </w:pPr>
          </w:p>
        </w:tc>
        <w:tc>
          <w:tcPr>
            <w:tcW w:w="1480" w:type="dxa"/>
          </w:tcPr>
          <w:p>
            <w:pPr>
              <w:spacing w:line="360" w:lineRule="auto"/>
              <w:rPr>
                <w:rFonts w:ascii="宋体" w:hAnsi="宋体" w:cs="宋体"/>
                <w:color w:val="auto"/>
                <w:szCs w:val="21"/>
                <w:highlight w:val="none"/>
              </w:rPr>
            </w:pPr>
          </w:p>
        </w:tc>
        <w:tc>
          <w:tcPr>
            <w:tcW w:w="1480" w:type="dxa"/>
          </w:tcPr>
          <w:p>
            <w:pPr>
              <w:spacing w:line="360" w:lineRule="auto"/>
              <w:rPr>
                <w:rFonts w:ascii="宋体" w:hAnsi="宋体" w:cs="宋体"/>
                <w:color w:val="auto"/>
                <w:szCs w:val="21"/>
                <w:highlight w:val="none"/>
              </w:rPr>
            </w:pPr>
          </w:p>
        </w:tc>
        <w:tc>
          <w:tcPr>
            <w:tcW w:w="1608" w:type="dxa"/>
          </w:tcPr>
          <w:p>
            <w:pPr>
              <w:spacing w:line="360" w:lineRule="auto"/>
              <w:rPr>
                <w:rFonts w:ascii="宋体" w:hAnsi="宋体" w:cs="宋体"/>
                <w:color w:val="auto"/>
                <w:szCs w:val="21"/>
                <w:highlight w:val="none"/>
              </w:rPr>
            </w:pPr>
          </w:p>
        </w:tc>
        <w:tc>
          <w:tcPr>
            <w:tcW w:w="1481" w:type="dxa"/>
          </w:tcPr>
          <w:p>
            <w:pPr>
              <w:spacing w:line="360" w:lineRule="auto"/>
              <w:rPr>
                <w:rFonts w:ascii="宋体" w:hAnsi="宋体" w:cs="宋体"/>
                <w:color w:val="auto"/>
                <w:szCs w:val="21"/>
                <w:highlight w:val="none"/>
              </w:rPr>
            </w:pPr>
          </w:p>
        </w:tc>
        <w:tc>
          <w:tcPr>
            <w:tcW w:w="1481" w:type="dxa"/>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480" w:type="dxa"/>
          </w:tcPr>
          <w:p>
            <w:pPr>
              <w:spacing w:line="360" w:lineRule="auto"/>
              <w:rPr>
                <w:rFonts w:ascii="宋体" w:hAnsi="宋体" w:cs="宋体"/>
                <w:color w:val="auto"/>
                <w:szCs w:val="21"/>
                <w:highlight w:val="none"/>
              </w:rPr>
            </w:pPr>
          </w:p>
        </w:tc>
        <w:tc>
          <w:tcPr>
            <w:tcW w:w="1480" w:type="dxa"/>
          </w:tcPr>
          <w:p>
            <w:pPr>
              <w:spacing w:line="360" w:lineRule="auto"/>
              <w:rPr>
                <w:rFonts w:ascii="宋体" w:hAnsi="宋体" w:cs="宋体"/>
                <w:color w:val="auto"/>
                <w:szCs w:val="21"/>
                <w:highlight w:val="none"/>
              </w:rPr>
            </w:pPr>
          </w:p>
        </w:tc>
        <w:tc>
          <w:tcPr>
            <w:tcW w:w="1480" w:type="dxa"/>
          </w:tcPr>
          <w:p>
            <w:pPr>
              <w:spacing w:line="360" w:lineRule="auto"/>
              <w:rPr>
                <w:rFonts w:ascii="宋体" w:hAnsi="宋体" w:cs="宋体"/>
                <w:color w:val="auto"/>
                <w:szCs w:val="21"/>
                <w:highlight w:val="none"/>
              </w:rPr>
            </w:pPr>
          </w:p>
        </w:tc>
        <w:tc>
          <w:tcPr>
            <w:tcW w:w="1608" w:type="dxa"/>
          </w:tcPr>
          <w:p>
            <w:pPr>
              <w:spacing w:line="360" w:lineRule="auto"/>
              <w:rPr>
                <w:rFonts w:ascii="宋体" w:hAnsi="宋体" w:cs="宋体"/>
                <w:color w:val="auto"/>
                <w:szCs w:val="21"/>
                <w:highlight w:val="none"/>
              </w:rPr>
            </w:pPr>
          </w:p>
        </w:tc>
        <w:tc>
          <w:tcPr>
            <w:tcW w:w="1481" w:type="dxa"/>
          </w:tcPr>
          <w:p>
            <w:pPr>
              <w:spacing w:line="360" w:lineRule="auto"/>
              <w:rPr>
                <w:rFonts w:ascii="宋体" w:hAnsi="宋体" w:cs="宋体"/>
                <w:color w:val="auto"/>
                <w:szCs w:val="21"/>
                <w:highlight w:val="none"/>
              </w:rPr>
            </w:pPr>
          </w:p>
        </w:tc>
        <w:tc>
          <w:tcPr>
            <w:tcW w:w="1481" w:type="dxa"/>
          </w:tcPr>
          <w:p>
            <w:pPr>
              <w:spacing w:line="360" w:lineRule="auto"/>
              <w:rPr>
                <w:rFonts w:ascii="宋体" w:hAnsi="宋体" w:cs="宋体"/>
                <w:color w:val="auto"/>
                <w:szCs w:val="21"/>
                <w:highlight w:val="none"/>
              </w:rPr>
            </w:pPr>
          </w:p>
        </w:tc>
      </w:tr>
    </w:tbl>
    <w:p>
      <w:pPr>
        <w:spacing w:line="360" w:lineRule="auto"/>
        <w:rPr>
          <w:rFonts w:ascii="宋体" w:hAnsi="宋体" w:cs="宋体"/>
          <w:color w:val="auto"/>
          <w:sz w:val="24"/>
          <w:szCs w:val="28"/>
          <w:highlight w:val="none"/>
        </w:rPr>
      </w:pPr>
      <w:r>
        <w:rPr>
          <w:rFonts w:hint="eastAsia" w:ascii="宋体" w:hAnsi="宋体" w:cs="宋体"/>
          <w:color w:val="auto"/>
          <w:sz w:val="24"/>
          <w:szCs w:val="28"/>
          <w:highlight w:val="none"/>
        </w:rPr>
        <w:t>备注：后附项目经理注册证书、B证、职称证、业绩等</w:t>
      </w:r>
    </w:p>
    <w:p>
      <w:pPr>
        <w:tabs>
          <w:tab w:val="left" w:pos="720"/>
        </w:tabs>
        <w:spacing w:line="360" w:lineRule="auto"/>
        <w:rPr>
          <w:rFonts w:ascii="宋体" w:hAnsi="宋体" w:cs="宋体"/>
          <w:color w:val="auto"/>
          <w:sz w:val="24"/>
          <w:szCs w:val="24"/>
          <w:highlight w:val="none"/>
        </w:rPr>
      </w:pPr>
    </w:p>
    <w:p>
      <w:pPr>
        <w:tabs>
          <w:tab w:val="left" w:pos="720"/>
        </w:tabs>
        <w:spacing w:line="360" w:lineRule="auto"/>
        <w:outlineLvl w:val="0"/>
        <w:rPr>
          <w:rFonts w:ascii="宋体" w:hAnsi="宋体" w:cs="宋体"/>
          <w:b/>
          <w:color w:val="auto"/>
          <w:sz w:val="24"/>
          <w:szCs w:val="24"/>
          <w:highlight w:val="none"/>
        </w:rPr>
      </w:pPr>
      <w:bookmarkStart w:id="199" w:name="_Toc28183_WPSOffice_Level2"/>
      <w:bookmarkStart w:id="200" w:name="_Toc11913"/>
      <w:bookmarkStart w:id="201" w:name="_Toc2242_WPSOffice_Level2"/>
      <w:bookmarkStart w:id="202" w:name="_Toc18370_WPSOffice_Level2"/>
      <w:r>
        <w:rPr>
          <w:rFonts w:hint="eastAsia" w:ascii="宋体" w:hAnsi="宋体" w:cs="宋体"/>
          <w:b/>
          <w:color w:val="auto"/>
          <w:sz w:val="24"/>
          <w:szCs w:val="24"/>
          <w:highlight w:val="none"/>
        </w:rPr>
        <w:t>附表五、技术负责人简历表</w:t>
      </w:r>
      <w:bookmarkEnd w:id="199"/>
      <w:bookmarkEnd w:id="200"/>
      <w:bookmarkEnd w:id="201"/>
      <w:bookmarkEnd w:id="202"/>
    </w:p>
    <w:tbl>
      <w:tblPr>
        <w:tblStyle w:val="19"/>
        <w:tblW w:w="90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480"/>
        <w:gridCol w:w="1480"/>
        <w:gridCol w:w="1608"/>
        <w:gridCol w:w="1481"/>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0" w:type="dxa"/>
            <w:vAlign w:val="center"/>
          </w:tcPr>
          <w:p>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480" w:type="dxa"/>
            <w:vAlign w:val="center"/>
          </w:tcPr>
          <w:p>
            <w:pPr>
              <w:spacing w:line="240" w:lineRule="exact"/>
              <w:jc w:val="center"/>
              <w:rPr>
                <w:rFonts w:ascii="宋体" w:hAnsi="宋体" w:cs="宋体"/>
                <w:color w:val="auto"/>
                <w:szCs w:val="21"/>
                <w:highlight w:val="none"/>
              </w:rPr>
            </w:pPr>
          </w:p>
        </w:tc>
        <w:tc>
          <w:tcPr>
            <w:tcW w:w="1480" w:type="dxa"/>
            <w:vAlign w:val="center"/>
          </w:tcPr>
          <w:p>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性别</w:t>
            </w:r>
          </w:p>
        </w:tc>
        <w:tc>
          <w:tcPr>
            <w:tcW w:w="1608" w:type="dxa"/>
            <w:vAlign w:val="center"/>
          </w:tcPr>
          <w:p>
            <w:pPr>
              <w:spacing w:line="240" w:lineRule="exact"/>
              <w:jc w:val="center"/>
              <w:rPr>
                <w:rFonts w:ascii="宋体" w:hAnsi="宋体" w:cs="宋体"/>
                <w:color w:val="auto"/>
                <w:szCs w:val="21"/>
                <w:highlight w:val="none"/>
              </w:rPr>
            </w:pPr>
          </w:p>
        </w:tc>
        <w:tc>
          <w:tcPr>
            <w:tcW w:w="1481" w:type="dxa"/>
            <w:vAlign w:val="center"/>
          </w:tcPr>
          <w:p>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年龄</w:t>
            </w:r>
          </w:p>
        </w:tc>
        <w:tc>
          <w:tcPr>
            <w:tcW w:w="1481" w:type="dxa"/>
            <w:vAlign w:val="center"/>
          </w:tcPr>
          <w:p>
            <w:pPr>
              <w:spacing w:line="2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0" w:type="dxa"/>
            <w:vAlign w:val="center"/>
          </w:tcPr>
          <w:p>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职务</w:t>
            </w:r>
          </w:p>
        </w:tc>
        <w:tc>
          <w:tcPr>
            <w:tcW w:w="1480" w:type="dxa"/>
            <w:vAlign w:val="center"/>
          </w:tcPr>
          <w:p>
            <w:pPr>
              <w:spacing w:line="240" w:lineRule="exact"/>
              <w:jc w:val="center"/>
              <w:rPr>
                <w:rFonts w:ascii="宋体" w:hAnsi="宋体" w:cs="宋体"/>
                <w:color w:val="auto"/>
                <w:szCs w:val="21"/>
                <w:highlight w:val="none"/>
              </w:rPr>
            </w:pPr>
          </w:p>
        </w:tc>
        <w:tc>
          <w:tcPr>
            <w:tcW w:w="1480" w:type="dxa"/>
            <w:vAlign w:val="center"/>
          </w:tcPr>
          <w:p>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职称</w:t>
            </w:r>
          </w:p>
        </w:tc>
        <w:tc>
          <w:tcPr>
            <w:tcW w:w="1608" w:type="dxa"/>
            <w:vAlign w:val="center"/>
          </w:tcPr>
          <w:p>
            <w:pPr>
              <w:spacing w:line="240" w:lineRule="exact"/>
              <w:jc w:val="center"/>
              <w:rPr>
                <w:rFonts w:ascii="宋体" w:hAnsi="宋体" w:cs="宋体"/>
                <w:color w:val="auto"/>
                <w:szCs w:val="21"/>
                <w:highlight w:val="none"/>
              </w:rPr>
            </w:pPr>
          </w:p>
        </w:tc>
        <w:tc>
          <w:tcPr>
            <w:tcW w:w="1481" w:type="dxa"/>
            <w:vAlign w:val="center"/>
          </w:tcPr>
          <w:p>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学历</w:t>
            </w:r>
          </w:p>
        </w:tc>
        <w:tc>
          <w:tcPr>
            <w:tcW w:w="1481" w:type="dxa"/>
            <w:vAlign w:val="center"/>
          </w:tcPr>
          <w:p>
            <w:pPr>
              <w:spacing w:line="2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60" w:type="dxa"/>
            <w:gridSpan w:val="2"/>
            <w:vAlign w:val="center"/>
          </w:tcPr>
          <w:p>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参加工作时间</w:t>
            </w:r>
          </w:p>
        </w:tc>
        <w:tc>
          <w:tcPr>
            <w:tcW w:w="1480" w:type="dxa"/>
            <w:vAlign w:val="center"/>
          </w:tcPr>
          <w:p>
            <w:pPr>
              <w:spacing w:line="240" w:lineRule="exact"/>
              <w:jc w:val="center"/>
              <w:rPr>
                <w:rFonts w:ascii="宋体" w:hAnsi="宋体" w:cs="宋体"/>
                <w:color w:val="auto"/>
                <w:szCs w:val="21"/>
                <w:highlight w:val="none"/>
              </w:rPr>
            </w:pPr>
          </w:p>
        </w:tc>
        <w:tc>
          <w:tcPr>
            <w:tcW w:w="3089" w:type="dxa"/>
            <w:gridSpan w:val="2"/>
            <w:vAlign w:val="center"/>
          </w:tcPr>
          <w:p>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从事技术负责人年限</w:t>
            </w:r>
          </w:p>
        </w:tc>
        <w:tc>
          <w:tcPr>
            <w:tcW w:w="1481" w:type="dxa"/>
            <w:vAlign w:val="center"/>
          </w:tcPr>
          <w:p>
            <w:pPr>
              <w:spacing w:line="2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60" w:type="dxa"/>
            <w:gridSpan w:val="2"/>
            <w:vAlign w:val="center"/>
          </w:tcPr>
          <w:p>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资格证书名称及编号</w:t>
            </w:r>
          </w:p>
        </w:tc>
        <w:tc>
          <w:tcPr>
            <w:tcW w:w="6050" w:type="dxa"/>
            <w:gridSpan w:val="4"/>
            <w:vAlign w:val="center"/>
          </w:tcPr>
          <w:p>
            <w:pPr>
              <w:spacing w:line="2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10" w:type="dxa"/>
            <w:gridSpan w:val="6"/>
            <w:vAlign w:val="center"/>
          </w:tcPr>
          <w:p>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0" w:type="dxa"/>
            <w:vAlign w:val="center"/>
          </w:tcPr>
          <w:p>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建设单位</w:t>
            </w:r>
          </w:p>
        </w:tc>
        <w:tc>
          <w:tcPr>
            <w:tcW w:w="1480" w:type="dxa"/>
            <w:vAlign w:val="center"/>
          </w:tcPr>
          <w:p>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1480" w:type="dxa"/>
            <w:vAlign w:val="center"/>
          </w:tcPr>
          <w:p>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建设规模</w:t>
            </w:r>
          </w:p>
        </w:tc>
        <w:tc>
          <w:tcPr>
            <w:tcW w:w="1608" w:type="dxa"/>
            <w:vAlign w:val="center"/>
          </w:tcPr>
          <w:p>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开、竣工日期</w:t>
            </w:r>
          </w:p>
        </w:tc>
        <w:tc>
          <w:tcPr>
            <w:tcW w:w="1481" w:type="dxa"/>
            <w:vAlign w:val="center"/>
          </w:tcPr>
          <w:p>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在建或已完</w:t>
            </w:r>
          </w:p>
        </w:tc>
        <w:tc>
          <w:tcPr>
            <w:tcW w:w="1481" w:type="dxa"/>
            <w:vAlign w:val="center"/>
          </w:tcPr>
          <w:p>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480" w:type="dxa"/>
          </w:tcPr>
          <w:p>
            <w:pPr>
              <w:spacing w:line="360" w:lineRule="auto"/>
              <w:rPr>
                <w:rFonts w:ascii="宋体" w:hAnsi="宋体" w:cs="宋体"/>
                <w:color w:val="auto"/>
                <w:szCs w:val="21"/>
                <w:highlight w:val="none"/>
              </w:rPr>
            </w:pPr>
          </w:p>
        </w:tc>
        <w:tc>
          <w:tcPr>
            <w:tcW w:w="1480" w:type="dxa"/>
          </w:tcPr>
          <w:p>
            <w:pPr>
              <w:spacing w:line="360" w:lineRule="auto"/>
              <w:rPr>
                <w:rFonts w:ascii="宋体" w:hAnsi="宋体" w:cs="宋体"/>
                <w:color w:val="auto"/>
                <w:szCs w:val="21"/>
                <w:highlight w:val="none"/>
              </w:rPr>
            </w:pPr>
          </w:p>
        </w:tc>
        <w:tc>
          <w:tcPr>
            <w:tcW w:w="1480" w:type="dxa"/>
          </w:tcPr>
          <w:p>
            <w:pPr>
              <w:spacing w:line="360" w:lineRule="auto"/>
              <w:rPr>
                <w:rFonts w:ascii="宋体" w:hAnsi="宋体" w:cs="宋体"/>
                <w:color w:val="auto"/>
                <w:szCs w:val="21"/>
                <w:highlight w:val="none"/>
              </w:rPr>
            </w:pPr>
          </w:p>
        </w:tc>
        <w:tc>
          <w:tcPr>
            <w:tcW w:w="1608" w:type="dxa"/>
          </w:tcPr>
          <w:p>
            <w:pPr>
              <w:spacing w:line="360" w:lineRule="auto"/>
              <w:rPr>
                <w:rFonts w:ascii="宋体" w:hAnsi="宋体" w:cs="宋体"/>
                <w:color w:val="auto"/>
                <w:szCs w:val="21"/>
                <w:highlight w:val="none"/>
              </w:rPr>
            </w:pPr>
          </w:p>
        </w:tc>
        <w:tc>
          <w:tcPr>
            <w:tcW w:w="1481" w:type="dxa"/>
          </w:tcPr>
          <w:p>
            <w:pPr>
              <w:spacing w:line="360" w:lineRule="auto"/>
              <w:rPr>
                <w:rFonts w:ascii="宋体" w:hAnsi="宋体" w:cs="宋体"/>
                <w:color w:val="auto"/>
                <w:szCs w:val="21"/>
                <w:highlight w:val="none"/>
              </w:rPr>
            </w:pPr>
          </w:p>
        </w:tc>
        <w:tc>
          <w:tcPr>
            <w:tcW w:w="1481" w:type="dxa"/>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480" w:type="dxa"/>
          </w:tcPr>
          <w:p>
            <w:pPr>
              <w:spacing w:line="360" w:lineRule="auto"/>
              <w:rPr>
                <w:rFonts w:ascii="宋体" w:hAnsi="宋体" w:cs="宋体"/>
                <w:color w:val="auto"/>
                <w:szCs w:val="21"/>
                <w:highlight w:val="none"/>
              </w:rPr>
            </w:pPr>
          </w:p>
        </w:tc>
        <w:tc>
          <w:tcPr>
            <w:tcW w:w="1480" w:type="dxa"/>
          </w:tcPr>
          <w:p>
            <w:pPr>
              <w:spacing w:line="360" w:lineRule="auto"/>
              <w:rPr>
                <w:rFonts w:ascii="宋体" w:hAnsi="宋体" w:cs="宋体"/>
                <w:color w:val="auto"/>
                <w:szCs w:val="21"/>
                <w:highlight w:val="none"/>
              </w:rPr>
            </w:pPr>
          </w:p>
        </w:tc>
        <w:tc>
          <w:tcPr>
            <w:tcW w:w="1480" w:type="dxa"/>
          </w:tcPr>
          <w:p>
            <w:pPr>
              <w:spacing w:line="360" w:lineRule="auto"/>
              <w:rPr>
                <w:rFonts w:ascii="宋体" w:hAnsi="宋体" w:cs="宋体"/>
                <w:color w:val="auto"/>
                <w:szCs w:val="21"/>
                <w:highlight w:val="none"/>
              </w:rPr>
            </w:pPr>
          </w:p>
        </w:tc>
        <w:tc>
          <w:tcPr>
            <w:tcW w:w="1608" w:type="dxa"/>
          </w:tcPr>
          <w:p>
            <w:pPr>
              <w:spacing w:line="360" w:lineRule="auto"/>
              <w:rPr>
                <w:rFonts w:ascii="宋体" w:hAnsi="宋体" w:cs="宋体"/>
                <w:color w:val="auto"/>
                <w:szCs w:val="21"/>
                <w:highlight w:val="none"/>
              </w:rPr>
            </w:pPr>
          </w:p>
        </w:tc>
        <w:tc>
          <w:tcPr>
            <w:tcW w:w="1481" w:type="dxa"/>
          </w:tcPr>
          <w:p>
            <w:pPr>
              <w:spacing w:line="360" w:lineRule="auto"/>
              <w:rPr>
                <w:rFonts w:ascii="宋体" w:hAnsi="宋体" w:cs="宋体"/>
                <w:color w:val="auto"/>
                <w:szCs w:val="21"/>
                <w:highlight w:val="none"/>
              </w:rPr>
            </w:pPr>
          </w:p>
        </w:tc>
        <w:tc>
          <w:tcPr>
            <w:tcW w:w="1481" w:type="dxa"/>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480" w:type="dxa"/>
          </w:tcPr>
          <w:p>
            <w:pPr>
              <w:spacing w:line="360" w:lineRule="auto"/>
              <w:rPr>
                <w:rFonts w:ascii="宋体" w:hAnsi="宋体" w:cs="宋体"/>
                <w:color w:val="auto"/>
                <w:szCs w:val="21"/>
                <w:highlight w:val="none"/>
              </w:rPr>
            </w:pPr>
          </w:p>
        </w:tc>
        <w:tc>
          <w:tcPr>
            <w:tcW w:w="1480" w:type="dxa"/>
          </w:tcPr>
          <w:p>
            <w:pPr>
              <w:spacing w:line="360" w:lineRule="auto"/>
              <w:rPr>
                <w:rFonts w:ascii="宋体" w:hAnsi="宋体" w:cs="宋体"/>
                <w:color w:val="auto"/>
                <w:szCs w:val="21"/>
                <w:highlight w:val="none"/>
              </w:rPr>
            </w:pPr>
          </w:p>
        </w:tc>
        <w:tc>
          <w:tcPr>
            <w:tcW w:w="1480" w:type="dxa"/>
          </w:tcPr>
          <w:p>
            <w:pPr>
              <w:spacing w:line="360" w:lineRule="auto"/>
              <w:rPr>
                <w:rFonts w:ascii="宋体" w:hAnsi="宋体" w:cs="宋体"/>
                <w:color w:val="auto"/>
                <w:szCs w:val="21"/>
                <w:highlight w:val="none"/>
              </w:rPr>
            </w:pPr>
          </w:p>
        </w:tc>
        <w:tc>
          <w:tcPr>
            <w:tcW w:w="1608" w:type="dxa"/>
          </w:tcPr>
          <w:p>
            <w:pPr>
              <w:spacing w:line="360" w:lineRule="auto"/>
              <w:rPr>
                <w:rFonts w:ascii="宋体" w:hAnsi="宋体" w:cs="宋体"/>
                <w:color w:val="auto"/>
                <w:szCs w:val="21"/>
                <w:highlight w:val="none"/>
              </w:rPr>
            </w:pPr>
          </w:p>
        </w:tc>
        <w:tc>
          <w:tcPr>
            <w:tcW w:w="1481" w:type="dxa"/>
          </w:tcPr>
          <w:p>
            <w:pPr>
              <w:spacing w:line="360" w:lineRule="auto"/>
              <w:rPr>
                <w:rFonts w:ascii="宋体" w:hAnsi="宋体" w:cs="宋体"/>
                <w:color w:val="auto"/>
                <w:szCs w:val="21"/>
                <w:highlight w:val="none"/>
              </w:rPr>
            </w:pPr>
          </w:p>
        </w:tc>
        <w:tc>
          <w:tcPr>
            <w:tcW w:w="1481" w:type="dxa"/>
          </w:tcPr>
          <w:p>
            <w:pPr>
              <w:spacing w:line="360" w:lineRule="auto"/>
              <w:rPr>
                <w:rFonts w:ascii="宋体" w:hAnsi="宋体" w:cs="宋体"/>
                <w:color w:val="auto"/>
                <w:szCs w:val="21"/>
                <w:highlight w:val="none"/>
              </w:rPr>
            </w:pPr>
          </w:p>
        </w:tc>
      </w:tr>
    </w:tbl>
    <w:p>
      <w:pPr>
        <w:spacing w:line="360" w:lineRule="auto"/>
        <w:jc w:val="center"/>
        <w:rPr>
          <w:rFonts w:ascii="宋体" w:hAnsi="宋体" w:cs="宋体"/>
          <w:b/>
          <w:bCs/>
          <w:color w:val="auto"/>
          <w:szCs w:val="28"/>
          <w:highlight w:val="none"/>
        </w:rPr>
      </w:pPr>
    </w:p>
    <w:p>
      <w:pPr>
        <w:spacing w:line="360" w:lineRule="auto"/>
        <w:jc w:val="center"/>
        <w:rPr>
          <w:rFonts w:ascii="宋体" w:hAnsi="宋体" w:cs="宋体"/>
          <w:b/>
          <w:bCs/>
          <w:color w:val="auto"/>
          <w:szCs w:val="28"/>
          <w:highlight w:val="none"/>
        </w:rPr>
      </w:pPr>
    </w:p>
    <w:p>
      <w:pPr>
        <w:tabs>
          <w:tab w:val="left" w:pos="720"/>
        </w:tabs>
        <w:spacing w:line="360" w:lineRule="auto"/>
        <w:rPr>
          <w:rFonts w:ascii="宋体" w:hAnsi="宋体" w:cs="宋体"/>
          <w:b/>
          <w:color w:val="auto"/>
          <w:sz w:val="24"/>
          <w:szCs w:val="24"/>
          <w:highlight w:val="none"/>
        </w:rPr>
        <w:sectPr>
          <w:pgSz w:w="11900" w:h="16838"/>
          <w:pgMar w:top="1440" w:right="1440" w:bottom="158" w:left="1440" w:header="567" w:footer="567" w:gutter="0"/>
          <w:cols w:equalWidth="0" w:num="1">
            <w:col w:w="9026"/>
          </w:cols>
        </w:sectPr>
      </w:pPr>
      <w:bookmarkStart w:id="203" w:name="_Toc152042588"/>
      <w:bookmarkStart w:id="204" w:name="_Toc179632819"/>
      <w:bookmarkStart w:id="205" w:name="_Toc144974867"/>
      <w:bookmarkStart w:id="206" w:name="_Toc28662_WPSOffice_Level2"/>
      <w:bookmarkStart w:id="207" w:name="_Toc246392157"/>
      <w:bookmarkStart w:id="208" w:name="_Toc152045799"/>
    </w:p>
    <w:p>
      <w:pPr>
        <w:tabs>
          <w:tab w:val="left" w:pos="720"/>
        </w:tabs>
        <w:spacing w:line="360" w:lineRule="auto"/>
        <w:outlineLvl w:val="0"/>
        <w:rPr>
          <w:rFonts w:ascii="宋体" w:hAnsi="宋体" w:cs="宋体"/>
          <w:b/>
          <w:color w:val="auto"/>
          <w:sz w:val="24"/>
          <w:szCs w:val="24"/>
          <w:highlight w:val="none"/>
        </w:rPr>
      </w:pPr>
      <w:bookmarkStart w:id="209" w:name="_Toc24589_WPSOffice_Level2"/>
      <w:bookmarkStart w:id="210" w:name="_Toc24300"/>
      <w:bookmarkStart w:id="211" w:name="_Toc17278_WPSOffice_Level2"/>
      <w:r>
        <w:rPr>
          <w:rFonts w:hint="eastAsia" w:ascii="宋体" w:hAnsi="宋体" w:cs="宋体"/>
          <w:b/>
          <w:color w:val="auto"/>
          <w:sz w:val="24"/>
          <w:szCs w:val="24"/>
          <w:highlight w:val="none"/>
        </w:rPr>
        <w:t>附表六：劳动力计划表</w:t>
      </w:r>
      <w:bookmarkEnd w:id="203"/>
      <w:bookmarkEnd w:id="204"/>
      <w:bookmarkEnd w:id="205"/>
      <w:bookmarkEnd w:id="206"/>
      <w:bookmarkEnd w:id="207"/>
      <w:bookmarkEnd w:id="208"/>
      <w:bookmarkEnd w:id="209"/>
      <w:bookmarkEnd w:id="210"/>
      <w:bookmarkEnd w:id="211"/>
    </w:p>
    <w:p>
      <w:pPr>
        <w:spacing w:line="440" w:lineRule="exact"/>
        <w:ind w:right="410"/>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w:t>
      </w:r>
      <w:bookmarkStart w:id="212" w:name="_Toc13766_WPSOffice_Level2"/>
      <w:bookmarkStart w:id="213" w:name="_Toc3046_WPSOffice_Level2"/>
      <w:bookmarkStart w:id="214" w:name="_Toc10130_WPSOffice_Level2"/>
      <w:r>
        <w:rPr>
          <w:rFonts w:hint="eastAsia" w:ascii="宋体" w:hAnsi="宋体" w:cs="宋体"/>
          <w:color w:val="auto"/>
          <w:sz w:val="24"/>
          <w:szCs w:val="24"/>
          <w:highlight w:val="none"/>
        </w:rPr>
        <w:t>单位：人</w:t>
      </w:r>
      <w:bookmarkEnd w:id="212"/>
      <w:bookmarkEnd w:id="213"/>
      <w:bookmarkEnd w:id="214"/>
    </w:p>
    <w:tbl>
      <w:tblPr>
        <w:tblStyle w:val="19"/>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49"/>
        <w:gridCol w:w="1234"/>
        <w:gridCol w:w="1234"/>
        <w:gridCol w:w="953"/>
        <w:gridCol w:w="1234"/>
        <w:gridCol w:w="1234"/>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9" w:type="dxa"/>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工种</w:t>
            </w:r>
          </w:p>
        </w:tc>
        <w:tc>
          <w:tcPr>
            <w:tcW w:w="8061" w:type="dxa"/>
            <w:gridSpan w:val="7"/>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9" w:type="dxa"/>
            <w:vAlign w:val="center"/>
          </w:tcPr>
          <w:p>
            <w:pPr>
              <w:spacing w:line="440" w:lineRule="exact"/>
              <w:jc w:val="center"/>
              <w:rPr>
                <w:rFonts w:ascii="宋体" w:hAnsi="宋体" w:cs="宋体"/>
                <w:color w:val="auto"/>
                <w:szCs w:val="21"/>
                <w:highlight w:val="none"/>
              </w:rPr>
            </w:pPr>
          </w:p>
        </w:tc>
        <w:tc>
          <w:tcPr>
            <w:tcW w:w="949" w:type="dxa"/>
            <w:vAlign w:val="center"/>
          </w:tcPr>
          <w:p>
            <w:pPr>
              <w:spacing w:line="440" w:lineRule="exact"/>
              <w:jc w:val="center"/>
              <w:rPr>
                <w:rFonts w:ascii="宋体" w:hAnsi="宋体" w:cs="宋体"/>
                <w:color w:val="auto"/>
                <w:szCs w:val="21"/>
                <w:highlight w:val="none"/>
              </w:rPr>
            </w:pPr>
          </w:p>
        </w:tc>
        <w:tc>
          <w:tcPr>
            <w:tcW w:w="1234" w:type="dxa"/>
            <w:vAlign w:val="center"/>
          </w:tcPr>
          <w:p>
            <w:pPr>
              <w:spacing w:line="440" w:lineRule="exact"/>
              <w:jc w:val="center"/>
              <w:rPr>
                <w:rFonts w:ascii="宋体" w:hAnsi="宋体" w:cs="宋体"/>
                <w:color w:val="auto"/>
                <w:szCs w:val="21"/>
                <w:highlight w:val="none"/>
              </w:rPr>
            </w:pPr>
          </w:p>
        </w:tc>
        <w:tc>
          <w:tcPr>
            <w:tcW w:w="1234" w:type="dxa"/>
            <w:vAlign w:val="center"/>
          </w:tcPr>
          <w:p>
            <w:pPr>
              <w:spacing w:line="440" w:lineRule="exact"/>
              <w:jc w:val="center"/>
              <w:rPr>
                <w:rFonts w:ascii="宋体" w:hAnsi="宋体" w:cs="宋体"/>
                <w:color w:val="auto"/>
                <w:szCs w:val="21"/>
                <w:highlight w:val="none"/>
              </w:rPr>
            </w:pPr>
          </w:p>
        </w:tc>
        <w:tc>
          <w:tcPr>
            <w:tcW w:w="953" w:type="dxa"/>
            <w:vAlign w:val="center"/>
          </w:tcPr>
          <w:p>
            <w:pPr>
              <w:spacing w:line="440" w:lineRule="exact"/>
              <w:jc w:val="center"/>
              <w:rPr>
                <w:rFonts w:ascii="宋体" w:hAnsi="宋体" w:cs="宋体"/>
                <w:color w:val="auto"/>
                <w:szCs w:val="21"/>
                <w:highlight w:val="none"/>
              </w:rPr>
            </w:pPr>
          </w:p>
        </w:tc>
        <w:tc>
          <w:tcPr>
            <w:tcW w:w="1234" w:type="dxa"/>
            <w:vAlign w:val="center"/>
          </w:tcPr>
          <w:p>
            <w:pPr>
              <w:spacing w:line="440" w:lineRule="exact"/>
              <w:jc w:val="center"/>
              <w:rPr>
                <w:rFonts w:ascii="宋体" w:hAnsi="宋体" w:cs="宋体"/>
                <w:color w:val="auto"/>
                <w:szCs w:val="21"/>
                <w:highlight w:val="none"/>
              </w:rPr>
            </w:pPr>
          </w:p>
        </w:tc>
        <w:tc>
          <w:tcPr>
            <w:tcW w:w="1234" w:type="dxa"/>
            <w:vAlign w:val="center"/>
          </w:tcPr>
          <w:p>
            <w:pPr>
              <w:spacing w:line="440" w:lineRule="exact"/>
              <w:jc w:val="center"/>
              <w:rPr>
                <w:rFonts w:ascii="宋体" w:hAnsi="宋体" w:cs="宋体"/>
                <w:color w:val="auto"/>
                <w:szCs w:val="21"/>
                <w:highlight w:val="none"/>
              </w:rPr>
            </w:pPr>
          </w:p>
        </w:tc>
        <w:tc>
          <w:tcPr>
            <w:tcW w:w="1223" w:type="dxa"/>
            <w:vAlign w:val="center"/>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9" w:type="dxa"/>
            <w:vAlign w:val="center"/>
          </w:tcPr>
          <w:p>
            <w:pPr>
              <w:spacing w:line="440" w:lineRule="exact"/>
              <w:jc w:val="center"/>
              <w:rPr>
                <w:rFonts w:ascii="宋体" w:hAnsi="宋体" w:cs="宋体"/>
                <w:color w:val="auto"/>
                <w:szCs w:val="21"/>
                <w:highlight w:val="none"/>
              </w:rPr>
            </w:pPr>
          </w:p>
        </w:tc>
        <w:tc>
          <w:tcPr>
            <w:tcW w:w="949" w:type="dxa"/>
            <w:vAlign w:val="center"/>
          </w:tcPr>
          <w:p>
            <w:pPr>
              <w:spacing w:line="440" w:lineRule="exact"/>
              <w:jc w:val="center"/>
              <w:rPr>
                <w:rFonts w:ascii="宋体" w:hAnsi="宋体" w:cs="宋体"/>
                <w:color w:val="auto"/>
                <w:szCs w:val="21"/>
                <w:highlight w:val="none"/>
              </w:rPr>
            </w:pPr>
          </w:p>
        </w:tc>
        <w:tc>
          <w:tcPr>
            <w:tcW w:w="1234" w:type="dxa"/>
            <w:vAlign w:val="center"/>
          </w:tcPr>
          <w:p>
            <w:pPr>
              <w:spacing w:line="440" w:lineRule="exact"/>
              <w:jc w:val="center"/>
              <w:rPr>
                <w:rFonts w:ascii="宋体" w:hAnsi="宋体" w:cs="宋体"/>
                <w:color w:val="auto"/>
                <w:szCs w:val="21"/>
                <w:highlight w:val="none"/>
              </w:rPr>
            </w:pPr>
          </w:p>
        </w:tc>
        <w:tc>
          <w:tcPr>
            <w:tcW w:w="1234" w:type="dxa"/>
            <w:vAlign w:val="center"/>
          </w:tcPr>
          <w:p>
            <w:pPr>
              <w:spacing w:line="440" w:lineRule="exact"/>
              <w:jc w:val="center"/>
              <w:rPr>
                <w:rFonts w:ascii="宋体" w:hAnsi="宋体" w:cs="宋体"/>
                <w:color w:val="auto"/>
                <w:szCs w:val="21"/>
                <w:highlight w:val="none"/>
              </w:rPr>
            </w:pPr>
          </w:p>
        </w:tc>
        <w:tc>
          <w:tcPr>
            <w:tcW w:w="953" w:type="dxa"/>
            <w:vAlign w:val="center"/>
          </w:tcPr>
          <w:p>
            <w:pPr>
              <w:spacing w:line="440" w:lineRule="exact"/>
              <w:jc w:val="center"/>
              <w:rPr>
                <w:rFonts w:ascii="宋体" w:hAnsi="宋体" w:cs="宋体"/>
                <w:color w:val="auto"/>
                <w:szCs w:val="21"/>
                <w:highlight w:val="none"/>
              </w:rPr>
            </w:pPr>
          </w:p>
        </w:tc>
        <w:tc>
          <w:tcPr>
            <w:tcW w:w="1234" w:type="dxa"/>
            <w:vAlign w:val="center"/>
          </w:tcPr>
          <w:p>
            <w:pPr>
              <w:spacing w:line="440" w:lineRule="exact"/>
              <w:jc w:val="center"/>
              <w:rPr>
                <w:rFonts w:ascii="宋体" w:hAnsi="宋体" w:cs="宋体"/>
                <w:color w:val="auto"/>
                <w:szCs w:val="21"/>
                <w:highlight w:val="none"/>
              </w:rPr>
            </w:pPr>
          </w:p>
        </w:tc>
        <w:tc>
          <w:tcPr>
            <w:tcW w:w="1234" w:type="dxa"/>
            <w:vAlign w:val="center"/>
          </w:tcPr>
          <w:p>
            <w:pPr>
              <w:spacing w:line="440" w:lineRule="exact"/>
              <w:jc w:val="center"/>
              <w:rPr>
                <w:rFonts w:ascii="宋体" w:hAnsi="宋体" w:cs="宋体"/>
                <w:color w:val="auto"/>
                <w:szCs w:val="21"/>
                <w:highlight w:val="none"/>
              </w:rPr>
            </w:pPr>
          </w:p>
        </w:tc>
        <w:tc>
          <w:tcPr>
            <w:tcW w:w="1223" w:type="dxa"/>
            <w:vAlign w:val="center"/>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9" w:type="dxa"/>
          </w:tcPr>
          <w:p>
            <w:pPr>
              <w:spacing w:line="440" w:lineRule="exact"/>
              <w:jc w:val="center"/>
              <w:rPr>
                <w:rFonts w:ascii="宋体" w:hAnsi="宋体" w:cs="宋体"/>
                <w:color w:val="auto"/>
                <w:szCs w:val="21"/>
                <w:highlight w:val="none"/>
              </w:rPr>
            </w:pPr>
          </w:p>
        </w:tc>
        <w:tc>
          <w:tcPr>
            <w:tcW w:w="949" w:type="dxa"/>
          </w:tcPr>
          <w:p>
            <w:pPr>
              <w:spacing w:line="440" w:lineRule="exact"/>
              <w:jc w:val="center"/>
              <w:rPr>
                <w:rFonts w:ascii="宋体" w:hAnsi="宋体" w:cs="宋体"/>
                <w:color w:val="auto"/>
                <w:szCs w:val="21"/>
                <w:highlight w:val="none"/>
              </w:rPr>
            </w:pPr>
          </w:p>
        </w:tc>
        <w:tc>
          <w:tcPr>
            <w:tcW w:w="1234" w:type="dxa"/>
          </w:tcPr>
          <w:p>
            <w:pPr>
              <w:spacing w:line="440" w:lineRule="exact"/>
              <w:jc w:val="center"/>
              <w:rPr>
                <w:rFonts w:ascii="宋体" w:hAnsi="宋体" w:cs="宋体"/>
                <w:color w:val="auto"/>
                <w:szCs w:val="21"/>
                <w:highlight w:val="none"/>
              </w:rPr>
            </w:pPr>
          </w:p>
        </w:tc>
        <w:tc>
          <w:tcPr>
            <w:tcW w:w="1234" w:type="dxa"/>
          </w:tcPr>
          <w:p>
            <w:pPr>
              <w:spacing w:line="440" w:lineRule="exact"/>
              <w:jc w:val="center"/>
              <w:rPr>
                <w:rFonts w:ascii="宋体" w:hAnsi="宋体" w:cs="宋体"/>
                <w:color w:val="auto"/>
                <w:szCs w:val="21"/>
                <w:highlight w:val="none"/>
              </w:rPr>
            </w:pPr>
          </w:p>
        </w:tc>
        <w:tc>
          <w:tcPr>
            <w:tcW w:w="953" w:type="dxa"/>
          </w:tcPr>
          <w:p>
            <w:pPr>
              <w:spacing w:line="440" w:lineRule="exact"/>
              <w:jc w:val="center"/>
              <w:rPr>
                <w:rFonts w:ascii="宋体" w:hAnsi="宋体" w:cs="宋体"/>
                <w:color w:val="auto"/>
                <w:szCs w:val="21"/>
                <w:highlight w:val="none"/>
              </w:rPr>
            </w:pPr>
          </w:p>
        </w:tc>
        <w:tc>
          <w:tcPr>
            <w:tcW w:w="1234" w:type="dxa"/>
          </w:tcPr>
          <w:p>
            <w:pPr>
              <w:spacing w:line="440" w:lineRule="exact"/>
              <w:jc w:val="center"/>
              <w:rPr>
                <w:rFonts w:ascii="宋体" w:hAnsi="宋体" w:cs="宋体"/>
                <w:color w:val="auto"/>
                <w:szCs w:val="21"/>
                <w:highlight w:val="none"/>
              </w:rPr>
            </w:pPr>
          </w:p>
        </w:tc>
        <w:tc>
          <w:tcPr>
            <w:tcW w:w="1234" w:type="dxa"/>
          </w:tcPr>
          <w:p>
            <w:pPr>
              <w:spacing w:line="440" w:lineRule="exact"/>
              <w:jc w:val="center"/>
              <w:rPr>
                <w:rFonts w:ascii="宋体" w:hAnsi="宋体" w:cs="宋体"/>
                <w:color w:val="auto"/>
                <w:szCs w:val="21"/>
                <w:highlight w:val="none"/>
              </w:rPr>
            </w:pPr>
          </w:p>
        </w:tc>
        <w:tc>
          <w:tcPr>
            <w:tcW w:w="1223" w:type="dxa"/>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9" w:type="dxa"/>
          </w:tcPr>
          <w:p>
            <w:pPr>
              <w:spacing w:line="440" w:lineRule="exact"/>
              <w:jc w:val="center"/>
              <w:rPr>
                <w:rFonts w:ascii="宋体" w:hAnsi="宋体" w:cs="宋体"/>
                <w:color w:val="auto"/>
                <w:szCs w:val="21"/>
                <w:highlight w:val="none"/>
              </w:rPr>
            </w:pPr>
          </w:p>
        </w:tc>
        <w:tc>
          <w:tcPr>
            <w:tcW w:w="949" w:type="dxa"/>
          </w:tcPr>
          <w:p>
            <w:pPr>
              <w:spacing w:line="440" w:lineRule="exact"/>
              <w:jc w:val="center"/>
              <w:rPr>
                <w:rFonts w:ascii="宋体" w:hAnsi="宋体" w:cs="宋体"/>
                <w:color w:val="auto"/>
                <w:szCs w:val="21"/>
                <w:highlight w:val="none"/>
              </w:rPr>
            </w:pPr>
          </w:p>
        </w:tc>
        <w:tc>
          <w:tcPr>
            <w:tcW w:w="1234" w:type="dxa"/>
          </w:tcPr>
          <w:p>
            <w:pPr>
              <w:spacing w:line="440" w:lineRule="exact"/>
              <w:jc w:val="center"/>
              <w:rPr>
                <w:rFonts w:ascii="宋体" w:hAnsi="宋体" w:cs="宋体"/>
                <w:color w:val="auto"/>
                <w:szCs w:val="21"/>
                <w:highlight w:val="none"/>
              </w:rPr>
            </w:pPr>
          </w:p>
        </w:tc>
        <w:tc>
          <w:tcPr>
            <w:tcW w:w="1234" w:type="dxa"/>
          </w:tcPr>
          <w:p>
            <w:pPr>
              <w:spacing w:line="440" w:lineRule="exact"/>
              <w:jc w:val="center"/>
              <w:rPr>
                <w:rFonts w:ascii="宋体" w:hAnsi="宋体" w:cs="宋体"/>
                <w:color w:val="auto"/>
                <w:szCs w:val="21"/>
                <w:highlight w:val="none"/>
              </w:rPr>
            </w:pPr>
          </w:p>
        </w:tc>
        <w:tc>
          <w:tcPr>
            <w:tcW w:w="953" w:type="dxa"/>
          </w:tcPr>
          <w:p>
            <w:pPr>
              <w:spacing w:line="440" w:lineRule="exact"/>
              <w:jc w:val="center"/>
              <w:rPr>
                <w:rFonts w:ascii="宋体" w:hAnsi="宋体" w:cs="宋体"/>
                <w:color w:val="auto"/>
                <w:szCs w:val="21"/>
                <w:highlight w:val="none"/>
              </w:rPr>
            </w:pPr>
          </w:p>
        </w:tc>
        <w:tc>
          <w:tcPr>
            <w:tcW w:w="1234" w:type="dxa"/>
          </w:tcPr>
          <w:p>
            <w:pPr>
              <w:spacing w:line="440" w:lineRule="exact"/>
              <w:jc w:val="center"/>
              <w:rPr>
                <w:rFonts w:ascii="宋体" w:hAnsi="宋体" w:cs="宋体"/>
                <w:color w:val="auto"/>
                <w:szCs w:val="21"/>
                <w:highlight w:val="none"/>
              </w:rPr>
            </w:pPr>
          </w:p>
        </w:tc>
        <w:tc>
          <w:tcPr>
            <w:tcW w:w="1234" w:type="dxa"/>
          </w:tcPr>
          <w:p>
            <w:pPr>
              <w:spacing w:line="440" w:lineRule="exact"/>
              <w:jc w:val="center"/>
              <w:rPr>
                <w:rFonts w:ascii="宋体" w:hAnsi="宋体" w:cs="宋体"/>
                <w:color w:val="auto"/>
                <w:szCs w:val="21"/>
                <w:highlight w:val="none"/>
              </w:rPr>
            </w:pPr>
          </w:p>
        </w:tc>
        <w:tc>
          <w:tcPr>
            <w:tcW w:w="1223" w:type="dxa"/>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9" w:type="dxa"/>
          </w:tcPr>
          <w:p>
            <w:pPr>
              <w:spacing w:line="440" w:lineRule="exact"/>
              <w:jc w:val="center"/>
              <w:rPr>
                <w:rFonts w:ascii="宋体" w:hAnsi="宋体" w:cs="宋体"/>
                <w:color w:val="auto"/>
                <w:szCs w:val="21"/>
                <w:highlight w:val="none"/>
              </w:rPr>
            </w:pPr>
          </w:p>
        </w:tc>
        <w:tc>
          <w:tcPr>
            <w:tcW w:w="949" w:type="dxa"/>
          </w:tcPr>
          <w:p>
            <w:pPr>
              <w:spacing w:line="440" w:lineRule="exact"/>
              <w:jc w:val="center"/>
              <w:rPr>
                <w:rFonts w:ascii="宋体" w:hAnsi="宋体" w:cs="宋体"/>
                <w:color w:val="auto"/>
                <w:szCs w:val="21"/>
                <w:highlight w:val="none"/>
              </w:rPr>
            </w:pPr>
          </w:p>
        </w:tc>
        <w:tc>
          <w:tcPr>
            <w:tcW w:w="1234" w:type="dxa"/>
          </w:tcPr>
          <w:p>
            <w:pPr>
              <w:spacing w:line="440" w:lineRule="exact"/>
              <w:jc w:val="center"/>
              <w:rPr>
                <w:rFonts w:ascii="宋体" w:hAnsi="宋体" w:cs="宋体"/>
                <w:color w:val="auto"/>
                <w:szCs w:val="21"/>
                <w:highlight w:val="none"/>
              </w:rPr>
            </w:pPr>
          </w:p>
        </w:tc>
        <w:tc>
          <w:tcPr>
            <w:tcW w:w="1234" w:type="dxa"/>
          </w:tcPr>
          <w:p>
            <w:pPr>
              <w:spacing w:line="440" w:lineRule="exact"/>
              <w:jc w:val="center"/>
              <w:rPr>
                <w:rFonts w:ascii="宋体" w:hAnsi="宋体" w:cs="宋体"/>
                <w:color w:val="auto"/>
                <w:szCs w:val="21"/>
                <w:highlight w:val="none"/>
              </w:rPr>
            </w:pPr>
          </w:p>
        </w:tc>
        <w:tc>
          <w:tcPr>
            <w:tcW w:w="953" w:type="dxa"/>
          </w:tcPr>
          <w:p>
            <w:pPr>
              <w:spacing w:line="440" w:lineRule="exact"/>
              <w:jc w:val="center"/>
              <w:rPr>
                <w:rFonts w:ascii="宋体" w:hAnsi="宋体" w:cs="宋体"/>
                <w:color w:val="auto"/>
                <w:szCs w:val="21"/>
                <w:highlight w:val="none"/>
              </w:rPr>
            </w:pPr>
          </w:p>
        </w:tc>
        <w:tc>
          <w:tcPr>
            <w:tcW w:w="1234" w:type="dxa"/>
          </w:tcPr>
          <w:p>
            <w:pPr>
              <w:spacing w:line="440" w:lineRule="exact"/>
              <w:jc w:val="center"/>
              <w:rPr>
                <w:rFonts w:ascii="宋体" w:hAnsi="宋体" w:cs="宋体"/>
                <w:color w:val="auto"/>
                <w:szCs w:val="21"/>
                <w:highlight w:val="none"/>
              </w:rPr>
            </w:pPr>
          </w:p>
        </w:tc>
        <w:tc>
          <w:tcPr>
            <w:tcW w:w="1234" w:type="dxa"/>
          </w:tcPr>
          <w:p>
            <w:pPr>
              <w:spacing w:line="440" w:lineRule="exact"/>
              <w:jc w:val="center"/>
              <w:rPr>
                <w:rFonts w:ascii="宋体" w:hAnsi="宋体" w:cs="宋体"/>
                <w:color w:val="auto"/>
                <w:szCs w:val="21"/>
                <w:highlight w:val="none"/>
              </w:rPr>
            </w:pPr>
          </w:p>
        </w:tc>
        <w:tc>
          <w:tcPr>
            <w:tcW w:w="1223" w:type="dxa"/>
          </w:tcPr>
          <w:p>
            <w:pPr>
              <w:spacing w:line="440" w:lineRule="exact"/>
              <w:jc w:val="center"/>
              <w:rPr>
                <w:rFonts w:ascii="宋体" w:hAnsi="宋体" w:cs="宋体"/>
                <w:color w:val="auto"/>
                <w:szCs w:val="21"/>
                <w:highlight w:val="none"/>
              </w:rPr>
            </w:pPr>
          </w:p>
        </w:tc>
      </w:tr>
    </w:tbl>
    <w:p>
      <w:pPr>
        <w:tabs>
          <w:tab w:val="left" w:pos="720"/>
        </w:tabs>
        <w:spacing w:line="360" w:lineRule="auto"/>
        <w:rPr>
          <w:rFonts w:ascii="宋体" w:hAnsi="宋体" w:cs="宋体"/>
          <w:b/>
          <w:color w:val="auto"/>
          <w:sz w:val="24"/>
          <w:szCs w:val="24"/>
          <w:highlight w:val="none"/>
        </w:rPr>
      </w:pPr>
      <w:bookmarkStart w:id="215" w:name="_Toc246392158"/>
      <w:bookmarkStart w:id="216" w:name="_Toc152042589"/>
      <w:bookmarkStart w:id="217" w:name="_Toc179632820"/>
      <w:bookmarkStart w:id="218" w:name="_Toc152045800"/>
      <w:bookmarkStart w:id="219" w:name="_Toc144974868"/>
    </w:p>
    <w:p>
      <w:pPr>
        <w:tabs>
          <w:tab w:val="left" w:pos="720"/>
        </w:tabs>
        <w:spacing w:line="360" w:lineRule="auto"/>
        <w:rPr>
          <w:rFonts w:ascii="宋体" w:hAnsi="宋体" w:cs="宋体"/>
          <w:b/>
          <w:color w:val="auto"/>
          <w:sz w:val="24"/>
          <w:szCs w:val="24"/>
          <w:highlight w:val="none"/>
        </w:rPr>
      </w:pPr>
    </w:p>
    <w:p>
      <w:pPr>
        <w:tabs>
          <w:tab w:val="left" w:pos="720"/>
        </w:tabs>
        <w:spacing w:line="360" w:lineRule="auto"/>
        <w:outlineLvl w:val="0"/>
        <w:rPr>
          <w:rFonts w:ascii="宋体" w:hAnsi="宋体" w:cs="宋体"/>
          <w:b/>
          <w:color w:val="auto"/>
          <w:sz w:val="24"/>
          <w:szCs w:val="24"/>
          <w:highlight w:val="none"/>
        </w:rPr>
      </w:pPr>
      <w:bookmarkStart w:id="220" w:name="_Toc27123"/>
      <w:bookmarkStart w:id="221" w:name="_Toc28001_WPSOffice_Level2"/>
      <w:bookmarkStart w:id="222" w:name="_Toc5832_WPSOffice_Level2"/>
      <w:bookmarkStart w:id="223" w:name="_Toc21163_WPSOffice_Level2"/>
      <w:r>
        <w:rPr>
          <w:rFonts w:hint="eastAsia" w:ascii="宋体" w:hAnsi="宋体" w:cs="宋体"/>
          <w:b/>
          <w:color w:val="auto"/>
          <w:sz w:val="24"/>
          <w:szCs w:val="24"/>
          <w:highlight w:val="none"/>
        </w:rPr>
        <w:t>附表七：计划开、竣工日期和施工进度网络图</w:t>
      </w:r>
      <w:bookmarkEnd w:id="215"/>
      <w:bookmarkEnd w:id="216"/>
      <w:bookmarkEnd w:id="217"/>
      <w:bookmarkEnd w:id="218"/>
      <w:bookmarkEnd w:id="219"/>
      <w:bookmarkEnd w:id="220"/>
      <w:bookmarkEnd w:id="221"/>
      <w:bookmarkEnd w:id="222"/>
      <w:bookmarkEnd w:id="223"/>
    </w:p>
    <w:p>
      <w:pPr>
        <w:spacing w:line="360" w:lineRule="auto"/>
        <w:rPr>
          <w:rFonts w:ascii="宋体" w:hAnsi="宋体" w:cs="宋体"/>
          <w:color w:val="auto"/>
          <w:szCs w:val="21"/>
          <w:highlight w:val="none"/>
        </w:rPr>
      </w:pPr>
      <w:r>
        <w:rPr>
          <w:rFonts w:hint="eastAsia" w:ascii="宋体" w:hAnsi="宋体" w:cs="宋体"/>
          <w:color w:val="auto"/>
          <w:szCs w:val="21"/>
          <w:highlight w:val="none"/>
        </w:rPr>
        <w:t>1. 磋商响应供应商应递交施工进度网络图或施工进度表，说明按磋商文件要求的计划工期进行施工的各个关键日期。</w:t>
      </w:r>
    </w:p>
    <w:p>
      <w:pPr>
        <w:spacing w:line="360" w:lineRule="auto"/>
        <w:rPr>
          <w:rFonts w:ascii="宋体" w:hAnsi="宋体" w:cs="宋体"/>
          <w:color w:val="auto"/>
          <w:sz w:val="20"/>
          <w:szCs w:val="20"/>
          <w:highlight w:val="none"/>
        </w:rPr>
      </w:pPr>
      <w:r>
        <w:rPr>
          <w:rFonts w:hint="eastAsia" w:ascii="宋体" w:hAnsi="宋体" w:cs="宋体"/>
          <w:color w:val="auto"/>
          <w:szCs w:val="21"/>
          <w:highlight w:val="none"/>
        </w:rPr>
        <w:t>2. 施工进度表可采用网络图（或横道图）表示。</w:t>
      </w:r>
    </w:p>
    <w:p>
      <w:pPr>
        <w:pStyle w:val="4"/>
        <w:rPr>
          <w:rFonts w:ascii="宋体" w:hAnsi="宋体" w:cs="宋体"/>
          <w:color w:val="auto"/>
          <w:sz w:val="24"/>
          <w:szCs w:val="24"/>
          <w:highlight w:val="none"/>
        </w:rPr>
        <w:sectPr>
          <w:pgSz w:w="11900" w:h="16838"/>
          <w:pgMar w:top="1440" w:right="1440" w:bottom="158" w:left="1440" w:header="567" w:footer="567" w:gutter="0"/>
          <w:cols w:equalWidth="0" w:num="1">
            <w:col w:w="9026"/>
          </w:cols>
        </w:sectPr>
      </w:pPr>
      <w:bookmarkStart w:id="224" w:name="page85"/>
      <w:bookmarkEnd w:id="224"/>
      <w:bookmarkStart w:id="225" w:name="_Toc24058_WPSOffice_Level2"/>
    </w:p>
    <w:p>
      <w:pPr>
        <w:pStyle w:val="4"/>
        <w:rPr>
          <w:rFonts w:ascii="宋体" w:hAnsi="宋体" w:cs="宋体"/>
          <w:color w:val="auto"/>
          <w:sz w:val="24"/>
          <w:szCs w:val="24"/>
          <w:highlight w:val="none"/>
        </w:rPr>
      </w:pPr>
      <w:bookmarkStart w:id="226" w:name="_Toc27471_WPSOffice_Level2"/>
      <w:bookmarkStart w:id="227" w:name="_Toc29745_WPSOffice_Level2"/>
      <w:bookmarkStart w:id="228" w:name="_Toc16761"/>
      <w:r>
        <w:rPr>
          <w:rFonts w:hint="eastAsia" w:ascii="宋体" w:hAnsi="宋体" w:cs="宋体"/>
          <w:color w:val="auto"/>
          <w:sz w:val="24"/>
          <w:szCs w:val="24"/>
          <w:highlight w:val="none"/>
        </w:rPr>
        <w:t>附件八：工程主要材料选材表</w:t>
      </w:r>
      <w:bookmarkEnd w:id="225"/>
      <w:bookmarkEnd w:id="226"/>
      <w:bookmarkEnd w:id="227"/>
      <w:bookmarkEnd w:id="228"/>
    </w:p>
    <w:tbl>
      <w:tblPr>
        <w:tblStyle w:val="19"/>
        <w:tblW w:w="8528" w:type="dxa"/>
        <w:tblInd w:w="0" w:type="dxa"/>
        <w:tblLayout w:type="fixed"/>
        <w:tblCellMar>
          <w:top w:w="0" w:type="dxa"/>
          <w:left w:w="108" w:type="dxa"/>
          <w:bottom w:w="0" w:type="dxa"/>
          <w:right w:w="108" w:type="dxa"/>
        </w:tblCellMar>
      </w:tblPr>
      <w:tblGrid>
        <w:gridCol w:w="907"/>
        <w:gridCol w:w="2569"/>
        <w:gridCol w:w="5052"/>
      </w:tblGrid>
      <w:tr>
        <w:tblPrEx>
          <w:tblCellMar>
            <w:top w:w="0" w:type="dxa"/>
            <w:left w:w="108" w:type="dxa"/>
            <w:bottom w:w="0" w:type="dxa"/>
            <w:right w:w="108" w:type="dxa"/>
          </w:tblCellMar>
        </w:tblPrEx>
        <w:trPr>
          <w:trHeight w:val="735" w:hRule="atLeast"/>
        </w:trPr>
        <w:tc>
          <w:tcPr>
            <w:tcW w:w="90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序号</w:t>
            </w:r>
          </w:p>
        </w:tc>
        <w:tc>
          <w:tcPr>
            <w:tcW w:w="2569" w:type="dxa"/>
            <w:tcBorders>
              <w:top w:val="single" w:color="000000" w:sz="4" w:space="0"/>
              <w:left w:val="nil"/>
              <w:bottom w:val="single" w:color="000000" w:sz="4" w:space="0"/>
              <w:right w:val="single" w:color="000000" w:sz="4" w:space="0"/>
            </w:tcBorders>
            <w:shd w:val="clear" w:color="000000" w:fill="FFFFFF"/>
            <w:vAlign w:val="center"/>
          </w:tcPr>
          <w:p>
            <w:pPr>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材料名称</w:t>
            </w:r>
          </w:p>
        </w:tc>
        <w:tc>
          <w:tcPr>
            <w:tcW w:w="5052" w:type="dxa"/>
            <w:tcBorders>
              <w:top w:val="single" w:color="000000" w:sz="4" w:space="0"/>
              <w:left w:val="nil"/>
              <w:bottom w:val="single" w:color="000000" w:sz="4" w:space="0"/>
              <w:right w:val="single" w:color="000000" w:sz="4" w:space="0"/>
            </w:tcBorders>
            <w:shd w:val="clear" w:color="000000" w:fill="FFFFFF"/>
            <w:vAlign w:val="center"/>
          </w:tcPr>
          <w:p>
            <w:pPr>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选用品牌</w:t>
            </w:r>
          </w:p>
        </w:tc>
      </w:tr>
      <w:tr>
        <w:tblPrEx>
          <w:tblCellMar>
            <w:top w:w="0" w:type="dxa"/>
            <w:left w:w="108" w:type="dxa"/>
            <w:bottom w:w="0" w:type="dxa"/>
            <w:right w:w="108" w:type="dxa"/>
          </w:tblCellMar>
        </w:tblPrEx>
        <w:trPr>
          <w:trHeight w:val="462" w:hRule="atLeast"/>
        </w:trPr>
        <w:tc>
          <w:tcPr>
            <w:tcW w:w="907" w:type="dxa"/>
            <w:tcBorders>
              <w:top w:val="nil"/>
              <w:left w:val="single" w:color="000000" w:sz="4" w:space="0"/>
              <w:bottom w:val="single" w:color="000000" w:sz="4" w:space="0"/>
              <w:right w:val="single" w:color="000000" w:sz="4" w:space="0"/>
            </w:tcBorders>
            <w:shd w:val="clear" w:color="000000" w:fill="FFFFFF"/>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1</w:t>
            </w:r>
          </w:p>
        </w:tc>
        <w:tc>
          <w:tcPr>
            <w:tcW w:w="2569" w:type="dxa"/>
            <w:tcBorders>
              <w:top w:val="nil"/>
              <w:left w:val="nil"/>
              <w:bottom w:val="single" w:color="000000" w:sz="4" w:space="0"/>
              <w:right w:val="single" w:color="000000" w:sz="4" w:space="0"/>
            </w:tcBorders>
            <w:shd w:val="clear" w:color="000000" w:fill="FFFFFF"/>
            <w:vAlign w:val="center"/>
          </w:tcPr>
          <w:p>
            <w:pPr>
              <w:pStyle w:val="49"/>
              <w:jc w:val="center"/>
              <w:rPr>
                <w:rFonts w:hAnsi="宋体" w:eastAsia="宋体" w:cs="宋体"/>
                <w:color w:val="auto"/>
                <w:sz w:val="21"/>
                <w:szCs w:val="21"/>
                <w:highlight w:val="none"/>
              </w:rPr>
            </w:pPr>
          </w:p>
        </w:tc>
        <w:tc>
          <w:tcPr>
            <w:tcW w:w="5052" w:type="dxa"/>
            <w:tcBorders>
              <w:top w:val="nil"/>
              <w:left w:val="nil"/>
              <w:bottom w:val="single" w:color="000000" w:sz="4" w:space="0"/>
              <w:right w:val="single" w:color="000000" w:sz="4" w:space="0"/>
            </w:tcBorders>
            <w:shd w:val="clear" w:color="000000" w:fill="FFFFFF"/>
            <w:vAlign w:val="center"/>
          </w:tcPr>
          <w:p>
            <w:pPr>
              <w:pStyle w:val="49"/>
              <w:rPr>
                <w:rFonts w:hAnsi="宋体" w:eastAsia="宋体" w:cs="宋体"/>
                <w:color w:val="auto"/>
                <w:sz w:val="21"/>
                <w:szCs w:val="21"/>
                <w:highlight w:val="none"/>
              </w:rPr>
            </w:pPr>
          </w:p>
        </w:tc>
      </w:tr>
      <w:tr>
        <w:tblPrEx>
          <w:tblCellMar>
            <w:top w:w="0" w:type="dxa"/>
            <w:left w:w="108" w:type="dxa"/>
            <w:bottom w:w="0" w:type="dxa"/>
            <w:right w:w="108" w:type="dxa"/>
          </w:tblCellMar>
        </w:tblPrEx>
        <w:trPr>
          <w:trHeight w:val="462" w:hRule="atLeast"/>
        </w:trPr>
        <w:tc>
          <w:tcPr>
            <w:tcW w:w="907" w:type="dxa"/>
            <w:tcBorders>
              <w:top w:val="nil"/>
              <w:left w:val="single" w:color="000000" w:sz="4" w:space="0"/>
              <w:bottom w:val="single" w:color="000000" w:sz="4" w:space="0"/>
              <w:right w:val="single" w:color="000000" w:sz="4" w:space="0"/>
            </w:tcBorders>
            <w:shd w:val="clear" w:color="000000" w:fill="FFFFFF"/>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2</w:t>
            </w:r>
          </w:p>
        </w:tc>
        <w:tc>
          <w:tcPr>
            <w:tcW w:w="2569" w:type="dxa"/>
            <w:tcBorders>
              <w:top w:val="nil"/>
              <w:left w:val="nil"/>
              <w:bottom w:val="single" w:color="000000" w:sz="4" w:space="0"/>
              <w:right w:val="single" w:color="000000" w:sz="4" w:space="0"/>
            </w:tcBorders>
            <w:shd w:val="clear" w:color="000000" w:fill="FFFFFF"/>
            <w:vAlign w:val="center"/>
          </w:tcPr>
          <w:p>
            <w:pPr>
              <w:pStyle w:val="49"/>
              <w:jc w:val="center"/>
              <w:rPr>
                <w:rFonts w:hAnsi="宋体" w:eastAsia="宋体" w:cs="宋体"/>
                <w:color w:val="auto"/>
                <w:sz w:val="21"/>
                <w:szCs w:val="21"/>
                <w:highlight w:val="none"/>
              </w:rPr>
            </w:pPr>
          </w:p>
        </w:tc>
        <w:tc>
          <w:tcPr>
            <w:tcW w:w="5052" w:type="dxa"/>
            <w:tcBorders>
              <w:top w:val="nil"/>
              <w:left w:val="nil"/>
              <w:bottom w:val="single" w:color="000000" w:sz="4" w:space="0"/>
              <w:right w:val="single" w:color="000000" w:sz="4" w:space="0"/>
            </w:tcBorders>
            <w:shd w:val="clear" w:color="000000" w:fill="FFFFFF"/>
            <w:vAlign w:val="center"/>
          </w:tcPr>
          <w:p>
            <w:pPr>
              <w:pStyle w:val="49"/>
              <w:rPr>
                <w:rFonts w:hAnsi="宋体" w:eastAsia="宋体" w:cs="宋体"/>
                <w:color w:val="auto"/>
                <w:sz w:val="21"/>
                <w:szCs w:val="21"/>
                <w:highlight w:val="none"/>
              </w:rPr>
            </w:pPr>
          </w:p>
        </w:tc>
      </w:tr>
      <w:tr>
        <w:tblPrEx>
          <w:tblCellMar>
            <w:top w:w="0" w:type="dxa"/>
            <w:left w:w="108" w:type="dxa"/>
            <w:bottom w:w="0" w:type="dxa"/>
            <w:right w:w="108" w:type="dxa"/>
          </w:tblCellMar>
        </w:tblPrEx>
        <w:trPr>
          <w:trHeight w:val="462" w:hRule="atLeast"/>
        </w:trPr>
        <w:tc>
          <w:tcPr>
            <w:tcW w:w="907" w:type="dxa"/>
            <w:tcBorders>
              <w:top w:val="nil"/>
              <w:left w:val="single" w:color="000000" w:sz="4" w:space="0"/>
              <w:bottom w:val="single" w:color="000000" w:sz="4" w:space="0"/>
              <w:right w:val="single" w:color="000000" w:sz="4" w:space="0"/>
            </w:tcBorders>
            <w:shd w:val="clear" w:color="000000" w:fill="FFFFFF"/>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3</w:t>
            </w:r>
          </w:p>
        </w:tc>
        <w:tc>
          <w:tcPr>
            <w:tcW w:w="2569" w:type="dxa"/>
            <w:tcBorders>
              <w:top w:val="nil"/>
              <w:left w:val="nil"/>
              <w:bottom w:val="single" w:color="000000" w:sz="4" w:space="0"/>
              <w:right w:val="single" w:color="000000" w:sz="4" w:space="0"/>
            </w:tcBorders>
            <w:shd w:val="clear" w:color="000000" w:fill="FFFFFF"/>
            <w:vAlign w:val="center"/>
          </w:tcPr>
          <w:p>
            <w:pPr>
              <w:pStyle w:val="49"/>
              <w:jc w:val="center"/>
              <w:rPr>
                <w:rFonts w:hAnsi="宋体" w:eastAsia="宋体" w:cs="宋体"/>
                <w:color w:val="auto"/>
                <w:sz w:val="21"/>
                <w:szCs w:val="21"/>
                <w:highlight w:val="none"/>
              </w:rPr>
            </w:pPr>
          </w:p>
        </w:tc>
        <w:tc>
          <w:tcPr>
            <w:tcW w:w="5052" w:type="dxa"/>
            <w:tcBorders>
              <w:top w:val="nil"/>
              <w:left w:val="nil"/>
              <w:bottom w:val="single" w:color="000000" w:sz="4" w:space="0"/>
              <w:right w:val="single" w:color="000000" w:sz="4" w:space="0"/>
            </w:tcBorders>
            <w:shd w:val="clear" w:color="000000" w:fill="FFFFFF"/>
            <w:vAlign w:val="center"/>
          </w:tcPr>
          <w:p>
            <w:pPr>
              <w:pStyle w:val="49"/>
              <w:rPr>
                <w:rFonts w:hAnsi="宋体" w:eastAsia="宋体" w:cs="宋体"/>
                <w:color w:val="auto"/>
                <w:sz w:val="21"/>
                <w:szCs w:val="21"/>
                <w:highlight w:val="none"/>
              </w:rPr>
            </w:pPr>
          </w:p>
        </w:tc>
      </w:tr>
      <w:tr>
        <w:tblPrEx>
          <w:tblCellMar>
            <w:top w:w="0" w:type="dxa"/>
            <w:left w:w="108" w:type="dxa"/>
            <w:bottom w:w="0" w:type="dxa"/>
            <w:right w:w="108" w:type="dxa"/>
          </w:tblCellMar>
        </w:tblPrEx>
        <w:trPr>
          <w:trHeight w:val="462" w:hRule="atLeast"/>
        </w:trPr>
        <w:tc>
          <w:tcPr>
            <w:tcW w:w="907" w:type="dxa"/>
            <w:tcBorders>
              <w:top w:val="nil"/>
              <w:left w:val="single" w:color="000000" w:sz="4" w:space="0"/>
              <w:bottom w:val="single" w:color="000000" w:sz="4" w:space="0"/>
              <w:right w:val="single" w:color="000000" w:sz="4" w:space="0"/>
            </w:tcBorders>
            <w:shd w:val="clear" w:color="000000" w:fill="FFFFFF"/>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4</w:t>
            </w:r>
          </w:p>
        </w:tc>
        <w:tc>
          <w:tcPr>
            <w:tcW w:w="2569" w:type="dxa"/>
            <w:tcBorders>
              <w:top w:val="nil"/>
              <w:left w:val="nil"/>
              <w:bottom w:val="single" w:color="000000" w:sz="4" w:space="0"/>
              <w:right w:val="single" w:color="000000" w:sz="4" w:space="0"/>
            </w:tcBorders>
            <w:shd w:val="clear" w:color="000000" w:fill="FFFFFF"/>
            <w:vAlign w:val="center"/>
          </w:tcPr>
          <w:p>
            <w:pPr>
              <w:pStyle w:val="49"/>
              <w:jc w:val="center"/>
              <w:rPr>
                <w:rFonts w:hAnsi="宋体" w:eastAsia="宋体" w:cs="宋体"/>
                <w:color w:val="auto"/>
                <w:sz w:val="21"/>
                <w:szCs w:val="21"/>
                <w:highlight w:val="none"/>
              </w:rPr>
            </w:pPr>
          </w:p>
        </w:tc>
        <w:tc>
          <w:tcPr>
            <w:tcW w:w="5052" w:type="dxa"/>
            <w:tcBorders>
              <w:top w:val="nil"/>
              <w:left w:val="nil"/>
              <w:bottom w:val="single" w:color="000000" w:sz="4" w:space="0"/>
              <w:right w:val="single" w:color="000000" w:sz="4" w:space="0"/>
            </w:tcBorders>
            <w:shd w:val="clear" w:color="000000" w:fill="FFFFFF"/>
            <w:vAlign w:val="center"/>
          </w:tcPr>
          <w:p>
            <w:pPr>
              <w:pStyle w:val="49"/>
              <w:rPr>
                <w:rFonts w:hAnsi="宋体" w:eastAsia="宋体" w:cs="宋体"/>
                <w:color w:val="auto"/>
                <w:sz w:val="21"/>
                <w:szCs w:val="21"/>
                <w:highlight w:val="none"/>
              </w:rPr>
            </w:pPr>
          </w:p>
        </w:tc>
      </w:tr>
      <w:tr>
        <w:tblPrEx>
          <w:tblCellMar>
            <w:top w:w="0" w:type="dxa"/>
            <w:left w:w="108" w:type="dxa"/>
            <w:bottom w:w="0" w:type="dxa"/>
            <w:right w:w="108" w:type="dxa"/>
          </w:tblCellMar>
        </w:tblPrEx>
        <w:trPr>
          <w:trHeight w:val="462" w:hRule="atLeast"/>
        </w:trPr>
        <w:tc>
          <w:tcPr>
            <w:tcW w:w="907" w:type="dxa"/>
            <w:tcBorders>
              <w:top w:val="nil"/>
              <w:left w:val="single" w:color="000000" w:sz="4" w:space="0"/>
              <w:bottom w:val="single" w:color="000000" w:sz="4" w:space="0"/>
              <w:right w:val="single" w:color="000000" w:sz="4" w:space="0"/>
            </w:tcBorders>
            <w:shd w:val="clear" w:color="000000" w:fill="FFFFFF"/>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5</w:t>
            </w:r>
          </w:p>
        </w:tc>
        <w:tc>
          <w:tcPr>
            <w:tcW w:w="2569" w:type="dxa"/>
            <w:tcBorders>
              <w:top w:val="nil"/>
              <w:left w:val="nil"/>
              <w:bottom w:val="single" w:color="000000" w:sz="4" w:space="0"/>
              <w:right w:val="single" w:color="000000" w:sz="4" w:space="0"/>
            </w:tcBorders>
            <w:shd w:val="clear" w:color="000000" w:fill="FFFFFF"/>
            <w:vAlign w:val="center"/>
          </w:tcPr>
          <w:p>
            <w:pPr>
              <w:pStyle w:val="49"/>
              <w:jc w:val="center"/>
              <w:rPr>
                <w:rFonts w:hAnsi="宋体" w:eastAsia="宋体" w:cs="宋体"/>
                <w:color w:val="auto"/>
                <w:sz w:val="21"/>
                <w:szCs w:val="21"/>
                <w:highlight w:val="none"/>
              </w:rPr>
            </w:pPr>
          </w:p>
        </w:tc>
        <w:tc>
          <w:tcPr>
            <w:tcW w:w="5052" w:type="dxa"/>
            <w:tcBorders>
              <w:top w:val="nil"/>
              <w:left w:val="nil"/>
              <w:bottom w:val="single" w:color="000000" w:sz="4" w:space="0"/>
              <w:right w:val="single" w:color="000000" w:sz="4" w:space="0"/>
            </w:tcBorders>
            <w:shd w:val="clear" w:color="000000" w:fill="FFFFFF"/>
            <w:vAlign w:val="center"/>
          </w:tcPr>
          <w:p>
            <w:pPr>
              <w:pStyle w:val="49"/>
              <w:rPr>
                <w:rFonts w:hAnsi="宋体" w:eastAsia="宋体" w:cs="宋体"/>
                <w:color w:val="auto"/>
                <w:sz w:val="21"/>
                <w:szCs w:val="21"/>
                <w:highlight w:val="none"/>
              </w:rPr>
            </w:pPr>
          </w:p>
        </w:tc>
      </w:tr>
      <w:tr>
        <w:tblPrEx>
          <w:tblCellMar>
            <w:top w:w="0" w:type="dxa"/>
            <w:left w:w="108" w:type="dxa"/>
            <w:bottom w:w="0" w:type="dxa"/>
            <w:right w:w="108" w:type="dxa"/>
          </w:tblCellMar>
        </w:tblPrEx>
        <w:trPr>
          <w:trHeight w:val="462" w:hRule="atLeast"/>
        </w:trPr>
        <w:tc>
          <w:tcPr>
            <w:tcW w:w="907" w:type="dxa"/>
            <w:tcBorders>
              <w:top w:val="nil"/>
              <w:left w:val="single" w:color="000000" w:sz="4" w:space="0"/>
              <w:bottom w:val="single" w:color="000000" w:sz="4" w:space="0"/>
              <w:right w:val="single" w:color="000000" w:sz="4" w:space="0"/>
            </w:tcBorders>
            <w:shd w:val="clear" w:color="000000" w:fill="FFFFFF"/>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6</w:t>
            </w:r>
          </w:p>
        </w:tc>
        <w:tc>
          <w:tcPr>
            <w:tcW w:w="2569" w:type="dxa"/>
            <w:tcBorders>
              <w:top w:val="nil"/>
              <w:left w:val="nil"/>
              <w:bottom w:val="single" w:color="000000" w:sz="4" w:space="0"/>
              <w:right w:val="single" w:color="000000" w:sz="4" w:space="0"/>
            </w:tcBorders>
            <w:shd w:val="clear" w:color="000000" w:fill="FFFFFF"/>
            <w:vAlign w:val="center"/>
          </w:tcPr>
          <w:p>
            <w:pPr>
              <w:pStyle w:val="49"/>
              <w:jc w:val="center"/>
              <w:rPr>
                <w:rFonts w:hAnsi="宋体" w:eastAsia="宋体" w:cs="宋体"/>
                <w:color w:val="auto"/>
                <w:sz w:val="21"/>
                <w:szCs w:val="21"/>
                <w:highlight w:val="none"/>
              </w:rPr>
            </w:pPr>
          </w:p>
        </w:tc>
        <w:tc>
          <w:tcPr>
            <w:tcW w:w="5052" w:type="dxa"/>
            <w:tcBorders>
              <w:top w:val="nil"/>
              <w:left w:val="nil"/>
              <w:bottom w:val="single" w:color="000000" w:sz="4" w:space="0"/>
              <w:right w:val="single" w:color="000000" w:sz="4" w:space="0"/>
            </w:tcBorders>
            <w:shd w:val="clear" w:color="000000" w:fill="FFFFFF"/>
            <w:vAlign w:val="center"/>
          </w:tcPr>
          <w:p>
            <w:pPr>
              <w:pStyle w:val="49"/>
              <w:rPr>
                <w:rFonts w:hAnsi="宋体" w:eastAsia="宋体" w:cs="宋体"/>
                <w:color w:val="auto"/>
                <w:sz w:val="21"/>
                <w:szCs w:val="21"/>
                <w:highlight w:val="none"/>
              </w:rPr>
            </w:pPr>
          </w:p>
        </w:tc>
      </w:tr>
      <w:tr>
        <w:tblPrEx>
          <w:tblCellMar>
            <w:top w:w="0" w:type="dxa"/>
            <w:left w:w="108" w:type="dxa"/>
            <w:bottom w:w="0" w:type="dxa"/>
            <w:right w:w="108" w:type="dxa"/>
          </w:tblCellMar>
        </w:tblPrEx>
        <w:trPr>
          <w:trHeight w:val="462" w:hRule="atLeast"/>
        </w:trPr>
        <w:tc>
          <w:tcPr>
            <w:tcW w:w="907" w:type="dxa"/>
            <w:tcBorders>
              <w:top w:val="nil"/>
              <w:left w:val="single" w:color="000000" w:sz="4" w:space="0"/>
              <w:bottom w:val="single" w:color="000000" w:sz="4" w:space="0"/>
              <w:right w:val="single" w:color="000000" w:sz="4" w:space="0"/>
            </w:tcBorders>
            <w:shd w:val="clear" w:color="000000" w:fill="FFFFFF"/>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7</w:t>
            </w:r>
          </w:p>
        </w:tc>
        <w:tc>
          <w:tcPr>
            <w:tcW w:w="2569" w:type="dxa"/>
            <w:tcBorders>
              <w:top w:val="nil"/>
              <w:left w:val="nil"/>
              <w:bottom w:val="single" w:color="000000" w:sz="4" w:space="0"/>
              <w:right w:val="single" w:color="000000" w:sz="4" w:space="0"/>
            </w:tcBorders>
            <w:shd w:val="clear" w:color="000000" w:fill="FFFFFF"/>
            <w:vAlign w:val="center"/>
          </w:tcPr>
          <w:p>
            <w:pPr>
              <w:pStyle w:val="49"/>
              <w:jc w:val="center"/>
              <w:rPr>
                <w:rFonts w:hAnsi="宋体" w:eastAsia="宋体" w:cs="宋体"/>
                <w:color w:val="auto"/>
                <w:sz w:val="21"/>
                <w:szCs w:val="21"/>
                <w:highlight w:val="none"/>
              </w:rPr>
            </w:pPr>
          </w:p>
        </w:tc>
        <w:tc>
          <w:tcPr>
            <w:tcW w:w="5052" w:type="dxa"/>
            <w:tcBorders>
              <w:top w:val="nil"/>
              <w:left w:val="nil"/>
              <w:bottom w:val="single" w:color="000000" w:sz="4" w:space="0"/>
              <w:right w:val="single" w:color="000000" w:sz="4" w:space="0"/>
            </w:tcBorders>
            <w:shd w:val="clear" w:color="000000" w:fill="FFFFFF"/>
            <w:vAlign w:val="center"/>
          </w:tcPr>
          <w:p>
            <w:pPr>
              <w:pStyle w:val="49"/>
              <w:rPr>
                <w:rFonts w:hAnsi="宋体" w:eastAsia="宋体" w:cs="宋体"/>
                <w:color w:val="auto"/>
                <w:sz w:val="21"/>
                <w:szCs w:val="21"/>
                <w:highlight w:val="none"/>
              </w:rPr>
            </w:pPr>
          </w:p>
        </w:tc>
      </w:tr>
      <w:tr>
        <w:tblPrEx>
          <w:tblCellMar>
            <w:top w:w="0" w:type="dxa"/>
            <w:left w:w="108" w:type="dxa"/>
            <w:bottom w:w="0" w:type="dxa"/>
            <w:right w:w="108" w:type="dxa"/>
          </w:tblCellMar>
        </w:tblPrEx>
        <w:trPr>
          <w:trHeight w:val="462" w:hRule="atLeast"/>
        </w:trPr>
        <w:tc>
          <w:tcPr>
            <w:tcW w:w="907" w:type="dxa"/>
            <w:tcBorders>
              <w:top w:val="nil"/>
              <w:left w:val="single" w:color="000000" w:sz="4" w:space="0"/>
              <w:bottom w:val="single" w:color="000000" w:sz="4" w:space="0"/>
              <w:right w:val="single" w:color="000000" w:sz="4" w:space="0"/>
            </w:tcBorders>
            <w:shd w:val="clear" w:color="000000" w:fill="FFFFFF"/>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8</w:t>
            </w:r>
          </w:p>
        </w:tc>
        <w:tc>
          <w:tcPr>
            <w:tcW w:w="2569" w:type="dxa"/>
            <w:tcBorders>
              <w:top w:val="nil"/>
              <w:left w:val="nil"/>
              <w:bottom w:val="single" w:color="000000" w:sz="4" w:space="0"/>
              <w:right w:val="single" w:color="000000" w:sz="4" w:space="0"/>
            </w:tcBorders>
            <w:shd w:val="clear" w:color="000000" w:fill="FFFFFF"/>
            <w:vAlign w:val="center"/>
          </w:tcPr>
          <w:p>
            <w:pPr>
              <w:pStyle w:val="49"/>
              <w:jc w:val="center"/>
              <w:rPr>
                <w:rFonts w:hAnsi="宋体" w:eastAsia="宋体" w:cs="宋体"/>
                <w:color w:val="auto"/>
                <w:sz w:val="21"/>
                <w:szCs w:val="21"/>
                <w:highlight w:val="none"/>
              </w:rPr>
            </w:pPr>
          </w:p>
        </w:tc>
        <w:tc>
          <w:tcPr>
            <w:tcW w:w="5052" w:type="dxa"/>
            <w:tcBorders>
              <w:top w:val="nil"/>
              <w:left w:val="nil"/>
              <w:bottom w:val="single" w:color="000000" w:sz="4" w:space="0"/>
              <w:right w:val="single" w:color="000000" w:sz="4" w:space="0"/>
            </w:tcBorders>
            <w:shd w:val="clear" w:color="000000" w:fill="FFFFFF"/>
            <w:vAlign w:val="center"/>
          </w:tcPr>
          <w:p>
            <w:pPr>
              <w:pStyle w:val="49"/>
              <w:rPr>
                <w:rFonts w:hAnsi="宋体" w:eastAsia="宋体" w:cs="宋体"/>
                <w:color w:val="auto"/>
                <w:sz w:val="21"/>
                <w:szCs w:val="21"/>
                <w:highlight w:val="none"/>
              </w:rPr>
            </w:pPr>
          </w:p>
        </w:tc>
      </w:tr>
      <w:tr>
        <w:tblPrEx>
          <w:tblCellMar>
            <w:top w:w="0" w:type="dxa"/>
            <w:left w:w="108" w:type="dxa"/>
            <w:bottom w:w="0" w:type="dxa"/>
            <w:right w:w="108" w:type="dxa"/>
          </w:tblCellMar>
        </w:tblPrEx>
        <w:trPr>
          <w:trHeight w:val="462" w:hRule="atLeast"/>
        </w:trPr>
        <w:tc>
          <w:tcPr>
            <w:tcW w:w="907" w:type="dxa"/>
            <w:tcBorders>
              <w:top w:val="nil"/>
              <w:left w:val="single" w:color="000000" w:sz="4" w:space="0"/>
              <w:bottom w:val="single" w:color="000000" w:sz="4" w:space="0"/>
              <w:right w:val="single" w:color="000000" w:sz="4" w:space="0"/>
            </w:tcBorders>
            <w:shd w:val="clear" w:color="000000" w:fill="FFFFFF"/>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9</w:t>
            </w:r>
          </w:p>
        </w:tc>
        <w:tc>
          <w:tcPr>
            <w:tcW w:w="2569" w:type="dxa"/>
            <w:tcBorders>
              <w:top w:val="nil"/>
              <w:left w:val="nil"/>
              <w:bottom w:val="single" w:color="000000" w:sz="4" w:space="0"/>
              <w:right w:val="single" w:color="000000" w:sz="4" w:space="0"/>
            </w:tcBorders>
            <w:vAlign w:val="center"/>
          </w:tcPr>
          <w:p>
            <w:pPr>
              <w:pStyle w:val="49"/>
              <w:jc w:val="center"/>
              <w:rPr>
                <w:rFonts w:hAnsi="宋体" w:eastAsia="宋体" w:cs="宋体"/>
                <w:color w:val="auto"/>
                <w:sz w:val="21"/>
                <w:szCs w:val="21"/>
                <w:highlight w:val="none"/>
              </w:rPr>
            </w:pPr>
          </w:p>
        </w:tc>
        <w:tc>
          <w:tcPr>
            <w:tcW w:w="5052" w:type="dxa"/>
            <w:tcBorders>
              <w:top w:val="nil"/>
              <w:left w:val="nil"/>
              <w:bottom w:val="single" w:color="000000" w:sz="4" w:space="0"/>
              <w:right w:val="single" w:color="000000" w:sz="4" w:space="0"/>
            </w:tcBorders>
            <w:shd w:val="clear" w:color="000000" w:fill="FFFFFF"/>
            <w:vAlign w:val="center"/>
          </w:tcPr>
          <w:p>
            <w:pPr>
              <w:pStyle w:val="49"/>
              <w:rPr>
                <w:rFonts w:hAnsi="宋体" w:eastAsia="宋体" w:cs="宋体"/>
                <w:color w:val="auto"/>
                <w:sz w:val="21"/>
                <w:szCs w:val="21"/>
                <w:highlight w:val="none"/>
              </w:rPr>
            </w:pPr>
          </w:p>
        </w:tc>
      </w:tr>
      <w:tr>
        <w:tblPrEx>
          <w:tblCellMar>
            <w:top w:w="0" w:type="dxa"/>
            <w:left w:w="108" w:type="dxa"/>
            <w:bottom w:w="0" w:type="dxa"/>
            <w:right w:w="108" w:type="dxa"/>
          </w:tblCellMar>
        </w:tblPrEx>
        <w:trPr>
          <w:trHeight w:val="462" w:hRule="atLeast"/>
        </w:trPr>
        <w:tc>
          <w:tcPr>
            <w:tcW w:w="907" w:type="dxa"/>
            <w:tcBorders>
              <w:top w:val="nil"/>
              <w:left w:val="single" w:color="000000" w:sz="4" w:space="0"/>
              <w:bottom w:val="single" w:color="000000" w:sz="4" w:space="0"/>
              <w:right w:val="single" w:color="000000" w:sz="4" w:space="0"/>
            </w:tcBorders>
            <w:shd w:val="clear" w:color="000000" w:fill="FFFFFF"/>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10</w:t>
            </w:r>
          </w:p>
        </w:tc>
        <w:tc>
          <w:tcPr>
            <w:tcW w:w="2569" w:type="dxa"/>
            <w:tcBorders>
              <w:top w:val="nil"/>
              <w:left w:val="nil"/>
              <w:bottom w:val="single" w:color="000000" w:sz="4" w:space="0"/>
              <w:right w:val="single" w:color="000000" w:sz="4" w:space="0"/>
            </w:tcBorders>
            <w:vAlign w:val="center"/>
          </w:tcPr>
          <w:p>
            <w:pPr>
              <w:pStyle w:val="49"/>
              <w:jc w:val="center"/>
              <w:rPr>
                <w:rFonts w:hAnsi="宋体" w:eastAsia="宋体" w:cs="宋体"/>
                <w:color w:val="auto"/>
                <w:sz w:val="21"/>
                <w:szCs w:val="21"/>
                <w:highlight w:val="none"/>
              </w:rPr>
            </w:pPr>
          </w:p>
        </w:tc>
        <w:tc>
          <w:tcPr>
            <w:tcW w:w="5052" w:type="dxa"/>
            <w:tcBorders>
              <w:top w:val="nil"/>
              <w:left w:val="nil"/>
              <w:bottom w:val="single" w:color="000000" w:sz="4" w:space="0"/>
              <w:right w:val="single" w:color="000000" w:sz="4" w:space="0"/>
            </w:tcBorders>
            <w:shd w:val="clear" w:color="000000" w:fill="FFFFFF"/>
            <w:vAlign w:val="center"/>
          </w:tcPr>
          <w:p>
            <w:pPr>
              <w:pStyle w:val="49"/>
              <w:rPr>
                <w:rFonts w:hAnsi="宋体" w:eastAsia="宋体" w:cs="宋体"/>
                <w:color w:val="auto"/>
                <w:sz w:val="21"/>
                <w:szCs w:val="21"/>
                <w:highlight w:val="none"/>
              </w:rPr>
            </w:pPr>
          </w:p>
        </w:tc>
      </w:tr>
      <w:tr>
        <w:tblPrEx>
          <w:tblCellMar>
            <w:top w:w="0" w:type="dxa"/>
            <w:left w:w="108" w:type="dxa"/>
            <w:bottom w:w="0" w:type="dxa"/>
            <w:right w:w="108" w:type="dxa"/>
          </w:tblCellMar>
        </w:tblPrEx>
        <w:trPr>
          <w:trHeight w:val="462" w:hRule="atLeast"/>
        </w:trPr>
        <w:tc>
          <w:tcPr>
            <w:tcW w:w="907" w:type="dxa"/>
            <w:tcBorders>
              <w:top w:val="nil"/>
              <w:left w:val="single" w:color="000000" w:sz="4" w:space="0"/>
              <w:bottom w:val="single" w:color="000000" w:sz="4" w:space="0"/>
              <w:right w:val="single" w:color="000000" w:sz="4" w:space="0"/>
            </w:tcBorders>
            <w:shd w:val="clear" w:color="000000" w:fill="FFFFFF"/>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11</w:t>
            </w:r>
          </w:p>
        </w:tc>
        <w:tc>
          <w:tcPr>
            <w:tcW w:w="2569" w:type="dxa"/>
            <w:tcBorders>
              <w:top w:val="nil"/>
              <w:left w:val="nil"/>
              <w:bottom w:val="single" w:color="000000" w:sz="4" w:space="0"/>
              <w:right w:val="single" w:color="000000" w:sz="4" w:space="0"/>
            </w:tcBorders>
            <w:vAlign w:val="center"/>
          </w:tcPr>
          <w:p>
            <w:pPr>
              <w:pStyle w:val="49"/>
              <w:jc w:val="center"/>
              <w:rPr>
                <w:rFonts w:hAnsi="宋体" w:eastAsia="宋体" w:cs="宋体"/>
                <w:color w:val="auto"/>
                <w:sz w:val="21"/>
                <w:szCs w:val="21"/>
                <w:highlight w:val="none"/>
              </w:rPr>
            </w:pPr>
          </w:p>
        </w:tc>
        <w:tc>
          <w:tcPr>
            <w:tcW w:w="5052" w:type="dxa"/>
            <w:tcBorders>
              <w:top w:val="nil"/>
              <w:left w:val="nil"/>
              <w:bottom w:val="single" w:color="000000" w:sz="4" w:space="0"/>
              <w:right w:val="single" w:color="000000" w:sz="4" w:space="0"/>
            </w:tcBorders>
            <w:shd w:val="clear" w:color="000000" w:fill="FFFFFF"/>
            <w:vAlign w:val="center"/>
          </w:tcPr>
          <w:p>
            <w:pPr>
              <w:pStyle w:val="49"/>
              <w:rPr>
                <w:rFonts w:hAnsi="宋体" w:eastAsia="宋体" w:cs="宋体"/>
                <w:color w:val="auto"/>
                <w:sz w:val="21"/>
                <w:szCs w:val="21"/>
                <w:highlight w:val="none"/>
              </w:rPr>
            </w:pPr>
          </w:p>
        </w:tc>
      </w:tr>
    </w:tbl>
    <w:p>
      <w:pPr>
        <w:tabs>
          <w:tab w:val="center" w:pos="4510"/>
        </w:tabs>
        <w:rPr>
          <w:rFonts w:ascii="宋体" w:hAnsi="宋体" w:cs="宋体"/>
          <w:color w:val="auto"/>
          <w:highlight w:val="none"/>
        </w:rPr>
        <w:sectPr>
          <w:pgSz w:w="11900" w:h="16838"/>
          <w:pgMar w:top="1440" w:right="1440" w:bottom="158" w:left="1440" w:header="567" w:footer="567" w:gutter="0"/>
          <w:cols w:equalWidth="0" w:num="1">
            <w:col w:w="9026"/>
          </w:cols>
        </w:sectPr>
      </w:pPr>
    </w:p>
    <w:p>
      <w:pPr>
        <w:tabs>
          <w:tab w:val="left" w:pos="300"/>
        </w:tabs>
        <w:spacing w:line="366" w:lineRule="exact"/>
        <w:jc w:val="center"/>
        <w:outlineLvl w:val="0"/>
        <w:rPr>
          <w:rFonts w:ascii="宋体" w:hAnsi="宋体" w:cs="宋体"/>
          <w:color w:val="auto"/>
          <w:sz w:val="20"/>
          <w:szCs w:val="20"/>
          <w:highlight w:val="none"/>
        </w:rPr>
      </w:pPr>
      <w:bookmarkStart w:id="229" w:name="page88"/>
      <w:bookmarkEnd w:id="229"/>
      <w:bookmarkStart w:id="230" w:name="page89"/>
      <w:bookmarkEnd w:id="230"/>
      <w:bookmarkStart w:id="231" w:name="_Toc14818_WPSOffice_Level1"/>
      <w:bookmarkStart w:id="232" w:name="_Toc10630"/>
      <w:r>
        <w:rPr>
          <w:rFonts w:hint="eastAsia" w:ascii="宋体" w:hAnsi="宋体" w:cs="宋体"/>
          <w:b/>
          <w:bCs/>
          <w:color w:val="auto"/>
          <w:sz w:val="32"/>
          <w:szCs w:val="32"/>
          <w:highlight w:val="none"/>
        </w:rPr>
        <w:t>第七章  评审办法</w:t>
      </w:r>
      <w:bookmarkEnd w:id="231"/>
      <w:bookmarkEnd w:id="232"/>
    </w:p>
    <w:p>
      <w:pPr>
        <w:spacing w:line="256" w:lineRule="exact"/>
        <w:rPr>
          <w:rFonts w:ascii="宋体" w:hAnsi="宋体" w:cs="宋体"/>
          <w:color w:val="auto"/>
          <w:sz w:val="20"/>
          <w:szCs w:val="20"/>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本评审办法遵照《中华人民共和国政府采购法》、《政府采购竞争性磋商采购方式管理暂行办法》等有关规定，并结合本项目的具体情况制定。</w:t>
      </w:r>
    </w:p>
    <w:p>
      <w:pPr>
        <w:spacing w:line="360" w:lineRule="auto"/>
        <w:ind w:firstLine="422" w:firstLineChars="200"/>
        <w:outlineLvl w:val="1"/>
        <w:rPr>
          <w:rFonts w:ascii="宋体" w:hAnsi="宋体" w:cs="宋体"/>
          <w:color w:val="auto"/>
          <w:szCs w:val="21"/>
          <w:highlight w:val="none"/>
        </w:rPr>
      </w:pPr>
      <w:bookmarkStart w:id="233" w:name="_Toc22038_WPSOffice_Level2"/>
      <w:bookmarkStart w:id="234" w:name="_Toc23288_WPSOffice_Level2"/>
      <w:bookmarkStart w:id="235" w:name="_Toc23603"/>
      <w:r>
        <w:rPr>
          <w:rFonts w:hint="eastAsia" w:ascii="宋体" w:hAnsi="宋体" w:cs="宋体"/>
          <w:b/>
          <w:bCs/>
          <w:color w:val="auto"/>
          <w:szCs w:val="21"/>
          <w:highlight w:val="none"/>
        </w:rPr>
        <w:t>一、总则</w:t>
      </w:r>
      <w:bookmarkEnd w:id="233"/>
      <w:bookmarkEnd w:id="234"/>
      <w:bookmarkEnd w:id="235"/>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磋商小组成员应当按照客观、公正、审慎的原则，根据磋商文件规定的评审程序、评审方法和评审标准进行独立评审。对落标人，磋商小组不作任何落标解释。</w:t>
      </w:r>
    </w:p>
    <w:p>
      <w:pPr>
        <w:spacing w:line="360" w:lineRule="auto"/>
        <w:ind w:firstLine="422" w:firstLineChars="200"/>
        <w:outlineLvl w:val="1"/>
        <w:rPr>
          <w:rFonts w:ascii="宋体" w:hAnsi="宋体" w:cs="宋体"/>
          <w:color w:val="auto"/>
          <w:szCs w:val="21"/>
          <w:highlight w:val="none"/>
        </w:rPr>
      </w:pPr>
      <w:bookmarkStart w:id="236" w:name="_Toc31748_WPSOffice_Level2"/>
      <w:bookmarkStart w:id="237" w:name="_Toc8091"/>
      <w:bookmarkStart w:id="238" w:name="_Toc17659_WPSOffice_Level2"/>
      <w:r>
        <w:rPr>
          <w:rFonts w:hint="eastAsia" w:ascii="宋体" w:hAnsi="宋体" w:cs="宋体"/>
          <w:b/>
          <w:bCs/>
          <w:color w:val="auto"/>
          <w:szCs w:val="21"/>
          <w:highlight w:val="none"/>
        </w:rPr>
        <w:t>二、评审组织</w:t>
      </w:r>
      <w:bookmarkEnd w:id="236"/>
      <w:bookmarkEnd w:id="237"/>
      <w:bookmarkEnd w:id="238"/>
    </w:p>
    <w:p>
      <w:pPr>
        <w:spacing w:line="360" w:lineRule="auto"/>
        <w:ind w:right="246" w:firstLine="420" w:firstLineChars="200"/>
        <w:rPr>
          <w:rFonts w:ascii="宋体" w:hAnsi="宋体" w:cs="宋体"/>
          <w:color w:val="auto"/>
          <w:szCs w:val="21"/>
          <w:highlight w:val="none"/>
        </w:rPr>
      </w:pPr>
      <w:r>
        <w:rPr>
          <w:rFonts w:hint="eastAsia" w:ascii="宋体" w:hAnsi="宋体" w:cs="宋体"/>
          <w:color w:val="auto"/>
          <w:szCs w:val="21"/>
          <w:highlight w:val="none"/>
        </w:rPr>
        <w:t>评审工作由采购单位依法组建的磋商小组负责。磋商小组负责审标、询标、评审等工作，并向采购人提出评审意见和评审报告。</w:t>
      </w:r>
    </w:p>
    <w:p>
      <w:pPr>
        <w:spacing w:line="360" w:lineRule="auto"/>
        <w:ind w:firstLine="420" w:firstLineChars="200"/>
        <w:outlineLvl w:val="1"/>
        <w:rPr>
          <w:rFonts w:ascii="宋体" w:hAnsi="宋体" w:cs="宋体"/>
          <w:color w:val="auto"/>
          <w:szCs w:val="21"/>
          <w:highlight w:val="none"/>
        </w:rPr>
      </w:pPr>
      <w:bookmarkStart w:id="239" w:name="_Toc12108"/>
      <w:bookmarkStart w:id="240" w:name="_Toc5074_WPSOffice_Level2"/>
      <w:bookmarkStart w:id="241" w:name="_Toc15257_WPSOffice_Level2"/>
      <w:r>
        <w:rPr>
          <w:rFonts w:hint="eastAsia" w:ascii="宋体" w:hAnsi="宋体" w:cs="宋体"/>
          <w:color w:val="auto"/>
          <w:szCs w:val="21"/>
          <w:highlight w:val="none"/>
        </w:rPr>
        <w:t>三、</w:t>
      </w:r>
      <w:r>
        <w:rPr>
          <w:rFonts w:hint="eastAsia" w:ascii="宋体" w:hAnsi="宋体" w:cs="宋体"/>
          <w:b/>
          <w:bCs/>
          <w:color w:val="auto"/>
          <w:szCs w:val="21"/>
          <w:highlight w:val="none"/>
        </w:rPr>
        <w:t>评标程序</w:t>
      </w:r>
      <w:bookmarkEnd w:id="239"/>
      <w:bookmarkEnd w:id="240"/>
      <w:bookmarkEnd w:id="241"/>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程序如下：</w:t>
      </w:r>
    </w:p>
    <w:p>
      <w:pPr>
        <w:spacing w:line="360" w:lineRule="auto"/>
        <w:ind w:right="346" w:firstLine="420" w:firstLineChars="200"/>
        <w:rPr>
          <w:rFonts w:ascii="宋体" w:hAnsi="宋体" w:cs="宋体"/>
          <w:color w:val="auto"/>
          <w:szCs w:val="21"/>
          <w:highlight w:val="none"/>
        </w:rPr>
      </w:pPr>
      <w:r>
        <w:rPr>
          <w:rFonts w:hint="eastAsia" w:ascii="宋体" w:hAnsi="宋体" w:cs="宋体"/>
          <w:color w:val="auto"/>
          <w:szCs w:val="21"/>
          <w:highlight w:val="none"/>
        </w:rPr>
        <w:t>主持人宣布开标，介绍开标现场的人员情况，宣读递交采购响应文件的供应商名单、开标纪律、应当回避的情形等注意事项，组织供应商签署《政府采购活动现场确认声明书》。提请供应商代表或公证人员查验采购响应文件密封情况。</w:t>
      </w:r>
    </w:p>
    <w:p>
      <w:pPr>
        <w:spacing w:line="360" w:lineRule="auto"/>
        <w:ind w:right="346" w:firstLine="420" w:firstLineChars="200"/>
        <w:rPr>
          <w:rFonts w:ascii="宋体" w:hAnsi="宋体" w:cs="宋体"/>
          <w:color w:val="auto"/>
          <w:sz w:val="20"/>
          <w:szCs w:val="20"/>
          <w:highlight w:val="none"/>
        </w:rPr>
      </w:pPr>
      <w:r>
        <w:rPr>
          <w:rFonts w:hint="eastAsia" w:ascii="宋体" w:hAnsi="宋体" w:cs="宋体"/>
          <w:color w:val="auto"/>
          <w:szCs w:val="21"/>
          <w:highlight w:val="none"/>
        </w:rPr>
        <w:t>按供应商提交响应文件的先后顺序当众拆封、清点响应文件（包括正本、副本）数量，将拆封后的响应文件由现场工作人员护送至指定的评审地点。对不符合装订要求的响应文件，由现场工作人员退还供应商代表。</w:t>
      </w:r>
    </w:p>
    <w:p>
      <w:pPr>
        <w:spacing w:line="360" w:lineRule="auto"/>
        <w:ind w:right="346" w:firstLine="420" w:firstLineChars="200"/>
        <w:jc w:val="both"/>
        <w:rPr>
          <w:rFonts w:ascii="宋体" w:hAnsi="宋体" w:cs="宋体"/>
          <w:color w:val="auto"/>
          <w:sz w:val="20"/>
          <w:szCs w:val="20"/>
          <w:highlight w:val="none"/>
        </w:rPr>
      </w:pPr>
      <w:r>
        <w:rPr>
          <w:rFonts w:hint="eastAsia" w:ascii="宋体" w:hAnsi="宋体" w:cs="宋体"/>
          <w:color w:val="auto"/>
          <w:szCs w:val="21"/>
          <w:highlight w:val="none"/>
        </w:rPr>
        <w:t>商务技术评审结束后，主持人宣告评审无效供应商名称及理由并签字确认；进行二次报价填写。统一收取最终报价。评审结束后，主持人公布中标候选供应商名单，及采购人最终确定中标供应商名单的时间和公告方式等。</w:t>
      </w:r>
    </w:p>
    <w:p>
      <w:pPr>
        <w:spacing w:line="360" w:lineRule="auto"/>
        <w:ind w:firstLine="422" w:firstLineChars="200"/>
        <w:outlineLvl w:val="1"/>
        <w:rPr>
          <w:rFonts w:ascii="宋体" w:hAnsi="宋体" w:cs="宋体"/>
          <w:color w:val="auto"/>
          <w:szCs w:val="21"/>
          <w:highlight w:val="none"/>
        </w:rPr>
      </w:pPr>
      <w:bookmarkStart w:id="242" w:name="_Toc8536_WPSOffice_Level2"/>
      <w:bookmarkStart w:id="243" w:name="_Toc28145"/>
      <w:bookmarkStart w:id="244" w:name="_Toc6442_WPSOffice_Level2"/>
      <w:r>
        <w:rPr>
          <w:rFonts w:hint="eastAsia" w:ascii="宋体" w:hAnsi="宋体" w:cs="宋体"/>
          <w:b/>
          <w:bCs/>
          <w:color w:val="auto"/>
          <w:szCs w:val="21"/>
          <w:highlight w:val="none"/>
        </w:rPr>
        <w:t>四、磋商要求</w:t>
      </w:r>
      <w:bookmarkEnd w:id="242"/>
      <w:bookmarkEnd w:id="243"/>
      <w:bookmarkEnd w:id="244"/>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磋商小组将按竞争性磋商有关规定与供应商进行封闭式磋商，磋商的内容包括（但不限于）磋商响应供应商的报价、合同条款响应情况、技术方案的可行性、承诺的后期服务等。磋商响应供应商有义务对磋商小组就响应文件中不明确的条款进行澄清，磋商响应供应商在磋商时可以对其响应文件进行补充或调整，在磋商结束前，磋商响应供应商应对其澄清、补充、调整的相关内容以书面方式进行最终确认，形成最终承诺书。磋商小组对磋商响应供应商的磋商最多不超过 3 轮。在磋商过程中，采购人及磋商小组有权变更相关要求，不对因此而受影响的磋商响应供应商承担责任。磋商中如有实质性变动，磋商小组将用书面形式通知参加磋商的磋商响应供应商。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2、磋商小组将要求所有参加磋商的磋商响应供应商按磋商小组提出的要求并在规定时间内分别进行最终报价，各磋商响应供应商在规定时间之后的报价将被视为无效。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3、磋商结束后，磋商小组应当要求所有实质性响应的供应商在规定时间内提交最后报价，提交最后报价的供应商一般不得少于 3 家。</w:t>
      </w:r>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sectPr>
          <w:pgSz w:w="11900" w:h="16838"/>
          <w:pgMar w:top="1440" w:right="1440" w:bottom="365" w:left="1440" w:header="567" w:footer="567" w:gutter="0"/>
          <w:cols w:equalWidth="0" w:num="1">
            <w:col w:w="9026"/>
          </w:cols>
        </w:sectPr>
      </w:pPr>
    </w:p>
    <w:p>
      <w:pPr>
        <w:spacing w:line="360" w:lineRule="auto"/>
        <w:ind w:firstLine="420" w:firstLineChars="200"/>
        <w:rPr>
          <w:rFonts w:ascii="宋体" w:hAnsi="宋体" w:cs="宋体"/>
          <w:color w:val="auto"/>
          <w:szCs w:val="21"/>
          <w:highlight w:val="none"/>
        </w:rPr>
      </w:pPr>
      <w:bookmarkStart w:id="245" w:name="page90"/>
      <w:bookmarkEnd w:id="245"/>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4、最后报价是供应商响应文件的有效组成部分。符合《政府采购竞争性磋商采购方式管理暂行办法》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第三条第四项情形的，提交最后报价的供应商可以为 2 家。</w:t>
      </w:r>
    </w:p>
    <w:p>
      <w:pPr>
        <w:spacing w:line="360" w:lineRule="auto"/>
        <w:ind w:firstLine="422" w:firstLineChars="200"/>
        <w:outlineLvl w:val="1"/>
        <w:rPr>
          <w:rFonts w:ascii="宋体" w:hAnsi="宋体" w:cs="宋体"/>
          <w:b/>
          <w:bCs/>
          <w:color w:val="auto"/>
          <w:szCs w:val="21"/>
          <w:highlight w:val="none"/>
        </w:rPr>
      </w:pPr>
      <w:bookmarkStart w:id="246" w:name="_Toc9788_WPSOffice_Level2"/>
      <w:bookmarkStart w:id="247" w:name="_Toc7316_WPSOffice_Level2"/>
      <w:bookmarkStart w:id="248" w:name="_Toc13962"/>
      <w:r>
        <w:rPr>
          <w:rFonts w:hint="eastAsia" w:ascii="宋体" w:hAnsi="宋体" w:cs="宋体"/>
          <w:b/>
          <w:bCs/>
          <w:color w:val="auto"/>
          <w:szCs w:val="21"/>
          <w:highlight w:val="none"/>
        </w:rPr>
        <w:t>五、评审细则</w:t>
      </w:r>
      <w:bookmarkEnd w:id="246"/>
      <w:bookmarkEnd w:id="247"/>
      <w:bookmarkEnd w:id="248"/>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评标采用综合评分法，磋商小组从最终投标报价、磋商响应供应商的综合实力、业绩、技术方案、服务承诺、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等方面进行评审。磋商小组根据评审情况，对各磋商响应供应商的商务报价方面在分值范围内进行统一打分，对各投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标人的商务方面在分值范围内进行统一打分，对各磋商响应供应商的技术方面在分值范围内进行独立打分。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每个供应商最终得分=报价分+商务技术分</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1、报价分</w:t>
      </w:r>
      <w:r>
        <w:rPr>
          <w:rFonts w:hint="eastAsia" w:ascii="宋体" w:hAnsi="宋体" w:cs="宋体"/>
          <w:b/>
          <w:bCs/>
          <w:color w:val="auto"/>
          <w:szCs w:val="21"/>
          <w:highlight w:val="none"/>
        </w:rPr>
        <w:tab/>
      </w:r>
      <w:r>
        <w:rPr>
          <w:rFonts w:hint="eastAsia" w:ascii="宋体" w:hAnsi="宋体" w:cs="宋体"/>
          <w:b/>
          <w:bCs/>
          <w:color w:val="auto"/>
          <w:szCs w:val="21"/>
          <w:highlight w:val="none"/>
        </w:rPr>
        <w:t>(60分)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报价评分将在有效供应商范围内进行，最高得60分最低得0 分（小数点后保留二位小数，第三位四舍五入）。满足竞争性磋商文件要求且最后报价最低的磋商报价为磋商基准价，供应商的价格分统一按照下列公式</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计算：磋商报价得分=（磋商基准价/最后磋商报价）×价格权值×100。</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2、商务技术分（40分）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由评标专家负责对响应文件的商务技术部分采用记名方式各自评分。如发现某个单项的评分超出了规定的分值范围的，则该张评分表无效。此项评分为：所有评标专家的有效评分的算术平均值（保留小数 2 位）。</w:t>
      </w:r>
    </w:p>
    <w:tbl>
      <w:tblPr>
        <w:tblStyle w:val="19"/>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750"/>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2" w:type="dxa"/>
            <w:vAlign w:val="center"/>
          </w:tcPr>
          <w:p>
            <w:pPr>
              <w:widowControl w:val="0"/>
              <w:jc w:val="center"/>
              <w:rPr>
                <w:rFonts w:ascii="宋体" w:hAnsi="宋体" w:cs="宋体"/>
                <w:b/>
                <w:color w:val="auto"/>
                <w:spacing w:val="-6"/>
                <w:szCs w:val="21"/>
                <w:highlight w:val="none"/>
              </w:rPr>
            </w:pPr>
            <w:r>
              <w:rPr>
                <w:rFonts w:hint="eastAsia" w:ascii="宋体" w:hAnsi="宋体" w:cs="宋体"/>
                <w:b/>
                <w:color w:val="auto"/>
                <w:spacing w:val="-6"/>
                <w:szCs w:val="21"/>
                <w:highlight w:val="none"/>
              </w:rPr>
              <w:t>评审因素</w:t>
            </w:r>
          </w:p>
        </w:tc>
        <w:tc>
          <w:tcPr>
            <w:tcW w:w="750" w:type="dxa"/>
            <w:vAlign w:val="center"/>
          </w:tcPr>
          <w:p>
            <w:pPr>
              <w:widowControl w:val="0"/>
              <w:jc w:val="both"/>
              <w:rPr>
                <w:rFonts w:ascii="宋体" w:hAnsi="宋体" w:cs="宋体"/>
                <w:b/>
                <w:color w:val="auto"/>
                <w:spacing w:val="-6"/>
                <w:szCs w:val="21"/>
                <w:highlight w:val="none"/>
              </w:rPr>
            </w:pPr>
            <w:r>
              <w:rPr>
                <w:rFonts w:hint="eastAsia" w:ascii="宋体" w:hAnsi="宋体" w:cs="宋体"/>
                <w:b/>
                <w:color w:val="auto"/>
                <w:spacing w:val="-6"/>
                <w:szCs w:val="21"/>
                <w:highlight w:val="none"/>
              </w:rPr>
              <w:t>分值</w:t>
            </w:r>
          </w:p>
        </w:tc>
        <w:tc>
          <w:tcPr>
            <w:tcW w:w="7683" w:type="dxa"/>
            <w:vAlign w:val="center"/>
          </w:tcPr>
          <w:p>
            <w:pPr>
              <w:pStyle w:val="42"/>
              <w:widowControl w:val="0"/>
              <w:spacing w:line="240" w:lineRule="auto"/>
              <w:rPr>
                <w:rFonts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05" w:type="dxa"/>
            <w:gridSpan w:val="3"/>
            <w:vAlign w:val="center"/>
          </w:tcPr>
          <w:p>
            <w:pPr>
              <w:pStyle w:val="42"/>
              <w:widowControl w:val="0"/>
              <w:spacing w:line="240" w:lineRule="auto"/>
              <w:rPr>
                <w:rFonts w:ascii="宋体" w:hAnsi="宋体" w:eastAsia="宋体" w:cs="宋体"/>
                <w:color w:val="auto"/>
                <w:spacing w:val="-6"/>
                <w:sz w:val="21"/>
                <w:szCs w:val="21"/>
                <w:highlight w:val="none"/>
              </w:rPr>
            </w:pPr>
            <w:r>
              <w:rPr>
                <w:rFonts w:hint="eastAsia" w:ascii="宋体" w:hAnsi="宋体" w:eastAsia="宋体" w:cs="宋体"/>
                <w:b/>
                <w:bCs/>
                <w:color w:val="auto"/>
                <w:spacing w:val="-6"/>
                <w:kern w:val="2"/>
                <w:sz w:val="21"/>
                <w:szCs w:val="21"/>
                <w:highlight w:val="none"/>
              </w:rPr>
              <w:t>价格分</w:t>
            </w:r>
            <w:r>
              <w:rPr>
                <w:rFonts w:hint="eastAsia" w:ascii="宋体" w:hAnsi="宋体" w:eastAsia="宋体" w:cs="宋体"/>
                <w:b/>
                <w:color w:val="auto"/>
                <w:spacing w:val="-6"/>
                <w:sz w:val="21"/>
                <w:szCs w:val="21"/>
                <w:highlight w:val="none"/>
              </w:rPr>
              <w:t>（</w:t>
            </w:r>
            <w:r>
              <w:rPr>
                <w:rFonts w:hint="eastAsia" w:ascii="宋体" w:hAnsi="宋体" w:eastAsia="宋体" w:cs="宋体"/>
                <w:b/>
                <w:color w:val="auto"/>
                <w:spacing w:val="-6"/>
                <w:sz w:val="21"/>
                <w:szCs w:val="21"/>
                <w:highlight w:val="none"/>
                <w:lang w:val="en-US" w:eastAsia="zh-CN"/>
              </w:rPr>
              <w:t>50</w:t>
            </w:r>
            <w:r>
              <w:rPr>
                <w:rFonts w:hint="eastAsia" w:ascii="宋体" w:hAnsi="宋体" w:eastAsia="宋体" w:cs="宋体"/>
                <w:b/>
                <w:color w:val="auto"/>
                <w:spacing w:val="-6"/>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2" w:type="dxa"/>
            <w:vAlign w:val="center"/>
          </w:tcPr>
          <w:p>
            <w:pPr>
              <w:pStyle w:val="2"/>
              <w:widowControl w:val="0"/>
              <w:spacing w:line="240" w:lineRule="auto"/>
              <w:ind w:firstLine="0"/>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投标报价</w:t>
            </w:r>
          </w:p>
        </w:tc>
        <w:tc>
          <w:tcPr>
            <w:tcW w:w="750" w:type="dxa"/>
            <w:vAlign w:val="center"/>
          </w:tcPr>
          <w:p>
            <w:pPr>
              <w:widowControl w:val="0"/>
              <w:jc w:val="center"/>
              <w:rPr>
                <w:rFonts w:ascii="宋体" w:hAnsi="宋体" w:cs="宋体"/>
                <w:color w:val="auto"/>
                <w:spacing w:val="-6"/>
                <w:szCs w:val="21"/>
                <w:highlight w:val="none"/>
              </w:rPr>
            </w:pPr>
            <w:r>
              <w:rPr>
                <w:rFonts w:hint="eastAsia" w:ascii="宋体" w:hAnsi="宋体" w:cs="宋体"/>
                <w:color w:val="auto"/>
                <w:spacing w:val="-6"/>
                <w:szCs w:val="21"/>
                <w:highlight w:val="none"/>
                <w:lang w:val="en-US" w:eastAsia="zh-CN"/>
              </w:rPr>
              <w:t>5</w:t>
            </w:r>
            <w:r>
              <w:rPr>
                <w:rFonts w:hint="eastAsia" w:ascii="宋体" w:hAnsi="宋体" w:cs="宋体"/>
                <w:color w:val="auto"/>
                <w:spacing w:val="-6"/>
                <w:szCs w:val="21"/>
                <w:highlight w:val="none"/>
              </w:rPr>
              <w:t>0</w:t>
            </w:r>
          </w:p>
        </w:tc>
        <w:tc>
          <w:tcPr>
            <w:tcW w:w="7683" w:type="dxa"/>
            <w:vAlign w:val="center"/>
          </w:tcPr>
          <w:p>
            <w:pPr>
              <w:widowControl w:val="0"/>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评标基准价=满足磋商文件要求且投标价最低的投标报价为评标基准价。</w:t>
            </w:r>
          </w:p>
          <w:p>
            <w:pPr>
              <w:widowControl w:val="0"/>
              <w:jc w:val="both"/>
              <w:rPr>
                <w:rFonts w:ascii="宋体" w:hAnsi="宋体" w:cs="宋体"/>
                <w:color w:val="auto"/>
                <w:szCs w:val="21"/>
                <w:highlight w:val="none"/>
              </w:rPr>
            </w:pPr>
            <w:r>
              <w:rPr>
                <w:rFonts w:hint="eastAsia" w:ascii="宋体" w:hAnsi="宋体" w:cs="宋体"/>
                <w:color w:val="auto"/>
                <w:szCs w:val="21"/>
                <w:highlight w:val="none"/>
              </w:rPr>
              <w:t>得分：投标价为基准价的，得满分60分，其他投标报价得分计算公式如下：</w:t>
            </w:r>
          </w:p>
          <w:p>
            <w:pPr>
              <w:widowControl w:val="0"/>
              <w:jc w:val="both"/>
              <w:rPr>
                <w:rFonts w:ascii="宋体" w:hAnsi="宋体" w:cs="宋体"/>
                <w:color w:val="auto"/>
                <w:szCs w:val="21"/>
                <w:highlight w:val="none"/>
              </w:rPr>
            </w:pPr>
            <w:r>
              <w:rPr>
                <w:rFonts w:hint="eastAsia" w:ascii="宋体" w:hAnsi="宋体" w:cs="宋体"/>
                <w:color w:val="auto"/>
                <w:szCs w:val="21"/>
                <w:highlight w:val="none"/>
              </w:rPr>
              <w:t>投标报价得分=（评标基准价/投标报价）×</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0%×100</w:t>
            </w:r>
          </w:p>
          <w:p>
            <w:pPr>
              <w:widowControl w:val="0"/>
              <w:jc w:val="both"/>
              <w:rPr>
                <w:rFonts w:ascii="宋体" w:hAnsi="宋体" w:cs="宋体"/>
                <w:color w:val="auto"/>
                <w:szCs w:val="21"/>
                <w:highlight w:val="none"/>
              </w:rPr>
            </w:pPr>
            <w:r>
              <w:rPr>
                <w:rFonts w:hint="eastAsia" w:ascii="宋体" w:hAnsi="宋体" w:cs="宋体"/>
                <w:color w:val="auto"/>
                <w:szCs w:val="21"/>
                <w:highlight w:val="none"/>
              </w:rPr>
              <w:t>（经评标委员会审核，投标商所投产品若有缺项，所缺部分将加上其他投标商所投产品同类部分中的最高价格作为其投标报价打分的依据）。</w:t>
            </w:r>
          </w:p>
          <w:p>
            <w:pPr>
              <w:widowControl w:val="0"/>
              <w:adjustRightInd w:val="0"/>
              <w:snapToGrid w:val="0"/>
              <w:ind w:firstLine="422" w:firstLineChars="200"/>
              <w:jc w:val="both"/>
              <w:rPr>
                <w:rFonts w:ascii="宋体" w:hAnsi="宋体" w:cs="宋体"/>
                <w:b/>
                <w:color w:val="auto"/>
                <w:szCs w:val="21"/>
                <w:highlight w:val="none"/>
              </w:rPr>
            </w:pPr>
            <w:r>
              <w:rPr>
                <w:rFonts w:hint="eastAsia" w:ascii="宋体" w:hAnsi="宋体" w:cs="宋体"/>
                <w:b/>
                <w:color w:val="auto"/>
                <w:szCs w:val="21"/>
                <w:highlight w:val="none"/>
              </w:rPr>
              <w:t>根据《政府采购促进中小企业发展暂行办法》（财库[2011]181号）及《财政部 司法部关于政府采购支持监狱企业发展有关问题的通知》（财库[2014]68号）规定要求，评标委员会对提供有效认定材料的小微企业及监狱企业给予6%的价格扣除后，计算各磋商响应供应商价格分，其中：</w:t>
            </w:r>
          </w:p>
          <w:p>
            <w:pPr>
              <w:widowControl w:val="0"/>
              <w:adjustRightInd w:val="0"/>
              <w:snapToGrid w:val="0"/>
              <w:ind w:firstLine="422" w:firstLineChars="200"/>
              <w:jc w:val="both"/>
              <w:rPr>
                <w:rFonts w:ascii="宋体" w:hAnsi="宋体" w:cs="宋体"/>
                <w:color w:val="auto"/>
                <w:szCs w:val="21"/>
                <w:highlight w:val="none"/>
              </w:rPr>
            </w:pPr>
            <w:r>
              <w:rPr>
                <w:rFonts w:hint="eastAsia" w:ascii="宋体" w:hAnsi="宋体" w:cs="宋体"/>
                <w:b/>
                <w:color w:val="auto"/>
                <w:szCs w:val="21"/>
                <w:highlight w:val="none"/>
              </w:rPr>
              <w:t>a.中小企业划分标准根据《政府采购促进中小企业发展暂行办法》（财库[2011]181号）文件确定，参加政府采购活动的中小企业应当根据划分标准如实填写财库[2011]181号文件附件格式的《中小企业声明函》供评标委员会认定；b.监狱企业参加政府采购活动时，应当提供由省级以上监狱管理局、戒毒管理局（含新疆生产建设兵团）出具的属于监狱企业的证明文件供评标委员会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05" w:type="dxa"/>
            <w:gridSpan w:val="3"/>
            <w:vAlign w:val="center"/>
          </w:tcPr>
          <w:p>
            <w:pPr>
              <w:pStyle w:val="42"/>
              <w:widowControl w:val="0"/>
              <w:spacing w:line="240" w:lineRule="auto"/>
              <w:rPr>
                <w:rFonts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商务分（7分）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772" w:type="dxa"/>
            <w:vMerge w:val="restart"/>
            <w:vAlign w:val="center"/>
          </w:tcPr>
          <w:p>
            <w:pPr>
              <w:widowControl w:val="0"/>
              <w:jc w:val="center"/>
              <w:rPr>
                <w:rFonts w:ascii="宋体" w:hAnsi="宋体" w:cs="宋体"/>
                <w:color w:val="auto"/>
                <w:spacing w:val="-6"/>
                <w:szCs w:val="21"/>
                <w:highlight w:val="none"/>
              </w:rPr>
            </w:pPr>
            <w:r>
              <w:rPr>
                <w:rFonts w:hint="eastAsia" w:ascii="宋体" w:hAnsi="宋体" w:cs="宋体"/>
                <w:color w:val="auto"/>
                <w:spacing w:val="-6"/>
                <w:szCs w:val="21"/>
                <w:highlight w:val="none"/>
              </w:rPr>
              <w:t>企业的资信、业绩</w:t>
            </w:r>
          </w:p>
        </w:tc>
        <w:tc>
          <w:tcPr>
            <w:tcW w:w="750" w:type="dxa"/>
            <w:vAlign w:val="center"/>
          </w:tcPr>
          <w:p>
            <w:pPr>
              <w:widowControl w:val="0"/>
              <w:jc w:val="center"/>
              <w:rPr>
                <w:rFonts w:ascii="宋体" w:hAnsi="宋体" w:cs="宋体"/>
                <w:color w:val="auto"/>
                <w:spacing w:val="-6"/>
                <w:szCs w:val="21"/>
                <w:highlight w:val="none"/>
              </w:rPr>
            </w:pPr>
            <w:r>
              <w:rPr>
                <w:rFonts w:hint="eastAsia" w:ascii="宋体" w:hAnsi="宋体" w:cs="宋体"/>
                <w:color w:val="auto"/>
                <w:spacing w:val="-6"/>
                <w:szCs w:val="21"/>
                <w:highlight w:val="none"/>
              </w:rPr>
              <w:t>3</w:t>
            </w:r>
          </w:p>
        </w:tc>
        <w:tc>
          <w:tcPr>
            <w:tcW w:w="7683" w:type="dxa"/>
            <w:vAlign w:val="center"/>
          </w:tcPr>
          <w:p>
            <w:pPr>
              <w:widowControl w:val="0"/>
              <w:rPr>
                <w:rFonts w:ascii="宋体" w:hAnsi="宋体" w:cs="宋体"/>
                <w:color w:val="auto"/>
                <w:szCs w:val="21"/>
                <w:highlight w:val="none"/>
              </w:rPr>
            </w:pPr>
            <w:r>
              <w:rPr>
                <w:rFonts w:hint="eastAsia" w:ascii="宋体" w:hAnsi="宋体" w:cs="宋体"/>
                <w:color w:val="auto"/>
                <w:szCs w:val="21"/>
                <w:highlight w:val="none"/>
              </w:rPr>
              <w:t>供应商自2017年1月1日</w:t>
            </w:r>
            <w:r>
              <w:rPr>
                <w:rFonts w:hint="eastAsia" w:ascii="宋体" w:hAnsi="宋体" w:cs="宋体"/>
                <w:color w:val="auto"/>
                <w:spacing w:val="-6"/>
                <w:szCs w:val="21"/>
                <w:highlight w:val="none"/>
              </w:rPr>
              <w:t>【以竣（交）工验收资料时间为准】</w:t>
            </w:r>
            <w:r>
              <w:rPr>
                <w:rFonts w:hint="eastAsia" w:ascii="宋体" w:hAnsi="宋体" w:cs="宋体"/>
                <w:color w:val="auto"/>
                <w:szCs w:val="21"/>
                <w:highlight w:val="none"/>
              </w:rPr>
              <w:t>以来承担过同类项目施工业绩，一项工程得0.5分，最高得3分。证明材料：须同时出具中标通知书、施工合同复印件及竣工验收报告复印件（加盖公章），三者缺一不可，未提供或提供资料不完整的均不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772" w:type="dxa"/>
            <w:vMerge w:val="continue"/>
            <w:vAlign w:val="center"/>
          </w:tcPr>
          <w:p>
            <w:pPr>
              <w:widowControl w:val="0"/>
              <w:jc w:val="center"/>
              <w:rPr>
                <w:rFonts w:ascii="宋体" w:hAnsi="宋体" w:cs="宋体"/>
                <w:color w:val="auto"/>
                <w:szCs w:val="21"/>
                <w:highlight w:val="none"/>
              </w:rPr>
            </w:pPr>
          </w:p>
        </w:tc>
        <w:tc>
          <w:tcPr>
            <w:tcW w:w="750" w:type="dxa"/>
            <w:vAlign w:val="center"/>
          </w:tcPr>
          <w:p>
            <w:pPr>
              <w:widowControl w:val="0"/>
              <w:jc w:val="center"/>
              <w:rPr>
                <w:rFonts w:ascii="宋体" w:hAnsi="宋体" w:cs="宋体"/>
                <w:color w:val="auto"/>
                <w:spacing w:val="-6"/>
                <w:szCs w:val="21"/>
                <w:highlight w:val="none"/>
              </w:rPr>
            </w:pPr>
            <w:r>
              <w:rPr>
                <w:rFonts w:hint="eastAsia" w:ascii="宋体" w:hAnsi="宋体" w:cs="宋体"/>
                <w:color w:val="auto"/>
                <w:spacing w:val="-6"/>
                <w:szCs w:val="21"/>
                <w:highlight w:val="none"/>
              </w:rPr>
              <w:t>1.5</w:t>
            </w:r>
          </w:p>
        </w:tc>
        <w:tc>
          <w:tcPr>
            <w:tcW w:w="7683" w:type="dxa"/>
            <w:vAlign w:val="center"/>
          </w:tcPr>
          <w:p>
            <w:pPr>
              <w:widowControl w:val="0"/>
              <w:rPr>
                <w:rFonts w:ascii="宋体" w:hAnsi="宋体" w:cs="宋体"/>
                <w:color w:val="auto"/>
                <w:szCs w:val="21"/>
                <w:highlight w:val="none"/>
              </w:rPr>
            </w:pPr>
            <w:r>
              <w:rPr>
                <w:rFonts w:hint="eastAsia" w:ascii="宋体" w:hAnsi="宋体" w:cs="宋体"/>
                <w:color w:val="auto"/>
                <w:szCs w:val="21"/>
                <w:highlight w:val="none"/>
              </w:rPr>
              <w:t>供应商具有有效ISO质量管理体系认证、环境管理体系认证、职业健康安全管理体系，每个得0.5分。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772" w:type="dxa"/>
            <w:vMerge w:val="continue"/>
            <w:vAlign w:val="center"/>
          </w:tcPr>
          <w:p>
            <w:pPr>
              <w:widowControl w:val="0"/>
              <w:jc w:val="center"/>
              <w:rPr>
                <w:rFonts w:ascii="宋体" w:hAnsi="宋体" w:cs="宋体"/>
                <w:color w:val="auto"/>
                <w:szCs w:val="21"/>
                <w:highlight w:val="none"/>
              </w:rPr>
            </w:pPr>
          </w:p>
        </w:tc>
        <w:tc>
          <w:tcPr>
            <w:tcW w:w="750" w:type="dxa"/>
            <w:vAlign w:val="center"/>
          </w:tcPr>
          <w:p>
            <w:pPr>
              <w:widowControl w:val="0"/>
              <w:jc w:val="center"/>
              <w:rPr>
                <w:rFonts w:ascii="宋体" w:hAnsi="宋体" w:cs="宋体"/>
                <w:color w:val="auto"/>
                <w:spacing w:val="-6"/>
                <w:szCs w:val="21"/>
                <w:highlight w:val="none"/>
              </w:rPr>
            </w:pPr>
            <w:r>
              <w:rPr>
                <w:rFonts w:hint="eastAsia" w:ascii="宋体" w:hAnsi="宋体" w:cs="宋体"/>
                <w:color w:val="auto"/>
                <w:spacing w:val="-6"/>
                <w:szCs w:val="21"/>
                <w:highlight w:val="none"/>
              </w:rPr>
              <w:t>0.5</w:t>
            </w:r>
          </w:p>
        </w:tc>
        <w:tc>
          <w:tcPr>
            <w:tcW w:w="7683" w:type="dxa"/>
            <w:vAlign w:val="center"/>
          </w:tcPr>
          <w:p>
            <w:pPr>
              <w:widowControl w:val="0"/>
              <w:rPr>
                <w:rFonts w:ascii="宋体" w:hAnsi="宋体" w:cs="宋体"/>
                <w:color w:val="auto"/>
                <w:szCs w:val="21"/>
                <w:highlight w:val="none"/>
              </w:rPr>
            </w:pPr>
            <w:r>
              <w:rPr>
                <w:rFonts w:hint="eastAsia" w:ascii="宋体" w:hAnsi="宋体" w:cs="宋体"/>
                <w:color w:val="auto"/>
                <w:spacing w:val="-6"/>
                <w:szCs w:val="21"/>
                <w:highlight w:val="none"/>
              </w:rPr>
              <w:t>供应商的信用等级为AAA级的得0.5分，其余不得分。以响应文件中所附信用等级报告证书复印件或信用等级荣誉奖状为评分依据。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772" w:type="dxa"/>
            <w:vAlign w:val="center"/>
          </w:tcPr>
          <w:p>
            <w:pPr>
              <w:widowControl w:val="0"/>
              <w:jc w:val="center"/>
              <w:rPr>
                <w:rFonts w:ascii="宋体" w:hAnsi="宋体" w:cs="宋体"/>
                <w:color w:val="auto"/>
                <w:spacing w:val="-6"/>
                <w:szCs w:val="21"/>
                <w:highlight w:val="none"/>
              </w:rPr>
            </w:pPr>
            <w:r>
              <w:rPr>
                <w:rFonts w:hint="eastAsia" w:ascii="宋体" w:hAnsi="宋体" w:cs="宋体"/>
                <w:color w:val="auto"/>
                <w:spacing w:val="-6"/>
                <w:szCs w:val="21"/>
                <w:highlight w:val="none"/>
              </w:rPr>
              <w:t>项目经理</w:t>
            </w:r>
          </w:p>
        </w:tc>
        <w:tc>
          <w:tcPr>
            <w:tcW w:w="750" w:type="dxa"/>
            <w:vAlign w:val="center"/>
          </w:tcPr>
          <w:p>
            <w:pPr>
              <w:widowControl w:val="0"/>
              <w:jc w:val="center"/>
              <w:rPr>
                <w:rFonts w:ascii="宋体" w:hAnsi="宋体" w:cs="宋体"/>
                <w:color w:val="auto"/>
                <w:spacing w:val="-6"/>
                <w:szCs w:val="21"/>
                <w:highlight w:val="none"/>
              </w:rPr>
            </w:pPr>
            <w:r>
              <w:rPr>
                <w:rFonts w:hint="eastAsia" w:ascii="宋体" w:hAnsi="宋体" w:cs="宋体"/>
                <w:color w:val="auto"/>
                <w:spacing w:val="-6"/>
                <w:szCs w:val="21"/>
                <w:highlight w:val="none"/>
              </w:rPr>
              <w:t>2</w:t>
            </w:r>
          </w:p>
        </w:tc>
        <w:tc>
          <w:tcPr>
            <w:tcW w:w="7683" w:type="dxa"/>
            <w:vAlign w:val="center"/>
          </w:tcPr>
          <w:p>
            <w:pPr>
              <w:widowControl w:val="0"/>
              <w:jc w:val="both"/>
              <w:rPr>
                <w:rFonts w:ascii="宋体" w:hAnsi="宋体" w:cs="宋体"/>
                <w:color w:val="auto"/>
                <w:spacing w:val="-6"/>
                <w:szCs w:val="21"/>
                <w:highlight w:val="none"/>
              </w:rPr>
            </w:pPr>
            <w:r>
              <w:rPr>
                <w:rFonts w:hint="eastAsia" w:ascii="宋体" w:hAnsi="宋体" w:cs="宋体"/>
                <w:color w:val="auto"/>
                <w:spacing w:val="-6"/>
                <w:szCs w:val="21"/>
                <w:highlight w:val="none"/>
              </w:rPr>
              <w:t>项目经理自2017年1月1日【以竣（交）工验收资料时间为准】以来，以项目负责人身份完成过类似工程业绩。每个业绩得0.5分，最多得2分。</w:t>
            </w:r>
            <w:r>
              <w:rPr>
                <w:rFonts w:hint="eastAsia" w:ascii="宋体" w:hAnsi="宋体" w:cs="宋体"/>
                <w:color w:val="auto"/>
                <w:szCs w:val="21"/>
                <w:highlight w:val="none"/>
              </w:rPr>
              <w:t>证明材料：须同时出具中标通知书、施工合同复印件及竣工验收报告复印件（加盖公章），三者缺一不可，未提供或提供资料不完整的均不得分。（原件备查）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0205" w:type="dxa"/>
            <w:gridSpan w:val="3"/>
            <w:vAlign w:val="center"/>
          </w:tcPr>
          <w:p>
            <w:pPr>
              <w:widowControl w:val="0"/>
              <w:jc w:val="center"/>
              <w:rPr>
                <w:rFonts w:ascii="宋体" w:hAnsi="宋体" w:cs="宋体"/>
                <w:color w:val="auto"/>
                <w:spacing w:val="-6"/>
                <w:szCs w:val="21"/>
                <w:highlight w:val="none"/>
              </w:rPr>
            </w:pPr>
            <w:r>
              <w:rPr>
                <w:rFonts w:hint="eastAsia" w:ascii="宋体" w:hAnsi="宋体" w:cs="宋体"/>
                <w:b/>
                <w:color w:val="auto"/>
                <w:spacing w:val="-6"/>
                <w:szCs w:val="21"/>
                <w:highlight w:val="none"/>
              </w:rPr>
              <w:t>技术分（</w:t>
            </w:r>
            <w:r>
              <w:rPr>
                <w:rFonts w:hint="eastAsia" w:ascii="宋体" w:hAnsi="宋体" w:cs="宋体"/>
                <w:b/>
                <w:color w:val="auto"/>
                <w:spacing w:val="-6"/>
                <w:szCs w:val="21"/>
                <w:highlight w:val="none"/>
                <w:lang w:val="en-US" w:eastAsia="zh-CN"/>
              </w:rPr>
              <w:t>4</w:t>
            </w:r>
            <w:r>
              <w:rPr>
                <w:rFonts w:hint="eastAsia" w:ascii="宋体" w:hAnsi="宋体" w:cs="宋体"/>
                <w:b/>
                <w:color w:val="auto"/>
                <w:spacing w:val="-6"/>
                <w:szCs w:val="21"/>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2" w:type="dxa"/>
            <w:vAlign w:val="center"/>
          </w:tcPr>
          <w:p>
            <w:pPr>
              <w:widowControl w:val="0"/>
              <w:jc w:val="center"/>
              <w:rPr>
                <w:rFonts w:ascii="宋体" w:hAnsi="宋体" w:cs="宋体"/>
                <w:color w:val="auto"/>
                <w:spacing w:val="-6"/>
                <w:szCs w:val="21"/>
                <w:highlight w:val="none"/>
              </w:rPr>
            </w:pPr>
            <w:r>
              <w:rPr>
                <w:rFonts w:hint="eastAsia" w:ascii="宋体" w:hAnsi="宋体" w:cs="宋体"/>
                <w:color w:val="auto"/>
                <w:spacing w:val="-6"/>
                <w:szCs w:val="21"/>
                <w:highlight w:val="none"/>
              </w:rPr>
              <w:t>施工方案</w:t>
            </w:r>
          </w:p>
        </w:tc>
        <w:tc>
          <w:tcPr>
            <w:tcW w:w="750" w:type="dxa"/>
            <w:vAlign w:val="center"/>
          </w:tcPr>
          <w:p>
            <w:pPr>
              <w:widowControl w:val="0"/>
              <w:jc w:val="center"/>
              <w:rPr>
                <w:rFonts w:ascii="宋体" w:hAnsi="宋体" w:cs="宋体"/>
                <w:color w:val="auto"/>
                <w:spacing w:val="-6"/>
                <w:szCs w:val="21"/>
                <w:highlight w:val="none"/>
              </w:rPr>
            </w:pPr>
            <w:r>
              <w:rPr>
                <w:rFonts w:hint="eastAsia" w:ascii="宋体" w:hAnsi="宋体" w:cs="宋体"/>
                <w:color w:val="auto"/>
                <w:spacing w:val="-6"/>
                <w:szCs w:val="21"/>
                <w:highlight w:val="none"/>
              </w:rPr>
              <w:t>5</w:t>
            </w:r>
          </w:p>
        </w:tc>
        <w:tc>
          <w:tcPr>
            <w:tcW w:w="7683" w:type="dxa"/>
            <w:vAlign w:val="center"/>
          </w:tcPr>
          <w:p>
            <w:pPr>
              <w:widowControl w:val="0"/>
              <w:jc w:val="both"/>
              <w:rPr>
                <w:rFonts w:ascii="宋体" w:hAnsi="宋体" w:cs="宋体"/>
                <w:color w:val="auto"/>
                <w:spacing w:val="-6"/>
                <w:szCs w:val="21"/>
                <w:highlight w:val="none"/>
              </w:rPr>
            </w:pPr>
            <w:r>
              <w:rPr>
                <w:rFonts w:hint="eastAsia" w:ascii="宋体" w:hAnsi="宋体" w:cs="宋体"/>
                <w:color w:val="auto"/>
                <w:spacing w:val="-6"/>
                <w:szCs w:val="21"/>
                <w:highlight w:val="none"/>
              </w:rPr>
              <w:t>供应商提出的施工方案，包括针对本工程项目实施的重点、难点和解决方案等方面。最高得5分，其余酌情扣分。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2" w:type="dxa"/>
            <w:vAlign w:val="center"/>
          </w:tcPr>
          <w:p>
            <w:pPr>
              <w:widowControl w:val="0"/>
              <w:jc w:val="center"/>
              <w:rPr>
                <w:rFonts w:ascii="宋体" w:hAnsi="宋体" w:cs="宋体"/>
                <w:color w:val="auto"/>
                <w:spacing w:val="-6"/>
                <w:szCs w:val="21"/>
                <w:highlight w:val="none"/>
              </w:rPr>
            </w:pPr>
            <w:r>
              <w:rPr>
                <w:rFonts w:hint="eastAsia" w:ascii="宋体" w:hAnsi="宋体" w:cs="宋体"/>
                <w:color w:val="auto"/>
                <w:szCs w:val="21"/>
                <w:highlight w:val="none"/>
              </w:rPr>
              <w:t>施工总平面布置情况</w:t>
            </w:r>
          </w:p>
        </w:tc>
        <w:tc>
          <w:tcPr>
            <w:tcW w:w="750" w:type="dxa"/>
            <w:vAlign w:val="center"/>
          </w:tcPr>
          <w:p>
            <w:pPr>
              <w:widowControl w:val="0"/>
              <w:jc w:val="center"/>
              <w:rPr>
                <w:rFonts w:hint="eastAsia" w:ascii="宋体" w:hAnsi="宋体" w:eastAsia="宋体" w:cs="宋体"/>
                <w:color w:val="auto"/>
                <w:spacing w:val="-6"/>
                <w:szCs w:val="21"/>
                <w:highlight w:val="none"/>
                <w:lang w:eastAsia="zh-CN"/>
              </w:rPr>
            </w:pPr>
            <w:r>
              <w:rPr>
                <w:rFonts w:hint="eastAsia" w:ascii="宋体" w:hAnsi="宋体" w:cs="宋体"/>
                <w:color w:val="auto"/>
                <w:spacing w:val="-6"/>
                <w:szCs w:val="21"/>
                <w:highlight w:val="none"/>
                <w:lang w:val="en-US" w:eastAsia="zh-CN"/>
              </w:rPr>
              <w:t>4</w:t>
            </w:r>
          </w:p>
        </w:tc>
        <w:tc>
          <w:tcPr>
            <w:tcW w:w="7683" w:type="dxa"/>
            <w:vAlign w:val="center"/>
          </w:tcPr>
          <w:p>
            <w:pPr>
              <w:widowControl w:val="0"/>
              <w:jc w:val="both"/>
              <w:rPr>
                <w:rFonts w:ascii="宋体" w:hAnsi="宋体" w:cs="宋体"/>
                <w:color w:val="auto"/>
                <w:szCs w:val="21"/>
                <w:highlight w:val="none"/>
              </w:rPr>
            </w:pPr>
            <w:r>
              <w:rPr>
                <w:rFonts w:hint="eastAsia" w:ascii="宋体" w:hAnsi="宋体" w:cs="宋体"/>
                <w:color w:val="auto"/>
                <w:szCs w:val="21"/>
                <w:highlight w:val="none"/>
              </w:rPr>
              <w:t>是否符合施工现场实际情况，施工总平面安排科学合理，符合本项目施工实际要求。根据材料堆场、施工通道的安排和施工人员住宿安排计划的科学性、合理性进行打分。最高得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分，其余酌情扣分。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2" w:type="dxa"/>
            <w:vAlign w:val="center"/>
          </w:tcPr>
          <w:p>
            <w:pPr>
              <w:widowControl w:val="0"/>
              <w:jc w:val="center"/>
              <w:rPr>
                <w:rFonts w:ascii="宋体" w:hAnsi="宋体" w:cs="宋体"/>
                <w:color w:val="auto"/>
                <w:szCs w:val="21"/>
                <w:highlight w:val="none"/>
              </w:rPr>
            </w:pPr>
            <w:r>
              <w:rPr>
                <w:rFonts w:hint="eastAsia" w:ascii="宋体" w:hAnsi="宋体" w:cs="宋体"/>
                <w:color w:val="auto"/>
                <w:szCs w:val="21"/>
                <w:highlight w:val="none"/>
              </w:rPr>
              <w:t>安全文明施工保证</w:t>
            </w:r>
          </w:p>
        </w:tc>
        <w:tc>
          <w:tcPr>
            <w:tcW w:w="750" w:type="dxa"/>
            <w:vAlign w:val="center"/>
          </w:tcPr>
          <w:p>
            <w:pPr>
              <w:widowControl w:val="0"/>
              <w:jc w:val="center"/>
              <w:rPr>
                <w:rFonts w:hint="eastAsia" w:ascii="宋体" w:hAnsi="宋体" w:eastAsia="宋体" w:cs="宋体"/>
                <w:color w:val="auto"/>
                <w:spacing w:val="-6"/>
                <w:szCs w:val="21"/>
                <w:highlight w:val="none"/>
                <w:lang w:eastAsia="zh-CN"/>
              </w:rPr>
            </w:pPr>
            <w:r>
              <w:rPr>
                <w:rFonts w:hint="eastAsia" w:ascii="宋体" w:hAnsi="宋体" w:cs="宋体"/>
                <w:color w:val="auto"/>
                <w:spacing w:val="-6"/>
                <w:szCs w:val="21"/>
                <w:highlight w:val="none"/>
                <w:lang w:val="en-US" w:eastAsia="zh-CN"/>
              </w:rPr>
              <w:t>4</w:t>
            </w:r>
          </w:p>
        </w:tc>
        <w:tc>
          <w:tcPr>
            <w:tcW w:w="7683" w:type="dxa"/>
            <w:vAlign w:val="center"/>
          </w:tcPr>
          <w:p>
            <w:pPr>
              <w:widowControl w:val="0"/>
              <w:jc w:val="both"/>
              <w:rPr>
                <w:rFonts w:ascii="宋体" w:hAnsi="宋体" w:cs="宋体"/>
                <w:color w:val="auto"/>
                <w:szCs w:val="21"/>
                <w:highlight w:val="none"/>
              </w:rPr>
            </w:pPr>
            <w:r>
              <w:rPr>
                <w:rFonts w:hint="eastAsia" w:ascii="宋体" w:hAnsi="宋体" w:cs="宋体"/>
                <w:color w:val="auto"/>
                <w:szCs w:val="21"/>
                <w:highlight w:val="none"/>
              </w:rPr>
              <w:t>安全、文明施工等的保证措施是否科学、合理流动、到位。最高得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分，其余酌情扣分。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2" w:type="dxa"/>
            <w:vAlign w:val="center"/>
          </w:tcPr>
          <w:p>
            <w:pPr>
              <w:widowControl w:val="0"/>
              <w:jc w:val="center"/>
              <w:rPr>
                <w:rFonts w:ascii="宋体" w:hAnsi="宋体" w:cs="宋体"/>
                <w:color w:val="auto"/>
                <w:spacing w:val="-6"/>
                <w:szCs w:val="21"/>
                <w:highlight w:val="none"/>
              </w:rPr>
            </w:pPr>
            <w:r>
              <w:rPr>
                <w:rFonts w:hint="eastAsia" w:ascii="宋体" w:hAnsi="宋体" w:cs="宋体"/>
                <w:color w:val="auto"/>
                <w:spacing w:val="-6"/>
                <w:szCs w:val="21"/>
                <w:highlight w:val="none"/>
              </w:rPr>
              <w:t>施工机械设备投入</w:t>
            </w:r>
          </w:p>
        </w:tc>
        <w:tc>
          <w:tcPr>
            <w:tcW w:w="750" w:type="dxa"/>
            <w:vAlign w:val="center"/>
          </w:tcPr>
          <w:p>
            <w:pPr>
              <w:widowControl w:val="0"/>
              <w:jc w:val="center"/>
              <w:rPr>
                <w:rFonts w:ascii="宋体" w:hAnsi="宋体" w:cs="宋体"/>
                <w:color w:val="auto"/>
                <w:spacing w:val="-6"/>
                <w:szCs w:val="21"/>
                <w:highlight w:val="none"/>
              </w:rPr>
            </w:pPr>
            <w:r>
              <w:rPr>
                <w:rFonts w:hint="eastAsia" w:ascii="宋体" w:hAnsi="宋体" w:cs="宋体"/>
                <w:color w:val="auto"/>
                <w:spacing w:val="-6"/>
                <w:szCs w:val="21"/>
                <w:highlight w:val="none"/>
              </w:rPr>
              <w:t>5</w:t>
            </w:r>
          </w:p>
        </w:tc>
        <w:tc>
          <w:tcPr>
            <w:tcW w:w="7683" w:type="dxa"/>
            <w:vAlign w:val="center"/>
          </w:tcPr>
          <w:p>
            <w:pPr>
              <w:widowControl w:val="0"/>
              <w:jc w:val="both"/>
              <w:rPr>
                <w:rFonts w:ascii="宋体" w:hAnsi="宋体" w:cs="宋体"/>
                <w:color w:val="auto"/>
                <w:spacing w:val="-6"/>
                <w:szCs w:val="21"/>
                <w:highlight w:val="none"/>
              </w:rPr>
            </w:pPr>
            <w:r>
              <w:rPr>
                <w:rFonts w:hint="eastAsia" w:ascii="宋体" w:hAnsi="宋体" w:cs="宋体"/>
                <w:color w:val="auto"/>
                <w:spacing w:val="-6"/>
                <w:szCs w:val="21"/>
                <w:highlight w:val="none"/>
              </w:rPr>
              <w:t>施工机具和检验仪器的投入是否能够满足工程质量和进度的要求，</w:t>
            </w:r>
            <w:r>
              <w:rPr>
                <w:rFonts w:hint="eastAsia" w:ascii="宋体" w:hAnsi="宋体" w:cs="宋体"/>
                <w:color w:val="auto"/>
                <w:szCs w:val="21"/>
                <w:highlight w:val="none"/>
              </w:rPr>
              <w:t>最高得5分，其余酌情扣分。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2" w:type="dxa"/>
            <w:vAlign w:val="center"/>
          </w:tcPr>
          <w:p>
            <w:pPr>
              <w:widowControl w:val="0"/>
              <w:jc w:val="center"/>
              <w:rPr>
                <w:rFonts w:ascii="宋体" w:hAnsi="宋体" w:cs="宋体"/>
                <w:color w:val="auto"/>
                <w:spacing w:val="-6"/>
                <w:szCs w:val="21"/>
                <w:highlight w:val="none"/>
              </w:rPr>
            </w:pPr>
            <w:r>
              <w:rPr>
                <w:rFonts w:hint="eastAsia" w:ascii="宋体" w:hAnsi="宋体" w:cs="宋体"/>
                <w:color w:val="auto"/>
                <w:spacing w:val="-6"/>
                <w:szCs w:val="21"/>
                <w:highlight w:val="none"/>
              </w:rPr>
              <w:t>工期承诺、进度控制措施及施工质量控制措施</w:t>
            </w:r>
          </w:p>
        </w:tc>
        <w:tc>
          <w:tcPr>
            <w:tcW w:w="750" w:type="dxa"/>
            <w:vAlign w:val="center"/>
          </w:tcPr>
          <w:p>
            <w:pPr>
              <w:widowControl w:val="0"/>
              <w:jc w:val="center"/>
              <w:rPr>
                <w:rFonts w:ascii="宋体" w:hAnsi="宋体" w:cs="宋体"/>
                <w:color w:val="auto"/>
                <w:spacing w:val="-6"/>
                <w:szCs w:val="21"/>
                <w:highlight w:val="none"/>
              </w:rPr>
            </w:pPr>
            <w:r>
              <w:rPr>
                <w:rFonts w:hint="eastAsia" w:ascii="宋体" w:hAnsi="宋体" w:cs="宋体"/>
                <w:color w:val="auto"/>
                <w:spacing w:val="-6"/>
                <w:szCs w:val="21"/>
                <w:highlight w:val="none"/>
              </w:rPr>
              <w:t>5</w:t>
            </w:r>
          </w:p>
        </w:tc>
        <w:tc>
          <w:tcPr>
            <w:tcW w:w="7683" w:type="dxa"/>
            <w:vAlign w:val="center"/>
          </w:tcPr>
          <w:p>
            <w:pPr>
              <w:widowControl w:val="0"/>
              <w:jc w:val="both"/>
              <w:rPr>
                <w:rFonts w:ascii="宋体" w:hAnsi="宋体" w:cs="宋体"/>
                <w:color w:val="auto"/>
                <w:spacing w:val="-6"/>
                <w:szCs w:val="21"/>
                <w:highlight w:val="none"/>
              </w:rPr>
            </w:pPr>
            <w:r>
              <w:rPr>
                <w:rFonts w:hint="eastAsia" w:ascii="宋体" w:hAnsi="宋体" w:cs="宋体"/>
                <w:color w:val="auto"/>
                <w:spacing w:val="-6"/>
                <w:szCs w:val="21"/>
                <w:highlight w:val="none"/>
              </w:rPr>
              <w:t>工期承诺有利于采购人及项目的实施，进度控制措施具有针对性和可行性，施工质量的控制措施科学、合理。</w:t>
            </w:r>
            <w:r>
              <w:rPr>
                <w:rFonts w:hint="eastAsia" w:ascii="宋体" w:hAnsi="宋体" w:cs="宋体"/>
                <w:color w:val="auto"/>
                <w:szCs w:val="21"/>
                <w:highlight w:val="none"/>
              </w:rPr>
              <w:t>最高得5分，其余酌情扣分。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2" w:type="dxa"/>
            <w:vAlign w:val="center"/>
          </w:tcPr>
          <w:p>
            <w:pPr>
              <w:widowControl w:val="0"/>
              <w:jc w:val="center"/>
              <w:rPr>
                <w:rFonts w:ascii="宋体" w:hAnsi="宋体" w:cs="宋体"/>
                <w:color w:val="auto"/>
                <w:spacing w:val="-6"/>
                <w:szCs w:val="21"/>
                <w:highlight w:val="none"/>
              </w:rPr>
            </w:pPr>
            <w:r>
              <w:rPr>
                <w:rFonts w:hint="eastAsia" w:ascii="宋体" w:hAnsi="宋体" w:cs="宋体"/>
                <w:color w:val="auto"/>
                <w:szCs w:val="21"/>
                <w:highlight w:val="none"/>
              </w:rPr>
              <w:t>材料设备进场计划及施工计划情况</w:t>
            </w:r>
          </w:p>
        </w:tc>
        <w:tc>
          <w:tcPr>
            <w:tcW w:w="750" w:type="dxa"/>
            <w:vAlign w:val="center"/>
          </w:tcPr>
          <w:p>
            <w:pPr>
              <w:widowControl w:val="0"/>
              <w:jc w:val="center"/>
              <w:rPr>
                <w:rFonts w:hint="eastAsia" w:ascii="宋体" w:hAnsi="宋体" w:eastAsia="宋体" w:cs="宋体"/>
                <w:color w:val="auto"/>
                <w:spacing w:val="-6"/>
                <w:szCs w:val="21"/>
                <w:highlight w:val="none"/>
                <w:lang w:eastAsia="zh-CN"/>
              </w:rPr>
            </w:pPr>
            <w:r>
              <w:rPr>
                <w:rFonts w:hint="eastAsia" w:ascii="宋体" w:hAnsi="宋体" w:cs="宋体"/>
                <w:color w:val="auto"/>
                <w:spacing w:val="-6"/>
                <w:szCs w:val="21"/>
                <w:highlight w:val="none"/>
                <w:lang w:val="en-US" w:eastAsia="zh-CN"/>
              </w:rPr>
              <w:t>5</w:t>
            </w:r>
          </w:p>
        </w:tc>
        <w:tc>
          <w:tcPr>
            <w:tcW w:w="7683" w:type="dxa"/>
            <w:vAlign w:val="center"/>
          </w:tcPr>
          <w:p>
            <w:pPr>
              <w:widowControl w:val="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具有详细的材料设备进场计划且计划周密，材料数量、质量控制，时间安排合理，满足施工需要。最高得</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分，其余酌情扣分。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72" w:type="dxa"/>
            <w:vAlign w:val="center"/>
          </w:tcPr>
          <w:p>
            <w:pPr>
              <w:widowControl w:val="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样品分</w:t>
            </w:r>
          </w:p>
        </w:tc>
        <w:tc>
          <w:tcPr>
            <w:tcW w:w="750" w:type="dxa"/>
            <w:vAlign w:val="center"/>
          </w:tcPr>
          <w:p>
            <w:pPr>
              <w:widowControl w:val="0"/>
              <w:jc w:val="center"/>
              <w:rPr>
                <w:rFonts w:hint="default" w:ascii="宋体" w:hAnsi="宋体" w:eastAsia="宋体" w:cs="宋体"/>
                <w:color w:val="auto"/>
                <w:spacing w:val="-6"/>
                <w:szCs w:val="21"/>
                <w:highlight w:val="none"/>
                <w:lang w:val="en-US" w:eastAsia="zh-CN"/>
              </w:rPr>
            </w:pPr>
            <w:r>
              <w:rPr>
                <w:rFonts w:hint="eastAsia" w:ascii="宋体" w:hAnsi="宋体" w:cs="宋体"/>
                <w:color w:val="auto"/>
                <w:spacing w:val="-6"/>
                <w:szCs w:val="21"/>
                <w:highlight w:val="none"/>
                <w:lang w:val="en-US" w:eastAsia="zh-CN"/>
              </w:rPr>
              <w:t>6</w:t>
            </w:r>
          </w:p>
        </w:tc>
        <w:tc>
          <w:tcPr>
            <w:tcW w:w="7683" w:type="dxa"/>
            <w:vAlign w:val="center"/>
          </w:tcPr>
          <w:p>
            <w:pPr>
              <w:widowControl w:val="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根据投标人提供的样品情况进行打分，包括样品和项目的符合程度、制作工艺、等内容进行打分。未提供样品的本项不得分。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2" w:type="dxa"/>
            <w:vAlign w:val="center"/>
          </w:tcPr>
          <w:p>
            <w:pPr>
              <w:widowControl w:val="0"/>
              <w:jc w:val="center"/>
              <w:rPr>
                <w:rFonts w:ascii="宋体" w:hAnsi="宋体" w:cs="宋体"/>
                <w:color w:val="auto"/>
                <w:spacing w:val="-6"/>
                <w:szCs w:val="21"/>
                <w:highlight w:val="none"/>
              </w:rPr>
            </w:pPr>
            <w:r>
              <w:rPr>
                <w:rFonts w:hint="eastAsia" w:ascii="宋体" w:hAnsi="宋体" w:cs="宋体"/>
                <w:color w:val="auto"/>
                <w:spacing w:val="-6"/>
                <w:szCs w:val="21"/>
                <w:highlight w:val="none"/>
              </w:rPr>
              <w:t>投入本项目的技术力量</w:t>
            </w:r>
            <w:r>
              <w:rPr>
                <w:rFonts w:hint="eastAsia" w:ascii="宋体" w:hAnsi="宋体" w:cs="宋体"/>
                <w:color w:val="auto"/>
                <w:szCs w:val="21"/>
                <w:highlight w:val="none"/>
              </w:rPr>
              <w:t>是否能满足工程的需要</w:t>
            </w:r>
          </w:p>
        </w:tc>
        <w:tc>
          <w:tcPr>
            <w:tcW w:w="750" w:type="dxa"/>
            <w:vAlign w:val="center"/>
          </w:tcPr>
          <w:p>
            <w:pPr>
              <w:widowControl w:val="0"/>
              <w:jc w:val="center"/>
              <w:rPr>
                <w:rFonts w:ascii="宋体" w:hAnsi="宋体" w:cs="宋体"/>
                <w:color w:val="auto"/>
                <w:spacing w:val="-6"/>
                <w:szCs w:val="21"/>
                <w:highlight w:val="none"/>
              </w:rPr>
            </w:pPr>
            <w:r>
              <w:rPr>
                <w:rFonts w:hint="eastAsia" w:ascii="宋体" w:hAnsi="宋体" w:cs="宋体"/>
                <w:color w:val="auto"/>
                <w:spacing w:val="-6"/>
                <w:szCs w:val="21"/>
                <w:highlight w:val="none"/>
              </w:rPr>
              <w:t>6</w:t>
            </w:r>
          </w:p>
        </w:tc>
        <w:tc>
          <w:tcPr>
            <w:tcW w:w="7683" w:type="dxa"/>
            <w:vAlign w:val="center"/>
          </w:tcPr>
          <w:p>
            <w:pPr>
              <w:widowControl w:val="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1.拟投入本工程管理人员岗位配置、专业配置的满足性及管理人员的专业能力（从管理人员的经验、职称、所学专业进行评估，酌情打分）。（3分）</w:t>
            </w:r>
          </w:p>
          <w:p>
            <w:pPr>
              <w:widowControl w:val="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2.派驻现场的工程施工人员的配置情况：本项由专家根据各供应商提供的人员配置数量、结构、内部管理制度以及如何满足本工程的施工的要求的描述分档酌情打分。（3分）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2" w:type="dxa"/>
            <w:vAlign w:val="center"/>
          </w:tcPr>
          <w:p>
            <w:pPr>
              <w:widowControl w:val="0"/>
              <w:jc w:val="center"/>
              <w:rPr>
                <w:rFonts w:ascii="宋体" w:hAnsi="宋体" w:cs="宋体"/>
                <w:color w:val="auto"/>
                <w:spacing w:val="-6"/>
                <w:szCs w:val="21"/>
                <w:highlight w:val="none"/>
              </w:rPr>
            </w:pPr>
            <w:r>
              <w:rPr>
                <w:rFonts w:hint="eastAsia" w:ascii="宋体" w:hAnsi="宋体" w:cs="宋体"/>
                <w:color w:val="auto"/>
                <w:spacing w:val="-6"/>
                <w:szCs w:val="21"/>
                <w:highlight w:val="none"/>
              </w:rPr>
              <w:t>应急处置方案及售后服务</w:t>
            </w:r>
          </w:p>
        </w:tc>
        <w:tc>
          <w:tcPr>
            <w:tcW w:w="750" w:type="dxa"/>
            <w:vAlign w:val="center"/>
          </w:tcPr>
          <w:p>
            <w:pPr>
              <w:widowControl w:val="0"/>
              <w:jc w:val="center"/>
              <w:rPr>
                <w:rFonts w:ascii="宋体" w:hAnsi="宋体" w:cs="宋体"/>
                <w:color w:val="auto"/>
                <w:spacing w:val="-6"/>
                <w:szCs w:val="21"/>
                <w:highlight w:val="none"/>
              </w:rPr>
            </w:pPr>
            <w:r>
              <w:rPr>
                <w:rFonts w:hint="eastAsia" w:ascii="宋体" w:hAnsi="宋体" w:cs="宋体"/>
                <w:color w:val="auto"/>
                <w:spacing w:val="-6"/>
                <w:szCs w:val="21"/>
                <w:highlight w:val="none"/>
              </w:rPr>
              <w:t>3</w:t>
            </w:r>
          </w:p>
        </w:tc>
        <w:tc>
          <w:tcPr>
            <w:tcW w:w="7683" w:type="dxa"/>
            <w:vAlign w:val="center"/>
          </w:tcPr>
          <w:p>
            <w:pPr>
              <w:widowControl w:val="0"/>
              <w:jc w:val="both"/>
              <w:rPr>
                <w:rFonts w:ascii="宋体" w:hAnsi="宋体" w:cs="宋体"/>
                <w:color w:val="auto"/>
                <w:spacing w:val="-6"/>
                <w:szCs w:val="21"/>
                <w:highlight w:val="none"/>
              </w:rPr>
            </w:pPr>
            <w:r>
              <w:rPr>
                <w:rFonts w:hint="eastAsia" w:ascii="宋体" w:hAnsi="宋体" w:cs="宋体"/>
                <w:color w:val="auto"/>
                <w:spacing w:val="-6"/>
                <w:szCs w:val="21"/>
                <w:highlight w:val="none"/>
              </w:rPr>
              <w:t>具备完善的售后技术支持和服务体系设计，能够提供服务标准、服务流程、服务内容。提供应急预案，并承诺紧急的响应时间。</w:t>
            </w:r>
            <w:r>
              <w:rPr>
                <w:rFonts w:hint="eastAsia" w:ascii="宋体" w:hAnsi="宋体" w:cs="宋体"/>
                <w:color w:val="auto"/>
                <w:szCs w:val="21"/>
                <w:highlight w:val="none"/>
              </w:rPr>
              <w:t>最高得3分，其余酌情扣分。</w:t>
            </w:r>
          </w:p>
        </w:tc>
      </w:tr>
    </w:tbl>
    <w:p>
      <w:pPr>
        <w:spacing w:line="1" w:lineRule="exact"/>
        <w:rPr>
          <w:rFonts w:ascii="宋体" w:hAnsi="宋体" w:cs="宋体"/>
          <w:color w:val="auto"/>
          <w:sz w:val="20"/>
          <w:szCs w:val="20"/>
          <w:highlight w:val="none"/>
        </w:rPr>
      </w:pPr>
      <w:bookmarkStart w:id="249" w:name="page92"/>
      <w:bookmarkEnd w:id="249"/>
    </w:p>
    <w:p>
      <w:pPr>
        <w:spacing w:line="360" w:lineRule="auto"/>
        <w:ind w:firstLine="422" w:firstLineChars="200"/>
        <w:rPr>
          <w:rFonts w:ascii="宋体" w:hAnsi="宋体" w:cs="宋体"/>
          <w:color w:val="auto"/>
          <w:sz w:val="20"/>
          <w:szCs w:val="20"/>
          <w:highlight w:val="none"/>
        </w:rPr>
      </w:pPr>
      <w:r>
        <w:rPr>
          <w:rFonts w:hint="eastAsia" w:ascii="宋体" w:hAnsi="宋体" w:cs="宋体"/>
          <w:b/>
          <w:bCs/>
          <w:color w:val="auto"/>
          <w:szCs w:val="21"/>
          <w:highlight w:val="none"/>
        </w:rPr>
        <w:t>五、成交办法</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采购人将根据磋商小组提交的评审报告及推荐的成交候选人，按有关规定确定成交供应商。</w:t>
      </w:r>
    </w:p>
    <w:p>
      <w:pPr>
        <w:spacing w:line="360" w:lineRule="auto"/>
        <w:ind w:firstLine="422" w:firstLineChars="200"/>
        <w:rPr>
          <w:rFonts w:ascii="宋体" w:hAnsi="宋体" w:cs="宋体"/>
          <w:color w:val="auto"/>
          <w:sz w:val="20"/>
          <w:szCs w:val="20"/>
          <w:highlight w:val="none"/>
        </w:rPr>
      </w:pPr>
      <w:r>
        <w:rPr>
          <w:rFonts w:hint="eastAsia" w:ascii="宋体" w:hAnsi="宋体" w:cs="宋体"/>
          <w:b/>
          <w:bCs/>
          <w:color w:val="auto"/>
          <w:szCs w:val="21"/>
          <w:highlight w:val="none"/>
        </w:rPr>
        <w:t>六、定标</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（1）定标由招标人负责。</w:t>
      </w:r>
    </w:p>
    <w:p>
      <w:pPr>
        <w:spacing w:line="360" w:lineRule="auto"/>
        <w:ind w:firstLine="420" w:firstLineChars="200"/>
        <w:rPr>
          <w:rFonts w:ascii="宋体" w:hAnsi="宋体" w:cs="宋体"/>
          <w:color w:val="auto"/>
          <w:sz w:val="20"/>
          <w:szCs w:val="20"/>
          <w:highlight w:val="none"/>
        </w:rPr>
      </w:pPr>
      <w:r>
        <w:rPr>
          <w:rFonts w:hint="eastAsia" w:ascii="宋体" w:hAnsi="宋体" w:cs="宋体"/>
          <w:color w:val="auto"/>
          <w:szCs w:val="21"/>
          <w:highlight w:val="none"/>
        </w:rPr>
        <w:t>（2）决标按照原国家发展计划委员会等七部委30号令的有关规定，确定成交供应商。</w:t>
      </w:r>
    </w:p>
    <w:p>
      <w:pPr>
        <w:spacing w:line="360" w:lineRule="auto"/>
        <w:ind w:firstLine="420" w:firstLineChars="200"/>
        <w:rPr>
          <w:rFonts w:ascii="宋体" w:hAnsi="宋体" w:cs="宋体"/>
          <w:b/>
          <w:bCs/>
          <w:color w:val="auto"/>
          <w:szCs w:val="21"/>
          <w:highlight w:val="none"/>
          <w:u w:val="single"/>
        </w:rPr>
      </w:pPr>
      <w:r>
        <w:rPr>
          <w:rFonts w:hint="eastAsia" w:ascii="宋体" w:hAnsi="宋体" w:cs="宋体"/>
          <w:color w:val="auto"/>
          <w:szCs w:val="21"/>
          <w:highlight w:val="none"/>
        </w:rPr>
        <w:t>（3）</w:t>
      </w:r>
      <w:r>
        <w:rPr>
          <w:rFonts w:hint="eastAsia" w:ascii="宋体" w:hAnsi="宋体" w:cs="宋体"/>
          <w:b/>
          <w:bCs/>
          <w:color w:val="auto"/>
          <w:szCs w:val="21"/>
          <w:highlight w:val="none"/>
          <w:u w:val="single"/>
        </w:rPr>
        <w:t>如发生投诉争议等情况时，经查实中标候选人存在违法、违规行为，不符合中标条件，且该行为在</w:t>
      </w:r>
    </w:p>
    <w:p>
      <w:pPr>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评标时是无法发现和确认的，招标人可以在其他中标侯选人中按照推荐的排序确定成交供应商。</w:t>
      </w:r>
    </w:p>
    <w:p>
      <w:pPr>
        <w:spacing w:line="360" w:lineRule="auto"/>
        <w:ind w:firstLine="420" w:firstLineChars="200"/>
        <w:rPr>
          <w:rFonts w:ascii="宋体" w:hAnsi="宋体" w:cs="宋体"/>
          <w:b/>
          <w:bCs/>
          <w:color w:val="auto"/>
          <w:sz w:val="30"/>
          <w:szCs w:val="30"/>
          <w:highlight w:val="none"/>
        </w:rPr>
      </w:pPr>
      <w:r>
        <w:rPr>
          <w:rFonts w:hint="eastAsia" w:ascii="宋体" w:hAnsi="宋体" w:cs="宋体"/>
          <w:color w:val="auto"/>
          <w:szCs w:val="21"/>
          <w:highlight w:val="none"/>
        </w:rPr>
        <w:t>（4）当所有中标候选人经查实都存在违法、违规行为时，将重新依法组织招标。</w:t>
      </w:r>
      <w:bookmarkStart w:id="250" w:name="page94"/>
      <w:bookmarkEnd w:id="250"/>
      <w:bookmarkStart w:id="251" w:name="page93"/>
      <w:bookmarkEnd w:id="251"/>
    </w:p>
    <w:sectPr>
      <w:pgSz w:w="11906" w:h="16840"/>
      <w:pgMar w:top="1440" w:right="1080" w:bottom="1440" w:left="1080" w:header="567" w:footer="567" w:gutter="0"/>
      <w:cols w:equalWidth="0" w:num="1">
        <w:col w:w="13978"/>
      </w:cols>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Segoe Print"/>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560"/>
    </w:pPr>
    <w:r>
      <w:pict>
        <v:shape id="_x0000_s2049" o:spid="_x0000_s2049"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weight="0.5pt" joinstyle="miter"/>
          <v:imagedata o:title=""/>
          <o:lock v:ext="edit"/>
          <v:textbox inset="0mm,0mm,0mm,0mm" style="mso-fit-shape-to-text:t;">
            <w:txbxContent>
              <w:p>
                <w:pPr>
                  <w:pStyle w:val="12"/>
                </w:pPr>
                <w:r>
                  <w:fldChar w:fldCharType="begin"/>
                </w:r>
                <w:r>
                  <w:instrText xml:space="preserve"> PAGE  \* MERGEFORMAT </w:instrText>
                </w:r>
                <w:r>
                  <w:fldChar w:fldCharType="separate"/>
                </w:r>
                <w:r>
                  <w:t>3</w:t>
                </w:r>
                <w:r>
                  <w:fldChar w:fldCharType="end"/>
                </w:r>
              </w:p>
            </w:txbxContent>
          </v:textbox>
        </v:shape>
      </w:pict>
    </w:r>
    <w:r>
      <w:pict>
        <v:shape id="图片 1" o:spid="_x0000_s2050" o:spt="75" alt="无标题2" type="#_x0000_t75" style="position:absolute;left:0pt;margin-left:411pt;margin-top:787.95pt;height:28.35pt;width:116.65pt;z-index:-1024;mso-width-relative:page;mso-height-relative:page;" filled="f" o:preferrelative="t" stroked="f" coordsize="21600,21600">
          <v:path/>
          <v:fill on="f" focussize="0,0"/>
          <v:stroke on="f" joinstyle="miter"/>
          <v:imagedata r:id="rId1" o:title=""/>
          <o:lock v:ext="edit" aspectratio="t"/>
        </v:shape>
      </w:pict>
    </w:r>
    <w:r>
      <w:pict>
        <v:shape id="图片 7" o:spid="_x0000_s2051" o:spt="75" alt="无标题2" type="#_x0000_t75" style="position:absolute;left:0pt;margin-left:411pt;margin-top:787.95pt;height:28.35pt;width:116.65pt;z-index:-1024;mso-width-relative:page;mso-height-relative:page;" filled="f" o:preferrelative="t" stroked="f" coordsize="21600,21600">
          <v:path/>
          <v:fill on="f" focussize="0,0"/>
          <v:stroke on="f" joinstyle="miter"/>
          <v:imagedata r:id="rId1" o:title=""/>
          <o:lock v:ext="edit" aspectratio="t"/>
        </v:shape>
      </w:pict>
    </w:r>
    <w:r>
      <w:pict>
        <v:shape id="图片 3" o:spid="_x0000_s2052" o:spt="75" alt="无标题2" type="#_x0000_t75" style="position:absolute;left:0pt;margin-left:411pt;margin-top:787.95pt;height:28.35pt;width:116.65pt;z-index:-1024;mso-width-relative:page;mso-height-relative:page;" filled="f" o:preferrelative="t" stroked="f" coordsize="21600,21600">
          <v:path/>
          <v:fill on="f" focussize="0,0"/>
          <v:stroke on="f" joinstyle="miter"/>
          <v:imagedata r:id="rId1" o:title=""/>
          <o:lock v:ext="edit" aspectratio="t"/>
        </v:shape>
      </w:pict>
    </w:r>
    <w:r>
      <w:pict>
        <v:shape id="图片 4" o:spid="_x0000_s2053" o:spt="75" alt="无标题2" type="#_x0000_t75" style="position:absolute;left:0pt;margin-left:411pt;margin-top:787.95pt;height:28.35pt;width:116.65pt;z-index:-1024;mso-width-relative:page;mso-height-relative:page;" filled="f" o:preferrelative="t" stroked="f" coordsize="21600,21600">
          <v:path/>
          <v:fill on="f" focussize="0,0"/>
          <v:stroke on="f" joinstyle="miter"/>
          <v:imagedata r:id="rId1" o:title=""/>
          <o:lock v:ext="edit" aspectratio="t"/>
        </v:shape>
      </w:pict>
    </w:r>
    <w:r>
      <w:pict>
        <v:shape id="图片 5" o:spid="_x0000_s2054" o:spt="75" alt="无标题2" type="#_x0000_t75" style="position:absolute;left:0pt;margin-left:411pt;margin-top:787.95pt;height:28.35pt;width:116.65pt;z-index:-1024;mso-width-relative:page;mso-height-relative:page;" filled="f" o:preferrelative="t" stroked="f" coordsize="21600,21600">
          <v:path/>
          <v:fill on="f" focussize="0,0"/>
          <v:stroke on="f" joinstyle="miter"/>
          <v:imagedata r:id="rId1" o:title=""/>
          <o:lock v:ext="edit" aspectratio="t"/>
        </v:shape>
      </w:pict>
    </w:r>
    <w:r>
      <w:pict>
        <v:shape id="图片 2" o:spid="_x0000_s2055" o:spt="75" alt="无标题2" type="#_x0000_t75" style="position:absolute;left:0pt;margin-left:411pt;margin-top:787.95pt;height:28.35pt;width:116.65pt;z-index:-1024;mso-width-relative:page;mso-height-relative:page;" filled="f" o:preferrelative="t" stroked="f" coordsize="21600,21600">
          <v:path/>
          <v:fill on="f" focussize="0,0"/>
          <v:stroke on="f" joinstyle="miter"/>
          <v:imagedata r:id="rId1" o:title=""/>
          <o:lock v:ext="edit" aspectratio="t"/>
        </v:shape>
      </w:pict>
    </w:r>
    <w:r>
      <w:pict>
        <v:shape id="_x0000_s2056" o:spid="_x0000_s2056" o:spt="75" alt="无标题2" type="#_x0000_t75" style="position:absolute;left:0pt;margin-left:411pt;margin-top:787.95pt;height:28.35pt;width:116.65pt;z-index:-1024;mso-width-relative:page;mso-height-relative:page;" filled="f" o:preferrelative="t" stroked="f" coordsize="21600,21600">
          <v:path/>
          <v:fill on="f" focussize="0,0"/>
          <v:stroke on="f" joinstyle="miter"/>
          <v:imagedata r:id="rId1" o:title=""/>
          <o:lock v:ext="edit" aspectratio="t"/>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560"/>
      <w:jc w:val="center"/>
    </w:pPr>
    <w:r>
      <w:pict>
        <v:shape id="_x0000_s2057" o:spid="_x0000_s2057" o:spt="202" type="#_x0000_t202" style="position:absolute;left:0pt;margin-top:0pt;height:144pt;width:144pt;mso-position-horizontal:outside;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r>
                  <w:rPr>
                    <w:rFonts w:hint="eastAsia"/>
                  </w:rPr>
                  <w:t xml:space="preserve"> 页</w:t>
                </w:r>
              </w:p>
            </w:txbxContent>
          </v:textbox>
        </v:shape>
      </w:pict>
    </w:r>
    <w:r>
      <w:pict>
        <v:rect id="文本框 21" o:spid="_x0000_s2058" o:spt="1" style="position:absolute;left:0pt;margin-left:422.65pt;margin-top:-0.7pt;height:12.35pt;width:47.95pt;mso-position-horizontal-relative:margin;z-index:1024;mso-width-relative:page;mso-height-relative:page;" filled="f" stroked="f" coordsize="21600,21600">
          <v:path/>
          <v:fill on="f" focussize="0,0"/>
          <v:stroke on="f"/>
          <v:imagedata o:title=""/>
          <o:lock v:ext="edit"/>
          <v:textbox inset="0mm,0mm,0mm,0mm">
            <w:txbxContent>
              <w:p>
                <w:pPr>
                  <w:pStyle w:val="12"/>
                </w:pPr>
              </w:p>
            </w:txbxContent>
          </v:textbox>
        </v:rect>
      </w:pict>
    </w:r>
    <w:r>
      <w:pict>
        <v:shape id="图片 19" o:spid="_x0000_s2059" o:spt="75" type="#_x0000_t75" style="position:absolute;left:0pt;margin-left:411pt;margin-top:787.95pt;height:28.35pt;width:116.65pt;z-index:-1024;mso-width-relative:page;mso-height-relative:page;" filled="f" o:preferrelative="t" stroked="f" coordsize="21600,21600">
          <v:path/>
          <v:fill on="f" focussize="0,0"/>
          <v:stroke on="f" joinstyle="miter"/>
          <v:imagedata r:id="rId1" o:title=""/>
          <o:lock v:ext="edit" aspectratio="t"/>
        </v:shape>
      </w:pict>
    </w:r>
    <w:r>
      <w:pict>
        <v:shape id="图片 20" o:spid="_x0000_s2060" o:spt="75" type="#_x0000_t75" style="position:absolute;left:0pt;margin-left:411pt;margin-top:787.95pt;height:28.35pt;width:116.65pt;z-index:-1024;mso-width-relative:page;mso-height-relative:page;" filled="f" o:preferrelative="t" stroked="f" coordsize="21600,21600">
          <v:path/>
          <v:fill on="f" focussize="0,0"/>
          <v:stroke on="f" joinstyle="miter"/>
          <v:imagedata r:id="rId1" o:title=""/>
          <o:lock v:ext="edit" aspectratio="t"/>
        </v:shape>
      </w:pict>
    </w:r>
    <w:r>
      <w:pict>
        <v:shape id="图片 21" o:spid="_x0000_s2061" o:spt="75" type="#_x0000_t75" style="position:absolute;left:0pt;margin-left:411pt;margin-top:787.95pt;height:28.35pt;width:116.65pt;z-index:-1024;mso-width-relative:page;mso-height-relative:page;" filled="f" o:preferrelative="t" stroked="f" coordsize="21600,21600">
          <v:path/>
          <v:fill on="f" focussize="0,0"/>
          <v:stroke on="f" joinstyle="miter"/>
          <v:imagedata r:id="rId1" o:title=""/>
          <o:lock v:ext="edit" aspectratio="t"/>
        </v:shape>
      </w:pict>
    </w:r>
    <w:r>
      <w:pict>
        <v:shape id="图片 22" o:spid="_x0000_s2062" o:spt="75" type="#_x0000_t75" style="position:absolute;left:0pt;margin-left:411pt;margin-top:787.95pt;height:28.35pt;width:116.65pt;z-index:-1024;mso-width-relative:page;mso-height-relative:page;" filled="f" o:preferrelative="t" stroked="f" coordsize="21600,21600">
          <v:path/>
          <v:fill on="f" focussize="0,0"/>
          <v:stroke on="f" joinstyle="miter"/>
          <v:imagedata r:id="rId1" o:title=""/>
          <o:lock v:ext="edit" aspectratio="t"/>
        </v:shape>
      </w:pict>
    </w:r>
    <w:r>
      <w:pict>
        <v:shape id="图片 23" o:spid="_x0000_s2063" o:spt="75" type="#_x0000_t75" style="position:absolute;left:0pt;margin-left:411pt;margin-top:787.95pt;height:28.35pt;width:116.65pt;z-index:-1024;mso-width-relative:page;mso-height-relative:page;" filled="f" o:preferrelative="t" stroked="f" coordsize="21600,21600">
          <v:path/>
          <v:fill on="f" focussize="0,0"/>
          <v:stroke on="f" joinstyle="miter"/>
          <v:imagedata r:id="rId1" o:title=""/>
          <o:lock v:ext="edit" aspectratio="t"/>
        </v:shape>
      </w:pict>
    </w:r>
    <w:r>
      <w:pict>
        <v:shape id="图片 24" o:spid="_x0000_s2064" o:spt="75" type="#_x0000_t75" style="position:absolute;left:0pt;margin-left:411pt;margin-top:787.95pt;height:28.35pt;width:116.65pt;z-index:-1024;mso-width-relative:page;mso-height-relative:page;" filled="f" o:preferrelative="t" stroked="f" coordsize="21600,21600">
          <v:path/>
          <v:fill on="f" focussize="0,0"/>
          <v:stroke on="f" joinstyle="miter"/>
          <v:imagedata r:id="rId1" o:title=""/>
          <o:lock v:ext="edit" aspectratio="t"/>
        </v:shape>
      </w:pict>
    </w:r>
    <w:r>
      <w:pict>
        <v:shape id="图片 25" o:spid="_x0000_s2065" o:spt="75" type="#_x0000_t75" style="position:absolute;left:0pt;margin-left:411pt;margin-top:787.95pt;height:28.35pt;width:116.65pt;z-index:-1024;mso-width-relative:page;mso-height-relative:page;" filled="f" o:preferrelative="t" stroked="f" coordsize="21600,21600">
          <v:path/>
          <v:fill on="f" focussize="0,0"/>
          <v:stroke on="f" joinstyle="miter"/>
          <v:imagedata r:id="rId1" o:title=""/>
          <o:lock v:ext="edit" aspectratio="t"/>
        </v:shape>
      </w:pict>
    </w:r>
  </w:p>
  <w:p>
    <w:pPr>
      <w:pStyle w:val="12"/>
      <w:ind w:right="560"/>
      <w:jc w:val="center"/>
    </w:pPr>
    <w:r>
      <w:pict>
        <v:shape id="图片 6" o:spid="_x0000_s2066" o:spt="75" type="#_x0000_t75" style="position:absolute;left:0pt;margin-left:399pt;margin-top:790.3pt;height:28.35pt;width:116.65pt;z-index:-1024;mso-width-relative:page;mso-height-relative:page;" filled="f" o:preferrelative="t" stroked="f" coordsize="21600,21600">
          <v:path/>
          <v:fill on="f" focussize="0,0"/>
          <v:stroke on="f" joinstyle="miter"/>
          <v:imagedata r:id="rId1" o:title=""/>
          <o:lock v:ext="edit" aspectratio="t"/>
        </v:shape>
      </w:pict>
    </w:r>
    <w:r>
      <w:pict>
        <v:shape id="图片 27" o:spid="_x0000_s2067" o:spt="75" type="#_x0000_t75" style="position:absolute;left:0pt;margin-left:411pt;margin-top:787.95pt;height:28.35pt;width:116.65pt;z-index:-1024;mso-width-relative:page;mso-height-relative:page;" filled="f" o:preferrelative="t" stroked="f" coordsize="21600,21600">
          <v:path/>
          <v:fill on="f" focussize="0,0"/>
          <v:stroke on="f" joinstyle="miter"/>
          <v:imagedata r:id="rId1" o:title=""/>
          <o:lock v:ext="edit" aspectratio="t"/>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rPr>
        <w:rStyle w:val="23"/>
      </w:rPr>
      <w:fldChar w:fldCharType="begin"/>
    </w:r>
    <w:r>
      <w:rPr>
        <w:rStyle w:val="23"/>
      </w:rPr>
      <w:instrText xml:space="preserve">PAGE  </w:instrText>
    </w:r>
    <w:r>
      <w:rPr>
        <w:rStyle w:val="23"/>
      </w:rPr>
      <w:fldChar w:fldCharType="separate"/>
    </w:r>
    <w:r>
      <w:rPr>
        <w:rStyle w:val="23"/>
      </w:rPr>
      <w:t>81</w:t>
    </w:r>
    <w:r>
      <w:rPr>
        <w:rStyle w:val="23"/>
      </w:rP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b/>
        <w:bCs/>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both"/>
      <w:rPr>
        <w:b/>
        <w:bCs/>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b/>
        <w:bCs/>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decimal"/>
      <w:pStyle w:val="56"/>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0"/>
  <w:bordersDoNotSurroundFooter w:val="0"/>
  <w:doNotTrackMoves/>
  <w:documentProtection w:enforcement="0"/>
  <w:defaultTabStop w:val="720"/>
  <w:displayHorizontalDrawingGridEvery w:val="1"/>
  <w:displayVerticalDrawingGridEvery w:val="1"/>
  <w:noPunctuationKerning w:val="1"/>
  <w:characterSpacingControl w:val="doNotCompress"/>
  <w:noLineBreaksAfter w:lang="zh-CN" w:val="$([{£¥·‘“〈《「『【〔〖〝﹙﹛﹝＄（．［｛￡￥"/>
  <w:noLineBreaksBefore w:lang="zh-CN" w:val="!%),.:;&gt;?]}¢¨°·ˇˉ―‖’”…‰′″›℃∶、。〃〉》」』】〕〗〞︶︺︾﹀﹄﹚﹜﹞！＂％＇），．：；？］｀｜｝～￠"/>
  <w:hdrShapeDefaults>
    <o:shapelayout v:ext="edit">
      <o:idmap v:ext="edit" data="2"/>
    </o:shapelayout>
  </w:hdrShapeDefaults>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396D"/>
    <w:rsid w:val="0002511E"/>
    <w:rsid w:val="00060EB2"/>
    <w:rsid w:val="000838A3"/>
    <w:rsid w:val="000844BA"/>
    <w:rsid w:val="000A1C20"/>
    <w:rsid w:val="00105E81"/>
    <w:rsid w:val="00170469"/>
    <w:rsid w:val="002C0277"/>
    <w:rsid w:val="002C3C72"/>
    <w:rsid w:val="0035271A"/>
    <w:rsid w:val="003670EF"/>
    <w:rsid w:val="003A0DFB"/>
    <w:rsid w:val="0050229A"/>
    <w:rsid w:val="00513927"/>
    <w:rsid w:val="005A3A14"/>
    <w:rsid w:val="005B4382"/>
    <w:rsid w:val="006738E1"/>
    <w:rsid w:val="006D2B30"/>
    <w:rsid w:val="00776C7B"/>
    <w:rsid w:val="007C396D"/>
    <w:rsid w:val="007E4312"/>
    <w:rsid w:val="008059DA"/>
    <w:rsid w:val="00875D57"/>
    <w:rsid w:val="008858B9"/>
    <w:rsid w:val="008C1FB2"/>
    <w:rsid w:val="008E13B6"/>
    <w:rsid w:val="008E549F"/>
    <w:rsid w:val="00937E58"/>
    <w:rsid w:val="009C3469"/>
    <w:rsid w:val="009E23C3"/>
    <w:rsid w:val="00A07492"/>
    <w:rsid w:val="00A4750C"/>
    <w:rsid w:val="00B04D28"/>
    <w:rsid w:val="00B60F75"/>
    <w:rsid w:val="00BF1F37"/>
    <w:rsid w:val="00C3434F"/>
    <w:rsid w:val="00CF47B7"/>
    <w:rsid w:val="00D27BC0"/>
    <w:rsid w:val="00D62534"/>
    <w:rsid w:val="00DC2442"/>
    <w:rsid w:val="00DD48E8"/>
    <w:rsid w:val="00E628F1"/>
    <w:rsid w:val="00E9619C"/>
    <w:rsid w:val="00EB4736"/>
    <w:rsid w:val="00EB4D15"/>
    <w:rsid w:val="00EE6CA1"/>
    <w:rsid w:val="00F363BC"/>
    <w:rsid w:val="00F77243"/>
    <w:rsid w:val="00FE5FBB"/>
    <w:rsid w:val="01DF3F89"/>
    <w:rsid w:val="03000F96"/>
    <w:rsid w:val="03223869"/>
    <w:rsid w:val="04634121"/>
    <w:rsid w:val="04747B5D"/>
    <w:rsid w:val="04F74647"/>
    <w:rsid w:val="0577178A"/>
    <w:rsid w:val="05E81F60"/>
    <w:rsid w:val="05F5029F"/>
    <w:rsid w:val="06AC07B0"/>
    <w:rsid w:val="06C32363"/>
    <w:rsid w:val="092D0ADC"/>
    <w:rsid w:val="098B217B"/>
    <w:rsid w:val="09EA50AF"/>
    <w:rsid w:val="0A2119D5"/>
    <w:rsid w:val="0C28271A"/>
    <w:rsid w:val="0D9214F7"/>
    <w:rsid w:val="0DD6312C"/>
    <w:rsid w:val="0E753BA5"/>
    <w:rsid w:val="0ED90966"/>
    <w:rsid w:val="0EFC6EE1"/>
    <w:rsid w:val="0F6B751D"/>
    <w:rsid w:val="113F0361"/>
    <w:rsid w:val="12980354"/>
    <w:rsid w:val="12E6405A"/>
    <w:rsid w:val="13D947C3"/>
    <w:rsid w:val="13FA1E85"/>
    <w:rsid w:val="14563D9A"/>
    <w:rsid w:val="157A40BB"/>
    <w:rsid w:val="15A460B7"/>
    <w:rsid w:val="1706343C"/>
    <w:rsid w:val="17984DC4"/>
    <w:rsid w:val="18887FCB"/>
    <w:rsid w:val="188C2004"/>
    <w:rsid w:val="18F71FC9"/>
    <w:rsid w:val="191F4290"/>
    <w:rsid w:val="198525A6"/>
    <w:rsid w:val="1A3A3D43"/>
    <w:rsid w:val="1A72109A"/>
    <w:rsid w:val="1AE92DEB"/>
    <w:rsid w:val="1B8D77CA"/>
    <w:rsid w:val="1B986626"/>
    <w:rsid w:val="1D307ADB"/>
    <w:rsid w:val="1D9D6C8F"/>
    <w:rsid w:val="1E9E37E9"/>
    <w:rsid w:val="1EE4407B"/>
    <w:rsid w:val="20E96158"/>
    <w:rsid w:val="229A21DB"/>
    <w:rsid w:val="25662B53"/>
    <w:rsid w:val="258F4041"/>
    <w:rsid w:val="25E9474B"/>
    <w:rsid w:val="2624006D"/>
    <w:rsid w:val="26AA1972"/>
    <w:rsid w:val="27973992"/>
    <w:rsid w:val="279C3BB6"/>
    <w:rsid w:val="281B4985"/>
    <w:rsid w:val="288E34E1"/>
    <w:rsid w:val="2A5507CB"/>
    <w:rsid w:val="2A655C1B"/>
    <w:rsid w:val="2A69625D"/>
    <w:rsid w:val="2A901B7A"/>
    <w:rsid w:val="2AB77FBD"/>
    <w:rsid w:val="2AE83444"/>
    <w:rsid w:val="2B6355D3"/>
    <w:rsid w:val="2D601EA8"/>
    <w:rsid w:val="2D9C1424"/>
    <w:rsid w:val="2E443874"/>
    <w:rsid w:val="2E582CD2"/>
    <w:rsid w:val="2E755B7E"/>
    <w:rsid w:val="2EE37D33"/>
    <w:rsid w:val="2F4C17B1"/>
    <w:rsid w:val="2F9F17AF"/>
    <w:rsid w:val="2FD72A51"/>
    <w:rsid w:val="31E14838"/>
    <w:rsid w:val="31ED4076"/>
    <w:rsid w:val="33361AFC"/>
    <w:rsid w:val="3349347A"/>
    <w:rsid w:val="33921610"/>
    <w:rsid w:val="3396625A"/>
    <w:rsid w:val="34721153"/>
    <w:rsid w:val="351C51A6"/>
    <w:rsid w:val="35432363"/>
    <w:rsid w:val="35D511FF"/>
    <w:rsid w:val="366266F0"/>
    <w:rsid w:val="36BC2F02"/>
    <w:rsid w:val="36BF1A76"/>
    <w:rsid w:val="376974BF"/>
    <w:rsid w:val="37984A0E"/>
    <w:rsid w:val="38083044"/>
    <w:rsid w:val="386715DA"/>
    <w:rsid w:val="39B32605"/>
    <w:rsid w:val="3A4D46F0"/>
    <w:rsid w:val="3BAE63B7"/>
    <w:rsid w:val="3E09440C"/>
    <w:rsid w:val="3E6863F2"/>
    <w:rsid w:val="42510DFB"/>
    <w:rsid w:val="428C1178"/>
    <w:rsid w:val="42D85C3D"/>
    <w:rsid w:val="43AA4F04"/>
    <w:rsid w:val="444E6204"/>
    <w:rsid w:val="45E54783"/>
    <w:rsid w:val="46452504"/>
    <w:rsid w:val="466B2E7C"/>
    <w:rsid w:val="46ED2BFC"/>
    <w:rsid w:val="47064BE6"/>
    <w:rsid w:val="47CE768E"/>
    <w:rsid w:val="49441023"/>
    <w:rsid w:val="494F22A3"/>
    <w:rsid w:val="4AEC502C"/>
    <w:rsid w:val="4C1762DA"/>
    <w:rsid w:val="4C323F07"/>
    <w:rsid w:val="4CB71F12"/>
    <w:rsid w:val="4CC912B8"/>
    <w:rsid w:val="4CD522CF"/>
    <w:rsid w:val="4D441D56"/>
    <w:rsid w:val="4D76400F"/>
    <w:rsid w:val="4D856959"/>
    <w:rsid w:val="4DA40455"/>
    <w:rsid w:val="4E6E5D15"/>
    <w:rsid w:val="4F770F67"/>
    <w:rsid w:val="4FAD3830"/>
    <w:rsid w:val="50CC4992"/>
    <w:rsid w:val="52500F7E"/>
    <w:rsid w:val="53A1157D"/>
    <w:rsid w:val="53A6176B"/>
    <w:rsid w:val="543A778D"/>
    <w:rsid w:val="54632850"/>
    <w:rsid w:val="552C72C6"/>
    <w:rsid w:val="5561017E"/>
    <w:rsid w:val="583F07AF"/>
    <w:rsid w:val="58413ABE"/>
    <w:rsid w:val="585C7053"/>
    <w:rsid w:val="58AC43C5"/>
    <w:rsid w:val="58B14BDE"/>
    <w:rsid w:val="5A205324"/>
    <w:rsid w:val="5A9B0D5E"/>
    <w:rsid w:val="5B1B1562"/>
    <w:rsid w:val="5B437B7A"/>
    <w:rsid w:val="5C0D36FF"/>
    <w:rsid w:val="5DBD1DD1"/>
    <w:rsid w:val="5EB41072"/>
    <w:rsid w:val="5EB60667"/>
    <w:rsid w:val="5F246482"/>
    <w:rsid w:val="5F4E2B3F"/>
    <w:rsid w:val="60A36904"/>
    <w:rsid w:val="60B166B7"/>
    <w:rsid w:val="61E40E5A"/>
    <w:rsid w:val="61FA1703"/>
    <w:rsid w:val="62C94278"/>
    <w:rsid w:val="63405725"/>
    <w:rsid w:val="63937684"/>
    <w:rsid w:val="63B77350"/>
    <w:rsid w:val="63EE196A"/>
    <w:rsid w:val="654620A6"/>
    <w:rsid w:val="660B7EE6"/>
    <w:rsid w:val="66221ACF"/>
    <w:rsid w:val="669A0B9A"/>
    <w:rsid w:val="67103379"/>
    <w:rsid w:val="6746686E"/>
    <w:rsid w:val="67681C9B"/>
    <w:rsid w:val="67C12663"/>
    <w:rsid w:val="691150EA"/>
    <w:rsid w:val="69FE1C24"/>
    <w:rsid w:val="6A1C5564"/>
    <w:rsid w:val="6A403F45"/>
    <w:rsid w:val="6AC30EDA"/>
    <w:rsid w:val="6B440543"/>
    <w:rsid w:val="6D773141"/>
    <w:rsid w:val="6DB53060"/>
    <w:rsid w:val="6E10377E"/>
    <w:rsid w:val="6E1E6E89"/>
    <w:rsid w:val="6E701503"/>
    <w:rsid w:val="707E4E4E"/>
    <w:rsid w:val="713D21F7"/>
    <w:rsid w:val="727406DE"/>
    <w:rsid w:val="734062D0"/>
    <w:rsid w:val="734D0F87"/>
    <w:rsid w:val="73FE0B3F"/>
    <w:rsid w:val="742D7A09"/>
    <w:rsid w:val="744644B2"/>
    <w:rsid w:val="762E73B2"/>
    <w:rsid w:val="76A257A0"/>
    <w:rsid w:val="770937D3"/>
    <w:rsid w:val="775A4029"/>
    <w:rsid w:val="78280894"/>
    <w:rsid w:val="78770E8B"/>
    <w:rsid w:val="7928629E"/>
    <w:rsid w:val="79CB166E"/>
    <w:rsid w:val="79D055D3"/>
    <w:rsid w:val="79EE1F34"/>
    <w:rsid w:val="7A73499A"/>
    <w:rsid w:val="7CF02BF0"/>
    <w:rsid w:val="7D363173"/>
    <w:rsid w:val="7D7536D2"/>
    <w:rsid w:val="7E7A5C10"/>
    <w:rsid w:val="7E8E5F0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iPriority="0" w:semiHidden="0" w:name="toc 3" w:locked="1"/>
    <w:lsdException w:uiPriority="0" w:semiHidden="0" w:name="toc 4" w:locked="1"/>
    <w:lsdException w:uiPriority="0" w:semiHidden="0" w:name="toc 5" w:locked="1"/>
    <w:lsdException w:uiPriority="0" w:semiHidden="0" w:name="toc 6" w:locked="1"/>
    <w:lsdException w:uiPriority="0" w:semiHidden="0" w:name="toc 7" w:locked="1"/>
    <w:lsdException w:uiPriority="0" w:semiHidden="0" w:name="toc 8" w:locked="1"/>
    <w:lsdException w:uiPriority="0" w:semiHidden="0" w:name="toc 9" w:locked="1"/>
    <w:lsdException w:uiPriority="99" w:name="Normal Indent"/>
    <w:lsdException w:qFormat="1" w:unhideWhenUsed="0"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name="Table Web 2"/>
    <w:lsdException w:unhideWhenUsed="0" w:uiPriority="99" w:name="Table Web 3"/>
    <w:lsdException w:qFormat="1" w:unhideWhenUsed="0" w:uiPriority="99" w:name="Balloon Text"/>
    <w:lsdException w:qFormat="1" w:uiPriority="99" w:semiHidden="0" w:name="Table Grid" w:locked="1"/>
    <w:lsdException w:unhideWhenUsed="0"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szCs w:val="22"/>
      <w:lang w:val="en-US" w:eastAsia="zh-CN" w:bidi="ar-SA"/>
    </w:rPr>
  </w:style>
  <w:style w:type="paragraph" w:styleId="3">
    <w:name w:val="heading 1"/>
    <w:basedOn w:val="1"/>
    <w:next w:val="1"/>
    <w:link w:val="29"/>
    <w:qFormat/>
    <w:uiPriority w:val="99"/>
    <w:pPr>
      <w:keepNext/>
      <w:keepLines/>
      <w:spacing w:before="340" w:after="330" w:line="576" w:lineRule="auto"/>
      <w:outlineLvl w:val="0"/>
    </w:pPr>
    <w:rPr>
      <w:b/>
      <w:kern w:val="44"/>
      <w:sz w:val="44"/>
    </w:rPr>
  </w:style>
  <w:style w:type="paragraph" w:styleId="4">
    <w:name w:val="heading 2"/>
    <w:basedOn w:val="1"/>
    <w:next w:val="1"/>
    <w:link w:val="30"/>
    <w:qFormat/>
    <w:uiPriority w:val="99"/>
    <w:pPr>
      <w:keepNext/>
      <w:keepLines/>
      <w:spacing w:before="260" w:after="260" w:line="360" w:lineRule="auto"/>
      <w:outlineLvl w:val="1"/>
    </w:pPr>
    <w:rPr>
      <w:rFonts w:ascii="Arial" w:hAnsi="Arial"/>
      <w:b/>
      <w:sz w:val="32"/>
    </w:rPr>
  </w:style>
  <w:style w:type="paragraph" w:styleId="5">
    <w:name w:val="heading 3"/>
    <w:basedOn w:val="1"/>
    <w:next w:val="1"/>
    <w:link w:val="31"/>
    <w:qFormat/>
    <w:uiPriority w:val="99"/>
    <w:pPr>
      <w:keepNext/>
      <w:keepLines/>
      <w:spacing w:before="260" w:after="260" w:line="416" w:lineRule="auto"/>
      <w:outlineLvl w:val="2"/>
    </w:pPr>
    <w:rPr>
      <w:b/>
      <w:bCs/>
      <w:sz w:val="32"/>
      <w:szCs w:val="32"/>
    </w:rPr>
  </w:style>
  <w:style w:type="paragraph" w:styleId="6">
    <w:name w:val="heading 4"/>
    <w:basedOn w:val="1"/>
    <w:next w:val="1"/>
    <w:link w:val="32"/>
    <w:qFormat/>
    <w:uiPriority w:val="99"/>
    <w:pPr>
      <w:keepNext/>
      <w:keepLines/>
      <w:spacing w:before="280" w:after="290" w:line="376" w:lineRule="auto"/>
      <w:outlineLvl w:val="3"/>
    </w:pPr>
    <w:rPr>
      <w:rFonts w:ascii="Arial" w:hAnsi="Arial" w:eastAsia="黑体"/>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34"/>
    <w:qFormat/>
    <w:uiPriority w:val="99"/>
    <w:pPr>
      <w:spacing w:line="480" w:lineRule="atLeast"/>
      <w:ind w:firstLine="570"/>
    </w:pPr>
    <w:rPr>
      <w:rFonts w:ascii="黑体" w:eastAsia="黑体"/>
    </w:rPr>
  </w:style>
  <w:style w:type="paragraph" w:styleId="7">
    <w:name w:val="annotation text"/>
    <w:basedOn w:val="1"/>
    <w:semiHidden/>
    <w:unhideWhenUsed/>
    <w:qFormat/>
    <w:uiPriority w:val="99"/>
    <w:pPr>
      <w:jc w:val="left"/>
    </w:pPr>
  </w:style>
  <w:style w:type="paragraph" w:styleId="8">
    <w:name w:val="Body Text"/>
    <w:basedOn w:val="1"/>
    <w:link w:val="33"/>
    <w:qFormat/>
    <w:uiPriority w:val="99"/>
    <w:rPr>
      <w:rFonts w:ascii="?????" w:hAnsi="?????"/>
      <w:b/>
      <w:spacing w:val="-8"/>
      <w:sz w:val="44"/>
      <w:szCs w:val="20"/>
    </w:rPr>
  </w:style>
  <w:style w:type="paragraph" w:styleId="9">
    <w:name w:val="Plain Text"/>
    <w:basedOn w:val="1"/>
    <w:link w:val="35"/>
    <w:qFormat/>
    <w:uiPriority w:val="99"/>
    <w:pPr>
      <w:spacing w:beforeLines="50" w:afterLines="50" w:line="400" w:lineRule="atLeast"/>
    </w:pPr>
    <w:rPr>
      <w:rFonts w:ascii="宋体" w:hAnsi="Courier New"/>
      <w:sz w:val="24"/>
    </w:rPr>
  </w:style>
  <w:style w:type="paragraph" w:styleId="10">
    <w:name w:val="Date"/>
    <w:basedOn w:val="1"/>
    <w:next w:val="1"/>
    <w:link w:val="36"/>
    <w:qFormat/>
    <w:uiPriority w:val="99"/>
    <w:pPr>
      <w:adjustRightInd w:val="0"/>
      <w:jc w:val="right"/>
      <w:textAlignment w:val="baseline"/>
    </w:pPr>
    <w:rPr>
      <w:rFonts w:eastAsia="仿宋_GB2312"/>
      <w:b/>
    </w:rPr>
  </w:style>
  <w:style w:type="paragraph" w:styleId="11">
    <w:name w:val="Balloon Text"/>
    <w:basedOn w:val="1"/>
    <w:link w:val="37"/>
    <w:semiHidden/>
    <w:qFormat/>
    <w:uiPriority w:val="99"/>
    <w:rPr>
      <w:sz w:val="18"/>
      <w:szCs w:val="18"/>
    </w:rPr>
  </w:style>
  <w:style w:type="paragraph" w:styleId="12">
    <w:name w:val="footer"/>
    <w:basedOn w:val="1"/>
    <w:link w:val="38"/>
    <w:qFormat/>
    <w:uiPriority w:val="99"/>
    <w:pPr>
      <w:tabs>
        <w:tab w:val="center" w:pos="4153"/>
        <w:tab w:val="right" w:pos="8306"/>
      </w:tabs>
      <w:snapToGrid w:val="0"/>
    </w:pPr>
    <w:rPr>
      <w:sz w:val="18"/>
      <w:szCs w:val="18"/>
    </w:rPr>
  </w:style>
  <w:style w:type="paragraph" w:styleId="13">
    <w:name w:val="header"/>
    <w:basedOn w:val="1"/>
    <w:link w:val="39"/>
    <w:qFormat/>
    <w:uiPriority w:val="99"/>
    <w:pPr>
      <w:tabs>
        <w:tab w:val="center" w:pos="4153"/>
        <w:tab w:val="right" w:pos="8306"/>
      </w:tabs>
      <w:snapToGrid w:val="0"/>
      <w:jc w:val="center"/>
    </w:pPr>
    <w:rPr>
      <w:sz w:val="18"/>
      <w:szCs w:val="18"/>
    </w:rPr>
  </w:style>
  <w:style w:type="paragraph" w:styleId="14">
    <w:name w:val="toc 1"/>
    <w:basedOn w:val="1"/>
    <w:next w:val="1"/>
    <w:qFormat/>
    <w:uiPriority w:val="99"/>
    <w:pPr>
      <w:tabs>
        <w:tab w:val="right" w:leader="dot" w:pos="9072"/>
      </w:tabs>
      <w:spacing w:before="120" w:after="120" w:line="360" w:lineRule="auto"/>
    </w:pPr>
    <w:rPr>
      <w:rFonts w:ascii="Calibri" w:hAnsi="Calibri"/>
      <w:b/>
      <w:bCs/>
      <w:caps/>
      <w:sz w:val="20"/>
    </w:rPr>
  </w:style>
  <w:style w:type="paragraph" w:styleId="15">
    <w:name w:val="List"/>
    <w:basedOn w:val="1"/>
    <w:qFormat/>
    <w:uiPriority w:val="99"/>
    <w:pPr>
      <w:ind w:left="200" w:hanging="200" w:hangingChars="200"/>
    </w:pPr>
  </w:style>
  <w:style w:type="paragraph" w:styleId="16">
    <w:name w:val="footnote text"/>
    <w:basedOn w:val="1"/>
    <w:link w:val="40"/>
    <w:semiHidden/>
    <w:qFormat/>
    <w:uiPriority w:val="99"/>
    <w:pPr>
      <w:snapToGrid w:val="0"/>
    </w:pPr>
    <w:rPr>
      <w:sz w:val="18"/>
    </w:rPr>
  </w:style>
  <w:style w:type="paragraph" w:styleId="17">
    <w:name w:val="toc 2"/>
    <w:basedOn w:val="1"/>
    <w:next w:val="1"/>
    <w:qFormat/>
    <w:uiPriority w:val="99"/>
    <w:pPr>
      <w:tabs>
        <w:tab w:val="right" w:leader="dot" w:pos="9060"/>
      </w:tabs>
      <w:spacing w:line="400" w:lineRule="exact"/>
      <w:ind w:left="280" w:right="148" w:rightChars="53"/>
    </w:pPr>
    <w:rPr>
      <w:rFonts w:ascii="仿宋" w:hAnsi="仿宋" w:eastAsia="仿宋"/>
      <w:b/>
      <w:smallCaps/>
      <w:sz w:val="24"/>
      <w:szCs w:val="24"/>
    </w:rPr>
  </w:style>
  <w:style w:type="paragraph" w:styleId="18">
    <w:name w:val="Normal (Web)"/>
    <w:basedOn w:val="1"/>
    <w:qFormat/>
    <w:uiPriority w:val="99"/>
    <w:pPr>
      <w:spacing w:before="100" w:beforeAutospacing="1" w:after="100" w:afterAutospacing="1"/>
    </w:pPr>
    <w:rPr>
      <w:rFonts w:ascii="宋体" w:hAnsi="宋体"/>
      <w:sz w:val="24"/>
      <w:szCs w:val="24"/>
    </w:rPr>
  </w:style>
  <w:style w:type="table" w:styleId="20">
    <w:name w:val="Table Grid"/>
    <w:basedOn w:val="19"/>
    <w:unhideWhenUsed/>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locked/>
    <w:uiPriority w:val="0"/>
    <w:rPr>
      <w:b/>
    </w:rPr>
  </w:style>
  <w:style w:type="character" w:styleId="23">
    <w:name w:val="page number"/>
    <w:qFormat/>
    <w:uiPriority w:val="99"/>
    <w:rPr>
      <w:rFonts w:cs="Times New Roman"/>
    </w:rPr>
  </w:style>
  <w:style w:type="character" w:styleId="24">
    <w:name w:val="Hyperlink"/>
    <w:qFormat/>
    <w:uiPriority w:val="99"/>
    <w:rPr>
      <w:rFonts w:cs="Times New Roman"/>
      <w:color w:val="0000FF"/>
      <w:u w:val="single"/>
    </w:rPr>
  </w:style>
  <w:style w:type="character" w:styleId="25">
    <w:name w:val="footnote reference"/>
    <w:semiHidden/>
    <w:qFormat/>
    <w:uiPriority w:val="99"/>
    <w:rPr>
      <w:rFonts w:cs="Times New Roman"/>
      <w:vertAlign w:val="superscript"/>
    </w:rPr>
  </w:style>
  <w:style w:type="paragraph" w:customStyle="1" w:styleId="26">
    <w:name w:val="Default"/>
    <w:next w:val="27"/>
    <w:qFormat/>
    <w:uiPriority w:val="99"/>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7">
    <w:name w:val="toc 7"/>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8">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9">
    <w:name w:val="标题 1 字符"/>
    <w:link w:val="3"/>
    <w:qFormat/>
    <w:uiPriority w:val="9"/>
    <w:rPr>
      <w:b/>
      <w:bCs/>
      <w:kern w:val="44"/>
      <w:sz w:val="44"/>
      <w:szCs w:val="44"/>
    </w:rPr>
  </w:style>
  <w:style w:type="character" w:customStyle="1" w:styleId="30">
    <w:name w:val="标题 2 字符"/>
    <w:link w:val="4"/>
    <w:semiHidden/>
    <w:qFormat/>
    <w:uiPriority w:val="9"/>
    <w:rPr>
      <w:rFonts w:ascii="Cambria" w:hAnsi="Cambria" w:eastAsia="宋体" w:cs="Times New Roman"/>
      <w:b/>
      <w:bCs/>
      <w:kern w:val="0"/>
      <w:sz w:val="32"/>
      <w:szCs w:val="32"/>
    </w:rPr>
  </w:style>
  <w:style w:type="character" w:customStyle="1" w:styleId="31">
    <w:name w:val="标题 3 字符"/>
    <w:link w:val="5"/>
    <w:semiHidden/>
    <w:qFormat/>
    <w:uiPriority w:val="9"/>
    <w:rPr>
      <w:b/>
      <w:bCs/>
      <w:kern w:val="0"/>
      <w:sz w:val="32"/>
      <w:szCs w:val="32"/>
    </w:rPr>
  </w:style>
  <w:style w:type="character" w:customStyle="1" w:styleId="32">
    <w:name w:val="标题 4 字符"/>
    <w:link w:val="6"/>
    <w:semiHidden/>
    <w:qFormat/>
    <w:uiPriority w:val="9"/>
    <w:rPr>
      <w:rFonts w:ascii="Cambria" w:hAnsi="Cambria" w:eastAsia="宋体" w:cs="Times New Roman"/>
      <w:b/>
      <w:bCs/>
      <w:kern w:val="0"/>
      <w:sz w:val="28"/>
      <w:szCs w:val="28"/>
    </w:rPr>
  </w:style>
  <w:style w:type="character" w:customStyle="1" w:styleId="33">
    <w:name w:val="正文文本 字符"/>
    <w:link w:val="8"/>
    <w:semiHidden/>
    <w:qFormat/>
    <w:uiPriority w:val="99"/>
    <w:rPr>
      <w:kern w:val="0"/>
      <w:sz w:val="22"/>
    </w:rPr>
  </w:style>
  <w:style w:type="character" w:customStyle="1" w:styleId="34">
    <w:name w:val="正文文本缩进 字符"/>
    <w:link w:val="2"/>
    <w:semiHidden/>
    <w:qFormat/>
    <w:uiPriority w:val="99"/>
    <w:rPr>
      <w:kern w:val="0"/>
      <w:sz w:val="22"/>
    </w:rPr>
  </w:style>
  <w:style w:type="character" w:customStyle="1" w:styleId="35">
    <w:name w:val="纯文本 字符"/>
    <w:link w:val="9"/>
    <w:semiHidden/>
    <w:qFormat/>
    <w:uiPriority w:val="99"/>
    <w:rPr>
      <w:rFonts w:ascii="宋体" w:hAnsi="Courier New"/>
      <w:kern w:val="0"/>
      <w:szCs w:val="21"/>
    </w:rPr>
  </w:style>
  <w:style w:type="character" w:customStyle="1" w:styleId="36">
    <w:name w:val="日期 字符"/>
    <w:link w:val="10"/>
    <w:semiHidden/>
    <w:qFormat/>
    <w:uiPriority w:val="99"/>
    <w:rPr>
      <w:kern w:val="0"/>
      <w:sz w:val="22"/>
    </w:rPr>
  </w:style>
  <w:style w:type="character" w:customStyle="1" w:styleId="37">
    <w:name w:val="批注框文本 字符"/>
    <w:link w:val="11"/>
    <w:semiHidden/>
    <w:qFormat/>
    <w:locked/>
    <w:uiPriority w:val="99"/>
    <w:rPr>
      <w:rFonts w:eastAsia="宋体" w:cs="Times New Roman"/>
      <w:sz w:val="18"/>
      <w:szCs w:val="18"/>
    </w:rPr>
  </w:style>
  <w:style w:type="character" w:customStyle="1" w:styleId="38">
    <w:name w:val="页脚 字符"/>
    <w:link w:val="12"/>
    <w:semiHidden/>
    <w:qFormat/>
    <w:uiPriority w:val="99"/>
    <w:rPr>
      <w:kern w:val="0"/>
      <w:sz w:val="18"/>
      <w:szCs w:val="18"/>
    </w:rPr>
  </w:style>
  <w:style w:type="character" w:customStyle="1" w:styleId="39">
    <w:name w:val="页眉 字符"/>
    <w:link w:val="13"/>
    <w:qFormat/>
    <w:locked/>
    <w:uiPriority w:val="99"/>
    <w:rPr>
      <w:rFonts w:eastAsia="宋体" w:cs="Times New Roman"/>
      <w:sz w:val="18"/>
      <w:szCs w:val="18"/>
    </w:rPr>
  </w:style>
  <w:style w:type="character" w:customStyle="1" w:styleId="40">
    <w:name w:val="脚注文本 字符"/>
    <w:link w:val="16"/>
    <w:semiHidden/>
    <w:qFormat/>
    <w:uiPriority w:val="99"/>
    <w:rPr>
      <w:kern w:val="0"/>
      <w:sz w:val="18"/>
      <w:szCs w:val="18"/>
    </w:rPr>
  </w:style>
  <w:style w:type="paragraph" w:customStyle="1" w:styleId="41">
    <w:name w:val="默认段落字体 Para Char Char Char Char Char Char Char Char Char1 Char Char Char Char"/>
    <w:basedOn w:val="1"/>
    <w:qFormat/>
    <w:uiPriority w:val="99"/>
    <w:rPr>
      <w:rFonts w:ascii="Tahoma" w:hAnsi="Tahoma"/>
      <w:sz w:val="24"/>
      <w:szCs w:val="20"/>
    </w:rPr>
  </w:style>
  <w:style w:type="paragraph" w:customStyle="1" w:styleId="42">
    <w:name w:val="表内文字"/>
    <w:basedOn w:val="1"/>
    <w:qFormat/>
    <w:uiPriority w:val="99"/>
    <w:pPr>
      <w:tabs>
        <w:tab w:val="left" w:pos="1418"/>
      </w:tabs>
      <w:spacing w:line="360" w:lineRule="auto"/>
      <w:jc w:val="center"/>
    </w:pPr>
    <w:rPr>
      <w:rFonts w:ascii="仿宋_GB2312" w:eastAsia="仿宋_GB2312"/>
      <w:spacing w:val="-20"/>
      <w:sz w:val="24"/>
    </w:rPr>
  </w:style>
  <w:style w:type="paragraph" w:customStyle="1" w:styleId="43">
    <w:name w:val="正文2"/>
    <w:basedOn w:val="1"/>
    <w:qFormat/>
    <w:uiPriority w:val="99"/>
    <w:pPr>
      <w:spacing w:before="156" w:line="360" w:lineRule="auto"/>
      <w:ind w:firstLine="510" w:firstLineChars="200"/>
    </w:pPr>
    <w:rPr>
      <w:sz w:val="24"/>
    </w:rPr>
  </w:style>
  <w:style w:type="paragraph" w:customStyle="1" w:styleId="44">
    <w:name w:val="样式 样式1 + 首行缩进:  2 字符"/>
    <w:basedOn w:val="1"/>
    <w:qFormat/>
    <w:uiPriority w:val="99"/>
    <w:pPr>
      <w:spacing w:line="360" w:lineRule="exact"/>
      <w:ind w:firstLine="420" w:firstLineChars="200"/>
    </w:pPr>
    <w:rPr>
      <w:rFonts w:ascii="Arial" w:hAnsi="Arial"/>
    </w:rPr>
  </w:style>
  <w:style w:type="character" w:customStyle="1" w:styleId="45">
    <w:name w:val="font01"/>
    <w:qFormat/>
    <w:uiPriority w:val="99"/>
    <w:rPr>
      <w:rFonts w:ascii="微软雅黑" w:hAnsi="微软雅黑" w:eastAsia="微软雅黑" w:cs="微软雅黑"/>
      <w:b/>
      <w:color w:val="000000"/>
      <w:sz w:val="22"/>
      <w:szCs w:val="22"/>
      <w:u w:val="none"/>
    </w:rPr>
  </w:style>
  <w:style w:type="paragraph" w:customStyle="1" w:styleId="46">
    <w:name w:val="_Style 5"/>
    <w:basedOn w:val="3"/>
    <w:next w:val="1"/>
    <w:qFormat/>
    <w:uiPriority w:val="99"/>
    <w:pPr>
      <w:spacing w:before="480" w:line="276" w:lineRule="auto"/>
      <w:outlineLvl w:val="9"/>
    </w:pPr>
    <w:rPr>
      <w:rFonts w:ascii="Cambria" w:hAnsi="Cambria"/>
      <w:color w:val="365F91"/>
      <w:kern w:val="0"/>
      <w:sz w:val="28"/>
      <w:szCs w:val="28"/>
    </w:rPr>
  </w:style>
  <w:style w:type="character" w:customStyle="1" w:styleId="47">
    <w:name w:val="font11"/>
    <w:qFormat/>
    <w:uiPriority w:val="99"/>
    <w:rPr>
      <w:rFonts w:ascii="Arial" w:hAnsi="Arial" w:cs="Arial"/>
      <w:color w:val="000000"/>
      <w:sz w:val="22"/>
      <w:szCs w:val="22"/>
      <w:u w:val="none"/>
    </w:rPr>
  </w:style>
  <w:style w:type="paragraph" w:styleId="48">
    <w:name w:val="List Paragraph"/>
    <w:basedOn w:val="1"/>
    <w:qFormat/>
    <w:uiPriority w:val="99"/>
    <w:pPr>
      <w:ind w:firstLine="420" w:firstLineChars="200"/>
    </w:pPr>
    <w:rPr>
      <w:szCs w:val="20"/>
    </w:rPr>
  </w:style>
  <w:style w:type="paragraph" w:customStyle="1" w:styleId="49">
    <w:name w:val="样式 纯文本 + 首行缩进:  2 字符 Char Char Char Char Char Char Char Char Char Char Char Char Char Char Char Char Char Char Char Char Char Char Char Char"/>
    <w:basedOn w:val="9"/>
    <w:qFormat/>
    <w:uiPriority w:val="99"/>
    <w:pPr>
      <w:spacing w:beforeLines="0" w:afterLines="0" w:line="360" w:lineRule="auto"/>
    </w:pPr>
    <w:rPr>
      <w:rFonts w:eastAsia="仿宋_GB2312" w:cs="Arial"/>
      <w:sz w:val="28"/>
      <w:szCs w:val="20"/>
    </w:rPr>
  </w:style>
  <w:style w:type="paragraph" w:customStyle="1" w:styleId="50">
    <w:name w:val="内文正文"/>
    <w:basedOn w:val="9"/>
    <w:qFormat/>
    <w:uiPriority w:val="99"/>
    <w:pPr>
      <w:adjustRightInd w:val="0"/>
      <w:snapToGrid w:val="0"/>
      <w:spacing w:line="400" w:lineRule="exact"/>
      <w:ind w:firstLine="200" w:firstLineChars="200"/>
    </w:pPr>
    <w:rPr>
      <w:rFonts w:ascii="Arial" w:hAnsi="Arial"/>
      <w:color w:val="000000"/>
      <w:szCs w:val="21"/>
    </w:rPr>
  </w:style>
  <w:style w:type="paragraph" w:customStyle="1" w:styleId="51">
    <w:name w:val="WPSOffice手动目录 1"/>
    <w:qFormat/>
    <w:uiPriority w:val="99"/>
    <w:rPr>
      <w:rFonts w:ascii="Times New Roman" w:hAnsi="Times New Roman" w:eastAsia="宋体" w:cs="Times New Roman"/>
      <w:lang w:val="en-US" w:eastAsia="zh-CN" w:bidi="ar-SA"/>
    </w:rPr>
  </w:style>
  <w:style w:type="paragraph" w:customStyle="1" w:styleId="52">
    <w:name w:val="WPSOffice手动目录 2"/>
    <w:qFormat/>
    <w:uiPriority w:val="99"/>
    <w:pPr>
      <w:ind w:left="200" w:leftChars="200"/>
    </w:pPr>
    <w:rPr>
      <w:rFonts w:ascii="Times New Roman" w:hAnsi="Times New Roman" w:eastAsia="宋体" w:cs="Times New Roman"/>
      <w:lang w:val="en-US" w:eastAsia="zh-CN" w:bidi="ar-SA"/>
    </w:rPr>
  </w:style>
  <w:style w:type="paragraph" w:customStyle="1" w:styleId="53">
    <w:name w:val="样式1"/>
    <w:basedOn w:val="1"/>
    <w:qFormat/>
    <w:uiPriority w:val="99"/>
    <w:pPr>
      <w:spacing w:line="360" w:lineRule="exact"/>
      <w:ind w:firstLine="200" w:firstLineChars="200"/>
    </w:pPr>
    <w:rPr>
      <w:rFonts w:ascii="Arial" w:hAnsi="Arial"/>
    </w:rPr>
  </w:style>
  <w:style w:type="paragraph" w:customStyle="1" w:styleId="54">
    <w:name w:val="Blockquote"/>
    <w:basedOn w:val="1"/>
    <w:qFormat/>
    <w:uiPriority w:val="0"/>
    <w:pPr>
      <w:autoSpaceDE w:val="0"/>
      <w:autoSpaceDN w:val="0"/>
      <w:adjustRightInd w:val="0"/>
      <w:spacing w:before="100" w:after="100"/>
      <w:ind w:left="360" w:right="360"/>
    </w:pPr>
    <w:rPr>
      <w:sz w:val="24"/>
      <w:szCs w:val="20"/>
    </w:rPr>
  </w:style>
  <w:style w:type="paragraph" w:customStyle="1" w:styleId="55">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sz w:val="28"/>
      <w:szCs w:val="20"/>
    </w:rPr>
  </w:style>
  <w:style w:type="paragraph" w:customStyle="1" w:styleId="56">
    <w:name w:val="样式 标题 3 + (中文) 黑体 小四 非加粗 段前: 7.8 磅 段后: 0 磅 行距: 固定值 20 磅"/>
    <w:basedOn w:val="5"/>
    <w:next w:val="1"/>
    <w:qFormat/>
    <w:uiPriority w:val="0"/>
    <w:pPr>
      <w:keepNext w:val="0"/>
      <w:keepLines w:val="0"/>
      <w:numPr>
        <w:ilvl w:val="0"/>
        <w:numId w:val="1"/>
      </w:numPr>
      <w:spacing w:before="0" w:after="0" w:line="400" w:lineRule="exact"/>
    </w:pPr>
    <w:rPr>
      <w:rFonts w:eastAsia="黑体" w:cs="宋体"/>
      <w:bCs w:val="0"/>
      <w:sz w:val="24"/>
      <w:szCs w:val="20"/>
    </w:rPr>
  </w:style>
  <w:style w:type="paragraph" w:customStyle="1" w:styleId="5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theme" Target="theme/theme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85</Pages>
  <Words>9356</Words>
  <Characters>53335</Characters>
  <Lines>444</Lines>
  <Paragraphs>125</Paragraphs>
  <TotalTime>93</TotalTime>
  <ScaleCrop>false</ScaleCrop>
  <LinksUpToDate>false</LinksUpToDate>
  <CharactersWithSpaces>62566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2018-09-12T17:59:00Z</dcterms:created>
  <dc:creator>Windows User</dc:creator>
  <cp:lastModifiedBy>繁华终易逝</cp:lastModifiedBy>
  <cp:lastPrinted>2019-06-24T02:28:00Z</cp:lastPrinted>
  <dcterms:modified xsi:type="dcterms:W3CDTF">2020-07-13T10:48:16Z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