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hint="eastAsia" w:ascii="宋体" w:hAnsi="宋体" w:eastAsia="宋体" w:cs="宋体"/>
          <w:b/>
          <w:color w:val="auto"/>
          <w:sz w:val="48"/>
          <w:szCs w:val="48"/>
          <w:highlight w:val="none"/>
        </w:rPr>
      </w:pPr>
    </w:p>
    <w:p>
      <w:pPr>
        <w:adjustRightInd/>
        <w:spacing w:line="360" w:lineRule="auto"/>
        <w:jc w:val="center"/>
        <w:rPr>
          <w:rFonts w:hint="eastAsia" w:ascii="宋体" w:hAnsi="宋体" w:eastAsia="宋体" w:cs="宋体"/>
          <w:b/>
          <w:color w:val="auto"/>
          <w:sz w:val="72"/>
          <w:szCs w:val="72"/>
          <w:highlight w:val="none"/>
        </w:rPr>
      </w:pPr>
      <w:r>
        <w:rPr>
          <w:rFonts w:hint="eastAsia" w:ascii="宋体" w:hAnsi="宋体" w:cs="宋体"/>
          <w:b/>
          <w:color w:val="auto"/>
          <w:sz w:val="72"/>
          <w:szCs w:val="72"/>
          <w:highlight w:val="none"/>
          <w:lang w:eastAsia="zh-CN"/>
        </w:rPr>
        <w:t>桥头称重设施采购项目</w:t>
      </w:r>
    </w:p>
    <w:p>
      <w:pPr>
        <w:adjustRightInd/>
        <w:spacing w:line="360" w:lineRule="auto"/>
        <w:jc w:val="center"/>
        <w:rPr>
          <w:rFonts w:hint="eastAsia" w:ascii="宋体" w:hAnsi="宋体" w:eastAsia="宋体" w:cs="宋体"/>
          <w:b/>
          <w:color w:val="auto"/>
          <w:sz w:val="48"/>
          <w:szCs w:val="48"/>
          <w:highlight w:val="none"/>
          <w:lang w:eastAsia="zh-CN"/>
        </w:rPr>
      </w:pPr>
    </w:p>
    <w:p>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b/>
          <w:color w:val="auto"/>
          <w:sz w:val="48"/>
          <w:szCs w:val="48"/>
          <w:highlight w:val="none"/>
          <w:lang w:eastAsia="zh-CN"/>
        </w:rPr>
        <w:t>招标文件</w:t>
      </w:r>
      <w:r>
        <w:rPr>
          <w:rFonts w:hint="eastAsia" w:ascii="宋体" w:hAnsi="宋体" w:eastAsia="宋体" w:cs="宋体"/>
          <w:color w:val="auto"/>
          <w:sz w:val="48"/>
          <w:szCs w:val="48"/>
          <w:highlight w:val="none"/>
        </w:rPr>
        <w:t xml:space="preserve"> </w:t>
      </w:r>
    </w:p>
    <w:p>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b/>
          <w:color w:val="auto"/>
          <w:sz w:val="30"/>
          <w:szCs w:val="30"/>
          <w:highlight w:val="none"/>
          <w:lang w:val="en-US" w:eastAsia="zh-CN"/>
        </w:rPr>
      </w:pPr>
      <w:r>
        <w:rPr>
          <w:rFonts w:hint="eastAsia" w:ascii="宋体" w:hAnsi="宋体" w:eastAsia="宋体" w:cs="宋体"/>
          <w:color w:val="auto"/>
          <w:sz w:val="30"/>
          <w:szCs w:val="30"/>
          <w:highlight w:val="none"/>
        </w:rPr>
        <w:t>编号:</w:t>
      </w:r>
      <w:r>
        <w:rPr>
          <w:rFonts w:hint="eastAsia" w:ascii="宋体" w:hAnsi="宋体" w:cs="宋体"/>
          <w:b/>
          <w:color w:val="auto"/>
          <w:sz w:val="30"/>
          <w:szCs w:val="30"/>
          <w:highlight w:val="none"/>
          <w:lang w:eastAsia="zh-CN"/>
        </w:rPr>
        <w:t>JD2023BF-139</w:t>
      </w:r>
      <w:r>
        <w:rPr>
          <w:rFonts w:hint="eastAsia" w:ascii="宋体" w:hAnsi="宋体" w:eastAsia="宋体" w:cs="宋体"/>
          <w:b/>
          <w:color w:val="auto"/>
          <w:sz w:val="30"/>
          <w:szCs w:val="30"/>
          <w:highlight w:val="none"/>
          <w:lang w:eastAsia="zh-CN"/>
        </w:rPr>
        <w:t xml:space="preserve"> </w:t>
      </w:r>
    </w:p>
    <w:p>
      <w:pPr>
        <w:adjustRightInd/>
        <w:spacing w:line="360" w:lineRule="auto"/>
        <w:rPr>
          <w:rFonts w:hint="eastAsia" w:ascii="宋体" w:hAnsi="宋体" w:eastAsia="宋体" w:cs="宋体"/>
          <w:color w:val="auto"/>
          <w:sz w:val="28"/>
          <w:szCs w:val="20"/>
          <w:highlight w:val="none"/>
        </w:rPr>
      </w:pPr>
    </w:p>
    <w:p>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pPr>
        <w:spacing w:line="360" w:lineRule="auto"/>
        <w:jc w:val="center"/>
        <w:rPr>
          <w:rFonts w:hint="eastAsia" w:ascii="宋体" w:hAnsi="宋体" w:eastAsia="宋体" w:cs="宋体"/>
          <w:b/>
          <w:color w:val="auto"/>
          <w:sz w:val="44"/>
          <w:szCs w:val="44"/>
          <w:highlight w:val="none"/>
        </w:rPr>
      </w:pPr>
    </w:p>
    <w:p>
      <w:pPr>
        <w:spacing w:line="360" w:lineRule="auto"/>
        <w:jc w:val="center"/>
        <w:rPr>
          <w:rFonts w:hint="eastAsia" w:ascii="宋体" w:hAnsi="宋体" w:eastAsia="宋体" w:cs="宋体"/>
          <w:b/>
          <w:color w:val="auto"/>
          <w:sz w:val="44"/>
          <w:szCs w:val="44"/>
          <w:highlight w:val="none"/>
        </w:rPr>
      </w:pPr>
    </w:p>
    <w:p>
      <w:pPr>
        <w:spacing w:line="360" w:lineRule="auto"/>
        <w:jc w:val="center"/>
        <w:rPr>
          <w:rFonts w:hint="eastAsia" w:ascii="宋体" w:hAnsi="宋体" w:eastAsia="宋体" w:cs="宋体"/>
          <w:color w:val="auto"/>
          <w:sz w:val="24"/>
          <w:highlight w:val="none"/>
        </w:rPr>
      </w:pPr>
    </w:p>
    <w:p>
      <w:pPr>
        <w:spacing w:line="360" w:lineRule="auto"/>
        <w:jc w:val="center"/>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32"/>
          <w:szCs w:val="32"/>
          <w:highlight w:val="none"/>
        </w:rPr>
      </w:pPr>
    </w:p>
    <w:p>
      <w:pPr>
        <w:snapToGri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采购人：</w:t>
      </w:r>
      <w:r>
        <w:rPr>
          <w:rFonts w:hint="eastAsia" w:ascii="宋体" w:hAnsi="宋体" w:cs="宋体"/>
          <w:b/>
          <w:color w:val="auto"/>
          <w:sz w:val="32"/>
          <w:szCs w:val="32"/>
          <w:highlight w:val="none"/>
          <w:lang w:eastAsia="zh-CN"/>
        </w:rPr>
        <w:t>建德市住房和城乡建设局</w:t>
      </w:r>
    </w:p>
    <w:p>
      <w:pPr>
        <w:snapToGri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采购代理机构：</w:t>
      </w:r>
      <w:r>
        <w:rPr>
          <w:rFonts w:hint="eastAsia" w:ascii="宋体" w:hAnsi="宋体" w:cs="宋体"/>
          <w:b/>
          <w:color w:val="auto"/>
          <w:sz w:val="32"/>
          <w:szCs w:val="32"/>
          <w:highlight w:val="none"/>
          <w:lang w:eastAsia="zh-CN"/>
        </w:rPr>
        <w:t>杭州天恒投资建设管理有限公司</w:t>
      </w:r>
    </w:p>
    <w:p>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eastAsia="宋体" w:cs="宋体"/>
          <w:bCs/>
          <w:color w:val="auto"/>
          <w:sz w:val="32"/>
          <w:szCs w:val="32"/>
          <w:highlight w:val="none"/>
          <w:lang w:eastAsia="zh-CN"/>
        </w:rPr>
        <w:t>三</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八</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val="en-US" w:eastAsia="zh-CN"/>
        </w:rPr>
        <w:t>二十八</w:t>
      </w:r>
      <w:r>
        <w:rPr>
          <w:rFonts w:hint="eastAsia" w:ascii="宋体" w:hAnsi="宋体" w:eastAsia="宋体" w:cs="宋体"/>
          <w:bCs/>
          <w:color w:val="auto"/>
          <w:sz w:val="32"/>
          <w:szCs w:val="32"/>
          <w:highlight w:val="none"/>
        </w:rPr>
        <w:t>日</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pPr>
        <w:spacing w:line="360" w:lineRule="auto"/>
        <w:jc w:val="center"/>
        <w:rPr>
          <w:rFonts w:hint="eastAsia" w:ascii="宋体" w:hAnsi="宋体" w:eastAsia="宋体" w:cs="宋体"/>
          <w:color w:val="auto"/>
          <w:sz w:val="24"/>
          <w:highlight w:val="none"/>
        </w:rPr>
      </w:pPr>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pPr>
        <w:spacing w:line="360" w:lineRule="auto"/>
        <w:rPr>
          <w:rFonts w:hint="eastAsia" w:ascii="宋体" w:hAnsi="宋体" w:eastAsia="宋体" w:cs="宋体"/>
          <w:color w:val="auto"/>
          <w:sz w:val="32"/>
          <w:szCs w:val="32"/>
          <w:highlight w:val="none"/>
        </w:rPr>
      </w:pPr>
    </w:p>
    <w:p>
      <w:pPr>
        <w:spacing w:line="360" w:lineRule="auto"/>
        <w:rPr>
          <w:rFonts w:hint="eastAsia" w:ascii="宋体" w:hAnsi="宋体" w:eastAsia="宋体" w:cs="宋体"/>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pPr>
        <w:keepNext w:val="0"/>
        <w:keepLines w:val="0"/>
        <w:pageBreakBefore w:val="0"/>
        <w:widowControl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pPr>
        <w:keepNext w:val="0"/>
        <w:keepLines w:val="0"/>
        <w:pageBreakBefore w:val="0"/>
        <w:widowControl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color w:val="auto"/>
          <w:sz w:val="24"/>
          <w:highlight w:val="none"/>
          <w:u w:val="single"/>
        </w:rPr>
      </w:pPr>
      <w:r>
        <w:rPr>
          <w:rFonts w:hint="eastAsia" w:ascii="宋体" w:hAnsi="宋体" w:cs="宋体"/>
          <w:color w:val="auto"/>
          <w:sz w:val="24"/>
          <w:highlight w:val="none"/>
          <w:u w:val="single"/>
          <w:lang w:eastAsia="zh-CN"/>
        </w:rPr>
        <w:t>桥头称重设施采购项目</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"https://www.zcygov.cn/）获取（下载）招标文件，并于202%20年%20月%20日%20点%20分00秒" </w:instrText>
      </w:r>
      <w:r>
        <w:rPr>
          <w:rFonts w:hint="eastAsia" w:ascii="宋体" w:hAnsi="宋体" w:eastAsia="宋体" w:cs="宋体"/>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w:t>
      </w:r>
      <w:r>
        <w:rPr>
          <w:rStyle w:val="76"/>
          <w:rFonts w:hint="eastAsia" w:ascii="宋体" w:hAnsi="宋体" w:cs="宋体"/>
          <w:snapToGrid/>
          <w:color w:val="auto"/>
          <w:kern w:val="2"/>
          <w:sz w:val="24"/>
          <w:szCs w:val="24"/>
          <w:highlight w:val="none"/>
          <w:lang w:eastAsia="zh-CN"/>
        </w:rPr>
        <w:t>2</w:t>
      </w:r>
      <w:r>
        <w:rPr>
          <w:rStyle w:val="76"/>
          <w:rFonts w:hint="eastAsia" w:ascii="宋体" w:hAnsi="宋体" w:eastAsia="宋体" w:cs="宋体"/>
          <w:snapToGrid/>
          <w:color w:val="auto"/>
          <w:kern w:val="2"/>
          <w:sz w:val="24"/>
          <w:szCs w:val="24"/>
          <w:highlight w:val="none"/>
          <w:lang w:eastAsia="zh-CN"/>
        </w:rPr>
        <w:t>023年9月19日</w:t>
      </w:r>
      <w:r>
        <w:rPr>
          <w:rStyle w:val="76"/>
          <w:rFonts w:hint="eastAsia" w:ascii="宋体" w:hAnsi="宋体" w:eastAsia="宋体" w:cs="宋体"/>
          <w:snapToGrid/>
          <w:color w:val="auto"/>
          <w:kern w:val="2"/>
          <w:sz w:val="24"/>
          <w:szCs w:val="24"/>
          <w:highlight w:val="none"/>
          <w:lang w:val="en-US" w:eastAsia="zh-CN"/>
        </w:rPr>
        <w:t>9</w:t>
      </w:r>
      <w:r>
        <w:rPr>
          <w:rStyle w:val="76"/>
          <w:rFonts w:hint="eastAsia" w:ascii="宋体" w:hAnsi="宋体" w:eastAsia="宋体" w:cs="宋体"/>
          <w:snapToGrid/>
          <w:color w:val="auto"/>
          <w:kern w:val="2"/>
          <w:sz w:val="24"/>
          <w:szCs w:val="24"/>
          <w:highlight w:val="none"/>
        </w:rPr>
        <w:t>点</w:t>
      </w:r>
      <w:r>
        <w:rPr>
          <w:rStyle w:val="76"/>
          <w:rFonts w:hint="eastAsia" w:ascii="宋体" w:hAnsi="宋体" w:eastAsia="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bookmarkStart w:id="520" w:name="_GoBack"/>
      <w:bookmarkEnd w:id="520"/>
    </w:p>
    <w:p>
      <w:pPr>
        <w:pageBreakBefore w:val="0"/>
        <w:kinsoku/>
        <w:wordWrap/>
        <w:overflowPunct/>
        <w:topLinePunct w:val="0"/>
        <w:autoSpaceDE/>
        <w:autoSpaceDN/>
        <w:bidi w:val="0"/>
        <w:spacing w:line="44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项目编号：</w:t>
      </w:r>
      <w:r>
        <w:rPr>
          <w:rFonts w:hint="eastAsia" w:ascii="宋体" w:hAnsi="宋体" w:cs="宋体"/>
          <w:color w:val="auto"/>
          <w:sz w:val="24"/>
          <w:highlight w:val="none"/>
          <w:lang w:eastAsia="zh-CN"/>
        </w:rPr>
        <w:t>JD2023BF-139</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eastAsia="zh-CN"/>
        </w:rPr>
        <w:t xml:space="preserve"> </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项目名称：</w:t>
      </w:r>
      <w:r>
        <w:rPr>
          <w:rFonts w:hint="eastAsia" w:ascii="宋体" w:hAnsi="宋体" w:cs="宋体"/>
          <w:color w:val="auto"/>
          <w:sz w:val="24"/>
          <w:highlight w:val="none"/>
          <w:lang w:eastAsia="zh-CN"/>
        </w:rPr>
        <w:t>桥头称重设施采购项目</w:t>
      </w:r>
    </w:p>
    <w:p>
      <w:pPr>
        <w:pageBreakBefore w:val="0"/>
        <w:kinsoku/>
        <w:wordWrap/>
        <w:overflowPunct/>
        <w:topLinePunct w:val="0"/>
        <w:autoSpaceDE/>
        <w:autoSpaceDN/>
        <w:bidi w:val="0"/>
        <w:spacing w:line="440" w:lineRule="exact"/>
        <w:ind w:firstLine="482" w:firstLineChars="200"/>
        <w:textAlignment w:val="auto"/>
        <w:rPr>
          <w:rFonts w:hint="default" w:ascii="宋体" w:hAnsi="宋体" w:eastAsia="宋体" w:cs="宋体"/>
          <w:b w:val="0"/>
          <w:bCs/>
          <w:color w:val="auto"/>
          <w:sz w:val="24"/>
          <w:highlight w:val="none"/>
          <w:lang w:val="en-US" w:eastAsia="zh-CN"/>
        </w:rPr>
      </w:pPr>
      <w:r>
        <w:rPr>
          <w:rFonts w:hint="eastAsia" w:ascii="宋体" w:hAnsi="宋体" w:eastAsia="宋体" w:cs="宋体"/>
          <w:b/>
          <w:color w:val="auto"/>
          <w:sz w:val="24"/>
          <w:highlight w:val="none"/>
        </w:rPr>
        <w:t>预算金额（元）：</w:t>
      </w:r>
      <w:r>
        <w:rPr>
          <w:rFonts w:hint="eastAsia" w:ascii="宋体" w:hAnsi="宋体" w:cs="宋体"/>
          <w:b w:val="0"/>
          <w:bCs/>
          <w:color w:val="auto"/>
          <w:sz w:val="24"/>
          <w:highlight w:val="none"/>
          <w:lang w:eastAsia="zh-CN"/>
        </w:rPr>
        <w:t>1800000</w:t>
      </w:r>
      <w:r>
        <w:rPr>
          <w:rFonts w:hint="eastAsia" w:ascii="宋体" w:hAnsi="宋体" w:cs="宋体"/>
          <w:b w:val="0"/>
          <w:bCs/>
          <w:color w:val="auto"/>
          <w:sz w:val="24"/>
          <w:highlight w:val="none"/>
          <w:lang w:val="en-US" w:eastAsia="zh-CN"/>
        </w:rPr>
        <w:t>.00</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最高限价（元）：</w:t>
      </w:r>
      <w:r>
        <w:rPr>
          <w:rFonts w:hint="eastAsia" w:ascii="宋体" w:hAnsi="宋体" w:cs="宋体"/>
          <w:b w:val="0"/>
          <w:bCs/>
          <w:color w:val="auto"/>
          <w:sz w:val="24"/>
          <w:highlight w:val="none"/>
          <w:lang w:eastAsia="zh-CN"/>
        </w:rPr>
        <w:t>1800000</w:t>
      </w:r>
      <w:r>
        <w:rPr>
          <w:rFonts w:hint="eastAsia" w:ascii="宋体" w:hAnsi="宋体" w:cs="宋体"/>
          <w:b w:val="0"/>
          <w:bCs/>
          <w:color w:val="auto"/>
          <w:sz w:val="24"/>
          <w:highlight w:val="none"/>
          <w:lang w:val="en-US" w:eastAsia="zh-CN"/>
        </w:rPr>
        <w:t>.00</w:t>
      </w:r>
    </w:p>
    <w:p>
      <w:pPr>
        <w:pageBreakBefore w:val="0"/>
        <w:kinsoku/>
        <w:wordWrap/>
        <w:overflowPunct/>
        <w:topLinePunct w:val="0"/>
        <w:autoSpaceDE/>
        <w:autoSpaceDN/>
        <w:bidi w:val="0"/>
        <w:adjustRightInd/>
        <w:spacing w:line="440" w:lineRule="exact"/>
        <w:ind w:firstLine="482" w:firstLineChars="200"/>
        <w:jc w:val="both"/>
        <w:textAlignment w:val="auto"/>
        <w:rPr>
          <w:rFonts w:hint="eastAsia" w:ascii="宋体" w:hAnsi="宋体" w:eastAsia="宋体" w:cs="宋体"/>
          <w:b w:val="0"/>
          <w:bCs/>
          <w:snapToGrid/>
          <w:color w:val="auto"/>
          <w:kern w:val="2"/>
          <w:sz w:val="24"/>
          <w:szCs w:val="24"/>
          <w:highlight w:val="none"/>
        </w:rPr>
      </w:pPr>
      <w:r>
        <w:rPr>
          <w:rFonts w:hint="eastAsia" w:ascii="宋体" w:hAnsi="宋体" w:eastAsia="宋体" w:cs="宋体"/>
          <w:b/>
          <w:color w:val="auto"/>
          <w:sz w:val="24"/>
          <w:highlight w:val="none"/>
        </w:rPr>
        <w:t>采购需求：</w:t>
      </w:r>
      <w:r>
        <w:rPr>
          <w:rFonts w:hint="eastAsia" w:ascii="宋体" w:hAnsi="宋体" w:cs="宋体"/>
          <w:b w:val="0"/>
          <w:bCs/>
          <w:color w:val="auto"/>
          <w:sz w:val="24"/>
          <w:highlight w:val="none"/>
          <w:lang w:val="en-US" w:eastAsia="zh-CN"/>
        </w:rPr>
        <w:t>桥头称重设施采购项目，主要内容为在白沙桥及彩虹桥安装桥头称重设施并接入杭州监测平台（包含供货、运输装卸、安装调试、备品备件、利润、税金、保险、培训、验收、辅助工作及售后服务等）。</w:t>
      </w:r>
      <w:r>
        <w:rPr>
          <w:rFonts w:hint="eastAsia" w:ascii="宋体" w:hAnsi="宋体" w:eastAsia="宋体" w:cs="宋体"/>
          <w:b w:val="0"/>
          <w:bCs/>
          <w:snapToGrid/>
          <w:color w:val="auto"/>
          <w:kern w:val="2"/>
          <w:sz w:val="24"/>
          <w:szCs w:val="24"/>
          <w:highlight w:val="none"/>
        </w:rPr>
        <w:t>具体以招标文件第三部分采购需求为准，供应商可点击本公告下方“浏览采购文件”查看采购需求。</w:t>
      </w:r>
    </w:p>
    <w:p>
      <w:pPr>
        <w:pStyle w:val="53"/>
        <w:pageBreakBefore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b w:val="0"/>
          <w:bCs/>
          <w:color w:val="auto"/>
          <w:highlight w:val="none"/>
        </w:rPr>
      </w:pPr>
      <w:r>
        <w:rPr>
          <w:rFonts w:hint="eastAsia" w:ascii="宋体" w:hAnsi="宋体" w:eastAsia="宋体" w:cs="宋体"/>
          <w:b/>
          <w:color w:val="auto"/>
          <w:highlight w:val="none"/>
        </w:rPr>
        <w:t>合同履约期限：</w:t>
      </w:r>
      <w:r>
        <w:rPr>
          <w:rFonts w:hint="eastAsia" w:ascii="宋体" w:hAnsi="宋体" w:cs="宋体"/>
          <w:b w:val="0"/>
          <w:bCs/>
          <w:color w:val="auto"/>
          <w:highlight w:val="none"/>
          <w:lang w:eastAsia="zh-CN"/>
        </w:rPr>
        <w:t>签订合同后60日历天内安装完成并接入杭州监测平台</w:t>
      </w:r>
      <w:r>
        <w:rPr>
          <w:rFonts w:hint="eastAsia" w:ascii="宋体" w:hAnsi="宋体" w:eastAsia="宋体" w:cs="宋体"/>
          <w:b w:val="0"/>
          <w:bCs/>
          <w:color w:val="auto"/>
          <w:highlight w:val="none"/>
        </w:rPr>
        <w:t>；</w:t>
      </w:r>
    </w:p>
    <w:p>
      <w:pPr>
        <w:pStyle w:val="5"/>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color w:val="auto"/>
            <w:kern w:val="0"/>
            <w:sz w:val="24"/>
            <w:highlight w:val="none"/>
          </w:rPr>
          <w:id w:val="2035453831"/>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ascii="宋体" w:hAnsi="宋体" w:eastAsia="宋体" w:cs="宋体"/>
          <w:b/>
          <w:color w:val="auto"/>
          <w:sz w:val="24"/>
          <w:highlight w:val="none"/>
        </w:rPr>
        <w:t>是</w:t>
      </w:r>
      <w:r>
        <w:rPr>
          <w:rFonts w:hint="eastAsia" w:ascii="宋体" w:hAnsi="宋体" w:eastAsia="宋体" w:cs="宋体"/>
          <w:b/>
          <w:snapToGrid/>
          <w:color w:val="auto"/>
          <w:kern w:val="2"/>
          <w:sz w:val="24"/>
          <w:highlight w:val="none"/>
        </w:rPr>
        <w:t>；</w:t>
      </w:r>
      <w:sdt>
        <w:sdtPr>
          <w:rPr>
            <w:rFonts w:hint="eastAsia" w:ascii="宋体" w:hAnsi="宋体" w:eastAsia="宋体" w:cs="宋体"/>
            <w:color w:val="auto"/>
            <w:kern w:val="0"/>
            <w:sz w:val="24"/>
            <w:highlight w:val="none"/>
          </w:rPr>
          <w:id w:val="-176552672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pPr>
        <w:pageBreakBefore w:val="0"/>
        <w:kinsoku/>
        <w:wordWrap/>
        <w:overflowPunct/>
        <w:topLinePunct w:val="0"/>
        <w:autoSpaceDE/>
        <w:autoSpaceDN/>
        <w:bidi w:val="0"/>
        <w:spacing w:line="44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w:t>
      </w:r>
      <w:bookmarkStart w:id="11" w:name="_Hlk101132948"/>
      <w:r>
        <w:rPr>
          <w:rFonts w:hint="eastAsia" w:ascii="宋体" w:hAnsi="宋体" w:eastAsia="宋体" w:cs="宋体"/>
          <w:b/>
          <w:color w:val="auto"/>
          <w:sz w:val="24"/>
          <w:highlight w:val="none"/>
        </w:rPr>
        <w:t>申请人的资格要求</w:t>
      </w:r>
      <w:bookmarkEnd w:id="11"/>
      <w:r>
        <w:rPr>
          <w:rFonts w:hint="eastAsia" w:ascii="宋体" w:hAnsi="宋体" w:eastAsia="宋体" w:cs="宋体"/>
          <w:b/>
          <w:color w:val="auto"/>
          <w:sz w:val="24"/>
          <w:highlight w:val="none"/>
        </w:rPr>
        <w:t>：</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w:t>
      </w:r>
      <w:r>
        <w:rPr>
          <w:rFonts w:hint="eastAsia" w:ascii="宋体" w:hAnsi="宋体" w:eastAsia="宋体" w:cs="宋体"/>
          <w:snapToGrid w:val="0"/>
          <w:color w:val="auto"/>
          <w:kern w:val="28"/>
          <w:sz w:val="24"/>
          <w:szCs w:val="20"/>
          <w:highlight w:val="none"/>
          <w:lang w:eastAsia="zh-CN"/>
        </w:rPr>
        <w:t>重大税收违法失信主体</w:t>
      </w:r>
      <w:r>
        <w:rPr>
          <w:rFonts w:hint="eastAsia" w:ascii="宋体" w:hAnsi="宋体" w:eastAsia="宋体" w:cs="宋体"/>
          <w:snapToGrid w:val="0"/>
          <w:color w:val="auto"/>
          <w:kern w:val="28"/>
          <w:sz w:val="24"/>
          <w:szCs w:val="20"/>
          <w:highlight w:val="none"/>
        </w:rPr>
        <w:t>、政府采购严重违法失信行为记录名单；</w:t>
      </w:r>
    </w:p>
    <w:p>
      <w:pPr>
        <w:pageBreakBefore w:val="0"/>
        <w:kinsoku/>
        <w:wordWrap/>
        <w:overflowPunct/>
        <w:topLinePunct w:val="0"/>
        <w:autoSpaceDE/>
        <w:autoSpaceDN/>
        <w:bidi w:val="0"/>
        <w:spacing w:line="440" w:lineRule="exact"/>
        <w:textAlignment w:val="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w:t>
      </w:r>
      <w:r>
        <w:rPr>
          <w:rFonts w:hint="eastAsia" w:ascii="宋体" w:hAnsi="宋体" w:eastAsia="宋体" w:cs="宋体"/>
          <w:color w:val="auto"/>
          <w:highlight w:val="none"/>
        </w:rPr>
        <w:t xml:space="preserve"> </w:t>
      </w:r>
      <w:r>
        <w:rPr>
          <w:rFonts w:hint="eastAsia" w:ascii="宋体" w:hAnsi="宋体" w:eastAsia="宋体" w:cs="宋体"/>
          <w:snapToGrid w:val="0"/>
          <w:color w:val="auto"/>
          <w:kern w:val="28"/>
          <w:sz w:val="24"/>
          <w:szCs w:val="20"/>
          <w:highlight w:val="none"/>
        </w:rPr>
        <w:t>以联合体形式投标的，提供联合协议(本项目不接受联合体投标或者投标人不以联合体形式投标的，则不需要提供) ；</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（注：不得限制大中型企业与小微企业组成联合体参与投标）；</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pPr>
        <w:pageBreakBefore w:val="0"/>
        <w:kinsoku/>
        <w:wordWrap/>
        <w:overflowPunct/>
        <w:topLinePunct w:val="0"/>
        <w:autoSpaceDE/>
        <w:autoSpaceDN/>
        <w:bidi w:val="0"/>
        <w:spacing w:line="440" w:lineRule="exact"/>
        <w:ind w:firstLine="897" w:firstLineChars="374"/>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000000" w:themeColor="text1"/>
          <w:sz w:val="24"/>
          <w14:textFill>
            <w14:solidFill>
              <w14:schemeClr w14:val="tx1"/>
            </w14:solidFill>
          </w14:textFill>
        </w:rPr>
        <w:t>货物</w:t>
      </w:r>
      <w:r>
        <w:rPr>
          <w:rFonts w:hint="eastAsia" w:ascii="宋体" w:hAnsi="宋体" w:eastAsia="宋体" w:cs="宋体"/>
          <w:color w:val="auto"/>
          <w:sz w:val="24"/>
          <w:highlight w:val="none"/>
        </w:rPr>
        <w:t>全部由符合政策要求的中小企业承接，提供中小企业声明函；</w:t>
      </w:r>
    </w:p>
    <w:p>
      <w:pPr>
        <w:pageBreakBefore w:val="0"/>
        <w:kinsoku/>
        <w:wordWrap/>
        <w:overflowPunct/>
        <w:topLinePunct w:val="0"/>
        <w:autoSpaceDE/>
        <w:autoSpaceDN/>
        <w:bidi w:val="0"/>
        <w:spacing w:line="440" w:lineRule="exact"/>
        <w:ind w:firstLine="897" w:firstLineChars="374"/>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cs="宋体"/>
          <w:color w:val="000000" w:themeColor="text1"/>
          <w:sz w:val="24"/>
          <w14:textFill>
            <w14:solidFill>
              <w14:schemeClr w14:val="tx1"/>
            </w14:solidFill>
          </w14:textFill>
        </w:rPr>
        <w:t>货物</w:t>
      </w:r>
      <w:r>
        <w:rPr>
          <w:rFonts w:hint="eastAsia" w:ascii="宋体" w:hAnsi="宋体" w:eastAsia="宋体" w:cs="宋体"/>
          <w:color w:val="auto"/>
          <w:sz w:val="24"/>
          <w:highlight w:val="none"/>
        </w:rPr>
        <w:t>全部由符合政策要求的小微企业承接，提供中小企业声明函；</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eastAsia="zh-CN"/>
        </w:rPr>
      </w:pPr>
      <w:sdt>
        <w:sdtPr>
          <w:rPr>
            <w:rFonts w:hint="eastAsia" w:ascii="宋体" w:hAnsi="宋体" w:eastAsia="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40 </w:t>
      </w:r>
      <w:r>
        <w:rPr>
          <w:rFonts w:hint="eastAsia" w:ascii="宋体" w:hAnsi="宋体" w:eastAsia="宋体" w:cs="宋体"/>
          <w:color w:val="auto"/>
          <w:sz w:val="24"/>
          <w:highlight w:val="none"/>
        </w:rPr>
        <w:t>%，其中小微企业合同金额应当达到</w:t>
      </w:r>
      <w:r>
        <w:rPr>
          <w:rFonts w:hint="eastAsia" w:ascii="宋体" w:hAnsi="宋体" w:eastAsia="宋体" w:cs="宋体"/>
          <w:color w:val="auto"/>
          <w:sz w:val="24"/>
          <w:highlight w:val="none"/>
          <w:u w:val="single"/>
        </w:rPr>
        <w:t xml:space="preserve"> 70</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；（联合体牵头人必须为中小企业）</w:t>
      </w:r>
      <w:r>
        <w:rPr>
          <w:rFonts w:hint="eastAsia" w:ascii="宋体" w:hAnsi="宋体" w:cs="宋体"/>
          <w:color w:val="auto"/>
          <w:sz w:val="24"/>
          <w:highlight w:val="none"/>
          <w:lang w:eastAsia="zh-CN"/>
        </w:rPr>
        <w:t>。</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要求合同分包，提供分包意向协议和中小企业声明函，分包意向协议中中小企业合同金额应当达到达到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4.本项目的特定资格要求：无；</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Fonts w:hint="eastAsia" w:ascii="宋体" w:hAnsi="宋体" w:cs="宋体"/>
          <w:color w:val="auto"/>
          <w:sz w:val="24"/>
          <w:highlight w:val="none"/>
          <w:u w:val="single"/>
          <w:lang w:eastAsia="zh-CN"/>
        </w:rPr>
        <w:t>2023年9月19日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pPr>
        <w:pageBreakBefore w:val="0"/>
        <w:kinsoku/>
        <w:wordWrap/>
        <w:overflowPunct/>
        <w:topLinePunct w:val="0"/>
        <w:autoSpaceDE/>
        <w:autoSpaceDN/>
        <w:bidi w:val="0"/>
        <w:spacing w:line="44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2023年9月19日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eastAsia="宋体" w:cs="宋体"/>
          <w:color w:val="auto"/>
          <w:sz w:val="24"/>
          <w:highlight w:val="none"/>
          <w:u w:val="single"/>
        </w:rPr>
        <w:t>分00秒</w:t>
      </w:r>
      <w:r>
        <w:rPr>
          <w:rFonts w:hint="eastAsia" w:ascii="宋体" w:hAnsi="宋体" w:eastAsia="宋体" w:cs="宋体"/>
          <w:color w:val="auto"/>
          <w:sz w:val="24"/>
          <w:highlight w:val="none"/>
        </w:rPr>
        <w:t>（北京时间）</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cs="宋体"/>
          <w:color w:val="auto"/>
          <w:sz w:val="24"/>
          <w:highlight w:val="none"/>
          <w:u w:val="single"/>
          <w:lang w:eastAsia="zh-CN"/>
        </w:rPr>
        <w:t>2023年9月19日</w:t>
      </w:r>
      <w:r>
        <w:rPr>
          <w:rFonts w:hint="eastAsia" w:ascii="宋体" w:hAnsi="宋体" w:cs="宋体"/>
          <w:color w:val="auto"/>
          <w:sz w:val="24"/>
          <w:highlight w:val="none"/>
          <w:u w:val="single"/>
          <w:lang w:val="en-US" w:eastAsia="zh-CN"/>
        </w:rPr>
        <w:t>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eastAsia="宋体" w:cs="宋体"/>
          <w:color w:val="auto"/>
          <w:sz w:val="24"/>
          <w:highlight w:val="none"/>
          <w:u w:val="single"/>
        </w:rPr>
        <w:t>分00秒</w:t>
      </w:r>
    </w:p>
    <w:p>
      <w:pPr>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pPr>
        <w:pageBreakBefore w:val="0"/>
        <w:kinsoku/>
        <w:wordWrap/>
        <w:overflowPunct/>
        <w:topLinePunct w:val="0"/>
        <w:autoSpaceDE/>
        <w:autoSpaceDN/>
        <w:bidi w:val="0"/>
        <w:spacing w:line="44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pageBreakBefore w:val="0"/>
        <w:kinsoku/>
        <w:wordWrap/>
        <w:overflowPunct/>
        <w:topLinePunct w:val="0"/>
        <w:autoSpaceDE/>
        <w:autoSpaceDN/>
        <w:bidi w:val="0"/>
        <w:spacing w:line="44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w:t>
      </w:r>
      <w:r>
        <w:rPr>
          <w:rFonts w:hint="eastAsia" w:ascii="宋体" w:hAnsi="宋体" w:cs="宋体"/>
          <w:color w:val="auto"/>
          <w:sz w:val="24"/>
          <w:highlight w:val="none"/>
          <w:lang w:eastAsia="zh-CN"/>
        </w:rPr>
        <w:t>建德市住房和城乡建设局</w:t>
      </w:r>
      <w:r>
        <w:rPr>
          <w:rFonts w:hint="eastAsia" w:ascii="宋体" w:hAnsi="宋体" w:eastAsia="宋体" w:cs="宋体"/>
          <w:color w:val="auto"/>
          <w:sz w:val="24"/>
          <w:highlight w:val="none"/>
        </w:rPr>
        <w:t xml:space="preserve"> </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w:t>
      </w:r>
      <w:r>
        <w:rPr>
          <w:rFonts w:hint="eastAsia" w:ascii="宋体" w:hAnsi="宋体" w:cs="宋体"/>
          <w:color w:val="auto"/>
          <w:sz w:val="24"/>
          <w:highlight w:val="none"/>
          <w:lang w:eastAsia="zh-CN"/>
        </w:rPr>
        <w:t>建德市新安江街道新安路188号</w:t>
      </w:r>
      <w:r>
        <w:rPr>
          <w:rFonts w:hint="eastAsia" w:ascii="宋体" w:hAnsi="宋体" w:eastAsia="宋体" w:cs="宋体"/>
          <w:color w:val="auto"/>
          <w:sz w:val="24"/>
          <w:highlight w:val="none"/>
        </w:rPr>
        <w:t xml:space="preserve">  </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项目联系人（询问）：易莉</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项目联系方式（询问）：15024451199</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质疑联系人：</w:t>
      </w:r>
      <w:r>
        <w:rPr>
          <w:rFonts w:hint="eastAsia" w:ascii="宋体" w:hAnsi="宋体" w:cs="Times New Roman"/>
          <w:color w:val="auto"/>
          <w:kern w:val="2"/>
          <w:sz w:val="24"/>
          <w:szCs w:val="24"/>
          <w:lang w:val="en-US" w:eastAsia="zh-CN" w:bidi="ar-SA"/>
        </w:rPr>
        <w:t>陈卫东</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质疑联系方式：13567151265</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2.采购代理机构信息            </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杭州天恒投资建设管理有限公司</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    址：</w:t>
      </w:r>
      <w:r>
        <w:rPr>
          <w:rFonts w:hint="eastAsia" w:ascii="宋体" w:hAnsi="宋体" w:cs="宋体"/>
          <w:color w:val="auto"/>
          <w:sz w:val="24"/>
          <w:szCs w:val="24"/>
          <w:highlight w:val="none"/>
          <w:lang w:eastAsia="zh-CN"/>
        </w:rPr>
        <w:t>建德市严州大道同鑫商厦二幢102室内二楼</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传    真：</w:t>
      </w:r>
      <w:r>
        <w:rPr>
          <w:rFonts w:hint="eastAsia" w:ascii="宋体" w:hAnsi="宋体" w:cs="宋体"/>
          <w:color w:val="auto"/>
          <w:sz w:val="24"/>
          <w:szCs w:val="24"/>
          <w:highlight w:val="none"/>
          <w:lang w:eastAsia="zh-CN"/>
        </w:rPr>
        <w:t>0571-64740666</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eastAsia="zh-CN"/>
        </w:rPr>
        <w:t>章佳美</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项目联系方式（询问）：</w:t>
      </w:r>
      <w:r>
        <w:rPr>
          <w:rFonts w:hint="eastAsia" w:ascii="宋体" w:hAnsi="宋体" w:cs="宋体"/>
          <w:color w:val="auto"/>
          <w:sz w:val="24"/>
          <w:highlight w:val="none"/>
          <w:lang w:eastAsia="zh-CN"/>
        </w:rPr>
        <w:t>18368192733</w:t>
      </w:r>
      <w:r>
        <w:rPr>
          <w:rFonts w:hint="eastAsia" w:ascii="宋体" w:hAnsi="宋体" w:eastAsia="宋体" w:cs="宋体"/>
          <w:color w:val="auto"/>
          <w:sz w:val="24"/>
          <w:highlight w:val="none"/>
          <w:lang w:val="en-US" w:eastAsia="zh-CN"/>
        </w:rPr>
        <w:t xml:space="preserve"> </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eastAsia="zh-CN"/>
        </w:rPr>
        <w:t>周宁</w:t>
      </w:r>
      <w:r>
        <w:rPr>
          <w:rFonts w:hint="eastAsia" w:ascii="宋体" w:hAnsi="宋体" w:eastAsia="宋体" w:cs="宋体"/>
          <w:color w:val="auto"/>
          <w:sz w:val="24"/>
          <w:highlight w:val="none"/>
        </w:rPr>
        <w:t xml:space="preserve"> </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质疑联系方式：</w:t>
      </w:r>
      <w:r>
        <w:rPr>
          <w:rFonts w:hint="eastAsia" w:ascii="宋体" w:hAnsi="宋体" w:cs="宋体"/>
          <w:color w:val="auto"/>
          <w:sz w:val="24"/>
          <w:highlight w:val="none"/>
          <w:lang w:eastAsia="zh-CN"/>
        </w:rPr>
        <w:t>15068104006</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3.</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 xml:space="preserve">同级政府采购监督管理部门            </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建德市财政局采购办</w:t>
      </w:r>
    </w:p>
    <w:p>
      <w:pPr>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    址：建德市新安江街道严州大道1089号 </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传    真： /</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联系人 ：邵</w:t>
      </w:r>
      <w:r>
        <w:rPr>
          <w:rFonts w:hint="eastAsia" w:ascii="宋体" w:hAnsi="宋体" w:eastAsia="宋体" w:cs="宋体"/>
          <w:color w:val="auto"/>
          <w:sz w:val="24"/>
          <w:highlight w:val="none"/>
          <w:lang w:eastAsia="zh-CN"/>
        </w:rPr>
        <w:t>菁</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4"/>
          <w:highlight w:val="none"/>
        </w:rPr>
        <w:t>监督投诉电话：0571-64718168</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eastAsia="宋体" w:cs="宋体"/>
          <w:b/>
          <w:color w:val="auto"/>
          <w:sz w:val="36"/>
          <w:szCs w:val="20"/>
          <w:highlight w:val="none"/>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pPr>
        <w:keepNext w:val="0"/>
        <w:keepLines w:val="0"/>
        <w:pageBreakBefore w:val="0"/>
        <w:widowControl w:val="0"/>
        <w:kinsoku/>
        <w:wordWrap/>
        <w:overflowPunct/>
        <w:topLinePunct w:val="0"/>
        <w:autoSpaceDE/>
        <w:autoSpaceDN/>
        <w:bidi w:val="0"/>
        <w:adjustRightInd/>
        <w:snapToGrid/>
        <w:spacing w:line="240" w:lineRule="auto"/>
        <w:ind w:firstLine="3845" w:firstLineChars="1197"/>
        <w:textAlignment w:val="auto"/>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3"/>
        <w:tblW w:w="0" w:type="auto"/>
        <w:tblInd w:w="1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5"/>
        <w:gridCol w:w="1785"/>
        <w:gridCol w:w="6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top"/>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序号</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事项</w:t>
            </w:r>
          </w:p>
        </w:tc>
        <w:tc>
          <w:tcPr>
            <w:tcW w:w="6570"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项目属性</w:t>
            </w:r>
            <w:r>
              <w:rPr>
                <w:rFonts w:hint="eastAsia" w:ascii="宋体" w:hAnsi="宋体" w:eastAsia="宋体" w:cs="宋体"/>
                <w:b/>
                <w:color w:val="auto"/>
                <w:sz w:val="24"/>
                <w:highlight w:val="none"/>
                <w:lang w:val="en-US" w:eastAsia="zh-CN"/>
              </w:rPr>
              <w:t xml:space="preserve"> </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eastAsia="zh-CN"/>
              </w:rPr>
              <w:t>货物类，单一产品或核心产品为：</w:t>
            </w:r>
            <w:r>
              <w:rPr>
                <w:rFonts w:hint="eastAsia" w:ascii="宋体" w:hAnsi="宋体" w:eastAsia="宋体" w:cs="宋体"/>
                <w:color w:val="auto"/>
                <w:sz w:val="24"/>
                <w:highlight w:val="none"/>
                <w:u w:val="single"/>
                <w:lang w:eastAsia="zh-CN"/>
              </w:rPr>
              <w:t xml:space="preserve"> 动态称重系统 </w:t>
            </w:r>
            <w:r>
              <w:rPr>
                <w:rFonts w:hint="eastAsia" w:ascii="宋体" w:hAnsi="宋体" w:eastAsia="宋体" w:cs="宋体"/>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2</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采购标的及其对应的中小企业划分标准所属行业</w:t>
            </w:r>
          </w:p>
        </w:tc>
        <w:tc>
          <w:tcPr>
            <w:tcW w:w="6570"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Chars="0"/>
              <w:textAlignment w:val="auto"/>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标的：</w:t>
            </w:r>
            <w:r>
              <w:rPr>
                <w:rFonts w:hint="eastAsia" w:ascii="宋体" w:hAnsi="宋体" w:eastAsia="宋体" w:cs="宋体"/>
                <w:color w:val="auto"/>
                <w:kern w:val="0"/>
                <w:sz w:val="24"/>
                <w:highlight w:val="none"/>
                <w:u w:val="single"/>
              </w:rPr>
              <w:t xml:space="preserve"> 动态称重系统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工业</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行业；</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）标的：</w:t>
            </w:r>
            <w:r>
              <w:rPr>
                <w:rFonts w:hint="eastAsia" w:ascii="宋体" w:hAnsi="宋体" w:eastAsia="宋体" w:cs="宋体"/>
                <w:color w:val="auto"/>
                <w:kern w:val="0"/>
                <w:sz w:val="24"/>
                <w:highlight w:val="none"/>
                <w:u w:val="single"/>
              </w:rPr>
              <w:t xml:space="preserve"> 高清视频监控系统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 xml:space="preserve"> 工业</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行业；</w:t>
            </w:r>
          </w:p>
          <w:p>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leftChars="0"/>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）标的：</w:t>
            </w:r>
            <w:r>
              <w:rPr>
                <w:rFonts w:hint="eastAsia" w:ascii="宋体" w:hAnsi="宋体" w:eastAsia="宋体" w:cs="宋体"/>
                <w:color w:val="auto"/>
                <w:kern w:val="0"/>
                <w:sz w:val="24"/>
                <w:highlight w:val="none"/>
                <w:u w:val="single"/>
              </w:rPr>
              <w:t xml:space="preserve"> 边缘计算及数据处理系统 </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 xml:space="preserve"> 工业</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3</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是否允许采购进口产品</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本项目不允许采购进口产品。</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2"/>
                <w:sz w:val="21"/>
                <w:szCs w:val="24"/>
                <w:highlight w:val="none"/>
                <w:lang w:val="en-US" w:eastAsia="zh-CN" w:bidi="ar-SA"/>
              </w:rPr>
            </w:pPr>
            <w:sdt>
              <w:sdtPr>
                <w:rPr>
                  <w:rFonts w:hint="eastAsia" w:ascii="宋体" w:hAnsi="宋体" w:eastAsia="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4</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分包</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sz w:val="24"/>
                <w:highlight w:val="none"/>
                <w:lang w:eastAsia="zh-CN"/>
              </w:rPr>
            </w:pPr>
            <w:sdt>
              <w:sdtPr>
                <w:rPr>
                  <w:rFonts w:hint="eastAsia" w:ascii="宋体" w:hAnsi="宋体" w:eastAsia="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同意将非主体、非关键性的工作分包</w:t>
            </w:r>
            <w:r>
              <w:rPr>
                <w:rFonts w:hint="eastAsia" w:ascii="宋体" w:hAnsi="宋体" w:eastAsia="宋体" w:cs="宋体"/>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5</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开标前答疑会或现场考察</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2"/>
                <w:sz w:val="24"/>
                <w:szCs w:val="20"/>
                <w:highlight w:val="none"/>
                <w:lang w:val="en-US" w:eastAsia="zh-CN" w:bidi="ar-SA"/>
              </w:rPr>
            </w:pPr>
            <w:sdt>
              <w:sdtPr>
                <w:rPr>
                  <w:rFonts w:hint="eastAsia" w:ascii="宋体" w:hAnsi="宋体" w:eastAsia="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6</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cs="宋体"/>
                <w:b/>
                <w:sz w:val="24"/>
              </w:rPr>
              <w:t>样品提供</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ascii="宋体" w:hAnsi="宋体" w:cs="宋体"/>
                <w:sz w:val="24"/>
              </w:rPr>
            </w:pPr>
            <w:sdt>
              <w:sdtPr>
                <w:rPr>
                  <w:rFonts w:hint="eastAsia" w:ascii="宋体" w:hAnsi="宋体" w:cs="宋体"/>
                  <w:kern w:val="0"/>
                  <w:sz w:val="24"/>
                </w:rPr>
                <w:id w:val="-163994648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7</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
                <w:color w:val="auto"/>
                <w:sz w:val="24"/>
                <w:highlight w:val="none"/>
              </w:rPr>
              <w:t>方案讲解演示</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85934854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1740717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B组织。</w:t>
            </w:r>
          </w:p>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rPr>
              <w:t>0</w:t>
            </w:r>
            <w:r>
              <w:rPr>
                <w:rFonts w:hint="eastAsia" w:ascii="宋体" w:hAnsi="宋体" w:eastAsia="宋体" w:cs="宋体"/>
                <w:color w:val="auto"/>
                <w:kern w:val="0"/>
                <w:sz w:val="24"/>
                <w:highlight w:val="none"/>
              </w:rPr>
              <w:t>分钟，讲解次序以投标文件解密时间先后次序为准，讲解演示人员不超过</w:t>
            </w:r>
            <w:r>
              <w:rPr>
                <w:rFonts w:hint="eastAsia" w:ascii="宋体" w:hAnsi="宋体" w:eastAsia="宋体" w:cs="宋体"/>
                <w:color w:val="auto"/>
                <w:kern w:val="0"/>
                <w:sz w:val="24"/>
                <w:highlight w:val="none"/>
                <w:u w:val="single"/>
              </w:rPr>
              <w:t>3</w:t>
            </w:r>
            <w:r>
              <w:rPr>
                <w:rFonts w:hint="eastAsia" w:ascii="宋体" w:hAnsi="宋体" w:eastAsia="宋体" w:cs="宋体"/>
                <w:color w:val="auto"/>
                <w:kern w:val="0"/>
                <w:sz w:val="24"/>
                <w:highlight w:val="none"/>
              </w:rPr>
              <w:t>人。讲解演示结束后按要求解答评标委员会提问。</w:t>
            </w:r>
          </w:p>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（2）方案讲解演示以下列方式进行：</w:t>
            </w:r>
          </w:p>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政采云平台在线讲解演示。政采云平台在线讲解需投标人根据政采云平台操作要求做好准备工作，提前完善软硬件配置环境。</w:t>
            </w:r>
          </w:p>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textAlignment w:val="auto"/>
              <w:rPr>
                <w:rFonts w:hint="eastAsia" w:ascii="宋体" w:hAnsi="宋体" w:eastAsia="宋体" w:cs="宋体"/>
                <w:b/>
                <w:color w:val="auto"/>
                <w:kern w:val="0"/>
                <w:sz w:val="24"/>
                <w:szCs w:val="24"/>
                <w:highlight w:val="none"/>
                <w:lang w:val="zh-CN" w:eastAsia="zh-CN" w:bidi="ar-SA"/>
              </w:rPr>
            </w:pPr>
            <w:r>
              <w:rPr>
                <w:rFonts w:hint="eastAsia" w:ascii="宋体" w:hAnsi="宋体" w:eastAsia="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8</w:t>
            </w:r>
          </w:p>
        </w:tc>
        <w:tc>
          <w:tcPr>
            <w:tcW w:w="178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投标人应当提供的资格、资信证明文件</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Merge w:val="continue"/>
          </w:tcPr>
          <w:p>
            <w:pPr>
              <w:pStyle w:val="2"/>
              <w:pageBreakBefore w:val="0"/>
              <w:widowControl w:val="0"/>
              <w:kinsoku/>
              <w:wordWrap/>
              <w:overflowPunct/>
              <w:topLinePunct w:val="0"/>
              <w:autoSpaceDE/>
              <w:autoSpaceDN/>
              <w:bidi w:val="0"/>
              <w:spacing w:line="400" w:lineRule="exact"/>
              <w:ind w:left="0" w:firstLine="0" w:firstLineChars="0"/>
              <w:textAlignment w:val="auto"/>
              <w:rPr>
                <w:rFonts w:hint="eastAsia"/>
                <w:vertAlign w:val="baseline"/>
              </w:rPr>
            </w:pPr>
          </w:p>
        </w:tc>
        <w:tc>
          <w:tcPr>
            <w:tcW w:w="1785" w:type="dxa"/>
            <w:vMerge w:val="continue"/>
          </w:tcPr>
          <w:p>
            <w:pPr>
              <w:pStyle w:val="2"/>
              <w:pageBreakBefore w:val="0"/>
              <w:widowControl w:val="0"/>
              <w:kinsoku/>
              <w:wordWrap/>
              <w:overflowPunct/>
              <w:topLinePunct w:val="0"/>
              <w:autoSpaceDE/>
              <w:autoSpaceDN/>
              <w:bidi w:val="0"/>
              <w:spacing w:line="400" w:lineRule="exact"/>
              <w:ind w:left="0" w:firstLine="0" w:firstLineChars="0"/>
              <w:textAlignment w:val="auto"/>
              <w:rPr>
                <w:rFonts w:hint="eastAsia"/>
                <w:vertAlign w:val="baseline"/>
              </w:rPr>
            </w:pP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9</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节能产品、环境标志产品</w:t>
            </w:r>
          </w:p>
        </w:tc>
        <w:tc>
          <w:tcPr>
            <w:tcW w:w="6570"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10</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报价要求</w:t>
            </w:r>
          </w:p>
        </w:tc>
        <w:tc>
          <w:tcPr>
            <w:tcW w:w="6570"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left"/>
              <w:textAlignment w:val="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p>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left"/>
              <w:textAlignment w:val="auto"/>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提醒：验收时检测费用由中标人承担，包含在投标总价中。</w:t>
            </w:r>
          </w:p>
          <w:p>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投标报价出现下列情形的，投标无效：</w:t>
            </w:r>
          </w:p>
          <w:p>
            <w:pPr>
              <w:keepNext w:val="0"/>
              <w:keepLines w:val="0"/>
              <w:pageBreakBefore w:val="0"/>
              <w:widowControl w:val="0"/>
              <w:kinsoku/>
              <w:wordWrap/>
              <w:overflowPunct/>
              <w:topLinePunct w:val="0"/>
              <w:autoSpaceDE/>
              <w:autoSpaceDN/>
              <w:bidi w:val="0"/>
              <w:adjustRightInd w:val="0"/>
              <w:spacing w:line="400" w:lineRule="exact"/>
              <w:ind w:left="0"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投标文件出现不是唯一的、有选择性投标报价的；</w:t>
            </w:r>
          </w:p>
          <w:p>
            <w:pPr>
              <w:keepNext w:val="0"/>
              <w:keepLines w:val="0"/>
              <w:pageBreakBefore w:val="0"/>
              <w:widowControl w:val="0"/>
              <w:kinsoku/>
              <w:wordWrap/>
              <w:overflowPunct/>
              <w:topLinePunct w:val="0"/>
              <w:autoSpaceDE/>
              <w:autoSpaceDN/>
              <w:bidi w:val="0"/>
              <w:adjustRightInd w:val="0"/>
              <w:spacing w:line="400" w:lineRule="exact"/>
              <w:ind w:left="0"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投标报价超过招标文件中规定的预算金额或者最高限价的;</w:t>
            </w:r>
          </w:p>
          <w:p>
            <w:pPr>
              <w:keepNext w:val="0"/>
              <w:keepLines w:val="0"/>
              <w:pageBreakBefore w:val="0"/>
              <w:widowControl w:val="0"/>
              <w:kinsoku/>
              <w:wordWrap/>
              <w:overflowPunct/>
              <w:topLinePunct w:val="0"/>
              <w:autoSpaceDE/>
              <w:autoSpaceDN/>
              <w:bidi w:val="0"/>
              <w:adjustRightInd w:val="0"/>
              <w:spacing w:line="400" w:lineRule="exact"/>
              <w:ind w:left="0"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报价明显低于其他通过符合性审查投标人的报价，有可能影响产品质量或者不能诚信履约的，未能按要求提供书面说明或者提交相关证明材料证明其报价合理性的;</w:t>
            </w:r>
          </w:p>
          <w:p>
            <w:pPr>
              <w:keepNext w:val="0"/>
              <w:keepLines w:val="0"/>
              <w:pageBreakBefore w:val="0"/>
              <w:widowControl w:val="0"/>
              <w:kinsoku/>
              <w:wordWrap/>
              <w:overflowPunct/>
              <w:topLinePunct w:val="0"/>
              <w:autoSpaceDE/>
              <w:autoSpaceDN/>
              <w:bidi w:val="0"/>
              <w:adjustRightInd w:val="0"/>
              <w:spacing w:line="400" w:lineRule="exact"/>
              <w:ind w:left="0" w:firstLine="482"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sz w:val="24"/>
                <w:highlight w:val="none"/>
              </w:rPr>
              <w:t>投标人对根据修正原则修正后的报价不确认的。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11</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中小企业信用融资</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Theme="majorEastAsia" w:hAnsiTheme="majorEastAsia" w:eastAsiaTheme="majorEastAsia" w:cstheme="majorEastAsia"/>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-【融资服务】，可在热门申请中选择产品直接申请，也可点击云智贷匹配适合产品进行申请，或者在可申请项目中根据该项目进行申请。具体可咨询建德市财政局采购办，联系电话：64718168。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12</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 xml:space="preserve">备份投标文件送达地点和签收人员 </w:t>
            </w:r>
          </w:p>
        </w:tc>
        <w:tc>
          <w:tcPr>
            <w:tcW w:w="6570" w:type="dxa"/>
            <w:vAlign w:val="center"/>
          </w:tcPr>
          <w:p>
            <w:pPr>
              <w:pStyle w:val="33"/>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snapToGrid w:val="0"/>
                <w:color w:val="auto"/>
                <w:kern w:val="28"/>
                <w:sz w:val="24"/>
                <w:szCs w:val="21"/>
                <w:highlight w:val="none"/>
                <w:lang w:val="en-US" w:eastAsia="zh-CN" w:bidi="ar-SA"/>
              </w:rPr>
            </w:pPr>
            <w:r>
              <w:rPr>
                <w:rFonts w:hint="eastAsia" w:ascii="宋体" w:hAnsi="宋体" w:eastAsia="宋体" w:cs="宋体"/>
                <w:color w:val="auto"/>
                <w:kern w:val="28"/>
                <w:sz w:val="24"/>
                <w:szCs w:val="24"/>
                <w:highlight w:val="none"/>
              </w:rPr>
              <w:t>备份投标文件送达地点：</w:t>
            </w:r>
            <w:r>
              <w:rPr>
                <w:rFonts w:hint="eastAsia" w:hAnsi="宋体" w:cs="宋体"/>
                <w:color w:val="auto"/>
                <w:sz w:val="24"/>
                <w:szCs w:val="24"/>
                <w:highlight w:val="none"/>
                <w:u w:val="single"/>
                <w:lang w:eastAsia="zh-CN"/>
              </w:rPr>
              <w:t>建德市严州大道同鑫商厦二幢102室内二楼</w:t>
            </w:r>
            <w:r>
              <w:rPr>
                <w:rFonts w:hint="eastAsia" w:ascii="宋体" w:hAnsi="宋体" w:eastAsia="宋体" w:cs="宋体"/>
                <w:color w:val="auto"/>
                <w:kern w:val="28"/>
                <w:sz w:val="24"/>
                <w:szCs w:val="24"/>
                <w:highlight w:val="none"/>
              </w:rPr>
              <w:t>；备份投标文件签收人员联系电话：</w:t>
            </w:r>
            <w:r>
              <w:rPr>
                <w:rFonts w:hint="eastAsia" w:hAnsi="宋体" w:cs="宋体"/>
                <w:color w:val="auto"/>
                <w:sz w:val="24"/>
                <w:szCs w:val="24"/>
                <w:highlight w:val="none"/>
                <w:u w:val="single"/>
                <w:lang w:eastAsia="zh-CN"/>
              </w:rPr>
              <w:t>章佳美</w:t>
            </w:r>
            <w:r>
              <w:rPr>
                <w:rFonts w:hint="eastAsia" w:ascii="宋体" w:hAnsi="宋体" w:eastAsia="宋体" w:cs="宋体"/>
                <w:color w:val="auto"/>
                <w:sz w:val="24"/>
                <w:szCs w:val="24"/>
                <w:highlight w:val="none"/>
                <w:u w:val="single"/>
              </w:rPr>
              <w:t>，</w:t>
            </w:r>
            <w:r>
              <w:rPr>
                <w:rFonts w:hint="eastAsia" w:hAnsi="宋体" w:cs="宋体"/>
                <w:color w:val="auto"/>
                <w:sz w:val="24"/>
                <w:szCs w:val="24"/>
                <w:highlight w:val="none"/>
                <w:u w:val="single"/>
                <w:lang w:val="en-US" w:eastAsia="zh-CN"/>
              </w:rPr>
              <w:t>18368192733</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不强制或变相强制投标人提交备份投标文件。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13</w:t>
            </w:r>
          </w:p>
        </w:tc>
        <w:tc>
          <w:tcPr>
            <w:tcW w:w="178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采购代理机构</w:t>
            </w:r>
          </w:p>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代理费用</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jc w:val="left"/>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投标总报价应含采购服务费，采购服务费按照国家发展计划委员会计价格[2002]1980 号文《招标代理服务费管理暂行办法》及发改办价格[2003]857号文的收费标准（</w:t>
            </w:r>
            <w:r>
              <w:rPr>
                <w:rFonts w:hint="eastAsia" w:ascii="宋体" w:hAnsi="宋体" w:eastAsia="宋体" w:cs="宋体"/>
                <w:snapToGrid w:val="0"/>
                <w:color w:val="auto"/>
                <w:kern w:val="28"/>
                <w:sz w:val="24"/>
                <w:highlight w:val="none"/>
                <w:lang w:val="en-US" w:eastAsia="zh-CN"/>
              </w:rPr>
              <w:t>货物</w:t>
            </w:r>
            <w:r>
              <w:rPr>
                <w:rFonts w:hint="eastAsia" w:ascii="宋体" w:hAnsi="宋体" w:eastAsia="宋体" w:cs="宋体"/>
                <w:snapToGrid w:val="0"/>
                <w:color w:val="auto"/>
                <w:kern w:val="28"/>
                <w:sz w:val="24"/>
                <w:highlight w:val="none"/>
                <w:lang w:eastAsia="zh-CN"/>
              </w:rPr>
              <w:t>类</w:t>
            </w:r>
            <w:r>
              <w:rPr>
                <w:rFonts w:hint="eastAsia" w:ascii="宋体" w:hAnsi="宋体" w:eastAsia="宋体" w:cs="宋体"/>
                <w:snapToGrid w:val="0"/>
                <w:color w:val="auto"/>
                <w:kern w:val="28"/>
                <w:sz w:val="24"/>
                <w:highlight w:val="none"/>
              </w:rPr>
              <w:t>）计取，为</w:t>
            </w:r>
            <w:r>
              <w:rPr>
                <w:rFonts w:hint="eastAsia" w:ascii="宋体" w:hAnsi="宋体" w:eastAsia="宋体" w:cs="宋体"/>
                <w:snapToGrid w:val="0"/>
                <w:color w:val="auto"/>
                <w:kern w:val="28"/>
                <w:sz w:val="24"/>
                <w:highlight w:val="none"/>
              </w:rPr>
              <w:fldChar w:fldCharType="begin"/>
            </w:r>
            <w:r>
              <w:rPr>
                <w:rFonts w:hint="eastAsia" w:ascii="宋体" w:hAnsi="宋体" w:eastAsia="宋体" w:cs="宋体"/>
                <w:snapToGrid w:val="0"/>
                <w:color w:val="auto"/>
                <w:kern w:val="28"/>
                <w:sz w:val="24"/>
                <w:highlight w:val="none"/>
              </w:rPr>
              <w:instrText xml:space="preserve"> = 10500 \* CHINESENUM4 \* MERGEFORMAT </w:instrText>
            </w:r>
            <w:r>
              <w:rPr>
                <w:rFonts w:hint="eastAsia" w:ascii="宋体" w:hAnsi="宋体" w:eastAsia="宋体" w:cs="宋体"/>
                <w:snapToGrid w:val="0"/>
                <w:color w:val="auto"/>
                <w:kern w:val="28"/>
                <w:sz w:val="24"/>
                <w:highlight w:val="none"/>
              </w:rPr>
              <w:fldChar w:fldCharType="separate"/>
            </w:r>
            <w:r>
              <w:rPr>
                <w:rFonts w:hint="eastAsia" w:ascii="宋体" w:hAnsi="宋体" w:eastAsia="宋体" w:cs="宋体"/>
                <w:snapToGrid w:val="0"/>
                <w:color w:val="auto"/>
                <w:kern w:val="28"/>
                <w:sz w:val="24"/>
                <w:highlight w:val="none"/>
                <w:lang w:eastAsia="zh-CN"/>
              </w:rPr>
              <w:t>人民币</w:t>
            </w:r>
            <w:r>
              <w:rPr>
                <w:rFonts w:hint="eastAsia" w:ascii="宋体" w:hAnsi="宋体" w:eastAsia="宋体" w:cs="宋体"/>
                <w:snapToGrid w:val="0"/>
                <w:color w:val="auto"/>
                <w:kern w:val="28"/>
                <w:sz w:val="24"/>
                <w:highlight w:val="none"/>
                <w:lang w:val="en-US" w:eastAsia="zh-CN"/>
              </w:rPr>
              <w:fldChar w:fldCharType="begin"/>
            </w:r>
            <w:r>
              <w:rPr>
                <w:rFonts w:hint="eastAsia" w:ascii="宋体" w:hAnsi="宋体" w:eastAsia="宋体" w:cs="宋体"/>
                <w:snapToGrid w:val="0"/>
                <w:color w:val="auto"/>
                <w:kern w:val="28"/>
                <w:sz w:val="24"/>
                <w:highlight w:val="none"/>
                <w:lang w:val="en-US" w:eastAsia="zh-CN"/>
              </w:rPr>
              <w:instrText xml:space="preserve"> = 12900 \* CHINESENUM4 \* MERGEFORMAT </w:instrText>
            </w:r>
            <w:r>
              <w:rPr>
                <w:rFonts w:hint="eastAsia" w:ascii="宋体" w:hAnsi="宋体" w:eastAsia="宋体" w:cs="宋体"/>
                <w:snapToGrid w:val="0"/>
                <w:color w:val="auto"/>
                <w:kern w:val="28"/>
                <w:sz w:val="24"/>
                <w:highlight w:val="none"/>
                <w:lang w:val="en-US" w:eastAsia="zh-CN"/>
              </w:rPr>
              <w:fldChar w:fldCharType="separate"/>
            </w:r>
            <w:r>
              <w:rPr>
                <w:rFonts w:hint="eastAsia" w:ascii="宋体" w:hAnsi="宋体" w:cs="宋体"/>
                <w:snapToGrid w:val="0"/>
                <w:color w:val="auto"/>
                <w:kern w:val="28"/>
                <w:sz w:val="24"/>
                <w:highlight w:val="none"/>
                <w:lang w:val="en-US" w:eastAsia="zh-CN"/>
              </w:rPr>
              <w:t>壹万陆仟陆佰陆拾</w:t>
            </w:r>
            <w:r>
              <w:rPr>
                <w:rFonts w:hint="eastAsia" w:ascii="宋体" w:hAnsi="宋体" w:eastAsia="宋体" w:cs="宋体"/>
                <w:snapToGrid w:val="0"/>
                <w:color w:val="auto"/>
                <w:kern w:val="28"/>
                <w:sz w:val="24"/>
                <w:highlight w:val="none"/>
                <w:lang w:eastAsia="zh-CN"/>
              </w:rPr>
              <w:t>元整</w:t>
            </w:r>
            <w:r>
              <w:rPr>
                <w:rFonts w:hint="eastAsia" w:ascii="宋体" w:hAnsi="宋体" w:eastAsia="宋体" w:cs="宋体"/>
                <w:snapToGrid w:val="0"/>
                <w:color w:val="auto"/>
                <w:kern w:val="28"/>
                <w:sz w:val="24"/>
                <w:highlight w:val="none"/>
                <w:lang w:val="en-US" w:eastAsia="zh-CN"/>
              </w:rPr>
              <w:fldChar w:fldCharType="end"/>
            </w:r>
            <w:r>
              <w:rPr>
                <w:rFonts w:hint="eastAsia" w:ascii="宋体" w:hAnsi="宋体" w:eastAsia="宋体" w:cs="宋体"/>
                <w:snapToGrid w:val="0"/>
                <w:color w:val="auto"/>
                <w:kern w:val="28"/>
                <w:sz w:val="24"/>
                <w:highlight w:val="none"/>
                <w:lang w:val="en-US" w:eastAsia="zh-CN"/>
              </w:rPr>
              <w:t>（</w:t>
            </w:r>
            <w:r>
              <w:rPr>
                <w:rFonts w:hint="eastAsia" w:ascii="宋体" w:hAnsi="宋体" w:eastAsia="宋体" w:cs="宋体"/>
                <w:snapToGrid w:val="0"/>
                <w:color w:val="auto"/>
                <w:kern w:val="28"/>
                <w:sz w:val="24"/>
                <w:highlight w:val="none"/>
              </w:rPr>
              <w:t>￥16660</w:t>
            </w:r>
            <w:r>
              <w:rPr>
                <w:rFonts w:hint="eastAsia" w:ascii="宋体" w:hAnsi="宋体" w:eastAsia="宋体" w:cs="宋体"/>
                <w:snapToGrid w:val="0"/>
                <w:color w:val="auto"/>
                <w:kern w:val="28"/>
                <w:sz w:val="24"/>
                <w:highlight w:val="none"/>
                <w:lang w:val="en-US" w:eastAsia="zh-CN"/>
              </w:rPr>
              <w:t xml:space="preserve">.00 </w:t>
            </w:r>
            <w:r>
              <w:rPr>
                <w:rFonts w:hint="eastAsia" w:ascii="宋体" w:hAnsi="宋体" w:eastAsia="宋体" w:cs="宋体"/>
                <w:snapToGrid w:val="0"/>
                <w:color w:val="auto"/>
                <w:kern w:val="28"/>
                <w:sz w:val="24"/>
                <w:highlight w:val="none"/>
              </w:rPr>
              <w:t>元）</w:t>
            </w:r>
            <w:r>
              <w:rPr>
                <w:rFonts w:hint="eastAsia" w:ascii="宋体" w:hAnsi="宋体" w:eastAsia="宋体" w:cs="宋体"/>
                <w:snapToGrid w:val="0"/>
                <w:color w:val="auto"/>
                <w:kern w:val="28"/>
                <w:sz w:val="24"/>
                <w:highlight w:val="none"/>
              </w:rPr>
              <w:fldChar w:fldCharType="end"/>
            </w:r>
            <w:r>
              <w:rPr>
                <w:rFonts w:hint="eastAsia" w:ascii="宋体" w:hAnsi="宋体" w:eastAsia="宋体" w:cs="宋体"/>
                <w:snapToGrid w:val="0"/>
                <w:color w:val="auto"/>
                <w:kern w:val="28"/>
                <w:sz w:val="24"/>
                <w:highlight w:val="none"/>
              </w:rPr>
              <w:t>。由中标单位在领取中标通知书时支付给采购代理公司。</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宋体" w:hAnsi="宋体" w:eastAsia="宋体" w:cs="宋体"/>
                <w:snapToGrid w:val="0"/>
                <w:color w:val="auto"/>
                <w:kern w:val="28"/>
                <w:sz w:val="24"/>
                <w:highlight w:val="none"/>
                <w:lang w:val="en-US" w:eastAsia="zh-CN"/>
              </w:rPr>
              <w:t>供应商在政府采购活动中违反政府采购相关规定放弃中标（成交）资格的，采购组织机构有权要求其承担采购服务费和专家评审费等费用。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14</w:t>
            </w:r>
          </w:p>
        </w:tc>
        <w:tc>
          <w:tcPr>
            <w:tcW w:w="178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highlight w:val="none"/>
              </w:rPr>
              <w:t>特别说明</w:t>
            </w: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snapToGrid w:val="0"/>
                <w:color w:val="auto"/>
                <w:kern w:val="28"/>
                <w:sz w:val="24"/>
                <w:szCs w:val="24"/>
                <w:highlight w:val="none"/>
                <w:lang w:val="en-US" w:eastAsia="zh-CN" w:bidi="ar-SA"/>
              </w:rPr>
            </w:pPr>
            <w:r>
              <w:rPr>
                <w:rFonts w:hint="eastAsia" w:ascii="宋体" w:hAnsi="宋体" w:eastAsia="宋体" w:cs="宋体"/>
                <w:snapToGrid w:val="0"/>
                <w:color w:val="auto"/>
                <w:kern w:val="28"/>
                <w:sz w:val="24"/>
                <w:szCs w:val="24"/>
                <w:highlight w:val="none"/>
                <w:lang w:val="en-US" w:eastAsia="zh-CN" w:bidi="ar-SA"/>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cs="宋体"/>
                <w:color w:val="auto"/>
                <w:sz w:val="24"/>
                <w:highlight w:val="none"/>
                <w:lang w:val="en-US" w:eastAsia="zh-CN"/>
              </w:rPr>
            </w:pPr>
            <w:bookmarkStart w:id="12" w:name="_Toc164416483"/>
            <w:bookmarkStart w:id="13" w:name="第三部分"/>
          </w:p>
        </w:tc>
        <w:tc>
          <w:tcPr>
            <w:tcW w:w="1785"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0" w:firstLine="0" w:firstLineChars="0"/>
              <w:jc w:val="center"/>
              <w:textAlignment w:val="auto"/>
              <w:rPr>
                <w:rFonts w:hint="eastAsia" w:ascii="宋体" w:hAnsi="宋体" w:eastAsia="宋体" w:cs="宋体"/>
                <w:b/>
                <w:color w:val="auto"/>
                <w:sz w:val="24"/>
                <w:highlight w:val="none"/>
              </w:rPr>
            </w:pPr>
          </w:p>
        </w:tc>
        <w:tc>
          <w:tcPr>
            <w:tcW w:w="6570" w:type="dxa"/>
            <w:vAlign w:val="center"/>
          </w:tcPr>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snapToGrid w:val="0"/>
                <w:color w:val="auto"/>
                <w:kern w:val="28"/>
                <w:sz w:val="24"/>
                <w:szCs w:val="24"/>
                <w:highlight w:val="none"/>
                <w:lang w:val="en-US" w:eastAsia="zh-CN" w:bidi="ar-SA"/>
              </w:rPr>
            </w:pPr>
            <w:sdt>
              <w:sdtPr>
                <w:rPr>
                  <w:rFonts w:hint="eastAsia" w:ascii="宋体" w:hAnsi="宋体" w:eastAsia="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snapToGrid w:val="0"/>
                <w:color w:val="auto"/>
                <w:kern w:val="28"/>
                <w:sz w:val="24"/>
                <w:szCs w:val="24"/>
                <w:highlight w:val="none"/>
                <w:lang w:val="en-US" w:eastAsia="zh-CN" w:bidi="ar-SA"/>
              </w:rPr>
              <w:t>联合体投标的，联合体各方均需按招标文件第四部分评标标准要求提供资信证明文件，否则视为不符合相关要求。</w:t>
            </w:r>
          </w:p>
          <w:p>
            <w:pPr>
              <w:keepNext w:val="0"/>
              <w:keepLines w:val="0"/>
              <w:pageBreakBefore w:val="0"/>
              <w:widowControl w:val="0"/>
              <w:kinsoku/>
              <w:wordWrap/>
              <w:overflowPunct/>
              <w:topLinePunct w:val="0"/>
              <w:autoSpaceDE/>
              <w:autoSpaceDN/>
              <w:bidi w:val="0"/>
              <w:adjustRightInd w:val="0"/>
              <w:spacing w:line="400" w:lineRule="exact"/>
              <w:ind w:left="0" w:firstLine="0" w:firstLineChars="0"/>
              <w:textAlignment w:val="auto"/>
              <w:rPr>
                <w:rFonts w:hint="eastAsia" w:ascii="宋体" w:hAnsi="宋体" w:eastAsia="宋体" w:cs="宋体"/>
                <w:snapToGrid w:val="0"/>
                <w:color w:val="auto"/>
                <w:kern w:val="28"/>
                <w:sz w:val="24"/>
                <w:szCs w:val="24"/>
                <w:highlight w:val="none"/>
                <w:lang w:val="en-US" w:eastAsia="zh-CN" w:bidi="ar-SA"/>
              </w:rPr>
            </w:pPr>
            <w:sdt>
              <w:sdtPr>
                <w:rPr>
                  <w:rFonts w:hint="eastAsia" w:ascii="宋体" w:hAnsi="宋体" w:eastAsia="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snapToGrid w:val="0"/>
                <w:color w:val="auto"/>
                <w:kern w:val="28"/>
                <w:sz w:val="24"/>
                <w:szCs w:val="24"/>
                <w:highlight w:val="none"/>
                <w:lang w:val="en-US" w:eastAsia="zh-CN" w:bidi="ar-SA"/>
              </w:rPr>
              <w:t>联合体投标的，联合体中有一方或者联合体成员根据分工按招标文件第四部分评标标准要求提供资信证明文件的，视为符合了相关要求。</w:t>
            </w:r>
          </w:p>
        </w:tc>
      </w:tr>
      <w:bookmarkEnd w:id="10"/>
    </w:tbl>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eastAsia="宋体" w:cs="宋体"/>
          <w:b/>
          <w:color w:val="auto"/>
          <w:sz w:val="32"/>
          <w:szCs w:val="20"/>
          <w:highlight w:val="none"/>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pPr>
        <w:keepNext w:val="0"/>
        <w:keepLines w:val="0"/>
        <w:pageBreakBefore w:val="0"/>
        <w:kinsoku/>
        <w:wordWrap/>
        <w:overflowPunct/>
        <w:topLinePunct w:val="0"/>
        <w:bidi w:val="0"/>
        <w:snapToGrid w:val="0"/>
        <w:spacing w:beforeAutospacing="0" w:line="440" w:lineRule="exact"/>
        <w:ind w:left="0" w:leftChars="0" w:firstLine="482" w:firstLineChars="200"/>
        <w:jc w:val="left"/>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适用范围</w:t>
      </w:r>
    </w:p>
    <w:p>
      <w:pPr>
        <w:keepNext w:val="0"/>
        <w:keepLines w:val="0"/>
        <w:pageBreakBefore w:val="0"/>
        <w:kinsoku/>
        <w:wordWrap/>
        <w:overflowPunct/>
        <w:topLinePunct w:val="0"/>
        <w:bidi w:val="0"/>
        <w:snapToGrid w:val="0"/>
        <w:spacing w:beforeAutospacing="0" w:line="44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bidi w:val="0"/>
        <w:adjustRightInd/>
        <w:spacing w:beforeAutospacing="0" w:line="440" w:lineRule="exact"/>
        <w:ind w:left="0" w:leftChars="0" w:firstLine="482" w:firstLineChars="20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2.定义</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“采购人”系指招标公告中载明的本项目的采购人。</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”系指招标公告中载明的本项目的</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“投标人”系指是指响应招标、参加投标竞争的法人、其他组织或者自然人。</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“负责人”系指法人企业的法定负责人，或其他组织为法律、行政法规规定代表单位行使职权的主要负责人，或自然人本人。</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2.6“电子交易平台”</w:t>
      </w:r>
      <w:r>
        <w:rPr>
          <w:rFonts w:hint="eastAsia" w:ascii="宋体" w:hAnsi="宋体" w:eastAsia="宋体" w:cs="宋体"/>
          <w:color w:val="auto"/>
          <w:sz w:val="24"/>
          <w:szCs w:val="24"/>
          <w:highlight w:val="none"/>
          <w:lang w:val="en-US" w:eastAsia="zh-CN"/>
        </w:rPr>
        <w:t>系</w:t>
      </w:r>
      <w:r>
        <w:rPr>
          <w:rFonts w:hint="eastAsia" w:ascii="宋体" w:hAnsi="宋体" w:eastAsia="宋体" w:cs="宋体"/>
          <w:color w:val="auto"/>
          <w:sz w:val="24"/>
          <w:szCs w:val="24"/>
          <w:highlight w:val="none"/>
        </w:rPr>
        <w:t>指本项目政府采购活动所依托的政府采购云平台（https://www.zcygov.cn/）。</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 系指实质性要求条款，“</w:t>
      </w:r>
      <w:sdt>
        <w:sdtPr>
          <w:rPr>
            <w:rFonts w:hint="eastAsia" w:ascii="宋体" w:hAnsi="宋体" w:eastAsia="宋体" w:cs="宋体"/>
            <w:color w:val="auto"/>
            <w:kern w:val="0"/>
            <w:sz w:val="24"/>
            <w:szCs w:val="24"/>
            <w:highlight w:val="none"/>
          </w:rPr>
          <w:id w:val="-1477286927"/>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系指适用本项目的要求，“</w:t>
      </w:r>
      <w:r>
        <w:rPr>
          <w:rFonts w:hint="eastAsia" w:ascii="宋体" w:hAnsi="宋体" w:eastAsia="宋体" w:cs="宋体"/>
          <w:color w:val="auto"/>
          <w:sz w:val="24"/>
          <w:szCs w:val="24"/>
          <w:highlight w:val="none"/>
        </w:rPr>
        <w:sym w:font="Wingdings 2" w:char="00A3"/>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系指不适用本项目的要求。</w:t>
      </w:r>
    </w:p>
    <w:p>
      <w:pPr>
        <w:keepNext w:val="0"/>
        <w:keepLines w:val="0"/>
        <w:pageBreakBefore w:val="0"/>
        <w:kinsoku/>
        <w:wordWrap/>
        <w:overflowPunct/>
        <w:topLinePunct w:val="0"/>
        <w:bidi w:val="0"/>
        <w:spacing w:beforeAutospacing="0" w:line="44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w:t>
      </w: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采购项目需要落实的政府采购政策</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不会对其加以限制，仍将按照公平竞争原则实施采购）；</w:t>
      </w:r>
      <w:r>
        <w:rPr>
          <w:rFonts w:hint="eastAsia" w:ascii="宋体" w:hAnsi="宋体" w:eastAsia="宋体" w:cs="宋体"/>
          <w:color w:val="auto"/>
          <w:kern w:val="0"/>
          <w:sz w:val="24"/>
          <w:szCs w:val="24"/>
          <w:highlight w:val="none"/>
        </w:rPr>
        <w:t>优先采购向我国企业转让技术、与我国企业签订消化吸收再创新方案的供应商的进口产品</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支持绿色发展</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szCs w:val="24"/>
          <w:highlight w:val="none"/>
        </w:rPr>
        <w:t>▲采购人拟采购的产品属于政府强制采购的节能产品品目清单范围的，投标人相应的投标产品未获得国家确定的认证机构出具的、处于有效期之内的节能产品认证证书的，投标无效。</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u w:val="none"/>
          <w:lang w:val="en-US" w:eastAsia="zh-CN"/>
        </w:rPr>
      </w:pPr>
      <w:r>
        <w:rPr>
          <w:rFonts w:hint="eastAsia" w:ascii="宋体" w:hAnsi="宋体" w:eastAsia="宋体" w:cs="宋体"/>
          <w:color w:val="auto"/>
          <w:sz w:val="24"/>
          <w:szCs w:val="24"/>
          <w:highlight w:val="none"/>
        </w:rPr>
        <w:t xml:space="preserve">3.2.2 </w:t>
      </w:r>
      <w:r>
        <w:rPr>
          <w:rFonts w:hint="eastAsia" w:ascii="宋体" w:hAnsi="宋体" w:eastAsia="宋体" w:cs="宋体"/>
          <w:color w:val="auto"/>
          <w:kern w:val="0"/>
          <w:sz w:val="24"/>
          <w:szCs w:val="24"/>
          <w:highlight w:val="none"/>
          <w:u w:val="none"/>
          <w:lang w:val="en-US" w:eastAsia="zh-CN"/>
        </w:rPr>
        <w:t>纳入政府采购管理的修缮、装修类项目采购建材的，鼓励采购单位将绿色建材性能、指标等作为实质性条件纳入采购文件和合同，具体性能指标要求参考相关绿色建材政府采购需求标准。</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4" w:name="_Hlk107568539"/>
      <w:r>
        <w:rPr>
          <w:rFonts w:hint="eastAsia" w:ascii="宋体" w:hAnsi="宋体" w:eastAsia="宋体" w:cs="宋体"/>
          <w:color w:val="auto"/>
          <w:sz w:val="24"/>
          <w:szCs w:val="24"/>
          <w:highlight w:val="none"/>
        </w:rPr>
        <w:t>鼓励采购单位优先采购秸秆环保板材等资源综合利用产品。鼓励采购单位优先采购绿色物流配送服务、提供新能源交通工具的租赁服务。</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u w:val="none"/>
          <w:lang w:val="en-US" w:eastAsia="zh-CN"/>
        </w:rPr>
      </w:pPr>
      <w:r>
        <w:rPr>
          <w:rFonts w:hint="eastAsia" w:ascii="宋体" w:hAnsi="宋体" w:eastAsia="宋体" w:cs="宋体"/>
          <w:color w:val="auto"/>
          <w:kern w:val="0"/>
          <w:sz w:val="24"/>
          <w:szCs w:val="24"/>
          <w:highlight w:val="none"/>
          <w:u w:val="none"/>
          <w:lang w:val="en-US" w:eastAsia="zh-CN"/>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4"/>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3.3支持中小企业发展</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符合中小企业划分标准的个体工商户，在政府采购活动中视同中小企业。</w:t>
      </w:r>
    </w:p>
    <w:p>
      <w:pPr>
        <w:keepNext w:val="0"/>
        <w:keepLines w:val="0"/>
        <w:pageBreakBefore w:val="0"/>
        <w:widowControl/>
        <w:kinsoku/>
        <w:wordWrap/>
        <w:overflowPunct/>
        <w:topLinePunct w:val="0"/>
        <w:bidi w:val="0"/>
        <w:spacing w:beforeAutospacing="0" w:line="440" w:lineRule="exact"/>
        <w:ind w:left="0" w:lef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3.3.2</w:t>
      </w:r>
      <w:r>
        <w:rPr>
          <w:rFonts w:hint="eastAsia" w:ascii="宋体" w:hAnsi="宋体" w:eastAsia="宋体" w:cs="宋体"/>
          <w:color w:val="auto"/>
          <w:kern w:val="0"/>
          <w:sz w:val="24"/>
          <w:szCs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keepNext w:val="0"/>
        <w:keepLines w:val="0"/>
        <w:pageBreakBefore w:val="0"/>
        <w:widowControl/>
        <w:kinsoku/>
        <w:wordWrap/>
        <w:overflowPunct/>
        <w:topLinePunct w:val="0"/>
        <w:bidi w:val="0"/>
        <w:spacing w:beforeAutospacing="0" w:line="440" w:lineRule="exact"/>
        <w:ind w:left="0" w:lef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3.3.3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w:t>
      </w:r>
      <w:bookmarkStart w:id="15" w:name="_Hlk101132181"/>
      <w:r>
        <w:rPr>
          <w:rFonts w:hint="eastAsia" w:ascii="宋体" w:hAnsi="宋体" w:eastAsia="宋体" w:cs="宋体"/>
          <w:color w:val="auto"/>
          <w:sz w:val="24"/>
          <w:szCs w:val="24"/>
          <w:highlight w:val="none"/>
        </w:rPr>
        <w:t>联合协议或者分包意向协议约定小微企业的合同份额占到合同总金额30%以上的</w:t>
      </w:r>
      <w:bookmarkEnd w:id="15"/>
      <w:r>
        <w:rPr>
          <w:rFonts w:hint="eastAsia" w:ascii="宋体" w:hAnsi="宋体" w:eastAsia="宋体" w:cs="宋体"/>
          <w:color w:val="auto"/>
          <w:sz w:val="24"/>
          <w:szCs w:val="24"/>
          <w:highlight w:val="none"/>
        </w:rPr>
        <w:t>，对联合体或者大中型企业的报价给予6%的扣除，用扣除后的价格参加评审。组成联合体或者接受分包的小微企业与联合体内其他企业、分包企业之间存在直接控股、管理关系的，不享受价格扣除优惠政策。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3.3.4符合《关于促进残疾人就业政府采购政策的通知》（财库〔2017〕141号）规定的条件并提供《残疾人福利性单位声明函》（附件1）的残疾人福利性单位视同小型、微型企业；</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3.3.7中小企业享受扶持政策获得政府采购合同的，小微企业不得将合同分包给大中型企业，中型企业不得将合同分包给大型企业。</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bCs/>
          <w:color w:val="auto"/>
          <w:sz w:val="24"/>
          <w:szCs w:val="24"/>
          <w:highlight w:val="none"/>
        </w:rPr>
        <w:t>支持创新发展</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 采购人优先采购被认定为首台套产品和“制造精品”的自主创新产品。</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3.5平等对待内外资企业和符合条件的破产重整企业</w:t>
      </w:r>
    </w:p>
    <w:p>
      <w:pPr>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平等对待内外资企业和符合条件的破产重整企业，切实保障企业公平竞争，平等维护企业的合法利益。</w:t>
      </w:r>
    </w:p>
    <w:p>
      <w:pPr>
        <w:keepNext w:val="0"/>
        <w:keepLines w:val="0"/>
        <w:pageBreakBefore w:val="0"/>
        <w:kinsoku/>
        <w:wordWrap/>
        <w:overflowPunct/>
        <w:topLinePunct w:val="0"/>
        <w:bidi w:val="0"/>
        <w:spacing w:beforeAutospacing="0" w:line="44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 询问、质疑、投诉</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4.1在线询问、质疑、投诉</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autoSpaceDE w:val="0"/>
        <w:autoSpaceDN w:val="0"/>
        <w:bidi w:val="0"/>
        <w:spacing w:beforeAutospacing="0" w:line="440" w:lineRule="exact"/>
        <w:ind w:left="0" w:leftChars="0"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4.2供应商询问</w:t>
      </w:r>
    </w:p>
    <w:p>
      <w:pPr>
        <w:keepNext w:val="0"/>
        <w:keepLines w:val="0"/>
        <w:pageBreakBefore w:val="0"/>
        <w:kinsoku/>
        <w:wordWrap/>
        <w:overflowPunct/>
        <w:topLinePunct w:val="0"/>
        <w:autoSpaceDE w:val="0"/>
        <w:autoSpaceDN w:val="0"/>
        <w:bidi w:val="0"/>
        <w:spacing w:beforeAutospacing="0" w:line="440" w:lineRule="exact"/>
        <w:ind w:left="0" w:leftChars="0"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kinsoku/>
        <w:wordWrap/>
        <w:overflowPunct/>
        <w:topLinePunct w:val="0"/>
        <w:autoSpaceDE w:val="0"/>
        <w:autoSpaceDN w:val="0"/>
        <w:bidi w:val="0"/>
        <w:spacing w:beforeAutospacing="0" w:line="440" w:lineRule="exact"/>
        <w:ind w:left="0" w:leftChars="0"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4.3供应商质疑</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4.3</w:t>
      </w:r>
      <w:r>
        <w:rPr>
          <w:rFonts w:hint="eastAsia" w:ascii="宋体" w:hAnsi="宋体" w:eastAsia="宋体" w:cs="宋体"/>
          <w:color w:val="auto"/>
          <w:sz w:val="24"/>
          <w:szCs w:val="24"/>
          <w:highlight w:val="none"/>
        </w:rPr>
        <w:t>.1提出质疑的供应商应当是参与所质疑项目采购活动的供应商。潜在供应商已依法获取其可质疑的招标文件的，可以对该文件提出质疑。</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4.3</w:t>
      </w:r>
      <w:r>
        <w:rPr>
          <w:rFonts w:hint="eastAsia" w:ascii="宋体" w:hAnsi="宋体" w:eastAsia="宋体" w:cs="宋体"/>
          <w:color w:val="auto"/>
          <w:sz w:val="24"/>
          <w:szCs w:val="24"/>
          <w:highlight w:val="none"/>
        </w:rPr>
        <w:t>.2供应商认为招标文件、采购过程和中标结果使自己的权益受到损害的，可以在知道或者应知其权益受到损害之日起七个工作日内，以书面形式向采购人或者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提出质疑，否则，采购人或者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不予受理：</w:t>
      </w:r>
    </w:p>
    <w:p>
      <w:pPr>
        <w:pStyle w:val="5"/>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snapToGrid/>
          <w:color w:val="auto"/>
          <w:kern w:val="2"/>
          <w:sz w:val="24"/>
          <w:szCs w:val="24"/>
          <w:highlight w:val="none"/>
        </w:rPr>
      </w:pPr>
      <w:r>
        <w:rPr>
          <w:rFonts w:hint="eastAsia" w:ascii="宋体" w:hAnsi="宋体" w:eastAsia="宋体" w:cs="宋体"/>
          <w:snapToGrid/>
          <w:color w:val="auto"/>
          <w:kern w:val="2"/>
          <w:sz w:val="24"/>
          <w:szCs w:val="24"/>
          <w:highlight w:val="none"/>
        </w:rPr>
        <w:t>4.3.2.1对招标文件提出质疑的，质疑期限为供应商获得招标文件之日或者招标文件公告期限届满之日起计算。</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4.3.2.2对采购过程提出质疑的，质疑期限为各采购程序环节结束之日起计算。4.3.2.3对采购结果提出质疑的，质疑期限自采购结果公告期限届满之日起计算。</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w:t>
      </w:r>
      <w:r>
        <w:rPr>
          <w:rFonts w:hint="eastAsia" w:ascii="宋体" w:hAnsi="宋体" w:eastAsia="宋体" w:cs="宋体"/>
          <w:color w:val="auto"/>
          <w:sz w:val="24"/>
          <w:szCs w:val="24"/>
          <w:highlight w:val="none"/>
        </w:rPr>
        <w:t>供应商提出质疑应当提交质疑函和必要的证明材料。质疑函应当包括下列内容：</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4.3.3.1供应商的姓名或者名称、地址、邮编、联系人及联系电话；</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4.3.3.2质疑项目的名称、编号；</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4.3.3.3具体、明确的质疑事项和与质疑事项相关的请求；</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4.3.3.4事实依据；</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4.3.3.5必要的法律依据；</w:t>
      </w:r>
    </w:p>
    <w:p>
      <w:pPr>
        <w:pStyle w:val="33"/>
        <w:keepNext w:val="0"/>
        <w:keepLines w:val="0"/>
        <w:pageBreakBefore w:val="0"/>
        <w:kinsoku/>
        <w:wordWrap/>
        <w:overflowPunct/>
        <w:topLinePunct w:val="0"/>
        <w:bidi w:val="0"/>
        <w:spacing w:beforeAutospacing="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4.3.3.6提出质疑的日期。</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质疑函范本及制作说明详见附件2。</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4.3.4对同一采购程序环节的质疑，供应商须在法定质疑期内一次性提出。</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4.3</w:t>
      </w:r>
      <w:r>
        <w:rPr>
          <w:rFonts w:hint="eastAsia" w:ascii="宋体" w:hAnsi="宋体" w:eastAsia="宋体" w:cs="宋体"/>
          <w:color w:val="auto"/>
          <w:sz w:val="24"/>
          <w:szCs w:val="24"/>
          <w:highlight w:val="none"/>
        </w:rPr>
        <w:t>.5采购人或者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在质疑回复后5个工作日内，在浙江政府采购网的“其他公告”栏目公开质疑答复，答复内容应当完整。质疑函作为附件上传。</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4.3</w:t>
      </w:r>
      <w:r>
        <w:rPr>
          <w:rFonts w:hint="eastAsia" w:ascii="宋体" w:hAnsi="宋体" w:eastAsia="宋体" w:cs="宋体"/>
          <w:color w:val="auto"/>
          <w:sz w:val="24"/>
          <w:szCs w:val="24"/>
          <w:highlight w:val="none"/>
        </w:rPr>
        <w:t>.6询问或者质疑事项可能影响采购结果的，采购人应当暂停签订合同，已经签订合同的，应当中止履行合同。</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4.4供应商投诉</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4.4.1质疑供应商对采购人、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的答复不满意或者采购人、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未在规定的时间内作出答复的，可以在答复期满后十五个工作日内向同级政府采购监督管理部门提出投诉。</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供应商投诉的事项不得超出已质疑事项的范围，基于质疑答复内容提出的投诉事项除外。</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4.4.3供应商投诉应当有明确的请求和必要的证明材料。</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4.4.4 以联合体形式参加政府采购活动的，其投诉应当由组成联合体的所有供应商共同提出。</w:t>
      </w:r>
    </w:p>
    <w:p>
      <w:pPr>
        <w:pStyle w:val="886"/>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投诉书范本及制作说明详见附件3。</w:t>
      </w:r>
    </w:p>
    <w:p>
      <w:pPr>
        <w:pStyle w:val="128"/>
        <w:keepNext w:val="0"/>
        <w:keepLines w:val="0"/>
        <w:pageBreakBefore w:val="0"/>
        <w:kinsoku/>
        <w:wordWrap/>
        <w:overflowPunct/>
        <w:topLinePunct w:val="0"/>
        <w:bidi w:val="0"/>
        <w:snapToGrid w:val="0"/>
        <w:spacing w:before="0" w:beforeAutospacing="0" w:line="440" w:lineRule="exact"/>
        <w:ind w:left="0" w:leftChars="0" w:firstLine="480" w:firstLineChars="200"/>
        <w:textAlignment w:val="auto"/>
        <w:rPr>
          <w:rFonts w:hint="eastAsia" w:ascii="宋体" w:hAnsi="宋体" w:eastAsia="宋体" w:cs="宋体"/>
          <w:color w:val="auto"/>
          <w:sz w:val="24"/>
          <w:szCs w:val="24"/>
          <w:highlight w:val="none"/>
        </w:rPr>
      </w:pPr>
    </w:p>
    <w:p>
      <w:pPr>
        <w:adjustRightInd/>
        <w:spacing w:line="24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pPr>
        <w:pStyle w:val="33"/>
        <w:keepNext w:val="0"/>
        <w:keepLines w:val="0"/>
        <w:pageBreakBefore w:val="0"/>
        <w:widowControl w:val="0"/>
        <w:kinsoku/>
        <w:wordWrap/>
        <w:overflowPunct/>
        <w:topLinePunct w:val="0"/>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pPr>
        <w:pStyle w:val="33"/>
        <w:keepNext w:val="0"/>
        <w:keepLines w:val="0"/>
        <w:pageBreakBefore w:val="0"/>
        <w:widowControl w:val="0"/>
        <w:kinsoku/>
        <w:wordWrap/>
        <w:overflowPunct/>
        <w:topLinePunct w:val="0"/>
        <w:bidi w:val="0"/>
        <w:adjustRightIn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5.1.6应提交的有关格式范例。</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5.2与本项目有关的</w:t>
      </w:r>
      <w:r>
        <w:rPr>
          <w:rFonts w:hint="eastAsia" w:ascii="宋体" w:hAnsi="宋体" w:eastAsia="宋体" w:cs="宋体"/>
          <w:bCs/>
          <w:color w:val="auto"/>
          <w:sz w:val="24"/>
          <w:szCs w:val="24"/>
          <w:highlight w:val="none"/>
        </w:rPr>
        <w:t>澄清或者修改的内容为招标文件的组成部分</w:t>
      </w:r>
      <w:r>
        <w:rPr>
          <w:rFonts w:hint="eastAsia" w:ascii="宋体" w:hAnsi="宋体" w:eastAsia="宋体" w:cs="宋体"/>
          <w:color w:val="auto"/>
          <w:sz w:val="24"/>
          <w:szCs w:val="24"/>
          <w:highlight w:val="none"/>
        </w:rPr>
        <w:t>。</w:t>
      </w:r>
    </w:p>
    <w:p>
      <w:pPr>
        <w:pStyle w:val="33"/>
        <w:keepNext w:val="0"/>
        <w:keepLines w:val="0"/>
        <w:pageBreakBefore w:val="0"/>
        <w:widowControl w:val="0"/>
        <w:kinsoku/>
        <w:wordWrap/>
        <w:overflowPunct/>
        <w:topLinePunct w:val="0"/>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pPr>
        <w:pStyle w:val="128"/>
        <w:keepNext w:val="0"/>
        <w:keepLines w:val="0"/>
        <w:pageBreakBefore w:val="0"/>
        <w:widowControl w:val="0"/>
        <w:kinsoku/>
        <w:wordWrap/>
        <w:overflowPunct/>
        <w:topLinePunct w:val="0"/>
        <w:bidi w:val="0"/>
        <w:adjustRightInd w:val="0"/>
        <w:snapToGri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6.1已获取招标文件的潜在投标人，若有问题需要澄清，应于投标截止时间前，以书面形式向</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提出。</w:t>
      </w:r>
    </w:p>
    <w:p>
      <w:pPr>
        <w:pStyle w:val="128"/>
        <w:keepNext w:val="0"/>
        <w:keepLines w:val="0"/>
        <w:pageBreakBefore w:val="0"/>
        <w:widowControl w:val="0"/>
        <w:kinsoku/>
        <w:wordWrap/>
        <w:overflowPunct/>
        <w:topLinePunct w:val="0"/>
        <w:bidi w:val="0"/>
        <w:adjustRightInd w:val="0"/>
        <w:snapToGri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6.2 </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keepNext w:val="0"/>
        <w:keepLines w:val="0"/>
        <w:pageBreakBefore w:val="0"/>
        <w:widowControl w:val="0"/>
        <w:kinsoku/>
        <w:wordWrap/>
        <w:overflowPunct/>
        <w:topLinePunct w:val="0"/>
        <w:bidi w:val="0"/>
        <w:adjustRightInd w:val="0"/>
        <w:spacing w:line="440" w:lineRule="exac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 xml:space="preserve">    </w:t>
      </w:r>
    </w:p>
    <w:p>
      <w:pPr>
        <w:adjustRightInd/>
        <w:spacing w:line="24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pPr>
        <w:pStyle w:val="33"/>
        <w:keepNext w:val="0"/>
        <w:keepLines w:val="0"/>
        <w:pageBreakBefore w:val="0"/>
        <w:kinsoku/>
        <w:wordWrap/>
        <w:overflowPunct/>
        <w:topLinePunct w:val="0"/>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详见招标公告中获取招标文件的时间期限、地点、方式及招标文件售价。</w:t>
      </w:r>
    </w:p>
    <w:p>
      <w:pPr>
        <w:pStyle w:val="33"/>
        <w:keepNext w:val="0"/>
        <w:keepLines w:val="0"/>
        <w:pageBreakBefore w:val="0"/>
        <w:kinsoku/>
        <w:wordWrap/>
        <w:overflowPunct/>
        <w:topLinePunct w:val="0"/>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pPr>
        <w:pStyle w:val="33"/>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keepNext w:val="0"/>
        <w:keepLines w:val="0"/>
        <w:pageBreakBefore w:val="0"/>
        <w:kinsoku/>
        <w:wordWrap/>
        <w:overflowPunct/>
        <w:topLinePunct w:val="0"/>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28"/>
          <w:sz w:val="24"/>
          <w:szCs w:val="24"/>
          <w:highlight w:val="none"/>
        </w:rPr>
        <w:t>9.投标保证金</w:t>
      </w:r>
    </w:p>
    <w:p>
      <w:pPr>
        <w:pStyle w:val="5"/>
        <w:keepNext w:val="0"/>
        <w:keepLines w:val="0"/>
        <w:pageBreakBefore w:val="0"/>
        <w:kinsoku/>
        <w:wordWrap/>
        <w:overflowPunct/>
        <w:topLinePunct w:val="0"/>
        <w:bidi w:val="0"/>
        <w:adjustRightInd w:val="0"/>
        <w:spacing w:line="440" w:lineRule="exact"/>
        <w:ind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本项目不需缴纳投标保证金。</w:t>
      </w:r>
    </w:p>
    <w:p>
      <w:pPr>
        <w:pStyle w:val="33"/>
        <w:keepNext w:val="0"/>
        <w:keepLines w:val="0"/>
        <w:pageBreakBefore w:val="0"/>
        <w:kinsoku/>
        <w:wordWrap/>
        <w:overflowPunct/>
        <w:topLinePunct w:val="0"/>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投标文件及投标人与采购有关的来往通知、函件和文件均应使用中文。</w:t>
      </w:r>
    </w:p>
    <w:p>
      <w:pPr>
        <w:pStyle w:val="33"/>
        <w:keepNext w:val="0"/>
        <w:keepLines w:val="0"/>
        <w:pageBreakBefore w:val="0"/>
        <w:kinsoku/>
        <w:wordWrap/>
        <w:overflowPunct/>
        <w:topLinePunct w:val="0"/>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b/>
          <w:color w:val="auto"/>
          <w:sz w:val="24"/>
          <w:szCs w:val="24"/>
          <w:highlight w:val="none"/>
        </w:rPr>
        <w:t>资格文件</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11.1.1符合参加政府采购活动应当具备的一般条件的承诺函；</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11.1.2</w:t>
      </w:r>
      <w:bookmarkStart w:id="16" w:name="_Hlk101259339"/>
      <w:r>
        <w:rPr>
          <w:rFonts w:hint="eastAsia" w:ascii="宋体" w:hAnsi="宋体" w:eastAsia="宋体" w:cs="宋体"/>
          <w:snapToGrid w:val="0"/>
          <w:color w:val="auto"/>
          <w:kern w:val="28"/>
          <w:sz w:val="24"/>
          <w:szCs w:val="24"/>
          <w:highlight w:val="none"/>
        </w:rPr>
        <w:t>联合协议</w:t>
      </w:r>
      <w:bookmarkEnd w:id="16"/>
      <w:r>
        <w:rPr>
          <w:rFonts w:hint="eastAsia" w:ascii="宋体" w:hAnsi="宋体" w:eastAsia="宋体" w:cs="宋体"/>
          <w:snapToGrid w:val="0"/>
          <w:color w:val="auto"/>
          <w:kern w:val="28"/>
          <w:sz w:val="24"/>
          <w:szCs w:val="24"/>
          <w:highlight w:val="none"/>
        </w:rPr>
        <w:t>（如果有)；</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11.1.3落实政府采购政策需满足的资格要求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kern w:val="2"/>
          <w:sz w:val="24"/>
          <w:szCs w:val="24"/>
          <w:highlight w:val="none"/>
          <w:lang w:val="en-US" w:eastAsia="zh-CN" w:bidi="ar-SA"/>
        </w:rPr>
        <w:t>中小企业声明函</w:t>
      </w:r>
      <w:r>
        <w:rPr>
          <w:rFonts w:hint="eastAsia" w:ascii="宋体" w:hAnsi="宋体" w:eastAsia="宋体" w:cs="宋体"/>
          <w:color w:val="auto"/>
          <w:sz w:val="24"/>
          <w:szCs w:val="24"/>
          <w:highlight w:val="none"/>
        </w:rPr>
        <w:t>；（如果有)</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11.1.4本项目的特定资格要求</w:t>
      </w:r>
      <w:r>
        <w:rPr>
          <w:rFonts w:hint="eastAsia" w:ascii="宋体" w:hAnsi="宋体" w:eastAsia="宋体" w:cs="宋体"/>
          <w:snapToGrid w:val="0"/>
          <w:color w:val="auto"/>
          <w:kern w:val="28"/>
          <w:sz w:val="24"/>
          <w:szCs w:val="24"/>
          <w:highlight w:val="none"/>
        </w:rPr>
        <w:t>（如果有)</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rPr>
        <w:t>商务技术</w:t>
      </w:r>
      <w:r>
        <w:rPr>
          <w:rFonts w:hint="eastAsia" w:ascii="宋体" w:hAnsi="宋体" w:eastAsia="宋体" w:cs="宋体"/>
          <w:color w:val="auto"/>
          <w:sz w:val="24"/>
          <w:szCs w:val="24"/>
          <w:highlight w:val="none"/>
          <w:lang w:val="zh-CN"/>
        </w:rPr>
        <w:t>文件：</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11.2.1投标函；</w:t>
      </w:r>
      <w:r>
        <w:rPr>
          <w:rFonts w:hint="eastAsia" w:ascii="宋体" w:hAnsi="宋体" w:eastAsia="宋体" w:cs="宋体"/>
          <w:color w:val="auto"/>
          <w:sz w:val="24"/>
          <w:szCs w:val="24"/>
          <w:highlight w:val="none"/>
          <w:lang w:val="zh-CN"/>
        </w:rPr>
        <w:t xml:space="preserve"> </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11.2.2授权委托书或法定代表人（单位负责人、自然人本人）身份证明；</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11.2.3分包意向协议（如果有)；</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11.2.4符合性审查资料；</w:t>
      </w:r>
    </w:p>
    <w:p>
      <w:pPr>
        <w:keepNext w:val="0"/>
        <w:keepLines w:val="0"/>
        <w:pageBreakBefore w:val="0"/>
        <w:kinsoku/>
        <w:wordWrap/>
        <w:overflowPunct/>
        <w:topLinePunct w:val="0"/>
        <w:bidi w:val="0"/>
        <w:adjustRightInd w:val="0"/>
        <w:snapToGrid w:val="0"/>
        <w:spacing w:line="44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评标标准相应的商务技术资料；</w:t>
      </w:r>
    </w:p>
    <w:p>
      <w:pPr>
        <w:keepNext w:val="0"/>
        <w:keepLines w:val="0"/>
        <w:pageBreakBefore w:val="0"/>
        <w:kinsoku/>
        <w:wordWrap/>
        <w:overflowPunct/>
        <w:topLinePunct w:val="0"/>
        <w:bidi w:val="0"/>
        <w:adjustRightInd w:val="0"/>
        <w:snapToGrid w:val="0"/>
        <w:spacing w:line="44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投标标的清单；</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商务技术偏离表；</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zh-CN"/>
        </w:rPr>
        <w:t>政府采购供应商廉洁自律承诺书；</w:t>
      </w:r>
    </w:p>
    <w:p>
      <w:pPr>
        <w:keepNext w:val="0"/>
        <w:keepLines w:val="0"/>
        <w:pageBreakBefore w:val="0"/>
        <w:kinsoku/>
        <w:wordWrap/>
        <w:overflowPunct/>
        <w:topLinePunct w:val="0"/>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u w:val="single"/>
          <w:lang w:val="zh-CN"/>
        </w:rPr>
      </w:pPr>
      <w:r>
        <w:rPr>
          <w:rFonts w:hint="eastAsia" w:ascii="宋体" w:hAnsi="宋体" w:eastAsia="宋体" w:cs="宋体"/>
          <w:color w:val="auto"/>
          <w:kern w:val="0"/>
          <w:sz w:val="24"/>
          <w:szCs w:val="24"/>
          <w:highlight w:val="none"/>
          <w:lang w:val="zh-CN"/>
        </w:rPr>
        <w:t>11.</w:t>
      </w:r>
      <w:r>
        <w:rPr>
          <w:rFonts w:hint="eastAsia" w:ascii="宋体" w:hAnsi="宋体" w:eastAsia="宋体" w:cs="宋体"/>
          <w:color w:val="auto"/>
          <w:kern w:val="0"/>
          <w:sz w:val="24"/>
          <w:szCs w:val="24"/>
          <w:highlight w:val="none"/>
        </w:rPr>
        <w:t>3</w:t>
      </w:r>
      <w:r>
        <w:rPr>
          <w:rFonts w:hint="eastAsia" w:ascii="宋体" w:hAnsi="宋体" w:eastAsia="宋体" w:cs="宋体"/>
          <w:b/>
          <w:color w:val="auto"/>
          <w:sz w:val="24"/>
          <w:szCs w:val="24"/>
          <w:highlight w:val="none"/>
        </w:rPr>
        <w:t>报价文件：</w:t>
      </w:r>
      <w:r>
        <w:rPr>
          <w:rFonts w:hint="eastAsia" w:ascii="宋体" w:hAnsi="宋体" w:eastAsia="宋体" w:cs="宋体"/>
          <w:color w:val="auto"/>
          <w:sz w:val="24"/>
          <w:szCs w:val="24"/>
          <w:highlight w:val="none"/>
        </w:rPr>
        <w:t xml:space="preserve"> </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11.3.1开标一览表（报价表）；</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11.3.2中小企业声明函。（如果有)</w:t>
      </w:r>
    </w:p>
    <w:p>
      <w:pPr>
        <w:keepNext w:val="0"/>
        <w:keepLines w:val="0"/>
        <w:pageBreakBefore w:val="0"/>
        <w:kinsoku/>
        <w:wordWrap/>
        <w:overflowPunct/>
        <w:topLinePunct w:val="0"/>
        <w:bidi w:val="0"/>
        <w:adjustRightInd w:val="0"/>
        <w:spacing w:line="440" w:lineRule="exact"/>
        <w:ind w:firstLine="723" w:firstLineChars="3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投标文件含有采购人不能接受的附加条件的，投标无效；</w:t>
      </w:r>
    </w:p>
    <w:p>
      <w:pPr>
        <w:keepNext w:val="0"/>
        <w:keepLines w:val="0"/>
        <w:pageBreakBefore w:val="0"/>
        <w:kinsoku/>
        <w:wordWrap/>
        <w:overflowPunct/>
        <w:topLinePunct w:val="0"/>
        <w:bidi w:val="0"/>
        <w:adjustRightInd w:val="0"/>
        <w:spacing w:line="440" w:lineRule="exact"/>
        <w:ind w:firstLine="723" w:firstLineChars="3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投标人提供虚假材料投标的，投标无效。</w:t>
      </w:r>
    </w:p>
    <w:p>
      <w:pPr>
        <w:pStyle w:val="128"/>
        <w:keepNext w:val="0"/>
        <w:keepLines w:val="0"/>
        <w:pageBreakBefore w:val="0"/>
        <w:kinsoku/>
        <w:wordWrap/>
        <w:overflowPunct/>
        <w:topLinePunct w:val="0"/>
        <w:bidi w:val="0"/>
        <w:adjustRightInd w:val="0"/>
        <w:snapToGrid w:val="0"/>
        <w:spacing w:before="0" w:line="440" w:lineRule="exact"/>
        <w:ind w:firstLine="0" w:firstLineChars="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w:t>
      </w:r>
      <w:r>
        <w:rPr>
          <w:rFonts w:hint="eastAsia" w:ascii="宋体" w:hAnsi="宋体" w:eastAsia="宋体" w:cs="宋体"/>
          <w:b/>
          <w:color w:val="auto"/>
          <w:kern w:val="0"/>
          <w:sz w:val="24"/>
          <w:szCs w:val="24"/>
          <w:highlight w:val="none"/>
          <w:lang w:val="zh-CN"/>
        </w:rPr>
        <w:t xml:space="preserve">. </w:t>
      </w:r>
      <w:r>
        <w:rPr>
          <w:rFonts w:hint="eastAsia" w:ascii="宋体" w:hAnsi="宋体" w:eastAsia="宋体" w:cs="宋体"/>
          <w:b/>
          <w:color w:val="auto"/>
          <w:sz w:val="24"/>
          <w:szCs w:val="24"/>
          <w:highlight w:val="none"/>
        </w:rPr>
        <w:t>投标文件的编制</w:t>
      </w:r>
    </w:p>
    <w:p>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13.投标文件的签署、盖章</w:t>
      </w:r>
    </w:p>
    <w:p>
      <w:pPr>
        <w:pStyle w:val="128"/>
        <w:keepNext w:val="0"/>
        <w:keepLines w:val="0"/>
        <w:pageBreakBefore w:val="0"/>
        <w:kinsoku/>
        <w:wordWrap/>
        <w:overflowPunct/>
        <w:topLinePunct w:val="0"/>
        <w:bidi w:val="0"/>
        <w:adjustRightInd w:val="0"/>
        <w:snapToGrid w:val="0"/>
        <w:spacing w:before="0" w:line="440" w:lineRule="exact"/>
        <w:ind w:firstLine="48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13.1投标文件按照招标文件第六部分格式要求进行签署、盖章。</w:t>
      </w:r>
      <w:r>
        <w:rPr>
          <w:rFonts w:hint="eastAsia" w:ascii="宋体" w:hAnsi="宋体" w:eastAsia="宋体" w:cs="宋体"/>
          <w:b/>
          <w:color w:val="auto"/>
          <w:sz w:val="24"/>
          <w:szCs w:val="24"/>
          <w:highlight w:val="none"/>
        </w:rPr>
        <w:t>▲投标人的投标文件未按照招标文件要求签署、盖章的，其投标无效</w:t>
      </w:r>
      <w:r>
        <w:rPr>
          <w:rFonts w:hint="eastAsia" w:ascii="宋体" w:hAnsi="宋体" w:eastAsia="宋体" w:cs="宋体"/>
          <w:color w:val="auto"/>
          <w:sz w:val="24"/>
          <w:szCs w:val="24"/>
          <w:highlight w:val="none"/>
        </w:rPr>
        <w:t>。</w:t>
      </w:r>
    </w:p>
    <w:p>
      <w:pPr>
        <w:pStyle w:val="128"/>
        <w:keepNext w:val="0"/>
        <w:keepLines w:val="0"/>
        <w:pageBreakBefore w:val="0"/>
        <w:kinsoku/>
        <w:wordWrap/>
        <w:overflowPunct/>
        <w:topLinePunct w:val="0"/>
        <w:bidi w:val="0"/>
        <w:adjustRightInd w:val="0"/>
        <w:snapToGri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13.2为确保网上操作合法、有效和安全，投标人应当在投标截止时间前完成在“政府采购云平台”的身份认证，确保在电子投标过程中能够对相关数据电文进行加密和使用电子签名。</w:t>
      </w:r>
    </w:p>
    <w:p>
      <w:pPr>
        <w:pStyle w:val="128"/>
        <w:keepNext w:val="0"/>
        <w:keepLines w:val="0"/>
        <w:pageBreakBefore w:val="0"/>
        <w:kinsoku/>
        <w:wordWrap/>
        <w:overflowPunct/>
        <w:topLinePunct w:val="0"/>
        <w:bidi w:val="0"/>
        <w:adjustRightInd w:val="0"/>
        <w:snapToGri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13.3招标文件对投标文件签署、盖章的要求适用于电子签名。</w:t>
      </w:r>
    </w:p>
    <w:p>
      <w:pPr>
        <w:pStyle w:val="128"/>
        <w:keepNext w:val="0"/>
        <w:keepLines w:val="0"/>
        <w:pageBreakBefore w:val="0"/>
        <w:kinsoku/>
        <w:wordWrap/>
        <w:overflowPunct/>
        <w:topLinePunct w:val="0"/>
        <w:bidi w:val="0"/>
        <w:adjustRightInd w:val="0"/>
        <w:spacing w:before="0" w:line="44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 投标文件的提交、补充、修改、撤回</w:t>
      </w:r>
    </w:p>
    <w:p>
      <w:pPr>
        <w:pStyle w:val="128"/>
        <w:keepNext w:val="0"/>
        <w:keepLines w:val="0"/>
        <w:pageBreakBefore w:val="0"/>
        <w:kinsoku/>
        <w:wordWrap/>
        <w:overflowPunct/>
        <w:topLinePunct w:val="0"/>
        <w:bidi w:val="0"/>
        <w:adjustRightIn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keepNext w:val="0"/>
        <w:keepLines w:val="0"/>
        <w:pageBreakBefore w:val="0"/>
        <w:kinsoku/>
        <w:wordWrap/>
        <w:overflowPunct/>
        <w:topLinePunct w:val="0"/>
        <w:bidi w:val="0"/>
        <w:adjustRightIn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8"/>
        <w:keepNext w:val="0"/>
        <w:keepLines w:val="0"/>
        <w:pageBreakBefore w:val="0"/>
        <w:kinsoku/>
        <w:wordWrap/>
        <w:overflowPunct/>
        <w:topLinePunct w:val="0"/>
        <w:bidi w:val="0"/>
        <w:adjustRightIn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可以视情况延长投标文件提交的截止时间。在上述情况下，</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与投标人以前在投标截止期方面的全部权利、责任和义务，将适用于延长至新的投标截止期。</w:t>
      </w:r>
    </w:p>
    <w:p>
      <w:pPr>
        <w:pStyle w:val="33"/>
        <w:keepNext w:val="0"/>
        <w:keepLines w:val="0"/>
        <w:pageBreakBefore w:val="0"/>
        <w:kinsoku/>
        <w:wordWrap/>
        <w:overflowPunct/>
        <w:topLinePunct w:val="0"/>
        <w:bidi w:val="0"/>
        <w:adjustRightIn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pPr>
        <w:pStyle w:val="33"/>
        <w:keepNext w:val="0"/>
        <w:keepLines w:val="0"/>
        <w:pageBreakBefore w:val="0"/>
        <w:kinsoku/>
        <w:wordWrap/>
        <w:overflowPunct/>
        <w:topLinePunct w:val="0"/>
        <w:bidi w:val="0"/>
        <w:adjustRightInd w:val="0"/>
        <w:spacing w:line="440" w:lineRule="exact"/>
        <w:ind w:firstLine="360" w:firstLineChars="15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不强制或变相强制投标人提交备份投标文件。</w:t>
      </w:r>
    </w:p>
    <w:p>
      <w:pPr>
        <w:pStyle w:val="33"/>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15.2备份投标文件须在“政采云投标客户端”制作生成，并储存在DVD光盘</w:t>
      </w:r>
      <w:r>
        <w:rPr>
          <w:rFonts w:hint="eastAsia" w:ascii="宋体" w:hAnsi="宋体" w:eastAsia="宋体" w:cs="宋体"/>
          <w:color w:val="auto"/>
          <w:sz w:val="24"/>
          <w:szCs w:val="24"/>
          <w:highlight w:val="none"/>
          <w:lang w:val="en-US" w:eastAsia="zh-CN"/>
        </w:rPr>
        <w:t>等存储介质</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szCs w:val="24"/>
          <w:highlight w:val="none"/>
        </w:rPr>
        <w:t>不符合上述制作、存储、密封规定的备份投标文件将被视为无效或者被拒绝接收。</w:t>
      </w:r>
    </w:p>
    <w:p>
      <w:pPr>
        <w:pStyle w:val="33"/>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将拒绝接受逾期送达的备份投标文件。</w:t>
      </w:r>
    </w:p>
    <w:p>
      <w:pPr>
        <w:pStyle w:val="33"/>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将拒绝接受逾期送达的备份投标文件。邮寄过程中，电子备份投标文件发生泄露、遗失、损坏或延期送达等情况的，由投标人自行负责。</w:t>
      </w:r>
    </w:p>
    <w:p>
      <w:pPr>
        <w:pStyle w:val="33"/>
        <w:keepNext w:val="0"/>
        <w:keepLines w:val="0"/>
        <w:pageBreakBefore w:val="0"/>
        <w:kinsoku/>
        <w:wordWrap/>
        <w:overflowPunct/>
        <w:topLinePunct w:val="0"/>
        <w:bidi w:val="0"/>
        <w:adjustRightInd w:val="0"/>
        <w:spacing w:line="440" w:lineRule="exact"/>
        <w:ind w:firstLine="479" w:firstLine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pPr>
        <w:pStyle w:val="128"/>
        <w:keepNext w:val="0"/>
        <w:keepLines w:val="0"/>
        <w:pageBreakBefore w:val="0"/>
        <w:kinsoku/>
        <w:wordWrap/>
        <w:overflowPunct/>
        <w:topLinePunct w:val="0"/>
        <w:bidi w:val="0"/>
        <w:adjustRightInd w:val="0"/>
        <w:spacing w:before="0" w:line="44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16.投标文件的无效处理</w:t>
      </w:r>
    </w:p>
    <w:p>
      <w:pPr>
        <w:pStyle w:val="6"/>
        <w:keepNext w:val="0"/>
        <w:keepLines w:val="0"/>
        <w:pageBreakBefore w:val="0"/>
        <w:kinsoku/>
        <w:wordWrap/>
        <w:overflowPunct/>
        <w:topLinePunct w:val="0"/>
        <w:bidi w:val="0"/>
        <w:adjustRightInd w:val="0"/>
        <w:spacing w:line="44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有招标文件第四部分</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4.2规定的情形之一的，投标无效：</w:t>
      </w:r>
    </w:p>
    <w:p>
      <w:pPr>
        <w:pStyle w:val="128"/>
        <w:keepNext w:val="0"/>
        <w:keepLines w:val="0"/>
        <w:pageBreakBefore w:val="0"/>
        <w:kinsoku/>
        <w:wordWrap/>
        <w:overflowPunct/>
        <w:topLinePunct w:val="0"/>
        <w:bidi w:val="0"/>
        <w:adjustRightInd w:val="0"/>
        <w:spacing w:before="0" w:line="44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17.投标有效期</w:t>
      </w:r>
    </w:p>
    <w:p>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17.1投标有效期为从提交投标文件的截止之日起90天。▲</w:t>
      </w:r>
      <w:r>
        <w:rPr>
          <w:rFonts w:hint="eastAsia" w:ascii="宋体" w:hAnsi="宋体" w:eastAsia="宋体" w:cs="宋体"/>
          <w:b/>
          <w:color w:val="auto"/>
          <w:sz w:val="24"/>
          <w:szCs w:val="24"/>
          <w:highlight w:val="none"/>
        </w:rPr>
        <w:t>投标人的投标文件中承诺的投标有效期少于招标文件中载明的投标有效期的，投标无效。</w:t>
      </w:r>
    </w:p>
    <w:p>
      <w:pPr>
        <w:pStyle w:val="128"/>
        <w:keepNext w:val="0"/>
        <w:keepLines w:val="0"/>
        <w:pageBreakBefore w:val="0"/>
        <w:kinsoku/>
        <w:wordWrap/>
        <w:overflowPunct/>
        <w:topLinePunct w:val="0"/>
        <w:bidi w:val="0"/>
        <w:adjustRightIn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17.2投标文件合格投递后，自投标截止日期起，在投标有效期内有效。</w:t>
      </w:r>
    </w:p>
    <w:p>
      <w:pPr>
        <w:pStyle w:val="128"/>
        <w:keepNext w:val="0"/>
        <w:keepLines w:val="0"/>
        <w:pageBreakBefore w:val="0"/>
        <w:kinsoku/>
        <w:wordWrap/>
        <w:overflowPunct/>
        <w:topLinePunct w:val="0"/>
        <w:bidi w:val="0"/>
        <w:adjustRightIn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17.3在原定投标有效期满之前，如果出现特殊情况，</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可以以书面形式通知投标人延长投标有效期。投标人同意延长的，不得要求或被允许修改其投标文件，投标人拒绝延长的，其投标无效。</w:t>
      </w:r>
    </w:p>
    <w:p>
      <w:pPr>
        <w:pStyle w:val="128"/>
        <w:keepNext w:val="0"/>
        <w:keepLines w:val="0"/>
        <w:pageBreakBefore w:val="0"/>
        <w:kinsoku/>
        <w:wordWrap/>
        <w:overflowPunct/>
        <w:topLinePunct w:val="0"/>
        <w:bidi w:val="0"/>
        <w:adjustRightInd w:val="0"/>
        <w:spacing w:before="0" w:line="440" w:lineRule="exact"/>
        <w:ind w:firstLine="643"/>
        <w:textAlignment w:val="auto"/>
        <w:rPr>
          <w:rFonts w:hint="eastAsia" w:ascii="宋体" w:hAnsi="宋体" w:eastAsia="宋体" w:cs="宋体"/>
          <w:b/>
          <w:color w:val="auto"/>
          <w:sz w:val="24"/>
          <w:szCs w:val="24"/>
          <w:highlight w:val="none"/>
        </w:rPr>
      </w:pPr>
    </w:p>
    <w:p>
      <w:pPr>
        <w:pStyle w:val="128"/>
        <w:spacing w:before="0" w:line="240" w:lineRule="auto"/>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pPr>
        <w:pStyle w:val="555"/>
        <w:keepNext w:val="0"/>
        <w:keepLines w:val="0"/>
        <w:pageBreakBefore w:val="0"/>
        <w:kinsoku/>
        <w:wordWrap/>
        <w:overflowPunct/>
        <w:topLinePunct w:val="0"/>
        <w:bidi w:val="0"/>
        <w:adjustRightInd w:val="0"/>
        <w:spacing w:before="0" w:beforeAutospacing="0" w:line="440" w:lineRule="exact"/>
        <w:ind w:left="0" w:firstLine="241" w:firstLineChars="100"/>
        <w:contextualSpacing/>
        <w:textAlignment w:val="auto"/>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pPr>
        <w:pStyle w:val="555"/>
        <w:keepNext w:val="0"/>
        <w:keepLines w:val="0"/>
        <w:pageBreakBefore w:val="0"/>
        <w:kinsoku/>
        <w:wordWrap/>
        <w:overflowPunct/>
        <w:topLinePunct w:val="0"/>
        <w:bidi w:val="0"/>
        <w:adjustRightInd w:val="0"/>
        <w:spacing w:before="0" w:beforeAutospacing="0" w:line="440" w:lineRule="exact"/>
        <w:ind w:left="0" w:firstLine="480" w:firstLineChars="2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18.1</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按照招标文件规定的时间通过电子交易平台组织开标，所有投标人均应当准时在线参加。投标人不足3家的，不得开标。</w:t>
      </w:r>
    </w:p>
    <w:p>
      <w:pPr>
        <w:pStyle w:val="555"/>
        <w:keepNext w:val="0"/>
        <w:keepLines w:val="0"/>
        <w:pageBreakBefore w:val="0"/>
        <w:kinsoku/>
        <w:wordWrap/>
        <w:overflowPunct/>
        <w:topLinePunct w:val="0"/>
        <w:bidi w:val="0"/>
        <w:adjustRightInd w:val="0"/>
        <w:spacing w:before="0" w:beforeAutospacing="0" w:line="440" w:lineRule="exact"/>
        <w:ind w:left="0" w:firstLine="240" w:firstLineChars="100"/>
        <w:contextualSpacing/>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依托电子交易平台发起开始解密指令，投标人按照平台提示和招标文件的规定在半小时内完成在线解密。</w:t>
      </w:r>
    </w:p>
    <w:p>
      <w:pPr>
        <w:pStyle w:val="555"/>
        <w:keepNext w:val="0"/>
        <w:keepLines w:val="0"/>
        <w:pageBreakBefore w:val="0"/>
        <w:kinsoku/>
        <w:wordWrap/>
        <w:overflowPunct/>
        <w:topLinePunct w:val="0"/>
        <w:bidi w:val="0"/>
        <w:adjustRightInd w:val="0"/>
        <w:spacing w:before="0" w:beforeAutospacing="0" w:line="440" w:lineRule="exact"/>
        <w:ind w:left="0" w:firstLine="240" w:firstLineChars="100"/>
        <w:contextualSpacing/>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keepNext w:val="0"/>
        <w:keepLines w:val="0"/>
        <w:pageBreakBefore w:val="0"/>
        <w:widowControl/>
        <w:kinsoku/>
        <w:wordWrap/>
        <w:overflowPunct/>
        <w:topLinePunct w:val="0"/>
        <w:bidi w:val="0"/>
        <w:adjustRightInd w:val="0"/>
        <w:spacing w:beforeAutospacing="0" w:line="440" w:lineRule="exact"/>
        <w:jc w:val="left"/>
        <w:textAlignment w:val="auto"/>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pPr>
        <w:keepNext w:val="0"/>
        <w:keepLines w:val="0"/>
        <w:pageBreakBefore w:val="0"/>
        <w:kinsoku/>
        <w:wordWrap/>
        <w:overflowPunct/>
        <w:topLinePunct w:val="0"/>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sz w:val="24"/>
          <w:highlight w:val="none"/>
        </w:rPr>
        <w:t>采购人或</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依据法律法规和招标文件的规定，对投标人的资格进行审查。</w:t>
      </w:r>
    </w:p>
    <w:p>
      <w:pPr>
        <w:pStyle w:val="128"/>
        <w:keepNext w:val="0"/>
        <w:keepLines w:val="0"/>
        <w:pageBreakBefore w:val="0"/>
        <w:kinsoku/>
        <w:wordWrap/>
        <w:overflowPunct/>
        <w:topLinePunct w:val="0"/>
        <w:bidi w:val="0"/>
        <w:adjustRightInd w:val="0"/>
        <w:spacing w:before="0" w:beforeAutospacing="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kern w:val="0"/>
          <w:szCs w:val="24"/>
          <w:highlight w:val="none"/>
          <w:lang w:val="en-US" w:eastAsia="zh-CN"/>
        </w:rPr>
        <w:t>2</w:t>
      </w:r>
      <w:r>
        <w:rPr>
          <w:rFonts w:hint="eastAsia" w:ascii="宋体" w:hAnsi="宋体" w:eastAsia="宋体" w:cs="宋体"/>
          <w:color w:val="auto"/>
          <w:kern w:val="0"/>
          <w:szCs w:val="24"/>
          <w:highlight w:val="none"/>
        </w:rPr>
        <w:t>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pPr>
        <w:pStyle w:val="128"/>
        <w:keepNext w:val="0"/>
        <w:keepLines w:val="0"/>
        <w:pageBreakBefore w:val="0"/>
        <w:kinsoku/>
        <w:wordWrap/>
        <w:overflowPunct/>
        <w:topLinePunct w:val="0"/>
        <w:bidi w:val="0"/>
        <w:adjustRightInd w:val="0"/>
        <w:spacing w:before="0" w:beforeAutospacing="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对未通过资格审查的投标人，采购人或</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告知其未通过的原因。</w:t>
      </w:r>
    </w:p>
    <w:p>
      <w:pPr>
        <w:pStyle w:val="128"/>
        <w:keepNext w:val="0"/>
        <w:keepLines w:val="0"/>
        <w:pageBreakBefore w:val="0"/>
        <w:kinsoku/>
        <w:wordWrap/>
        <w:overflowPunct/>
        <w:topLinePunct w:val="0"/>
        <w:bidi w:val="0"/>
        <w:adjustRightInd w:val="0"/>
        <w:spacing w:before="0" w:beforeAutospacing="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合格投标人不足3家的，不再评标。</w:t>
      </w:r>
    </w:p>
    <w:p>
      <w:pPr>
        <w:pStyle w:val="128"/>
        <w:keepNext w:val="0"/>
        <w:keepLines w:val="0"/>
        <w:pageBreakBefore w:val="0"/>
        <w:kinsoku/>
        <w:wordWrap/>
        <w:overflowPunct/>
        <w:topLinePunct w:val="0"/>
        <w:bidi w:val="0"/>
        <w:adjustRightInd w:val="0"/>
        <w:spacing w:before="0" w:beforeAutospacing="0" w:line="440" w:lineRule="exact"/>
        <w:ind w:firstLine="0" w:firstLineChars="0"/>
        <w:textAlignment w:val="auto"/>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pPr>
        <w:pStyle w:val="128"/>
        <w:keepNext w:val="0"/>
        <w:keepLines w:val="0"/>
        <w:pageBreakBefore w:val="0"/>
        <w:kinsoku/>
        <w:wordWrap/>
        <w:overflowPunct/>
        <w:topLinePunct w:val="0"/>
        <w:bidi w:val="0"/>
        <w:adjustRightInd w:val="0"/>
        <w:spacing w:before="0" w:beforeAutospacing="0" w:line="440" w:lineRule="exact"/>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w:t>
      </w:r>
      <w:r>
        <w:rPr>
          <w:rFonts w:hint="eastAsia" w:ascii="宋体" w:hAnsi="宋体" w:eastAsia="宋体" w:cs="宋体"/>
          <w:color w:val="auto"/>
          <w:kern w:val="0"/>
          <w:szCs w:val="24"/>
          <w:highlight w:val="none"/>
          <w:lang w:eastAsia="zh-CN"/>
        </w:rPr>
        <w:t>采购代理机构</w:t>
      </w:r>
      <w:r>
        <w:rPr>
          <w:rFonts w:hint="eastAsia" w:ascii="宋体" w:hAnsi="宋体" w:eastAsia="宋体" w:cs="宋体"/>
          <w:color w:val="auto"/>
          <w:kern w:val="0"/>
          <w:szCs w:val="24"/>
          <w:highlight w:val="none"/>
        </w:rPr>
        <w:t>将在资格审查时通过“信用中国”网站(www.creditchina.gov.cn)、中国政府采购网(www.ccgp.gov.cn)渠道查询投标人接受资格审查时的信用记录。</w:t>
      </w:r>
    </w:p>
    <w:p>
      <w:pPr>
        <w:pStyle w:val="128"/>
        <w:keepNext w:val="0"/>
        <w:keepLines w:val="0"/>
        <w:pageBreakBefore w:val="0"/>
        <w:kinsoku/>
        <w:wordWrap/>
        <w:overflowPunct/>
        <w:topLinePunct w:val="0"/>
        <w:bidi w:val="0"/>
        <w:adjustRightInd w:val="0"/>
        <w:spacing w:before="0" w:beforeAutospacing="0" w:line="440" w:lineRule="exact"/>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pPr>
        <w:pStyle w:val="128"/>
        <w:keepNext w:val="0"/>
        <w:keepLines w:val="0"/>
        <w:pageBreakBefore w:val="0"/>
        <w:kinsoku/>
        <w:wordWrap/>
        <w:overflowPunct/>
        <w:topLinePunct w:val="0"/>
        <w:bidi w:val="0"/>
        <w:adjustRightInd w:val="0"/>
        <w:spacing w:before="0" w:beforeAutospacing="0" w:line="440" w:lineRule="exact"/>
        <w:ind w:firstLine="495" w:firstLineChars="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w:t>
      </w:r>
      <w:r>
        <w:rPr>
          <w:rFonts w:hint="eastAsia" w:ascii="宋体" w:hAnsi="宋体" w:eastAsia="宋体" w:cs="宋体"/>
          <w:color w:val="auto"/>
          <w:kern w:val="0"/>
          <w:szCs w:val="24"/>
          <w:highlight w:val="none"/>
          <w:lang w:eastAsia="zh-CN"/>
        </w:rPr>
        <w:t>重大税收违法失信主体</w:t>
      </w:r>
      <w:r>
        <w:rPr>
          <w:rFonts w:hint="eastAsia" w:ascii="宋体" w:hAnsi="宋体" w:eastAsia="宋体" w:cs="宋体"/>
          <w:color w:val="auto"/>
          <w:kern w:val="0"/>
          <w:szCs w:val="24"/>
          <w:highlight w:val="none"/>
        </w:rPr>
        <w:t>、政府采购严重违法失信行为记录名单的投标人将被拒绝参与政府采购活动。</w:t>
      </w:r>
    </w:p>
    <w:p>
      <w:pPr>
        <w:pStyle w:val="128"/>
        <w:keepNext w:val="0"/>
        <w:keepLines w:val="0"/>
        <w:pageBreakBefore w:val="0"/>
        <w:kinsoku/>
        <w:wordWrap/>
        <w:overflowPunct/>
        <w:topLinePunct w:val="0"/>
        <w:bidi w:val="0"/>
        <w:adjustRightInd w:val="0"/>
        <w:spacing w:before="0" w:beforeAutospacing="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pPr>
        <w:pStyle w:val="128"/>
        <w:keepNext w:val="0"/>
        <w:keepLines w:val="0"/>
        <w:pageBreakBefore w:val="0"/>
        <w:kinsoku/>
        <w:wordWrap/>
        <w:overflowPunct/>
        <w:topLinePunct w:val="0"/>
        <w:bidi w:val="0"/>
        <w:adjustRightInd w:val="0"/>
        <w:spacing w:before="0" w:beforeAutospacing="0" w:line="440" w:lineRule="exact"/>
        <w:ind w:firstLine="0" w:firstLineChars="0"/>
        <w:textAlignment w:val="auto"/>
        <w:rPr>
          <w:rFonts w:hint="eastAsia" w:ascii="宋体" w:hAnsi="宋体" w:eastAsia="宋体" w:cs="宋体"/>
          <w:color w:val="auto"/>
          <w:kern w:val="0"/>
          <w:szCs w:val="24"/>
          <w:highlight w:val="none"/>
        </w:rPr>
      </w:pPr>
    </w:p>
    <w:p>
      <w:pPr>
        <w:snapToGrid w:val="0"/>
        <w:spacing w:line="24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宋体" w:hAnsi="宋体" w:eastAsia="宋体" w:cs="宋体"/>
          <w:b/>
          <w:color w:val="auto"/>
          <w:sz w:val="24"/>
          <w:szCs w:val="24"/>
          <w:highlight w:val="none"/>
        </w:rPr>
      </w:pPr>
      <w:bookmarkStart w:id="17" w:name="_Toc91899903"/>
      <w:r>
        <w:rPr>
          <w:rFonts w:hint="eastAsia" w:ascii="宋体" w:hAnsi="宋体" w:eastAsia="宋体" w:cs="宋体"/>
          <w:b/>
          <w:color w:val="auto"/>
          <w:sz w:val="24"/>
          <w:szCs w:val="24"/>
          <w:highlight w:val="none"/>
        </w:rPr>
        <w:t>21.</w:t>
      </w:r>
      <w:r>
        <w:rPr>
          <w:rFonts w:hint="eastAsia" w:ascii="宋体" w:hAnsi="宋体" w:eastAsia="宋体" w:cs="宋体"/>
          <w:color w:val="auto"/>
          <w:sz w:val="24"/>
          <w:szCs w:val="24"/>
          <w:highlight w:val="none"/>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szCs w:val="24"/>
          <w:highlight w:val="none"/>
        </w:rPr>
        <w:t>详见招标文件第四部分评标办法。</w:t>
      </w:r>
    </w:p>
    <w:p>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宋体" w:hAnsi="宋体" w:eastAsia="宋体" w:cs="宋体"/>
          <w:b/>
          <w:color w:val="auto"/>
          <w:sz w:val="24"/>
          <w:szCs w:val="24"/>
          <w:highlight w:val="none"/>
        </w:rPr>
      </w:pPr>
    </w:p>
    <w:p>
      <w:pPr>
        <w:snapToGrid w:val="0"/>
        <w:spacing w:line="24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pPr>
        <w:pStyle w:val="6"/>
        <w:keepNext w:val="0"/>
        <w:keepLines w:val="0"/>
        <w:pageBreakBefore w:val="0"/>
        <w:kinsoku/>
        <w:wordWrap/>
        <w:overflowPunct/>
        <w:topLinePunct w:val="0"/>
        <w:autoSpaceDE/>
        <w:autoSpaceDN/>
        <w:bidi w:val="0"/>
        <w:adjustRightInd w:val="0"/>
        <w:spacing w:line="440" w:lineRule="exact"/>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22. 确定中标供应商</w:t>
      </w:r>
    </w:p>
    <w:p>
      <w:pPr>
        <w:pStyle w:val="128"/>
        <w:keepNext w:val="0"/>
        <w:keepLines w:val="0"/>
        <w:pageBreakBefore w:val="0"/>
        <w:kinsoku/>
        <w:wordWrap/>
        <w:overflowPunct/>
        <w:topLinePunct w:val="0"/>
        <w:autoSpaceDE/>
        <w:autoSpaceDN/>
        <w:bidi w:val="0"/>
        <w:adjustRightInd w:val="0"/>
        <w:snapToGrid w:val="0"/>
        <w:spacing w:before="0" w:line="440" w:lineRule="exact"/>
        <w:ind w:firstLine="48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8"/>
        <w:keepNext w:val="0"/>
        <w:keepLines w:val="0"/>
        <w:pageBreakBefore w:val="0"/>
        <w:kinsoku/>
        <w:wordWrap/>
        <w:overflowPunct/>
        <w:topLinePunct w:val="0"/>
        <w:autoSpaceDE/>
        <w:autoSpaceDN/>
        <w:bidi w:val="0"/>
        <w:adjustRightInd w:val="0"/>
        <w:snapToGrid w:val="0"/>
        <w:spacing w:before="0" w:line="44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23. 中标通知与中标结果公告</w:t>
      </w:r>
    </w:p>
    <w:p>
      <w:pPr>
        <w:keepNext w:val="0"/>
        <w:keepLines w:val="0"/>
        <w:pageBreakBefore w:val="0"/>
        <w:widowControl/>
        <w:shd w:val="clear" w:color="auto" w:fill="FFFFFF"/>
        <w:kinsoku/>
        <w:wordWrap/>
        <w:overflowPunct/>
        <w:topLinePunct w:val="0"/>
        <w:autoSpaceDE/>
        <w:autoSpaceDN/>
        <w:bidi w:val="0"/>
        <w:adjustRightInd w:val="0"/>
        <w:spacing w:line="44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23.1自中标人确定之日起2个工作日内，</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通过电子交易平台向中标人发出中标通知书，同时编制发布采购结果公告。</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也可以以纸质形式进行中标通知。</w:t>
      </w:r>
    </w:p>
    <w:p>
      <w:pPr>
        <w:keepNext w:val="0"/>
        <w:keepLines w:val="0"/>
        <w:pageBreakBefore w:val="0"/>
        <w:widowControl/>
        <w:shd w:val="clear" w:color="auto" w:fill="FFFFFF"/>
        <w:kinsoku/>
        <w:wordWrap/>
        <w:overflowPunct/>
        <w:topLinePunct w:val="0"/>
        <w:autoSpaceDE/>
        <w:autoSpaceDN/>
        <w:bidi w:val="0"/>
        <w:adjustRightInd w:val="0"/>
        <w:spacing w:line="44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23.2中标结果公告内容包括采购人及其委托的</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keepNext w:val="0"/>
        <w:keepLines w:val="0"/>
        <w:pageBreakBefore w:val="0"/>
        <w:widowControl/>
        <w:shd w:val="clear" w:color="auto" w:fill="FFFFFF"/>
        <w:kinsoku/>
        <w:wordWrap/>
        <w:overflowPunct/>
        <w:topLinePunct w:val="0"/>
        <w:autoSpaceDE/>
        <w:autoSpaceDN/>
        <w:bidi w:val="0"/>
        <w:adjustRightInd w:val="0"/>
        <w:spacing w:line="44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23.3公告期限为1个工作日。</w:t>
      </w:r>
    </w:p>
    <w:p>
      <w:pPr>
        <w:keepNext w:val="0"/>
        <w:keepLines w:val="0"/>
        <w:pageBreakBefore w:val="0"/>
        <w:kinsoku/>
        <w:wordWrap/>
        <w:overflowPunct/>
        <w:topLinePunct w:val="0"/>
        <w:autoSpaceDE/>
        <w:autoSpaceDN/>
        <w:bidi w:val="0"/>
        <w:adjustRightInd w:val="0"/>
        <w:snapToGrid w:val="0"/>
        <w:spacing w:line="440" w:lineRule="exact"/>
        <w:ind w:left="120" w:leftChars="57" w:firstLine="361" w:firstLineChars="150"/>
        <w:jc w:val="center"/>
        <w:textAlignment w:val="auto"/>
        <w:rPr>
          <w:rFonts w:hint="eastAsia" w:ascii="宋体" w:hAnsi="宋体" w:eastAsia="宋体" w:cs="宋体"/>
          <w:b/>
          <w:color w:val="auto"/>
          <w:sz w:val="24"/>
          <w:szCs w:val="24"/>
          <w:highlight w:val="none"/>
        </w:rPr>
      </w:pPr>
    </w:p>
    <w:p>
      <w:pPr>
        <w:snapToGrid w:val="0"/>
        <w:spacing w:line="24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pPr>
        <w:pStyle w:val="6"/>
        <w:pageBreakBefore w:val="0"/>
        <w:kinsoku/>
        <w:wordWrap/>
        <w:overflowPunct/>
        <w:topLinePunct w:val="0"/>
        <w:autoSpaceDE/>
        <w:autoSpaceDN/>
        <w:bidi w:val="0"/>
        <w:spacing w:line="440" w:lineRule="exact"/>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24. </w:t>
      </w:r>
      <w:r>
        <w:rPr>
          <w:rFonts w:hint="eastAsia" w:ascii="宋体" w:hAnsi="宋体" w:eastAsia="宋体" w:cs="宋体"/>
          <w:color w:val="auto"/>
          <w:sz w:val="24"/>
          <w:szCs w:val="24"/>
          <w:highlight w:val="none"/>
        </w:rPr>
        <w:t>合同主要条款详见第五部分拟签订的合同文本。</w:t>
      </w:r>
    </w:p>
    <w:p>
      <w:pPr>
        <w:pStyle w:val="6"/>
        <w:pageBreakBefore w:val="0"/>
        <w:kinsoku/>
        <w:wordWrap/>
        <w:overflowPunct/>
        <w:topLinePunct w:val="0"/>
        <w:autoSpaceDE/>
        <w:autoSpaceDN/>
        <w:bidi w:val="0"/>
        <w:spacing w:line="440" w:lineRule="exact"/>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25. 合同的签订</w:t>
      </w:r>
    </w:p>
    <w:p>
      <w:pPr>
        <w:pageBreakBefore w:val="0"/>
        <w:widowControl/>
        <w:shd w:val="clear" w:color="auto" w:fill="FFFFFF"/>
        <w:kinsoku/>
        <w:wordWrap/>
        <w:overflowPunct/>
        <w:topLinePunct w:val="0"/>
        <w:autoSpaceDE/>
        <w:autoSpaceDN/>
        <w:bidi w:val="0"/>
        <w:spacing w:line="440" w:lineRule="exact"/>
        <w:ind w:firstLine="48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25.1</w:t>
      </w:r>
      <w:r>
        <w:rPr>
          <w:rFonts w:hint="eastAsia" w:ascii="宋体" w:hAnsi="宋体" w:eastAsia="宋体" w:cs="宋体"/>
          <w:color w:val="auto"/>
          <w:kern w:val="0"/>
          <w:sz w:val="24"/>
          <w:szCs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pageBreakBefore w:val="0"/>
        <w:kinsoku/>
        <w:wordWrap/>
        <w:overflowPunct/>
        <w:topLinePunct w:val="0"/>
        <w:autoSpaceDE/>
        <w:autoSpaceDN/>
        <w:bidi w:val="0"/>
        <w:snapToGrid w:val="0"/>
        <w:spacing w:before="0" w:line="440" w:lineRule="exact"/>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28"/>
        <w:pageBreakBefore w:val="0"/>
        <w:kinsoku/>
        <w:wordWrap/>
        <w:overflowPunct/>
        <w:topLinePunct w:val="0"/>
        <w:autoSpaceDE/>
        <w:autoSpaceDN/>
        <w:bidi w:val="0"/>
        <w:snapToGri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25.3如签订合同并生效后，供应商无故拒绝或延期，除按照合同条款处理外，列入不良行为记录一次，并给予通报。</w:t>
      </w:r>
    </w:p>
    <w:p>
      <w:pPr>
        <w:pStyle w:val="128"/>
        <w:pageBreakBefore w:val="0"/>
        <w:kinsoku/>
        <w:wordWrap/>
        <w:overflowPunct/>
        <w:topLinePunct w:val="0"/>
        <w:autoSpaceDE/>
        <w:autoSpaceDN/>
        <w:bidi w:val="0"/>
        <w:snapToGri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25.4中标供应商拒绝与采购人签订合同的，采购人可以按照评审报告推荐的中标或者成交候选人名单排序，确定下一候选人为中标供应商，也可以重新开展政府采购活动。</w:t>
      </w:r>
    </w:p>
    <w:p>
      <w:pPr>
        <w:pStyle w:val="128"/>
        <w:pageBreakBefore w:val="0"/>
        <w:kinsoku/>
        <w:wordWrap/>
        <w:overflowPunct/>
        <w:topLinePunct w:val="0"/>
        <w:autoSpaceDE/>
        <w:autoSpaceDN/>
        <w:bidi w:val="0"/>
        <w:snapToGrid w:val="0"/>
        <w:spacing w:before="0"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25.5采购合同由采购人与中标供应商根据招标文件、投标文件等内容通过政府采购电子交易平台在线签订，自动备案。</w:t>
      </w:r>
    </w:p>
    <w:p>
      <w:pPr>
        <w:pStyle w:val="6"/>
        <w:pageBreakBefore w:val="0"/>
        <w:kinsoku/>
        <w:wordWrap/>
        <w:overflowPunct/>
        <w:topLinePunct w:val="0"/>
        <w:autoSpaceDE/>
        <w:autoSpaceDN/>
        <w:bidi w:val="0"/>
        <w:spacing w:line="440" w:lineRule="exact"/>
        <w:ind w:left="479" w:hanging="479" w:hanging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26. 履约保证金</w:t>
      </w:r>
    </w:p>
    <w:p>
      <w:pPr>
        <w:pageBreakBefore w:val="0"/>
        <w:tabs>
          <w:tab w:val="left" w:pos="0"/>
        </w:tabs>
        <w:kinsoku/>
        <w:wordWrap/>
        <w:overflowPunct/>
        <w:topLinePunct w:val="0"/>
        <w:autoSpaceDE/>
        <w:autoSpaceDN/>
        <w:bidi w:val="0"/>
        <w:spacing w:line="44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szCs w:val="24"/>
          <w:highlight w:val="none"/>
        </w:rPr>
        <w:t>。履约保证金的数额不得超过政府采购合同金额的1%，</w:t>
      </w:r>
      <w:r>
        <w:rPr>
          <w:rFonts w:hint="eastAsia" w:ascii="宋体" w:hAnsi="宋体" w:eastAsia="宋体" w:cs="宋体"/>
          <w:color w:val="auto"/>
          <w:kern w:val="2"/>
          <w:sz w:val="24"/>
          <w:szCs w:val="24"/>
          <w:highlight w:val="none"/>
        </w:rPr>
        <w:t>鼓励根据项目特点、供应商诚信等因素免收履约保证金或降低缴纳比例。</w:t>
      </w:r>
      <w:r>
        <w:rPr>
          <w:rFonts w:hint="eastAsia" w:ascii="宋体" w:hAnsi="宋体" w:eastAsia="宋体" w:cs="宋体"/>
          <w:color w:val="auto"/>
          <w:sz w:val="24"/>
          <w:szCs w:val="24"/>
          <w:highlight w:val="none"/>
        </w:rPr>
        <w:t>鼓励和支持供应商以银行、保险公司出具的保函形式提供履约保证金。采购人不得拒收履约保函，项目验收结束后应及时退还，延迟退还的，应当按照合同约定和法律规定承担相应的赔偿责任。</w:t>
      </w:r>
    </w:p>
    <w:p>
      <w:pPr>
        <w:pStyle w:val="2"/>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b w:val="0"/>
          <w:bCs w:val="0"/>
          <w:snapToGrid w:val="0"/>
          <w:color w:val="auto"/>
          <w:kern w:val="28"/>
          <w:sz w:val="24"/>
          <w:szCs w:val="24"/>
          <w:highlight w:val="none"/>
        </w:rPr>
      </w:pPr>
      <w:r>
        <w:rPr>
          <w:rFonts w:hint="eastAsia" w:ascii="宋体" w:hAnsi="宋体" w:eastAsia="宋体" w:cs="宋体"/>
          <w:b w:val="0"/>
          <w:bCs w:val="0"/>
          <w:snapToGrid w:val="0"/>
          <w:color w:val="auto"/>
          <w:kern w:val="28"/>
          <w:sz w:val="24"/>
          <w:szCs w:val="24"/>
          <w:highlight w:val="none"/>
        </w:rPr>
        <w:t>供应商</w:t>
      </w:r>
      <w:r>
        <w:rPr>
          <w:rFonts w:hint="eastAsia" w:ascii="宋体" w:hAnsi="宋体" w:eastAsia="宋体" w:cs="宋体"/>
          <w:b w:val="0"/>
          <w:bCs w:val="0"/>
          <w:snapToGrid w:val="0"/>
          <w:color w:val="auto"/>
          <w:kern w:val="28"/>
          <w:sz w:val="24"/>
          <w:szCs w:val="24"/>
          <w:highlight w:val="none"/>
          <w:lang w:val="en-US"/>
        </w:rPr>
        <w:t>可</w:t>
      </w:r>
      <w:r>
        <w:rPr>
          <w:rFonts w:hint="eastAsia" w:ascii="宋体" w:hAnsi="宋体" w:eastAsia="宋体" w:cs="宋体"/>
          <w:b w:val="0"/>
          <w:bCs w:val="0"/>
          <w:snapToGrid w:val="0"/>
          <w:color w:val="auto"/>
          <w:kern w:val="28"/>
          <w:sz w:val="24"/>
          <w:szCs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kern w:val="2"/>
          <w:sz w:val="24"/>
          <w:szCs w:val="24"/>
          <w:highlight w:val="none"/>
          <w:lang w:val="en-US"/>
        </w:rPr>
        <w:t>27.预付款</w:t>
      </w:r>
    </w:p>
    <w:p>
      <w:pPr>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采购单位应当在政府采购合同中约定预付款，对中小企业合同预付款比例原则上不低于合同金额的</w:t>
      </w:r>
      <w:r>
        <w:rPr>
          <w:rFonts w:hint="eastAsia" w:ascii="宋体" w:hAnsi="宋体" w:eastAsia="宋体" w:cs="宋体"/>
          <w:color w:val="auto"/>
          <w:kern w:val="2"/>
          <w:sz w:val="24"/>
          <w:szCs w:val="24"/>
          <w:highlight w:val="none"/>
          <w:lang w:val="en-US" w:eastAsia="zh-CN"/>
        </w:rPr>
        <w:t>50</w:t>
      </w:r>
      <w:r>
        <w:rPr>
          <w:rFonts w:hint="eastAsia" w:ascii="宋体" w:hAnsi="宋体" w:eastAsia="宋体" w:cs="宋体"/>
          <w:color w:val="auto"/>
          <w:kern w:val="2"/>
          <w:sz w:val="24"/>
          <w:szCs w:val="24"/>
          <w:highlight w:val="none"/>
        </w:rPr>
        <w:t>％，不高于合同金额的70%；项目分年安排预算的，每年预付款比例</w:t>
      </w:r>
      <w:r>
        <w:rPr>
          <w:rFonts w:hint="eastAsia" w:ascii="宋体" w:hAnsi="宋体" w:eastAsia="宋体" w:cs="宋体"/>
          <w:color w:val="auto"/>
          <w:sz w:val="24"/>
          <w:szCs w:val="24"/>
          <w:highlight w:val="none"/>
        </w:rPr>
        <w:t>不低于</w:t>
      </w:r>
      <w:r>
        <w:rPr>
          <w:rFonts w:hint="eastAsia" w:ascii="宋体" w:hAnsi="宋体" w:eastAsia="宋体" w:cs="宋体"/>
          <w:color w:val="auto"/>
          <w:kern w:val="2"/>
          <w:sz w:val="24"/>
          <w:szCs w:val="24"/>
          <w:highlight w:val="none"/>
        </w:rPr>
        <w:t>项目年度计划支付资金额的</w:t>
      </w:r>
      <w:r>
        <w:rPr>
          <w:rFonts w:hint="eastAsia" w:ascii="宋体" w:hAnsi="宋体" w:eastAsia="宋体" w:cs="宋体"/>
          <w:color w:val="auto"/>
          <w:kern w:val="2"/>
          <w:sz w:val="24"/>
          <w:szCs w:val="24"/>
          <w:highlight w:val="none"/>
          <w:lang w:val="en-US" w:eastAsia="zh-CN"/>
        </w:rPr>
        <w:t>50</w:t>
      </w:r>
      <w:r>
        <w:rPr>
          <w:rFonts w:hint="eastAsia" w:ascii="宋体" w:hAnsi="宋体" w:eastAsia="宋体" w:cs="宋体"/>
          <w:color w:val="auto"/>
          <w:kern w:val="2"/>
          <w:sz w:val="24"/>
          <w:szCs w:val="24"/>
          <w:highlight w:val="none"/>
        </w:rPr>
        <w:t>％，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szCs w:val="24"/>
          <w:highlight w:val="none"/>
        </w:rPr>
      </w:pPr>
    </w:p>
    <w:p>
      <w:pPr>
        <w:snapToGrid w:val="0"/>
        <w:spacing w:line="24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pPr>
        <w:pStyle w:val="128"/>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b/>
          <w:bCs/>
          <w:color w:val="auto"/>
          <w:kern w:val="2"/>
          <w:sz w:val="24"/>
          <w:szCs w:val="20"/>
          <w:highlight w:val="none"/>
        </w:rPr>
        <w:t>2</w:t>
      </w:r>
      <w:r>
        <w:rPr>
          <w:rFonts w:hint="eastAsia" w:ascii="宋体" w:hAnsi="宋体" w:eastAsia="宋体" w:cs="宋体"/>
          <w:b/>
          <w:bCs/>
          <w:color w:val="auto"/>
          <w:kern w:val="2"/>
          <w:sz w:val="24"/>
          <w:szCs w:val="24"/>
          <w:highlight w:val="none"/>
        </w:rPr>
        <w:t>8</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可中止电子交易活动：</w:t>
      </w:r>
    </w:p>
    <w:p>
      <w:pPr>
        <w:pStyle w:val="128"/>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28.1电子交易平台发生故障而无法登录访问的； </w:t>
      </w:r>
    </w:p>
    <w:p>
      <w:pPr>
        <w:pStyle w:val="128"/>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28.2电子交易平台应用或数据库出现错误，不能进行正常操作的；</w:t>
      </w:r>
    </w:p>
    <w:p>
      <w:pPr>
        <w:pStyle w:val="128"/>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28.3电子交易平台发现严重安全漏洞，有潜在泄密危险的；</w:t>
      </w:r>
    </w:p>
    <w:p>
      <w:pPr>
        <w:pStyle w:val="128"/>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28.4病毒发作导致不能进行正常操作的； </w:t>
      </w:r>
    </w:p>
    <w:p>
      <w:pPr>
        <w:pStyle w:val="128"/>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28.5其他无法保证电子交易的公平、公正和安全的情况。</w:t>
      </w:r>
    </w:p>
    <w:p>
      <w:pPr>
        <w:pStyle w:val="128"/>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widowControl w:val="0"/>
        <w:tabs>
          <w:tab w:val="left" w:pos="0"/>
        </w:tabs>
        <w:kinsoku/>
        <w:wordWrap/>
        <w:overflowPunct/>
        <w:topLinePunct w:val="0"/>
        <w:autoSpaceDE/>
        <w:autoSpaceDN/>
        <w:bidi w:val="0"/>
        <w:adjustRightInd w:val="0"/>
        <w:spacing w:line="440" w:lineRule="exact"/>
        <w:ind w:firstLine="480"/>
        <w:textAlignment w:val="auto"/>
        <w:rPr>
          <w:rFonts w:hint="eastAsia" w:ascii="宋体" w:hAnsi="宋体" w:eastAsia="宋体" w:cs="宋体"/>
          <w:color w:val="auto"/>
          <w:sz w:val="24"/>
          <w:highlight w:val="none"/>
        </w:rPr>
      </w:pPr>
    </w:p>
    <w:p>
      <w:pPr>
        <w:snapToGrid w:val="0"/>
        <w:spacing w:line="24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pPr>
        <w:pStyle w:val="6"/>
        <w:keepNext w:val="0"/>
        <w:keepLines w:val="0"/>
        <w:pageBreakBefore w:val="0"/>
        <w:widowControl w:val="0"/>
        <w:kinsoku/>
        <w:wordWrap/>
        <w:overflowPunct/>
        <w:topLinePunct w:val="0"/>
        <w:autoSpaceDE/>
        <w:autoSpaceDN/>
        <w:bidi w:val="0"/>
        <w:adjustRightInd w:val="0"/>
        <w:snapToGrid/>
        <w:spacing w:line="44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30.验收</w:t>
      </w:r>
    </w:p>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30.2采购人可以邀请参加本项目的其他投标人或者第三方机构参与验收。参与验收的投标人或者第三方机构的意见作为验收书的参考资料一并存档。</w:t>
      </w:r>
    </w:p>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7"/>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eastAsia="宋体" w:cs="宋体"/>
          <w:color w:val="auto"/>
          <w:kern w:val="0"/>
          <w:sz w:val="24"/>
          <w:szCs w:val="24"/>
          <w:highlight w:val="none"/>
        </w:rPr>
        <w:sectPr>
          <w:headerReference r:id="rId4" w:type="first"/>
          <w:footerReference r:id="rId7" w:type="first"/>
          <w:headerReference r:id="rId3" w:type="default"/>
          <w:footerReference r:id="rId5" w:type="default"/>
          <w:footerReference r:id="rId6" w:type="even"/>
          <w:pgSz w:w="11905" w:h="16838"/>
          <w:pgMar w:top="1417" w:right="1417" w:bottom="1417" w:left="1417" w:header="851" w:footer="992" w:gutter="0"/>
          <w:cols w:space="0" w:num="1"/>
          <w:titlePg/>
          <w:rtlGutter w:val="0"/>
          <w:docGrid w:linePitch="312" w:charSpace="0"/>
        </w:sectPr>
      </w:pPr>
      <w:bookmarkStart w:id="18" w:name="_Hlt75236101"/>
      <w:bookmarkEnd w:id="18"/>
      <w:bookmarkStart w:id="19" w:name="_Hlt68403820"/>
      <w:bookmarkEnd w:id="19"/>
      <w:bookmarkStart w:id="20" w:name="_Hlt74707468"/>
      <w:bookmarkEnd w:id="20"/>
      <w:bookmarkStart w:id="21" w:name="_Hlt68073093"/>
      <w:bookmarkEnd w:id="21"/>
      <w:bookmarkStart w:id="22" w:name="_Hlt68072990"/>
      <w:bookmarkEnd w:id="22"/>
      <w:bookmarkStart w:id="23" w:name="_Hlt74730295"/>
      <w:bookmarkEnd w:id="23"/>
      <w:bookmarkStart w:id="24" w:name="_Hlt74714665"/>
      <w:bookmarkEnd w:id="24"/>
      <w:bookmarkStart w:id="25" w:name="_Hlt75236011"/>
      <w:bookmarkEnd w:id="25"/>
      <w:bookmarkStart w:id="26" w:name="_Hlt75236290"/>
      <w:bookmarkEnd w:id="26"/>
      <w:bookmarkStart w:id="27" w:name="_Hlt68057669"/>
      <w:bookmarkEnd w:id="27"/>
      <w:bookmarkStart w:id="28" w:name="_Hlt74729768"/>
      <w:bookmarkEnd w:id="28"/>
      <w:bookmarkStart w:id="29" w:name="_Hlt68072998"/>
      <w:bookmarkEnd w:id="29"/>
    </w:p>
    <w:bookmarkEnd w:id="12"/>
    <w:bookmarkEnd w:id="13"/>
    <w:p>
      <w:pPr>
        <w:numPr>
          <w:ilvl w:val="0"/>
          <w:numId w:val="0"/>
        </w:numPr>
        <w:spacing w:line="480" w:lineRule="exact"/>
        <w:ind w:right="-178" w:rightChars="-85"/>
        <w:jc w:val="center"/>
        <w:rPr>
          <w:rFonts w:hint="eastAsia" w:ascii="宋体" w:hAnsi="宋体" w:eastAsia="宋体" w:cs="宋体"/>
          <w:b/>
          <w:color w:val="auto"/>
          <w:sz w:val="36"/>
          <w:szCs w:val="36"/>
          <w:highlight w:val="none"/>
        </w:rPr>
      </w:pPr>
      <w:bookmarkStart w:id="30" w:name="第四部分"/>
      <w:r>
        <w:rPr>
          <w:rFonts w:hint="eastAsia" w:ascii="宋体" w:hAnsi="宋体" w:cs="宋体"/>
          <w:b/>
          <w:color w:val="auto"/>
          <w:sz w:val="36"/>
          <w:szCs w:val="36"/>
          <w:highlight w:val="none"/>
          <w:lang w:val="en-US" w:eastAsia="zh-CN"/>
        </w:rPr>
        <w:t xml:space="preserve">第三部分 </w:t>
      </w:r>
      <w:r>
        <w:rPr>
          <w:rFonts w:hint="eastAsia" w:ascii="宋体" w:hAnsi="宋体" w:eastAsia="宋体" w:cs="宋体"/>
          <w:b/>
          <w:color w:val="auto"/>
          <w:sz w:val="36"/>
          <w:szCs w:val="36"/>
          <w:highlight w:val="none"/>
        </w:rPr>
        <w:t>采购需求</w:t>
      </w:r>
    </w:p>
    <w:p>
      <w:pPr>
        <w:snapToGrid w:val="0"/>
        <w:spacing w:line="360" w:lineRule="auto"/>
        <w:jc w:val="left"/>
        <w:rPr>
          <w:rFonts w:hint="eastAsia" w:ascii="宋体" w:hAnsi="宋体" w:eastAsia="宋体" w:cs="宋体"/>
          <w:b/>
          <w:sz w:val="28"/>
          <w:szCs w:val="28"/>
        </w:rPr>
      </w:pPr>
      <w:r>
        <w:rPr>
          <w:rFonts w:hint="eastAsia" w:ascii="宋体" w:hAnsi="宋体" w:eastAsia="宋体" w:cs="宋体"/>
          <w:b/>
          <w:sz w:val="28"/>
          <w:szCs w:val="28"/>
        </w:rPr>
        <w:t>一、采购内容</w:t>
      </w:r>
    </w:p>
    <w:tbl>
      <w:tblPr>
        <w:tblStyle w:val="63"/>
        <w:tblW w:w="9081"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191"/>
        <w:gridCol w:w="2235"/>
        <w:gridCol w:w="780"/>
        <w:gridCol w:w="750"/>
        <w:gridCol w:w="1484"/>
        <w:gridCol w:w="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序号</w:t>
            </w:r>
          </w:p>
        </w:tc>
        <w:tc>
          <w:tcPr>
            <w:tcW w:w="2191"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项目名称</w:t>
            </w:r>
          </w:p>
        </w:tc>
        <w:tc>
          <w:tcPr>
            <w:tcW w:w="2235"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主要服务技术要求</w:t>
            </w:r>
          </w:p>
        </w:tc>
        <w:tc>
          <w:tcPr>
            <w:tcW w:w="780"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单位</w:t>
            </w:r>
          </w:p>
        </w:tc>
        <w:tc>
          <w:tcPr>
            <w:tcW w:w="750"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数量</w:t>
            </w:r>
          </w:p>
        </w:tc>
        <w:tc>
          <w:tcPr>
            <w:tcW w:w="1484"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预算价（元）</w:t>
            </w:r>
          </w:p>
        </w:tc>
        <w:tc>
          <w:tcPr>
            <w:tcW w:w="876"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trPr>
        <w:tc>
          <w:tcPr>
            <w:tcW w:w="765"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2191"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lang w:eastAsia="zh-CN"/>
              </w:rPr>
            </w:pPr>
            <w:r>
              <w:rPr>
                <w:rFonts w:hint="eastAsia" w:ascii="宋体" w:hAnsi="宋体" w:cs="宋体"/>
                <w:sz w:val="24"/>
                <w:szCs w:val="24"/>
                <w:lang w:eastAsia="zh-CN"/>
              </w:rPr>
              <w:t>桥头称重设施采购项目</w:t>
            </w:r>
          </w:p>
        </w:tc>
        <w:tc>
          <w:tcPr>
            <w:tcW w:w="2235"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详见“二、采购清单及要求”</w:t>
            </w:r>
          </w:p>
        </w:tc>
        <w:tc>
          <w:tcPr>
            <w:tcW w:w="780"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项</w:t>
            </w:r>
          </w:p>
        </w:tc>
        <w:tc>
          <w:tcPr>
            <w:tcW w:w="750"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1484"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1800000</w:t>
            </w:r>
          </w:p>
        </w:tc>
        <w:tc>
          <w:tcPr>
            <w:tcW w:w="876" w:type="dxa"/>
            <w:vAlign w:val="center"/>
          </w:tcPr>
          <w:p>
            <w:pPr>
              <w:keepNext w:val="0"/>
              <w:keepLines w:val="0"/>
              <w:pageBreakBefore w:val="0"/>
              <w:widowControl/>
              <w:tabs>
                <w:tab w:val="left" w:pos="360"/>
              </w:tabs>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81" w:type="dxa"/>
            <w:gridSpan w:val="7"/>
            <w:vAlign w:val="center"/>
          </w:tcPr>
          <w:p>
            <w:pPr>
              <w:pStyle w:val="25"/>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default" w:ascii="宋体" w:hAnsi="宋体" w:eastAsia="宋体" w:cs="宋体"/>
                <w:sz w:val="24"/>
                <w:szCs w:val="24"/>
                <w:lang w:val="en-US" w:eastAsia="zh-CN"/>
              </w:rPr>
            </w:pPr>
            <w:r>
              <w:rPr>
                <w:rFonts w:hint="eastAsia" w:ascii="宋体" w:hAnsi="宋体" w:eastAsia="宋体" w:cs="宋体"/>
                <w:b/>
                <w:bCs/>
                <w:sz w:val="24"/>
                <w:szCs w:val="24"/>
              </w:rPr>
              <w:t>预算总价</w:t>
            </w:r>
            <w:r>
              <w:rPr>
                <w:rFonts w:hint="eastAsia" w:ascii="宋体" w:hAnsi="宋体" w:eastAsia="宋体" w:cs="宋体"/>
                <w:b/>
                <w:bCs/>
                <w:sz w:val="24"/>
                <w:szCs w:val="24"/>
                <w:lang w:eastAsia="zh-CN"/>
              </w:rPr>
              <w:t>：</w:t>
            </w:r>
            <w:r>
              <w:rPr>
                <w:rFonts w:hint="eastAsia" w:ascii="宋体" w:hAnsi="宋体" w:eastAsia="宋体" w:cs="宋体"/>
                <w:b/>
                <w:bCs/>
                <w:sz w:val="24"/>
                <w:szCs w:val="24"/>
              </w:rPr>
              <w:t>人民币（大写）</w:t>
            </w:r>
            <w:r>
              <w:rPr>
                <w:rFonts w:hint="eastAsia" w:ascii="宋体" w:hAnsi="宋体" w:eastAsia="宋体" w:cs="宋体"/>
                <w:b/>
                <w:bCs/>
                <w:sz w:val="24"/>
                <w:szCs w:val="24"/>
                <w:lang w:val="en-US" w:eastAsia="zh-CN"/>
              </w:rPr>
              <w:t>壹佰捌拾万元整</w:t>
            </w:r>
          </w:p>
        </w:tc>
      </w:tr>
    </w:tbl>
    <w:p>
      <w:pPr>
        <w:pStyle w:val="25"/>
        <w:spacing w:line="240" w:lineRule="auto"/>
        <w:ind w:left="1" w:leftChars="-95" w:right="-340" w:rightChars="-162" w:hanging="200"/>
        <w:rPr>
          <w:rFonts w:hint="eastAsia" w:ascii="宋体" w:hAnsi="宋体" w:eastAsia="宋体" w:cs="宋体"/>
        </w:rPr>
      </w:pPr>
      <w:r>
        <w:rPr>
          <w:rFonts w:hint="eastAsia" w:ascii="宋体" w:hAnsi="宋体" w:eastAsia="宋体" w:cs="宋体"/>
          <w:b/>
        </w:rPr>
        <w:t>注：</w:t>
      </w:r>
      <w:r>
        <w:rPr>
          <w:rFonts w:hint="eastAsia" w:ascii="宋体" w:hAnsi="宋体" w:eastAsia="宋体" w:cs="宋体"/>
        </w:rPr>
        <w:t xml:space="preserve"> 以上金额包含供货、运输装卸、安装调试、备品备件、利润、税金、保险、培训、验收、辅助工作及售后服务等完成本项目所需的全部费用。</w:t>
      </w:r>
    </w:p>
    <w:p>
      <w:pPr>
        <w:snapToGrid w:val="0"/>
        <w:spacing w:line="360" w:lineRule="auto"/>
        <w:jc w:val="left"/>
        <w:rPr>
          <w:rFonts w:hint="eastAsia" w:ascii="宋体" w:hAnsi="宋体" w:eastAsia="宋体" w:cs="宋体"/>
          <w:b/>
          <w:sz w:val="28"/>
          <w:szCs w:val="28"/>
        </w:rPr>
      </w:pPr>
      <w:r>
        <w:rPr>
          <w:rFonts w:hint="eastAsia" w:ascii="宋体" w:hAnsi="宋体" w:eastAsia="宋体" w:cs="宋体"/>
          <w:b/>
          <w:sz w:val="28"/>
          <w:szCs w:val="28"/>
        </w:rPr>
        <w:t>二、采购清单及要求</w:t>
      </w:r>
    </w:p>
    <w:p>
      <w:pPr>
        <w:pStyle w:val="61"/>
        <w:keepNext w:val="0"/>
        <w:keepLines w:val="0"/>
        <w:pageBreakBefore w:val="0"/>
        <w:widowControl w:val="0"/>
        <w:kinsoku/>
        <w:wordWrap/>
        <w:overflowPunct/>
        <w:topLinePunct w:val="0"/>
        <w:autoSpaceDE/>
        <w:autoSpaceDN/>
        <w:bidi w:val="0"/>
        <w:adjustRightInd/>
        <w:snapToGrid/>
        <w:spacing w:after="0" w:line="440" w:lineRule="exact"/>
        <w:ind w:left="0" w:leftChars="0" w:firstLine="482"/>
        <w:textAlignment w:val="auto"/>
        <w:rPr>
          <w:rFonts w:hint="eastAsia" w:ascii="宋体" w:hAnsi="宋体" w:eastAsia="宋体" w:cs="宋体"/>
          <w:b/>
          <w:sz w:val="24"/>
        </w:rPr>
      </w:pPr>
      <w:r>
        <w:rPr>
          <w:rFonts w:hint="eastAsia" w:ascii="宋体" w:hAnsi="宋体" w:eastAsia="宋体" w:cs="宋体"/>
          <w:b/>
          <w:sz w:val="24"/>
        </w:rPr>
        <w:t>一）、项目概况</w:t>
      </w:r>
    </w:p>
    <w:p>
      <w:pPr>
        <w:pStyle w:val="61"/>
        <w:keepNext w:val="0"/>
        <w:keepLines w:val="0"/>
        <w:pageBreakBefore w:val="0"/>
        <w:widowControl w:val="0"/>
        <w:kinsoku/>
        <w:wordWrap/>
        <w:overflowPunct/>
        <w:topLinePunct w:val="0"/>
        <w:autoSpaceDE/>
        <w:autoSpaceDN/>
        <w:bidi w:val="0"/>
        <w:adjustRightInd/>
        <w:snapToGrid/>
        <w:spacing w:after="0" w:line="440" w:lineRule="exact"/>
        <w:ind w:left="0" w:leftChars="0" w:firstLine="480"/>
        <w:textAlignment w:val="auto"/>
        <w:rPr>
          <w:rFonts w:hint="eastAsia" w:ascii="宋体" w:hAnsi="宋体" w:eastAsia="宋体" w:cs="宋体"/>
          <w:sz w:val="24"/>
        </w:rPr>
      </w:pPr>
      <w:r>
        <w:rPr>
          <w:rFonts w:hint="eastAsia" w:ascii="宋体" w:hAnsi="宋体" w:eastAsia="宋体" w:cs="宋体"/>
          <w:sz w:val="24"/>
        </w:rPr>
        <w:t>道路运输超限超载导致桥梁、道路使用寿命锐减。我国沥青路面设计使用年限通常为15年，但由于超限超载运输影响，部分路段使用寿命缩短为5至8年，少数甚至缩短为2至3年。超限超载车辆严重损坏道路基础设施，致使道路路面损坏，桥梁断裂，道路使用年限缩短，养护费用增加。</w:t>
      </w:r>
    </w:p>
    <w:p>
      <w:pPr>
        <w:pStyle w:val="61"/>
        <w:keepNext w:val="0"/>
        <w:keepLines w:val="0"/>
        <w:pageBreakBefore w:val="0"/>
        <w:widowControl w:val="0"/>
        <w:kinsoku/>
        <w:wordWrap/>
        <w:overflowPunct/>
        <w:topLinePunct w:val="0"/>
        <w:autoSpaceDE/>
        <w:autoSpaceDN/>
        <w:bidi w:val="0"/>
        <w:adjustRightInd/>
        <w:snapToGrid/>
        <w:spacing w:after="0" w:line="440" w:lineRule="exact"/>
        <w:ind w:left="0" w:leftChars="0" w:firstLine="480"/>
        <w:textAlignment w:val="auto"/>
        <w:rPr>
          <w:rFonts w:hint="eastAsia" w:ascii="宋体" w:hAnsi="宋体" w:eastAsia="宋体" w:cs="宋体"/>
          <w:sz w:val="24"/>
        </w:rPr>
      </w:pPr>
      <w:r>
        <w:rPr>
          <w:rFonts w:hint="eastAsia" w:ascii="宋体" w:hAnsi="宋体" w:eastAsia="宋体" w:cs="宋体"/>
          <w:sz w:val="24"/>
        </w:rPr>
        <w:t>为了加强对违法超限超载运输行为的治理，保障道路设施和人民生命财产安全，国务院、交通运输部相继出台了《国务院办公厅关于加强车辆超限超载治理工作的通知》（国办发〔2005〕30 号）、《超限运输车辆行驶公路管理规定》（交通运输部令 2016 年第 62 号）、《关于进一步做好货车非法改装和超限超载治理工作的意见》（交公路发﹝2016﹞124 号）、《交通运输部办公厅、公安部办公厅关于规范治理超限超载专项行动有关执法的通知》（交办公路﹝2016﹞130 号）等政策。</w:t>
      </w:r>
    </w:p>
    <w:p>
      <w:pPr>
        <w:pStyle w:val="61"/>
        <w:keepNext w:val="0"/>
        <w:keepLines w:val="0"/>
        <w:pageBreakBefore w:val="0"/>
        <w:widowControl w:val="0"/>
        <w:kinsoku/>
        <w:wordWrap/>
        <w:overflowPunct/>
        <w:topLinePunct w:val="0"/>
        <w:autoSpaceDE/>
        <w:autoSpaceDN/>
        <w:bidi w:val="0"/>
        <w:adjustRightInd/>
        <w:snapToGrid/>
        <w:spacing w:after="0" w:line="440" w:lineRule="exact"/>
        <w:ind w:left="0" w:leftChars="0" w:firstLine="480"/>
        <w:textAlignment w:val="auto"/>
        <w:rPr>
          <w:rFonts w:hint="eastAsia" w:ascii="宋体" w:hAnsi="宋体" w:eastAsia="宋体" w:cs="宋体"/>
          <w:sz w:val="24"/>
        </w:rPr>
      </w:pPr>
      <w:r>
        <w:rPr>
          <w:rFonts w:hint="eastAsia" w:ascii="宋体" w:hAnsi="宋体" w:eastAsia="宋体" w:cs="宋体"/>
          <w:sz w:val="24"/>
        </w:rPr>
        <w:t>信息化是治理超限超载运输的有效抓手。交通运输部发布的《交通运输信息化“十三五”发展规划》明确提出要“运用信息化手段稳步推进非现场综合执法，实现违法行为的综合巡检和自动甄别。加强治超现场执法、源头治理、运政管理等方面的联网工作，提高超限超载运输联网联控能力”，《交通运输部关于全面深化交通运输法治政府部门建设的意见》（交法发〔2015〕126 号）中也要求“加强行政执法信息化建设，积极运用信息化推进传统执法方式改革，组织完成交通运输行政执法综合管理信息系统工程建设和实施，积极推广非现场综合执法、移动执法等方式”。</w:t>
      </w:r>
    </w:p>
    <w:p>
      <w:pPr>
        <w:pStyle w:val="61"/>
        <w:keepNext w:val="0"/>
        <w:keepLines w:val="0"/>
        <w:pageBreakBefore w:val="0"/>
        <w:widowControl w:val="0"/>
        <w:kinsoku/>
        <w:wordWrap/>
        <w:overflowPunct/>
        <w:topLinePunct w:val="0"/>
        <w:autoSpaceDE/>
        <w:autoSpaceDN/>
        <w:bidi w:val="0"/>
        <w:adjustRightInd/>
        <w:snapToGrid/>
        <w:spacing w:after="0" w:line="440" w:lineRule="exact"/>
        <w:ind w:left="0" w:leftChars="0" w:firstLine="480"/>
        <w:textAlignment w:val="auto"/>
        <w:rPr>
          <w:rFonts w:hint="eastAsia" w:ascii="宋体" w:hAnsi="宋体" w:eastAsia="宋体" w:cs="宋体"/>
          <w:sz w:val="24"/>
        </w:rPr>
      </w:pPr>
      <w:r>
        <w:rPr>
          <w:rFonts w:hint="eastAsia" w:ascii="宋体" w:hAnsi="宋体" w:eastAsia="宋体" w:cs="宋体"/>
          <w:sz w:val="24"/>
        </w:rPr>
        <w:t>动态称重系统(Weigh in Motion，简称WIM)的出现不仅能够对超载车辆进行识别，而且能够提供较为全面的交通流信息，为桥隧管理单位评估结构的疲劳剩余寿命、掌握结构的实际运行情况及制定运营养护策略提供依据</w:t>
      </w:r>
    </w:p>
    <w:p>
      <w:pPr>
        <w:pStyle w:val="61"/>
        <w:keepNext w:val="0"/>
        <w:keepLines w:val="0"/>
        <w:pageBreakBefore w:val="0"/>
        <w:widowControl w:val="0"/>
        <w:kinsoku/>
        <w:wordWrap/>
        <w:overflowPunct/>
        <w:topLinePunct w:val="0"/>
        <w:autoSpaceDE/>
        <w:autoSpaceDN/>
        <w:bidi w:val="0"/>
        <w:adjustRightInd/>
        <w:snapToGrid/>
        <w:spacing w:after="0" w:line="440" w:lineRule="exact"/>
        <w:ind w:left="0" w:leftChars="0" w:firstLine="480"/>
        <w:textAlignment w:val="auto"/>
        <w:rPr>
          <w:rFonts w:hint="eastAsia" w:ascii="宋体" w:hAnsi="宋体" w:eastAsia="宋体" w:cs="宋体"/>
          <w:sz w:val="24"/>
        </w:rPr>
      </w:pPr>
      <w:r>
        <w:rPr>
          <w:rFonts w:hint="eastAsia" w:ascii="宋体" w:hAnsi="宋体" w:eastAsia="宋体" w:cs="宋体"/>
          <w:sz w:val="24"/>
        </w:rPr>
        <w:t>根据规划要求，通过科学选址，在建德市设立动态称重检测系统，加强市境内桥梁的保护力度。</w:t>
      </w:r>
    </w:p>
    <w:p>
      <w:pPr>
        <w:pStyle w:val="61"/>
        <w:keepNext w:val="0"/>
        <w:keepLines w:val="0"/>
        <w:pageBreakBefore w:val="0"/>
        <w:widowControl w:val="0"/>
        <w:kinsoku/>
        <w:wordWrap/>
        <w:overflowPunct/>
        <w:topLinePunct w:val="0"/>
        <w:autoSpaceDE/>
        <w:autoSpaceDN/>
        <w:bidi w:val="0"/>
        <w:adjustRightInd/>
        <w:snapToGrid/>
        <w:spacing w:after="0" w:line="440" w:lineRule="exact"/>
        <w:ind w:left="0" w:leftChars="0" w:firstLine="482"/>
        <w:textAlignment w:val="auto"/>
        <w:rPr>
          <w:rFonts w:hint="eastAsia" w:ascii="宋体" w:hAnsi="宋体" w:eastAsia="宋体" w:cs="宋体"/>
          <w:b/>
          <w:sz w:val="24"/>
        </w:rPr>
      </w:pPr>
      <w:r>
        <w:rPr>
          <w:rFonts w:hint="eastAsia" w:ascii="宋体" w:hAnsi="宋体" w:eastAsia="宋体" w:cs="宋体"/>
          <w:b/>
          <w:sz w:val="24"/>
        </w:rPr>
        <w:t>二）、桥梁概况</w:t>
      </w:r>
    </w:p>
    <w:p>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rPr>
      </w:pPr>
      <w:r>
        <w:rPr>
          <w:rFonts w:hint="eastAsia" w:ascii="宋体" w:hAnsi="宋体" w:eastAsia="宋体" w:cs="宋体"/>
          <w:sz w:val="24"/>
        </w:rPr>
        <w:t>（1）白沙大桥</w:t>
      </w:r>
    </w:p>
    <w:p>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rPr>
      </w:pPr>
      <w:r>
        <w:rPr>
          <w:rFonts w:hint="eastAsia" w:ascii="宋体" w:hAnsi="宋体" w:eastAsia="宋体" w:cs="宋体"/>
          <w:sz w:val="24"/>
        </w:rPr>
        <w:t>白沙大桥采用变截面、悬链线、不等跨空腹拱桥。跨径为2×45+2×50+2×45+10米，全桥总长362米，桥面净宽7+2×1.5米人行道。白沙大桥的建成，从此结束了新安江“走遍天下路，难过白沙渡”、“隔江如隔海，渡江似登天”的历史。白沙大桥已建成50年，它曾经接受过新安江水电站6次泄洪的考验。</w:t>
      </w:r>
    </w:p>
    <w:p>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rPr>
      </w:pPr>
      <w:r>
        <w:rPr>
          <w:rFonts w:hint="eastAsia" w:ascii="宋体" w:hAnsi="宋体" w:eastAsia="宋体" w:cs="宋体"/>
          <w:sz w:val="24"/>
        </w:rPr>
        <w:t>（2）新安江大桥</w:t>
      </w:r>
    </w:p>
    <w:p>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rPr>
      </w:pPr>
      <w:r>
        <w:rPr>
          <w:rFonts w:hint="eastAsia" w:ascii="宋体" w:hAnsi="宋体" w:eastAsia="宋体" w:cs="宋体"/>
          <w:sz w:val="24"/>
        </w:rPr>
        <w:t>新安江大桥位于浙江省建德市市中心，是浙江省第一座中承式不等跨钢管砼拱桥。桥全长374m，跨径布置为13+10+（86.5+125+86.5）+13+2×20m，桥面净宽为10.5m。中孔120m拱肋由两根Φ800mm钢管叠合组成“哑铃形”，高度2m，边孔84m拱肋由两根Φ750mm钢管组成，高度1.8m。桥横梁有33根。全桥共设33对吊杆，纵向间距6.0m，横向间距11.4m，索体采用110Φ5高强钢丝束（R=1600Mpa），吊杆采用墩头锚。大桥下部结构南台为扩大基础，座落在基岩上，北台采用垂直钻孔灌注桩与开槽浇筑的斜支撑组成组合式桥台，桥墩为扩大基础，水深（4~5）m，流速（1~2）m/sec，采用水下定向爆破，挡水模板静水灌注砼基础及墩身。</w:t>
      </w:r>
    </w:p>
    <w:p>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rPr>
      </w:pPr>
      <w:r>
        <w:rPr>
          <w:rFonts w:hint="eastAsia" w:ascii="宋体" w:hAnsi="宋体" w:eastAsia="宋体" w:cs="宋体"/>
          <w:sz w:val="24"/>
        </w:rPr>
        <w:t>本工程选取的动态称重检测点，位于建德市新安江街道主城区，涉及重要道路，能够全方位的检测货运车辆超限超载情况，准确、快速、有效地识别超限嫌疑车辆，实现对超限车辆的“精确”打击，从而有效减少停车检查通行车辆能耗，促进交通运输节能减排。</w:t>
      </w:r>
    </w:p>
    <w:p>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rPr>
      </w:pPr>
      <w:r>
        <w:rPr>
          <w:rFonts w:hint="eastAsia" w:ascii="宋体" w:hAnsi="宋体" w:eastAsia="宋体" w:cs="宋体"/>
          <w:sz w:val="24"/>
        </w:rPr>
        <w:t>站点位置如下：</w:t>
      </w:r>
    </w:p>
    <w:tbl>
      <w:tblPr>
        <w:tblStyle w:val="62"/>
        <w:tblW w:w="488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1777"/>
        <w:gridCol w:w="1741"/>
        <w:gridCol w:w="2916"/>
        <w:gridCol w:w="17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474" w:type="pct"/>
            <w:vAlign w:val="center"/>
          </w:tcPr>
          <w:p>
            <w:pPr>
              <w:jc w:val="center"/>
              <w:rPr>
                <w:rFonts w:hint="eastAsia" w:ascii="宋体" w:hAnsi="宋体" w:eastAsia="宋体" w:cs="宋体"/>
                <w:b/>
                <w:sz w:val="24"/>
                <w:szCs w:val="24"/>
                <w:lang w:val="zh-CN"/>
              </w:rPr>
            </w:pPr>
            <w:r>
              <w:rPr>
                <w:rFonts w:hint="eastAsia" w:ascii="宋体" w:hAnsi="宋体" w:eastAsia="宋体" w:cs="宋体"/>
                <w:b/>
                <w:sz w:val="24"/>
                <w:szCs w:val="24"/>
                <w:lang w:val="zh-CN"/>
              </w:rPr>
              <w:t>序号</w:t>
            </w:r>
          </w:p>
        </w:tc>
        <w:tc>
          <w:tcPr>
            <w:tcW w:w="979" w:type="pct"/>
            <w:noWrap/>
            <w:vAlign w:val="center"/>
          </w:tcPr>
          <w:p>
            <w:pPr>
              <w:jc w:val="center"/>
              <w:rPr>
                <w:rFonts w:hint="eastAsia" w:ascii="宋体" w:hAnsi="宋体" w:eastAsia="宋体" w:cs="宋体"/>
                <w:b/>
                <w:sz w:val="24"/>
                <w:szCs w:val="24"/>
                <w:lang w:val="zh-CN"/>
              </w:rPr>
            </w:pPr>
            <w:r>
              <w:rPr>
                <w:rFonts w:hint="eastAsia" w:ascii="宋体" w:hAnsi="宋体" w:eastAsia="宋体" w:cs="宋体"/>
                <w:b/>
                <w:sz w:val="24"/>
                <w:szCs w:val="24"/>
                <w:lang w:val="zh-CN"/>
              </w:rPr>
              <w:t>站点名称</w:t>
            </w:r>
          </w:p>
        </w:tc>
        <w:tc>
          <w:tcPr>
            <w:tcW w:w="959" w:type="pct"/>
            <w:noWrap/>
            <w:vAlign w:val="center"/>
          </w:tcPr>
          <w:p>
            <w:pPr>
              <w:jc w:val="center"/>
              <w:rPr>
                <w:rFonts w:hint="eastAsia" w:ascii="宋体" w:hAnsi="宋体" w:eastAsia="宋体" w:cs="宋体"/>
                <w:b/>
                <w:sz w:val="24"/>
                <w:szCs w:val="24"/>
                <w:lang w:val="zh-CN"/>
              </w:rPr>
            </w:pPr>
            <w:r>
              <w:rPr>
                <w:rFonts w:hint="eastAsia" w:ascii="宋体" w:hAnsi="宋体" w:eastAsia="宋体" w:cs="宋体"/>
                <w:b/>
                <w:sz w:val="24"/>
                <w:szCs w:val="24"/>
                <w:lang w:val="zh-CN"/>
              </w:rPr>
              <w:t>检测车道数</w:t>
            </w:r>
          </w:p>
        </w:tc>
        <w:tc>
          <w:tcPr>
            <w:tcW w:w="1606" w:type="pct"/>
            <w:noWrap/>
            <w:vAlign w:val="center"/>
          </w:tcPr>
          <w:p>
            <w:pPr>
              <w:jc w:val="center"/>
              <w:rPr>
                <w:rFonts w:hint="eastAsia" w:ascii="宋体" w:hAnsi="宋体" w:eastAsia="宋体" w:cs="宋体"/>
                <w:b/>
                <w:sz w:val="24"/>
                <w:szCs w:val="24"/>
                <w:lang w:val="zh-CN"/>
              </w:rPr>
            </w:pPr>
            <w:r>
              <w:rPr>
                <w:rFonts w:hint="eastAsia" w:ascii="宋体" w:hAnsi="宋体" w:eastAsia="宋体" w:cs="宋体"/>
                <w:b/>
                <w:sz w:val="24"/>
                <w:szCs w:val="24"/>
                <w:lang w:val="zh-CN"/>
              </w:rPr>
              <w:t>检测车道宽度(mm)</w:t>
            </w:r>
          </w:p>
        </w:tc>
        <w:tc>
          <w:tcPr>
            <w:tcW w:w="979" w:type="pct"/>
            <w:vAlign w:val="center"/>
          </w:tcPr>
          <w:p>
            <w:pPr>
              <w:jc w:val="center"/>
              <w:rPr>
                <w:rFonts w:hint="eastAsia" w:ascii="宋体" w:hAnsi="宋体" w:eastAsia="宋体" w:cs="宋体"/>
                <w:b/>
                <w:sz w:val="24"/>
                <w:szCs w:val="24"/>
                <w:lang w:val="zh-CN"/>
              </w:rPr>
            </w:pPr>
            <w:r>
              <w:rPr>
                <w:rFonts w:hint="eastAsia" w:ascii="宋体" w:hAnsi="宋体" w:eastAsia="宋体" w:cs="宋体"/>
                <w:b/>
                <w:sz w:val="24"/>
                <w:szCs w:val="24"/>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474" w:type="pct"/>
            <w:noWrap/>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1</w:t>
            </w:r>
          </w:p>
        </w:tc>
        <w:tc>
          <w:tcPr>
            <w:tcW w:w="979" w:type="pct"/>
            <w:noWrap/>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白沙大桥</w:t>
            </w:r>
          </w:p>
        </w:tc>
        <w:tc>
          <w:tcPr>
            <w:tcW w:w="959" w:type="pct"/>
            <w:noWrap/>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2车道</w:t>
            </w:r>
          </w:p>
        </w:tc>
        <w:tc>
          <w:tcPr>
            <w:tcW w:w="1606" w:type="pct"/>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上行：3500</w:t>
            </w:r>
            <w:r>
              <w:rPr>
                <w:rFonts w:hint="eastAsia" w:ascii="宋体" w:hAnsi="宋体" w:eastAsia="宋体" w:cs="宋体"/>
                <w:sz w:val="24"/>
                <w:szCs w:val="24"/>
                <w:lang w:val="zh-CN"/>
              </w:rPr>
              <w:br w:type="textWrapping"/>
            </w:r>
            <w:r>
              <w:rPr>
                <w:rFonts w:hint="eastAsia" w:ascii="宋体" w:hAnsi="宋体" w:eastAsia="宋体" w:cs="宋体"/>
                <w:sz w:val="24"/>
                <w:szCs w:val="24"/>
                <w:lang w:val="zh-CN"/>
              </w:rPr>
              <w:t>下行：3500</w:t>
            </w:r>
          </w:p>
        </w:tc>
        <w:tc>
          <w:tcPr>
            <w:tcW w:w="979" w:type="pct"/>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双向检测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474" w:type="pct"/>
            <w:noWrap/>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2</w:t>
            </w:r>
          </w:p>
        </w:tc>
        <w:tc>
          <w:tcPr>
            <w:tcW w:w="979" w:type="pct"/>
            <w:noWrap/>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新安江大桥</w:t>
            </w:r>
          </w:p>
        </w:tc>
        <w:tc>
          <w:tcPr>
            <w:tcW w:w="959" w:type="pct"/>
            <w:noWrap/>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2车道</w:t>
            </w:r>
          </w:p>
        </w:tc>
        <w:tc>
          <w:tcPr>
            <w:tcW w:w="1606" w:type="pct"/>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上行：3500</w:t>
            </w:r>
            <w:r>
              <w:rPr>
                <w:rFonts w:hint="eastAsia" w:ascii="宋体" w:hAnsi="宋体" w:eastAsia="宋体" w:cs="宋体"/>
                <w:sz w:val="24"/>
                <w:szCs w:val="24"/>
                <w:lang w:val="zh-CN"/>
              </w:rPr>
              <w:br w:type="textWrapping"/>
            </w:r>
            <w:r>
              <w:rPr>
                <w:rFonts w:hint="eastAsia" w:ascii="宋体" w:hAnsi="宋体" w:eastAsia="宋体" w:cs="宋体"/>
                <w:sz w:val="24"/>
                <w:szCs w:val="24"/>
                <w:lang w:val="zh-CN"/>
              </w:rPr>
              <w:t>下行：3500</w:t>
            </w:r>
          </w:p>
        </w:tc>
        <w:tc>
          <w:tcPr>
            <w:tcW w:w="979" w:type="pct"/>
            <w:vAlign w:val="center"/>
          </w:tcPr>
          <w:p>
            <w:pPr>
              <w:jc w:val="center"/>
              <w:rPr>
                <w:rFonts w:hint="eastAsia" w:ascii="宋体" w:hAnsi="宋体" w:eastAsia="宋体" w:cs="宋体"/>
                <w:sz w:val="24"/>
                <w:szCs w:val="24"/>
                <w:lang w:val="zh-CN"/>
              </w:rPr>
            </w:pPr>
            <w:r>
              <w:rPr>
                <w:rFonts w:hint="eastAsia" w:ascii="宋体" w:hAnsi="宋体" w:eastAsia="宋体" w:cs="宋体"/>
                <w:sz w:val="24"/>
                <w:szCs w:val="24"/>
                <w:lang w:val="zh-CN"/>
              </w:rPr>
              <w:t>双向检测</w:t>
            </w:r>
          </w:p>
        </w:tc>
      </w:tr>
    </w:tbl>
    <w:p>
      <w:pPr>
        <w:pStyle w:val="61"/>
        <w:keepNext w:val="0"/>
        <w:keepLines w:val="0"/>
        <w:pageBreakBefore w:val="0"/>
        <w:widowControl w:val="0"/>
        <w:kinsoku/>
        <w:wordWrap/>
        <w:overflowPunct/>
        <w:topLinePunct w:val="0"/>
        <w:autoSpaceDE/>
        <w:autoSpaceDN/>
        <w:bidi w:val="0"/>
        <w:adjustRightInd/>
        <w:spacing w:after="0" w:line="440" w:lineRule="exact"/>
        <w:ind w:left="0" w:leftChars="0" w:firstLine="482"/>
        <w:textAlignment w:val="auto"/>
        <w:rPr>
          <w:rFonts w:hint="eastAsia" w:ascii="宋体" w:hAnsi="宋体" w:eastAsia="宋体" w:cs="宋体"/>
          <w:b/>
          <w:sz w:val="24"/>
        </w:rPr>
      </w:pPr>
      <w:r>
        <w:rPr>
          <w:rFonts w:hint="eastAsia" w:ascii="宋体" w:hAnsi="宋体" w:eastAsia="宋体" w:cs="宋体"/>
          <w:b/>
          <w:sz w:val="24"/>
        </w:rPr>
        <w:t>三）、建设点位及配置方案</w:t>
      </w:r>
    </w:p>
    <w:p>
      <w:pPr>
        <w:keepNext w:val="0"/>
        <w:keepLines w:val="0"/>
        <w:pageBreakBefore w:val="0"/>
        <w:widowControl w:val="0"/>
        <w:kinsoku/>
        <w:wordWrap/>
        <w:overflowPunct/>
        <w:topLinePunct w:val="0"/>
        <w:autoSpaceDE/>
        <w:autoSpaceDN/>
        <w:bidi w:val="0"/>
        <w:adjustRightInd/>
        <w:snapToGrid w:val="0"/>
        <w:spacing w:line="440" w:lineRule="exact"/>
        <w:jc w:val="left"/>
        <w:textAlignment w:val="auto"/>
        <w:rPr>
          <w:rFonts w:hint="eastAsia" w:ascii="宋体" w:hAnsi="宋体" w:eastAsia="宋体" w:cs="宋体"/>
          <w:b/>
          <w:bCs/>
          <w:sz w:val="24"/>
          <w:szCs w:val="22"/>
        </w:rPr>
      </w:pPr>
      <w:r>
        <w:rPr>
          <w:rFonts w:hint="eastAsia" w:ascii="宋体" w:hAnsi="宋体" w:eastAsia="宋体" w:cs="宋体"/>
          <w:b/>
          <w:bCs/>
          <w:sz w:val="24"/>
        </w:rPr>
        <w:t>点位1：</w:t>
      </w:r>
      <w:r>
        <w:rPr>
          <w:rFonts w:hint="eastAsia" w:ascii="宋体" w:hAnsi="宋体" w:eastAsia="宋体" w:cs="宋体"/>
          <w:b/>
          <w:sz w:val="24"/>
        </w:rPr>
        <w:t>白沙大桥南侧上桥路段</w:t>
      </w:r>
    </w:p>
    <w:p>
      <w:pPr>
        <w:pStyle w:val="386"/>
        <w:keepNext w:val="0"/>
        <w:keepLines w:val="0"/>
        <w:pageBreakBefore w:val="0"/>
        <w:widowControl w:val="0"/>
        <w:kinsoku/>
        <w:wordWrap/>
        <w:overflowPunct/>
        <w:topLinePunct w:val="0"/>
        <w:autoSpaceDE/>
        <w:autoSpaceDN/>
        <w:bidi w:val="0"/>
        <w:adjustRightInd/>
        <w:spacing w:before="0" w:line="440" w:lineRule="exact"/>
        <w:textAlignment w:val="auto"/>
        <w:rPr>
          <w:rFonts w:hint="eastAsia" w:ascii="宋体" w:hAnsi="宋体" w:eastAsia="宋体" w:cs="宋体"/>
        </w:rPr>
      </w:pPr>
      <w:r>
        <w:rPr>
          <w:rFonts w:hint="eastAsia" w:ascii="宋体" w:hAnsi="宋体" w:eastAsia="宋体" w:cs="宋体"/>
        </w:rPr>
        <w:t>项目点位如下图：</w:t>
      </w:r>
    </w:p>
    <w:p>
      <w:pPr>
        <w:pStyle w:val="386"/>
        <w:spacing w:before="0" w:after="0"/>
        <w:ind w:firstLine="0" w:firstLineChars="0"/>
        <w:rPr>
          <w:rFonts w:hint="eastAsia" w:ascii="宋体" w:hAnsi="宋体" w:eastAsia="宋体" w:cs="宋体"/>
        </w:rPr>
      </w:pPr>
      <w:r>
        <w:rPr>
          <w:rFonts w:hint="eastAsia" w:ascii="宋体" w:hAnsi="宋体" w:eastAsia="宋体" w:cs="宋体"/>
        </w:rPr>
        <w:drawing>
          <wp:inline distT="0" distB="0" distL="0" distR="0">
            <wp:extent cx="5734050" cy="3539490"/>
            <wp:effectExtent l="0" t="0" r="0" b="3810"/>
            <wp:docPr id="36921042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210424" name="图片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a:xfrm>
                      <a:off x="0" y="0"/>
                      <a:ext cx="5734050" cy="353949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val="0"/>
        <w:spacing w:line="440" w:lineRule="exact"/>
        <w:jc w:val="left"/>
        <w:textAlignment w:val="auto"/>
        <w:rPr>
          <w:rFonts w:hint="eastAsia" w:ascii="宋体" w:hAnsi="宋体" w:eastAsia="宋体" w:cs="宋体"/>
          <w:b/>
          <w:sz w:val="24"/>
        </w:rPr>
      </w:pPr>
      <w:r>
        <w:rPr>
          <w:rFonts w:hint="eastAsia" w:ascii="宋体" w:hAnsi="宋体" w:eastAsia="宋体" w:cs="宋体"/>
          <w:b/>
          <w:sz w:val="24"/>
        </w:rPr>
        <w:t>点位现场图片如下：</w:t>
      </w:r>
    </w:p>
    <w:p>
      <w:pPr>
        <w:pStyle w:val="386"/>
        <w:spacing w:before="0" w:after="0"/>
        <w:ind w:firstLine="0" w:firstLineChars="0"/>
        <w:rPr>
          <w:rFonts w:hint="eastAsia" w:ascii="宋体" w:hAnsi="宋体" w:eastAsia="宋体" w:cs="宋体"/>
        </w:rPr>
      </w:pPr>
      <w:r>
        <w:rPr>
          <w:rFonts w:hint="eastAsia" w:ascii="宋体" w:hAnsi="宋体" w:eastAsia="宋体" w:cs="宋体"/>
        </w:rPr>
        <w:drawing>
          <wp:inline distT="0" distB="0" distL="0" distR="0">
            <wp:extent cx="5757545" cy="4318000"/>
            <wp:effectExtent l="0" t="0" r="14605" b="6350"/>
            <wp:docPr id="139998603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9986031" name="图片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a:xfrm>
                      <a:off x="0" y="0"/>
                      <a:ext cx="5757545" cy="431800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val="0"/>
        <w:spacing w:line="440" w:lineRule="exact"/>
        <w:jc w:val="left"/>
        <w:textAlignment w:val="auto"/>
        <w:rPr>
          <w:rFonts w:hint="eastAsia" w:ascii="宋体" w:hAnsi="宋体" w:eastAsia="宋体" w:cs="宋体"/>
          <w:b/>
          <w:bCs/>
          <w:sz w:val="24"/>
        </w:rPr>
      </w:pPr>
    </w:p>
    <w:p>
      <w:pPr>
        <w:keepNext w:val="0"/>
        <w:keepLines w:val="0"/>
        <w:pageBreakBefore w:val="0"/>
        <w:widowControl w:val="0"/>
        <w:kinsoku/>
        <w:wordWrap/>
        <w:overflowPunct/>
        <w:topLinePunct w:val="0"/>
        <w:autoSpaceDE/>
        <w:autoSpaceDN/>
        <w:bidi w:val="0"/>
        <w:adjustRightInd/>
        <w:snapToGrid w:val="0"/>
        <w:spacing w:line="440" w:lineRule="exact"/>
        <w:jc w:val="left"/>
        <w:textAlignment w:val="auto"/>
        <w:rPr>
          <w:rFonts w:hint="eastAsia" w:ascii="宋体" w:hAnsi="宋体" w:eastAsia="宋体" w:cs="宋体"/>
          <w:b/>
          <w:bCs/>
          <w:sz w:val="24"/>
          <w:szCs w:val="22"/>
        </w:rPr>
      </w:pPr>
      <w:r>
        <w:rPr>
          <w:rFonts w:hint="eastAsia" w:ascii="宋体" w:hAnsi="宋体" w:eastAsia="宋体" w:cs="宋体"/>
          <w:b/>
          <w:bCs/>
          <w:sz w:val="24"/>
        </w:rPr>
        <w:t>点位2：</w:t>
      </w:r>
      <w:r>
        <w:rPr>
          <w:rFonts w:hint="eastAsia" w:ascii="宋体" w:hAnsi="宋体" w:eastAsia="宋体" w:cs="宋体"/>
          <w:b/>
          <w:sz w:val="24"/>
        </w:rPr>
        <w:t>新安江大桥南侧上桥路段</w:t>
      </w:r>
    </w:p>
    <w:p>
      <w:pPr>
        <w:pStyle w:val="386"/>
        <w:keepNext w:val="0"/>
        <w:keepLines w:val="0"/>
        <w:pageBreakBefore w:val="0"/>
        <w:widowControl w:val="0"/>
        <w:kinsoku/>
        <w:wordWrap/>
        <w:overflowPunct/>
        <w:topLinePunct w:val="0"/>
        <w:autoSpaceDE/>
        <w:autoSpaceDN/>
        <w:bidi w:val="0"/>
        <w:adjustRightInd/>
        <w:spacing w:before="0" w:after="0" w:line="440" w:lineRule="exact"/>
        <w:textAlignment w:val="auto"/>
        <w:rPr>
          <w:rFonts w:hint="eastAsia" w:ascii="宋体" w:hAnsi="宋体" w:eastAsia="宋体" w:cs="宋体"/>
        </w:rPr>
      </w:pPr>
      <w:r>
        <w:rPr>
          <w:rFonts w:hint="eastAsia" w:ascii="宋体" w:hAnsi="宋体" w:eastAsia="宋体" w:cs="宋体"/>
        </w:rPr>
        <w:t>项目点位如下图：</w:t>
      </w:r>
    </w:p>
    <w:p>
      <w:pPr>
        <w:pStyle w:val="386"/>
        <w:spacing w:before="0" w:after="0"/>
        <w:ind w:firstLine="0" w:firstLineChars="0"/>
        <w:rPr>
          <w:rFonts w:hint="eastAsia" w:ascii="宋体" w:hAnsi="宋体" w:eastAsia="宋体" w:cs="宋体"/>
        </w:rPr>
      </w:pPr>
      <w:r>
        <w:rPr>
          <w:rFonts w:hint="eastAsia" w:ascii="宋体" w:hAnsi="宋体" w:eastAsia="宋体" w:cs="宋体"/>
        </w:rPr>
        <w:drawing>
          <wp:inline distT="0" distB="0" distL="0" distR="0">
            <wp:extent cx="5507990" cy="3547110"/>
            <wp:effectExtent l="0" t="0" r="16510" b="15240"/>
            <wp:docPr id="619047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04714" name="图片 1"/>
                    <pic:cNvPicPr>
                      <a:picLocks noChangeAspect="1"/>
                    </pic:cNvPicPr>
                  </pic:nvPicPr>
                  <pic:blipFill>
                    <a:blip r:embed="rId28"/>
                    <a:stretch>
                      <a:fillRect/>
                    </a:stretch>
                  </pic:blipFill>
                  <pic:spPr>
                    <a:xfrm>
                      <a:off x="0" y="0"/>
                      <a:ext cx="5507990" cy="354711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val="0"/>
        <w:spacing w:line="440" w:lineRule="exact"/>
        <w:jc w:val="left"/>
        <w:textAlignment w:val="auto"/>
        <w:rPr>
          <w:rFonts w:hint="eastAsia" w:ascii="宋体" w:hAnsi="宋体" w:eastAsia="宋体" w:cs="宋体"/>
          <w:b/>
          <w:sz w:val="24"/>
        </w:rPr>
      </w:pPr>
      <w:r>
        <w:rPr>
          <w:rFonts w:hint="eastAsia" w:ascii="宋体" w:hAnsi="宋体" w:eastAsia="宋体" w:cs="宋体"/>
          <w:b/>
          <w:sz w:val="24"/>
        </w:rPr>
        <w:t>点位现场图片如下：</w:t>
      </w:r>
    </w:p>
    <w:p>
      <w:pPr>
        <w:pStyle w:val="386"/>
        <w:spacing w:before="0" w:after="0"/>
        <w:ind w:firstLine="0" w:firstLineChars="0"/>
        <w:rPr>
          <w:rFonts w:hint="eastAsia" w:ascii="宋体" w:hAnsi="宋体" w:eastAsia="宋体" w:cs="宋体"/>
          <w:b/>
        </w:rPr>
      </w:pPr>
      <w:r>
        <w:rPr>
          <w:rFonts w:hint="eastAsia" w:ascii="宋体" w:hAnsi="宋体" w:eastAsia="宋体" w:cs="宋体"/>
          <w:b/>
        </w:rPr>
        <w:drawing>
          <wp:inline distT="0" distB="0" distL="0" distR="0">
            <wp:extent cx="5447030" cy="4086225"/>
            <wp:effectExtent l="0" t="0" r="1270" b="9525"/>
            <wp:docPr id="83837844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378442" name="图片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5447030" cy="4086225"/>
                    </a:xfrm>
                    <a:prstGeom prst="rect">
                      <a:avLst/>
                    </a:prstGeom>
                    <a:noFill/>
                    <a:ln>
                      <a:noFill/>
                    </a:ln>
                  </pic:spPr>
                </pic:pic>
              </a:graphicData>
            </a:graphic>
          </wp:inline>
        </w:drawing>
      </w:r>
    </w:p>
    <w:tbl>
      <w:tblPr>
        <w:tblStyle w:val="62"/>
        <w:tblW w:w="4884" w:type="pct"/>
        <w:tblInd w:w="1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0"/>
        <w:gridCol w:w="775"/>
        <w:gridCol w:w="5084"/>
        <w:gridCol w:w="456"/>
        <w:gridCol w:w="458"/>
        <w:gridCol w:w="817"/>
        <w:gridCol w:w="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序号</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建设内容</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技术参数或特征</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单位</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数量</w:t>
            </w:r>
          </w:p>
        </w:tc>
        <w:tc>
          <w:tcPr>
            <w:tcW w:w="450"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单价</w:t>
            </w:r>
          </w:p>
        </w:tc>
        <w:tc>
          <w:tcPr>
            <w:tcW w:w="524"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000" w:type="pct"/>
            <w:gridSpan w:val="7"/>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动态称重系统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动态称重装置（平板式）</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车辆称重车速0.5至80km/h；</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首次检定最大允许误差±2.50％，使用中检验最大允许误差±5.00％；</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称重台与公路路面一体化安装方式不影响车辆通行；台板工作温度-40℃～+85℃；工作环境湿度小于95％；整体式结构，承载面板同测力结构部分完全固化，无活动构件；通过车辆的单轴轴重40t；</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称重台面可按道路实际宽度定制，覆盖整个检测道路横断面，无检测死角；</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相邻台面之间采用“无缝”拼接技术，保证车辆在碾压台面接缝行驶时也可准确检测；在允许轴重下车辆总重量不限；</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荷载能力（单轴）达到40t，满足对大型超限车辆高速超限精检的要求。</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每车道一台面，称重台面可按道路实际宽度定制，覆盖整个检测道路横断面，无检测死角。投标文件中需提供已施工项目每车道一台称重平板的照片；</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使用寿命：≥5000万轴次（提供具有CMA、CNAS认证资质的第三方权威检测机构出具的检测报告复印件）</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具备良好抗腐蚀性能（提供具有CMA或CNAS或iLac MRA认证标志的检验报告复印件，测试时间不低于800h,测试结果符合GB/T 2423.17-2008要求）</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车道</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90000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360000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称重传感器</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电阻应变式传感器； 合金钢外壳材质；防护等级IP68；绝缘等级＞5000MΩ（50 VDC）；灵敏度大于1.5mv/v；量程8t，安全过载能力150%，极限过载能力300%；工作温度范围-35℃～65℃。</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只</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48</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7500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360000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高强度快干基础</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含高强灌浆料、钢筋、管材及路面内施工机具人工等费用；水料比14%；容重2200kg/m3；浇筑后无泌水现象，泌水率0%；超细径粒，最大径粒≤2mm；流动性好，初始流动度320mm，30min流动度300mm；微膨胀，3h膨胀率0.1%，24h和3h膨胀率差值0.02；抗油性好，机油浸泡30天后强度增加10%；可快速凝固，12小时内通行重车；高寒地区冬季凝固时间适当延长，可添加早强剂。</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车道</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30000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车辆检测智能处理器</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电感量自调谐范围20-1000uH,Q值≥5；灵敏度4级可调；频率范围20kHz-110kHz，4级可调；响应时间≤100ms；</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线圈</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专用地感线圈电缆，具有耐磨、防水、耐寒、耐油耐汽油混合物，不易燃烧，不易老化，环保等特点；使用温度：-60～+105℃；导体：绞合镀锡铜线；绝缘：聚氯乙烯（PVC）；护套：玻璃纤维编织+腊克涂覆；颜色：红/黄/兰/白/黑/黄绿/棕等；每车道1套，电感量100mH~200mH；含施工、线圈槽切割敷设、回补。</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车道</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2400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称重数据处理单元</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跨道精检型，AD转换，数据采集，轴数识别；8路同步采样模拟输入，采样率高达248kS/s；24位分辨率，ADC具有114dB动态范围；输入信号的范围从±1V至10V时，可设置2种增益设置，高达+20dB；交流/直流可选；8路通道提供的通道密度适宜大多数NVH；高可靠性。</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车道</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38000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工控机</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特殊定制称重仪表；硬件部分：19”标准机架，4U；处理器：IntelI7；双硬盘：500G/7200转+120G固态硬盘；内存：8G；网络：10/100M/1000M自适应网卡×2；软件部分：操作系统：WindowsXP/7；全天候连续工作；断电后来电自动开机并自动加载监控系统；远程维护模块及远程管理系统；</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000" w:type="pct"/>
            <w:gridSpan w:val="7"/>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高清视频监控系统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0"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智能高清抓拍单元(车头、车尾、侧后)</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像素：900W；分辨率：最大支持4096*2160，帧率：25fps，图像传感器：采用1" 英寸全局曝光CMOS（GMOS）传感器，照度：彩色:0.01Lux，视频压缩标准：H.265/H.264/MJPEG，图像输出格式：JPEG，输出：电平量信号，通讯接口：2个RJ45 100M/1000M自适应网口，3个RS485接口，1个RS232接口，外部接口：4路外部触发输入，6路(光耦隔离2500VAC)输出，可作为闪光灯同步输出控制，SYNC信号灯电源同步输入，存储支持：最大支持64G TF卡，自动光圈镜头：支持，工作电压：100VAC～240VAC；频率：48Hz～52Hz；功耗：＜20W，支持智能识别功能：内置视频识别功能，支持车牌识别、视频触发、车身颜色识别、车型识别，通行车辆信息捕获和违章检测功能；抓拍单元防护罩面板具有防尘防水滴功能；输出图片格式：JPEG；支持闪光灯和LED频闪灯同步补光；全天平均车牌识别准确率≥90%；识别车牌种类多：民用车牌（除5小车辆）、警用车牌、2012式新军用车牌、2012式武警车牌；车身颜色识别准确率：深浅分类准确率≥80%；11种常见颜色（白灰黄粉红紫绿蓝棕黑青）车辆的识别率（白天≥85%，夜晚≥80%）。包含镜头、保护罩、安装件及防雷。</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9200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补光灯</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1.光源类型：大功率LED，单车道环境补光</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2.发光角度：10°</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3.最佳补光距离：16米-25米</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4.触发方式：电平量触发(可选配开关量触发)</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5.响应时间：小于20us</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6.日夜功能：支持环境亮度监测,低照度下自动开启</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7.触发信号电平：4V-6V</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气体爆闪灯</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1.采用高亮度LED芯片，寿命长，稳定性好，发光效率高</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2.LED频闪支持PWM跟随触发，具有频率及占空比保护功能，发光角度10°；气体爆闪具有防误触发功能，提高产品寿命。可覆盖1个车道</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3.采用步进电机功能，实现红外滤片的切换</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4.气体光源回电时间小于67ms，支持超速连拍，气体补光控制具有峰值抑制功能</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5.支持LED灯频闪、白光气体爆闪，红外气体爆闪</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6.支持相机误触发保护功能，触发信号输入异常时自动保护、且自动恢复</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2500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前方超限提醒标志牌</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前方超限提醒标志牌，反光标志板，含标志牌抱箍在路侧的路灯杆或杆件上安装。</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2200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26400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智能灯杆</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原有路灯杆件并杆，灯杆高度12m，Q235B钢材，含横臂，热镀锌+静电喷塑,含地笼；</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照明：功率 150W,色温4000K（允许偏差±150K）</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 xml:space="preserve"> 整灯光效不应低于120lm/W；显色指数≥70，配光曲线：蝙蝠翼</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45000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抓拍杆件</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横臂：根据道路宽度定制；镀锌八角杆,含地笼</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28000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抱杆防水控制箱</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1.具有防漏电、触电、短路、过载等多种保护装置。</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2.表面采用环氧粉末静电喷涂，均匀美观利于防腐</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3.采用1.2mm厚Q235工程级冷轧碳钢，主体无缝焊接，结构稳固。</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4.采用专用户外柜锁，具有良好的防水、防盗性能。</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高清网络视频球机</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图像传感器：1：2.8" Progressive Scan CMOS；有效像素：约300万像素；最低照度：0 Lux with IR,彩色：0.005Lux @ (F1.6，AGC ON)；黑白：0.001Lux @ (F1.6，AGC ON)；30倍光学变倍，16倍数字变倍；采用高效红外阵列，低功耗，照射距离达150m；内置热处理装置，降低球机内腔温度，防止球机内罩起雾；系统功能：采用高性能传感器，图像清晰，最大分辨率可达2048×1536。包含安装件。</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5200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10400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硬盘录像机</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存储录像、视音频输入/8路/、HDMI输出/1路、VGA输出/1路，录像/抓图模式/手动录像、定时录像、事件录像、移动侦测录像、报警录像、动测或报警录像、动测且报警录像，回放模式/即时回放、常规回放、事件回放、标签回放、智能回放、视频摘要回放、分时段回放、日志回放、外部文件回放，USB接口/2个USB2.0，1个USB3.0，网络协议/UPnP（即插即用）、SNMP（简单网络管理）、NTP（网络校时）、SADP（自动搜索IP地址）、SMTP（邮件服务）、NFS（接入NAS）、iSCSI（IP SAN应用）、PPPoE（拨号上网）、DHCP（动态域名解析），电源/AC220V，50Hz，工作温度/-10℃--＋55℃，工作湿度/10％--90％，机箱/19英寸标准1.5U机箱，含3T监控硬盘。</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000" w:type="pct"/>
            <w:gridSpan w:val="7"/>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边缘计算及数据处理系统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边缘智能体</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1.操作系统：Linux Fedora;;2.CPU：Intel® Celeron™ J1900, 2.0 GHz，RAM：Up to 8GB;;3.存储：32G;;4.接口：RS-232 x 1、USB 2.0 x 2、USB 3.0 x 1、HDMI x 2、LAN x 4</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工业级交换机</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端口要求：≥20端口百兆电口，≥4端口千兆电口，≥4端口千兆/万兆SFP+光口；</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性能要求：背板带宽≥336Gbps，包转发率不低于108Mpps；</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功能要求：支持RIP/OSPF/VRRP路由协议；</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支持dhcp server，支持DHCP Snooping有效防范欺骗攻击;支持标准和扩展ACL，支持IP ACL、支持基于源/目的IP、三层IP协议号、TCP/UDP四层端口号、IP优先级、ToS、时间范围对数据进行过滤;实现IP、MAC地址进行访问控制的过滤技术；</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稳定特性：支持虚拟化堆叠16个单元，产品厂商具备软件稳定性CMMI5认证；</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环网保护：支持STP/RSTP/MSTP，支持EAPS/MEAPS/ERPS环网协议；</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管理特性：提供中/英文双语界面；支持CLI；WEB；Telnet；SNMP V1/V2/V3；</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设计合理性：设备整机机构合理，具备IK05级别的冲击防护能力；</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结构要求：全合金机体，耐腐蚀耐氧化，防护等级不小于IP40；</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供电要求：100-240V供电，隔离型板载电源，不得采用外置开关电源；</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安全防范：支持电源与机体双线路防雷接地；</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证明要求：产品具备工信部入网许可证；</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2800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户外一体化机柜</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控制柜箱体厚度为2mm的冷轧板或者不锈钢，使用防盗锁；带制冷设备；控制柜采用落地安装，落地时基础墩台高度不小于30cm；防护等级：IP65；使用寿命大于l0年；相对湿度：0～95％R.H；工作温度：-30℃～+60℃。</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0"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安全接入终端</w:t>
            </w:r>
          </w:p>
        </w:tc>
        <w:tc>
          <w:tcPr>
            <w:tcW w:w="2802" w:type="pct"/>
            <w:shd w:val="clear" w:color="000000" w:fill="FFFFFF"/>
            <w:vAlign w:val="center"/>
          </w:tcPr>
          <w:p>
            <w:pPr>
              <w:keepNext w:val="0"/>
              <w:keepLines w:val="0"/>
              <w:pageBreakBefore w:val="0"/>
              <w:widowControl/>
              <w:kinsoku/>
              <w:wordWrap/>
              <w:overflowPunct/>
              <w:topLinePunct w:val="0"/>
              <w:autoSpaceDE/>
              <w:autoSpaceDN/>
              <w:bidi w:val="0"/>
              <w:adjustRightInd/>
              <w:snapToGrid/>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1、监控要求：具备LCD液晶屏，支持运行信息自动轮播显示和手动控制显示；</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2、端口要求：≥1个千兆Combo端口，≥8个千兆电口(RJ45)（支持WAN/LAN角色切换）（需提供设备端口照片）；</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3、安全稳定性：通过抗攻击能力测试，系统具备自主知识产权；</w:t>
            </w:r>
          </w:p>
          <w:p>
            <w:pPr>
              <w:keepNext w:val="0"/>
              <w:keepLines w:val="0"/>
              <w:pageBreakBefore w:val="0"/>
              <w:widowControl/>
              <w:kinsoku/>
              <w:wordWrap/>
              <w:overflowPunct/>
              <w:topLinePunct w:val="0"/>
              <w:autoSpaceDE/>
              <w:autoSpaceDN/>
              <w:bidi w:val="0"/>
              <w:adjustRightInd/>
              <w:snapToGrid/>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4、支持IPv6协议，并通过工信部检测。(提供报告佐证)</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5、内置本地、短信、微信、访客和Voucher卡券等方式的Portal认证功能；</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6、支持对接在线云管，实现设备列表、网络拓扑、日志告警、体验报告等实用运维功能；支持与交换、无线、安全、POL等产品统一品牌；</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7、支持双机热备，确保无线系统稳定性；</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8、品质要求：工信部入网许可证、ISO 9001、ISO 140001、ISO 45001；(提供报告佐证)</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数字远程设备管理运维系统</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设备远程运行监测：可对治超前端站点数据上传的异常事件情况进行级别分类，能够展示异常事件（数据中断、数据恢复）的内容和时间，方便管理者进行时实掌握数据上传情况，并可对历史事件溯源。2、应急维护：应急服务全流程在线管理，提高工作效率。在线发起需求后自动派单处理，系统对工单处理进度、结果反馈情况进行监督跟踪及评价，处置进度智能预警、随时可查，实现闭环管理。3、巡检服务：可根据巡检要求生成巡检计划，系统根据巡检周期生成巡检工单，能够自动分配给售后人员进行工单处理。巡检计划及巡检工单完成情况随时可查。4、检衡服务：可根据站点检衡日期、检衡周期、检衡证书有效期等信息自动推算下次检衡日期，并可过微信和系统提前给售后人员和用户发送检衡提醒。5、统计分析：展示治超前端站点基本信息、售后维护工单、设备运行监测、巡检服务等工作的完成情况，能够对统计数据进行查阅。</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20000</w:t>
            </w:r>
          </w:p>
        </w:tc>
        <w:tc>
          <w:tcPr>
            <w:tcW w:w="524" w:type="pct"/>
            <w:shd w:val="clear" w:color="auto" w:fill="auto"/>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6"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异常行驶判定与分析软件</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1.可判断车辆异常过衡状态行驶行为；</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 xml:space="preserve">2.自动判断正向、逆向行驶行为，可准确判断行驶方向和车道； </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3.自动判断车辆跨多车道、斜向、沿中线行驶行驶，压边接缝行驶行为，准确判断车辆数据；</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4.自动判断超低速、断续行驶、车辆连续跟车、准确判断车辆轴数，保证车辆判断不断轴；</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内置多种车辆异常行驶数据模型，可针对异常行驶状态进行自适应学习，提高异常行驶行为的检出率和数据的准确率。</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38000</w:t>
            </w:r>
          </w:p>
        </w:tc>
        <w:tc>
          <w:tcPr>
            <w:tcW w:w="524" w:type="pct"/>
            <w:shd w:val="clear" w:color="auto" w:fill="auto"/>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车辆动态称重检测软件</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1.车辆通过自动分车，准确判断车辆轴数，不限车型，大小车辆、品牌。</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2.不受其他类型车辆如自行车、电动车干扰。</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3.可同时对多个车道车辆进行检测。</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4.0-1km/h超低速修正模块，确保超低速能够准确称重。</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5.自动匹配车辆重量数据和车牌、抓拍数据，形成完整检测数据。</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42000</w:t>
            </w:r>
          </w:p>
        </w:tc>
        <w:tc>
          <w:tcPr>
            <w:tcW w:w="524" w:type="pct"/>
            <w:shd w:val="clear" w:color="auto" w:fill="auto"/>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非现场管理系统软件</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cs="宋体"/>
                <w:color w:val="000000"/>
                <w:kern w:val="0"/>
                <w:sz w:val="24"/>
                <w:szCs w:val="24"/>
                <w:lang w:eastAsia="zh-CN"/>
              </w:rPr>
            </w:pPr>
            <w:r>
              <w:rPr>
                <w:rFonts w:hint="eastAsia" w:ascii="宋体" w:hAnsi="宋体" w:eastAsia="宋体" w:cs="宋体"/>
                <w:color w:val="000000"/>
                <w:kern w:val="0"/>
                <w:sz w:val="24"/>
                <w:szCs w:val="24"/>
              </w:rPr>
              <w:t>1、数据监管：通过汇集治超站点的称重检测数据实现治超机构人员信息、治超各类站点基础信息、称重及视频监控等设施设备基础信息与运行信息、车辆检测信息等统一采集、管理的基础功能，实现对超限超载情况的运行检测和治超业务开展情况的监督。具体包括基础信息管理、检测信息管理、运行监管、治超业务监督、综合统计分析存储。</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 xml:space="preserve">2、检测信息管理：站点称重检测数据的实时接入管理。 </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3、数据接入与分析：统一各类终端的数据接入标准，实现对各类站点称重设备检测数据的实时接入。接入的具体信息内容包括车牌号、检测时间、轴数、超限量等。</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4、数据监测查询：实时查看某个站点的检测情况，显示最近的检测数据列表、最近一辆车的图片、车牌号码、重量、检测时间、超限量、超限幅度、今日24小时监测数据分布情况。</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5、超限告警：根据设定的超限告警阈值或其他告警规则，对检测到的符合条件的超限车辆进行告警，实时弹出告警车辆信息进行提示，并且可对告警信息进行语音播报等操作。</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6、黑名单管理：提供车辆超限黑名单信息查询，并支持批量导入、手动或自动删除。</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7、用户、角色、权限、系统配置等功能的管理</w:t>
            </w:r>
            <w:r>
              <w:rPr>
                <w:rFonts w:hint="eastAsia" w:ascii="宋体" w:hAnsi="宋体" w:cs="宋体"/>
                <w:color w:val="000000"/>
                <w:kern w:val="0"/>
                <w:sz w:val="24"/>
                <w:szCs w:val="24"/>
                <w:lang w:eastAsia="zh-CN"/>
              </w:rPr>
              <w:t>。</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cs="宋体"/>
                <w:color w:val="000000"/>
                <w:kern w:val="0"/>
                <w:sz w:val="24"/>
                <w:szCs w:val="24"/>
                <w:lang w:val="en-US" w:eastAsia="zh-CN"/>
              </w:rPr>
              <w:t>8、含硬件配套设备</w:t>
            </w:r>
            <w:r>
              <w:rPr>
                <w:rFonts w:hint="eastAsia" w:ascii="宋体" w:hAnsi="宋体" w:eastAsia="宋体" w:cs="宋体"/>
                <w:color w:val="000000"/>
                <w:kern w:val="0"/>
                <w:sz w:val="24"/>
                <w:szCs w:val="24"/>
              </w:rPr>
              <w:t>。</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cs="宋体"/>
                <w:color w:val="000000"/>
                <w:kern w:val="0"/>
                <w:sz w:val="24"/>
                <w:szCs w:val="24"/>
                <w:lang w:val="en-US" w:eastAsia="zh-CN"/>
              </w:rPr>
              <w:t>73</w:t>
            </w:r>
            <w:r>
              <w:rPr>
                <w:rFonts w:hint="eastAsia" w:ascii="宋体" w:hAnsi="宋体" w:eastAsia="宋体" w:cs="宋体"/>
                <w:color w:val="000000"/>
                <w:kern w:val="0"/>
                <w:sz w:val="24"/>
                <w:szCs w:val="24"/>
              </w:rPr>
              <w:t>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cs="宋体"/>
                <w:color w:val="000000"/>
                <w:kern w:val="0"/>
                <w:sz w:val="24"/>
                <w:szCs w:val="24"/>
                <w:lang w:val="en-US" w:eastAsia="zh-CN"/>
              </w:rPr>
              <w:t>73</w:t>
            </w:r>
            <w:r>
              <w:rPr>
                <w:rFonts w:hint="eastAsia" w:ascii="宋体" w:hAnsi="宋体" w:eastAsia="宋体" w:cs="宋体"/>
                <w:color w:val="000000"/>
                <w:kern w:val="0"/>
                <w:sz w:val="24"/>
                <w:szCs w:val="24"/>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超重信息自动语音温馨提醒</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检测站点在检测发现货车超重后，平台获取车辆相关信息后发送至语音系统，自动生成通知语音，通过监管单位电话自动拨打至超重车辆对应的联系人，完成车辆超重信息的语音通知。提供超重信息自动语音温馨提醒功能的演示视频，内容包括：提供测试文字信息和需送达的指定电话号码，输入系统后测试指定号码能否收到正确的测试语音信息等。</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2"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rPr>
              <w:t>10</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综合网关</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1.设备要求：多核架构设计，不允许采用X86架构，功能采用模块化结构设计；≥1个千兆SFP光口，≥10个千兆独立电口；1个console口;1个USB接口；1个TF接口；</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2.吞吐能力≥1Gbps；</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3.并发连接数≥50万；</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4.支持路由模式、透明（网桥）模式、混模式，支持将多个物理网口加入一个网桥中；部署模式切换无需重启设备；支持镜像和被镜像</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5.支持软件bypass（CPU and 内存高于85%），阀值可自定义设置。（需提供web配置截图）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6.至于国密算法加密信道处理；</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7.支持基于源和目的地址过滤IPv6地址和地址组，可选择时间、端口、接口、安全域等条件；支持针对IPv6内容进行管理和防护，包括应用、URL、入侵攻击、病毒行为等内容；IPv6应用策略支持选择全匹配或顺序匹配规则，可精细化管理应用的使用动作，针对社区类型，支持管控”上传“、“发表”、“浏览”、”登陆“等动作；支持IPv6数据包安全检测机制，可有效防御异常包攻击</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8.web管理界面支持Ping、Traceroute、TCP Syn诊断工具，可支持基于接口、协议、IP地址、端口、应用进行网络抓包，并可下载导出分析，提供web界面配置截图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9.支持设备管理端口的自定义，包括HTTPS、HTTP、TELNET、SSH等常用管理方式的端口</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10.支持三权管理方式，包括权限管理员、账号管理员、审核官和管理员，各管理员权限制约；权限管理员支持分配权限，可细致分配界面中每一个模块的读写权限</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11.具备《计算机信息系统安全专用产品销售许可证》，3C认证</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0"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rPr>
              <w:t>11</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交换机</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端口要求：≥20端口百兆电口，≥4端口千兆电口，≥4端口千兆/万兆SFP+光口（需提供符合要求的投标实物图）；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性能要求：背板带宽≥336Gbps，包转发率不低于108Mpps；</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功能要求：支持RIP/OSPF/VRRP路由协议（提供配置截图）；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支持dhcp server，支持DHCP Snooping有效防范欺骗攻击;支持标准和扩展ACL，支持IP ACL、支持基于源/目的IP、三层IP协议号、TCP/UDP四层端口号、IP优先级、ToS、时间范围对数据进行过滤;实现IP、MAC地址进行访问控制的过滤技术；</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稳定特性：支持虚拟化堆叠16个单元，</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环网保护：支持STP/RSTP/MSTP，支持EAPS/MEAPS/ERPS环网协议（提供配置截图）；</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管理特性：提供中/英文双语界面；支持CLI；WEB；Telnet；SNMP V1/V2/V3；</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设计合理性：设备整机机构合理，具备IK05级别的冲击防护能力；(需提供报告佐证)</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结构要求：全合金机体，耐腐蚀耐氧化，防护等级不小于IP40；</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供电要求：100-240V供电，隔离型板载电源，不得采用外置开关电源；</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安全防范：支持电源与机体双线路防雷接地；</w:t>
            </w:r>
            <w:r>
              <w:rPr>
                <w:rFonts w:hint="eastAsia" w:ascii="宋体" w:hAnsi="宋体" w:eastAsia="宋体" w:cs="宋体"/>
                <w:color w:val="000000"/>
                <w:kern w:val="0"/>
                <w:sz w:val="24"/>
                <w:szCs w:val="24"/>
              </w:rPr>
              <w:br w:type="textWrapping"/>
            </w:r>
            <w:r>
              <w:rPr>
                <w:rFonts w:hint="eastAsia" w:ascii="宋体" w:hAnsi="宋体" w:eastAsia="宋体" w:cs="宋体"/>
                <w:color w:val="000000"/>
                <w:kern w:val="0"/>
                <w:sz w:val="24"/>
                <w:szCs w:val="24"/>
              </w:rPr>
              <w:t>证明要求：产品具备工信部入网许可证；</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2800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rPr>
              <w:t>12</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计量检定</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配合首次及验收完成后</w:t>
            </w:r>
            <w:r>
              <w:rPr>
                <w:rFonts w:hint="eastAsia" w:ascii="宋体" w:hAnsi="宋体" w:cs="宋体"/>
                <w:color w:val="000000"/>
                <w:kern w:val="0"/>
                <w:sz w:val="24"/>
                <w:szCs w:val="24"/>
                <w:lang w:val="en-US" w:eastAsia="zh-CN"/>
              </w:rPr>
              <w:t>一</w:t>
            </w:r>
            <w:r>
              <w:rPr>
                <w:rFonts w:hint="eastAsia" w:ascii="宋体" w:hAnsi="宋体" w:eastAsia="宋体" w:cs="宋体"/>
                <w:color w:val="000000"/>
                <w:kern w:val="0"/>
                <w:sz w:val="24"/>
                <w:szCs w:val="24"/>
              </w:rPr>
              <w:t>年计量检定</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10000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000" w:type="pct"/>
            <w:gridSpan w:val="7"/>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其他服务要求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现场施工</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设备安装施工</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40000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系统接入</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称重系统需按照业主要求与建德市、杭州市城管数据联通</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9800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9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427"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网络</w:t>
            </w:r>
          </w:p>
        </w:tc>
        <w:tc>
          <w:tcPr>
            <w:tcW w:w="2802" w:type="pct"/>
            <w:shd w:val="clear" w:color="auto" w:fill="auto"/>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需要提供系统网络（自验收后开始计算）</w:t>
            </w:r>
          </w:p>
        </w:tc>
        <w:tc>
          <w:tcPr>
            <w:tcW w:w="251"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w:t>
            </w:r>
          </w:p>
        </w:tc>
        <w:tc>
          <w:tcPr>
            <w:tcW w:w="252" w:type="pct"/>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450"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6000</w:t>
            </w:r>
          </w:p>
        </w:tc>
        <w:tc>
          <w:tcPr>
            <w:tcW w:w="524" w:type="pct"/>
            <w:shd w:val="clear" w:color="auto" w:fill="auto"/>
            <w:noWrap/>
            <w:vAlign w:val="center"/>
          </w:tcPr>
          <w:p>
            <w:pPr>
              <w:keepNext w:val="0"/>
              <w:keepLines w:val="0"/>
              <w:pageBreakBefore w:val="0"/>
              <w:widowControl/>
              <w:kinsoku/>
              <w:wordWrap/>
              <w:overflowPunct/>
              <w:topLinePunct w:val="0"/>
              <w:autoSpaceDE/>
              <w:autoSpaceDN/>
              <w:bidi w:val="0"/>
              <w:adjustRightInd/>
              <w:snapToGrid/>
              <w:jc w:val="righ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000" w:type="pct"/>
            <w:gridSpan w:val="7"/>
            <w:shd w:val="clear" w:color="auto" w:fill="auto"/>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合计：1800000元　</w:t>
            </w:r>
          </w:p>
        </w:tc>
      </w:tr>
    </w:tbl>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rPr>
      </w:pPr>
      <w:r>
        <w:rPr>
          <w:rFonts w:hint="eastAsia" w:ascii="宋体" w:hAnsi="宋体" w:eastAsia="宋体" w:cs="宋体"/>
          <w:sz w:val="24"/>
        </w:rPr>
        <w:t>本项目动态称重系统工程的系统，软件需接入-建德市市政桥梁安全监测预警管控系统，确保数据与建德市、杭州市城管数据联通，需预留与文保局和公安交警的数据接口</w:t>
      </w:r>
      <w:r>
        <w:rPr>
          <w:rFonts w:hint="eastAsia" w:ascii="宋体" w:hAnsi="宋体" w:cs="宋体"/>
          <w:sz w:val="24"/>
          <w:lang w:eastAsia="zh-CN"/>
        </w:rPr>
        <w:t>（对接由采购人负责联络，中标供应商负责具体实施）</w:t>
      </w:r>
      <w:r>
        <w:rPr>
          <w:rFonts w:hint="eastAsia" w:ascii="宋体" w:hAnsi="宋体" w:eastAsia="宋体" w:cs="宋体"/>
          <w:sz w:val="24"/>
        </w:rPr>
        <w:t>。设计方案需通过专家审查，并有</w:t>
      </w:r>
      <w:r>
        <w:rPr>
          <w:rFonts w:hint="eastAsia" w:ascii="宋体" w:hAnsi="宋体" w:cs="宋体"/>
          <w:sz w:val="24"/>
          <w:lang w:val="en-US" w:eastAsia="zh-CN"/>
        </w:rPr>
        <w:t>两</w:t>
      </w:r>
      <w:r>
        <w:rPr>
          <w:rFonts w:hint="eastAsia" w:ascii="宋体" w:hAnsi="宋体" w:eastAsia="宋体" w:cs="宋体"/>
          <w:sz w:val="24"/>
        </w:rPr>
        <w:t>年质保维护期，从项目正式验收起开始计算，项目正式验收后</w:t>
      </w:r>
      <w:r>
        <w:rPr>
          <w:rFonts w:hint="eastAsia" w:ascii="宋体" w:hAnsi="宋体" w:cs="宋体"/>
          <w:sz w:val="24"/>
          <w:lang w:val="en-US" w:eastAsia="zh-CN"/>
        </w:rPr>
        <w:t>一</w:t>
      </w:r>
      <w:r>
        <w:rPr>
          <w:rFonts w:hint="eastAsia" w:ascii="宋体" w:hAnsi="宋体" w:eastAsia="宋体" w:cs="宋体"/>
          <w:sz w:val="24"/>
        </w:rPr>
        <w:t>年内每月提供数据分析报告。</w:t>
      </w:r>
    </w:p>
    <w:p>
      <w:pPr>
        <w:numPr>
          <w:ilvl w:val="0"/>
          <w:numId w:val="1"/>
        </w:numPr>
        <w:snapToGrid w:val="0"/>
        <w:spacing w:line="360" w:lineRule="auto"/>
        <w:rPr>
          <w:rFonts w:hint="eastAsia" w:ascii="宋体" w:hAnsi="宋体" w:eastAsia="宋体" w:cs="宋体"/>
          <w:b/>
          <w:color w:val="000000"/>
          <w:sz w:val="28"/>
          <w:szCs w:val="28"/>
        </w:rPr>
      </w:pPr>
      <w:r>
        <w:rPr>
          <w:rFonts w:hint="eastAsia" w:ascii="宋体" w:hAnsi="宋体" w:eastAsia="宋体" w:cs="宋体"/>
          <w:b/>
          <w:color w:val="000000"/>
          <w:sz w:val="28"/>
          <w:szCs w:val="28"/>
        </w:rPr>
        <w:t>商务条款</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2" w:firstLineChars="200"/>
        <w:textAlignment w:val="auto"/>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一</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采购的总体要求：</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1、必须符合招标文件(包括补充更正，如有)的技术要求和配置；必须是国内相应制造厂商生产并提供的原装合格产品；必须是2022年</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月1日以后生产的、符合国家质量技术标准的设备。</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2、售后服务按</w:t>
      </w:r>
      <w:r>
        <w:rPr>
          <w:rFonts w:hint="eastAsia" w:ascii="宋体" w:hAnsi="宋体" w:cs="宋体"/>
          <w:sz w:val="24"/>
          <w:szCs w:val="24"/>
          <w:highlight w:val="none"/>
          <w:lang w:eastAsia="zh-CN"/>
        </w:rPr>
        <w:t>国家市场监督管理总局</w:t>
      </w:r>
      <w:r>
        <w:rPr>
          <w:rFonts w:hint="eastAsia" w:ascii="宋体" w:hAnsi="宋体" w:eastAsia="宋体" w:cs="宋体"/>
          <w:sz w:val="24"/>
          <w:szCs w:val="24"/>
          <w:highlight w:val="none"/>
        </w:rPr>
        <w:t>和国家其他有关规定执行，国家没有规定的按厂商规定执行。国家规定标准低于厂商标准的按厂商标准执行，但最低免费原厂质保服务期不得少于</w:t>
      </w:r>
      <w:r>
        <w:rPr>
          <w:rFonts w:hint="eastAsia" w:ascii="宋体" w:hAnsi="宋体" w:cs="宋体"/>
          <w:sz w:val="24"/>
          <w:szCs w:val="24"/>
          <w:highlight w:val="none"/>
          <w:lang w:val="en-US" w:eastAsia="zh-CN"/>
        </w:rPr>
        <w:t>2年</w:t>
      </w:r>
      <w:r>
        <w:rPr>
          <w:rFonts w:hint="eastAsia" w:ascii="宋体" w:hAnsi="宋体" w:eastAsia="宋体" w:cs="宋体"/>
          <w:sz w:val="24"/>
          <w:szCs w:val="24"/>
          <w:highlight w:val="none"/>
        </w:rPr>
        <w:t>。</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2" w:firstLineChars="200"/>
        <w:textAlignment w:val="auto"/>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二</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售后服务</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1、提供≥</w:t>
      </w:r>
      <w:r>
        <w:rPr>
          <w:rFonts w:hint="eastAsia" w:ascii="宋体" w:hAnsi="宋体" w:cs="宋体"/>
          <w:sz w:val="24"/>
          <w:szCs w:val="24"/>
          <w:highlight w:val="none"/>
          <w:lang w:val="en-US" w:eastAsia="zh-CN"/>
        </w:rPr>
        <w:t>2</w:t>
      </w:r>
      <w:r>
        <w:rPr>
          <w:rFonts w:hint="eastAsia" w:ascii="宋体" w:hAnsi="宋体" w:cs="宋体"/>
          <w:sz w:val="24"/>
          <w:szCs w:val="24"/>
          <w:highlight w:val="none"/>
          <w:lang w:eastAsia="zh-CN"/>
        </w:rPr>
        <w:t>年</w:t>
      </w:r>
      <w:r>
        <w:rPr>
          <w:rFonts w:hint="eastAsia" w:ascii="宋体" w:hAnsi="宋体" w:eastAsia="宋体" w:cs="宋体"/>
          <w:sz w:val="24"/>
          <w:szCs w:val="24"/>
          <w:highlight w:val="none"/>
        </w:rPr>
        <w:t>的质保期，配备维护专用车辆定期对设备进行巡检，确保设备正常运行。质保期从验收合格交付使用之日起算；质保期内因不能排除的故障而影响工作的情况每发生一次，其质保期相应延长60天，质保期内因设备本身缺陷造成各种故障应由卖方免费技术服务和维修。</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在设备（或系统）整个使用期内，卖方应确保正常使用，在接到用户维修要求后在0.5小时内响应并提出解决方案，2小时内到达现场对故障进行处理，维修过程中所需材料中标供应商在接到通知后应及时提供，最长不超过24小时必须送达买方。若24小时内无法修复的，应48小时内提供相应备用设备并负责安装调试，为此，投标供应商应提供相应承诺书。</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3、供应商在投标文件中须说明保修期内提供的服务计划。</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4、质保期内免收包括材料费在内的各种费用及相关服务费用。质保期满后，供应商提供跟踪服务，若需更换零配件，采购方只承担更换零配件的成本费，其余费用均由中标人承担。</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5、对提供的设备，供应商产品更新换代，不再批量生产该产品，也必须随时有备品零配件供应，并提供终身技术服务。</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6、如供应商未达到以上要求，视为违约，采购方有权要求无条件退货，一切费用将由供应商承担。</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2" w:firstLineChars="200"/>
        <w:textAlignment w:val="auto"/>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三</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交货期限</w:t>
      </w:r>
      <w:r>
        <w:rPr>
          <w:rFonts w:hint="eastAsia" w:ascii="宋体" w:hAnsi="宋体" w:cs="宋体"/>
          <w:b/>
          <w:bCs/>
          <w:sz w:val="24"/>
          <w:szCs w:val="24"/>
          <w:highlight w:val="none"/>
          <w:lang w:val="en-US" w:eastAsia="zh-CN"/>
        </w:rPr>
        <w:t>及</w:t>
      </w:r>
      <w:r>
        <w:rPr>
          <w:rFonts w:hint="eastAsia" w:ascii="宋体" w:hAnsi="宋体" w:eastAsia="宋体" w:cs="宋体"/>
          <w:b/>
          <w:bCs/>
          <w:sz w:val="24"/>
          <w:szCs w:val="24"/>
          <w:highlight w:val="none"/>
        </w:rPr>
        <w:t>地点</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交付期限：签订合同后</w:t>
      </w:r>
      <w:r>
        <w:rPr>
          <w:rFonts w:hint="eastAsia" w:ascii="宋体" w:hAnsi="宋体" w:cs="宋体"/>
          <w:sz w:val="24"/>
          <w:szCs w:val="24"/>
          <w:highlight w:val="none"/>
          <w:lang w:eastAsia="zh-CN"/>
        </w:rPr>
        <w:t>60日历天</w:t>
      </w:r>
      <w:r>
        <w:rPr>
          <w:rFonts w:hint="eastAsia" w:ascii="宋体" w:hAnsi="宋体" w:eastAsia="宋体" w:cs="宋体"/>
          <w:sz w:val="24"/>
          <w:szCs w:val="24"/>
          <w:highlight w:val="none"/>
        </w:rPr>
        <w:t>内安装完成并接入杭州监测平台，如在规定的时间内由于中标方的原因不能送达货物并安装调试完成通过验收的，中标方应承担由此给</w:t>
      </w:r>
      <w:r>
        <w:rPr>
          <w:rFonts w:hint="eastAsia" w:ascii="宋体" w:hAnsi="宋体" w:cs="宋体"/>
          <w:sz w:val="24"/>
          <w:szCs w:val="24"/>
          <w:highlight w:val="none"/>
          <w:lang w:val="en-US" w:eastAsia="zh-CN"/>
        </w:rPr>
        <w:t>采购人</w:t>
      </w:r>
      <w:r>
        <w:rPr>
          <w:rFonts w:hint="eastAsia" w:ascii="宋体" w:hAnsi="宋体" w:eastAsia="宋体" w:cs="宋体"/>
          <w:sz w:val="24"/>
          <w:szCs w:val="24"/>
          <w:highlight w:val="none"/>
        </w:rPr>
        <w:t>造成的损失。</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交付地点：</w:t>
      </w:r>
      <w:r>
        <w:rPr>
          <w:rFonts w:hint="eastAsia" w:ascii="宋体" w:hAnsi="宋体" w:cs="宋体"/>
          <w:sz w:val="24"/>
          <w:szCs w:val="24"/>
          <w:highlight w:val="none"/>
          <w:lang w:val="en-US" w:eastAsia="zh-CN"/>
        </w:rPr>
        <w:t>采购人指定地点</w:t>
      </w:r>
      <w:r>
        <w:rPr>
          <w:rFonts w:hint="eastAsia" w:ascii="宋体" w:hAnsi="宋体" w:eastAsia="宋体" w:cs="宋体"/>
          <w:sz w:val="24"/>
          <w:szCs w:val="24"/>
          <w:highlight w:val="none"/>
        </w:rPr>
        <w:t>。</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2" w:firstLineChars="200"/>
        <w:textAlignment w:val="auto"/>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四</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验收方式及标准</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供货方应提供系统设备的有效检验材料，经采购人认可后，与合同的技术指标一起作为验收标准。采购人对系统设备验收合格后，出具验收报告并在《建德市政府采购物品验收反馈表》上签署意见并加盖单位公章。验收中发现系统设备达不到验收标准或合同规定的技术指标，卖方必须更换，并负担由此给用户造成的损失，直到验收合格为止。</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2、投标方应于投标书中提供系统设备的验收标准和检测办法，并在验收中提供买方认可的相应检测手段，验收标准应符合中国有关的国家、地方、行业的标准，如若中标，经买方确认后作为验收的依据。</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3、验收费用由产品供应商承担。</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2" w:firstLineChars="200"/>
        <w:textAlignment w:val="auto"/>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五</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资金支付的方式、时间和条件</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采购单位根据合同、投标文件等资料进行验收。</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合同签订生效以及具备实施条件后7个工作日内，采购单位支付合同价款的50%预付款；在规定时间内完成项目的供货、验收通过并接入杭州监测平台后，由采购单位向中标供应商支付剩余50%项目款。</w:t>
      </w:r>
    </w:p>
    <w:p>
      <w:pPr>
        <w:pStyle w:val="51"/>
        <w:keepNext w:val="0"/>
        <w:keepLines w:val="0"/>
        <w:pageBreakBefore w:val="0"/>
        <w:widowControl w:val="0"/>
        <w:kinsoku/>
        <w:wordWrap/>
        <w:overflowPunct/>
        <w:topLinePunct w:val="0"/>
        <w:autoSpaceDE/>
        <w:autoSpaceDN/>
        <w:bidi w:val="0"/>
        <w:adjustRightInd w:val="0"/>
        <w:snapToGrid/>
        <w:spacing w:line="440" w:lineRule="exact"/>
        <w:ind w:left="0" w:leftChars="0" w:firstLine="482" w:firstLineChars="200"/>
        <w:textAlignment w:val="auto"/>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六</w:t>
      </w:r>
      <w:r>
        <w:rPr>
          <w:rFonts w:hint="eastAsia" w:ascii="宋体" w:hAnsi="宋体" w:cs="宋体"/>
          <w:b/>
          <w:bCs/>
          <w:sz w:val="24"/>
          <w:szCs w:val="24"/>
          <w:highlight w:val="none"/>
          <w:lang w:eastAsia="zh-CN"/>
        </w:rPr>
        <w:t>）</w:t>
      </w:r>
      <w:r>
        <w:rPr>
          <w:rFonts w:hint="eastAsia" w:ascii="宋体" w:hAnsi="宋体" w:eastAsia="宋体" w:cs="宋体"/>
          <w:b/>
          <w:bCs/>
          <w:sz w:val="24"/>
          <w:szCs w:val="24"/>
          <w:highlight w:val="none"/>
        </w:rPr>
        <w:t>履约保证金</w:t>
      </w:r>
    </w:p>
    <w:p>
      <w:pPr>
        <w:pStyle w:val="25"/>
        <w:keepNext w:val="0"/>
        <w:keepLines w:val="0"/>
        <w:pageBreakBefore w:val="0"/>
        <w:widowControl w:val="0"/>
        <w:kinsoku/>
        <w:wordWrap/>
        <w:overflowPunct/>
        <w:topLinePunct w:val="0"/>
        <w:autoSpaceDE/>
        <w:autoSpaceDN/>
        <w:bidi w:val="0"/>
        <w:snapToGrid/>
        <w:spacing w:after="0" w:line="440" w:lineRule="exact"/>
        <w:textAlignment w:val="auto"/>
        <w:rPr>
          <w:rFonts w:hint="eastAsia" w:ascii="宋体" w:hAnsi="宋体" w:eastAsia="宋体" w:cs="宋体"/>
          <w:sz w:val="24"/>
          <w:szCs w:val="24"/>
        </w:rPr>
      </w:pPr>
      <w:r>
        <w:rPr>
          <w:rFonts w:hint="eastAsia" w:ascii="宋体" w:hAnsi="宋体" w:eastAsia="宋体" w:cs="宋体"/>
          <w:sz w:val="24"/>
          <w:szCs w:val="24"/>
          <w:highlight w:val="none"/>
        </w:rPr>
        <w:t>本项目不收取履约保证金。</w:t>
      </w:r>
    </w:p>
    <w:p>
      <w:pPr>
        <w:pStyle w:val="25"/>
        <w:keepNext w:val="0"/>
        <w:keepLines w:val="0"/>
        <w:pageBreakBefore w:val="0"/>
        <w:widowControl w:val="0"/>
        <w:kinsoku/>
        <w:wordWrap/>
        <w:overflowPunct/>
        <w:topLinePunct w:val="0"/>
        <w:autoSpaceDE/>
        <w:autoSpaceDN/>
        <w:bidi w:val="0"/>
        <w:snapToGrid/>
        <w:spacing w:after="0" w:line="440" w:lineRule="exact"/>
        <w:textAlignment w:val="auto"/>
        <w:rPr>
          <w:rFonts w:hint="eastAsia" w:ascii="宋体" w:hAnsi="宋体" w:eastAsia="宋体" w:cs="宋体"/>
          <w:sz w:val="24"/>
          <w:szCs w:val="24"/>
        </w:rPr>
      </w:pPr>
    </w:p>
    <w:p>
      <w:pPr>
        <w:pStyle w:val="51"/>
        <w:keepNext w:val="0"/>
        <w:keepLines w:val="0"/>
        <w:pageBreakBefore w:val="0"/>
        <w:widowControl w:val="0"/>
        <w:kinsoku/>
        <w:wordWrap/>
        <w:overflowPunct/>
        <w:topLinePunct w:val="0"/>
        <w:autoSpaceDE/>
        <w:autoSpaceDN/>
        <w:bidi w:val="0"/>
        <w:snapToGrid/>
        <w:spacing w:line="440" w:lineRule="exact"/>
        <w:ind w:left="0" w:leftChars="0" w:firstLine="480" w:firstLineChars="200"/>
        <w:textAlignment w:val="auto"/>
        <w:rPr>
          <w:rFonts w:hint="eastAsia" w:ascii="宋体" w:hAnsi="宋体" w:eastAsia="宋体" w:cs="宋体"/>
          <w:sz w:val="24"/>
          <w:szCs w:val="24"/>
          <w:lang w:eastAsia="zh-CN"/>
        </w:rPr>
      </w:pPr>
    </w:p>
    <w:p>
      <w:pPr>
        <w:pStyle w:val="25"/>
        <w:keepNext w:val="0"/>
        <w:keepLines w:val="0"/>
        <w:pageBreakBefore w:val="0"/>
        <w:widowControl w:val="0"/>
        <w:kinsoku/>
        <w:wordWrap/>
        <w:overflowPunct/>
        <w:topLinePunct w:val="0"/>
        <w:autoSpaceDE/>
        <w:autoSpaceDN/>
        <w:bidi w:val="0"/>
        <w:snapToGrid/>
        <w:spacing w:after="0" w:line="440" w:lineRule="exact"/>
        <w:textAlignment w:val="auto"/>
        <w:rPr>
          <w:rFonts w:hint="eastAsia" w:ascii="宋体" w:hAnsi="宋体" w:eastAsia="宋体" w:cs="宋体"/>
          <w:sz w:val="24"/>
          <w:szCs w:val="24"/>
        </w:rPr>
      </w:pPr>
    </w:p>
    <w:p>
      <w:pPr>
        <w:pStyle w:val="51"/>
        <w:keepNext w:val="0"/>
        <w:keepLines w:val="0"/>
        <w:pageBreakBefore w:val="0"/>
        <w:widowControl w:val="0"/>
        <w:kinsoku/>
        <w:wordWrap/>
        <w:overflowPunct/>
        <w:topLinePunct w:val="0"/>
        <w:autoSpaceDE/>
        <w:autoSpaceDN/>
        <w:bidi w:val="0"/>
        <w:snapToGrid/>
        <w:spacing w:line="440" w:lineRule="exact"/>
        <w:ind w:left="0" w:leftChars="0" w:firstLine="480" w:firstLineChars="200"/>
        <w:textAlignment w:val="auto"/>
        <w:rPr>
          <w:rFonts w:hint="eastAsia" w:ascii="宋体" w:hAnsi="宋体" w:eastAsia="宋体" w:cs="宋体"/>
          <w:sz w:val="24"/>
          <w:szCs w:val="24"/>
          <w:lang w:eastAsia="zh-CN"/>
        </w:rPr>
      </w:pPr>
    </w:p>
    <w:p>
      <w:pPr>
        <w:pStyle w:val="51"/>
        <w:keepNext w:val="0"/>
        <w:keepLines w:val="0"/>
        <w:pageBreakBefore w:val="0"/>
        <w:widowControl w:val="0"/>
        <w:kinsoku/>
        <w:wordWrap/>
        <w:overflowPunct/>
        <w:topLinePunct w:val="0"/>
        <w:autoSpaceDE/>
        <w:autoSpaceDN/>
        <w:bidi w:val="0"/>
        <w:snapToGrid/>
        <w:spacing w:line="440" w:lineRule="exact"/>
        <w:ind w:left="0" w:leftChars="0" w:firstLine="480" w:firstLineChars="200"/>
        <w:textAlignment w:val="auto"/>
        <w:rPr>
          <w:rFonts w:hint="eastAsia" w:ascii="宋体" w:hAnsi="宋体" w:eastAsia="宋体" w:cs="宋体"/>
          <w:sz w:val="24"/>
          <w:szCs w:val="24"/>
          <w:lang w:eastAsia="zh-CN"/>
        </w:rPr>
      </w:pPr>
    </w:p>
    <w:p>
      <w:pPr>
        <w:pStyle w:val="25"/>
        <w:keepNext w:val="0"/>
        <w:keepLines w:val="0"/>
        <w:pageBreakBefore w:val="0"/>
        <w:widowControl w:val="0"/>
        <w:kinsoku/>
        <w:wordWrap/>
        <w:overflowPunct/>
        <w:topLinePunct w:val="0"/>
        <w:autoSpaceDE/>
        <w:autoSpaceDN/>
        <w:bidi w:val="0"/>
        <w:snapToGrid/>
        <w:spacing w:after="0" w:line="440" w:lineRule="exact"/>
        <w:textAlignment w:val="auto"/>
        <w:rPr>
          <w:rFonts w:hint="eastAsia" w:ascii="宋体" w:hAnsi="宋体" w:eastAsia="宋体" w:cs="宋体"/>
          <w:sz w:val="24"/>
          <w:szCs w:val="24"/>
        </w:rPr>
      </w:pPr>
    </w:p>
    <w:p>
      <w:pPr>
        <w:pStyle w:val="51"/>
        <w:keepNext w:val="0"/>
        <w:keepLines w:val="0"/>
        <w:pageBreakBefore w:val="0"/>
        <w:widowControl w:val="0"/>
        <w:kinsoku/>
        <w:wordWrap/>
        <w:overflowPunct/>
        <w:topLinePunct w:val="0"/>
        <w:autoSpaceDE/>
        <w:autoSpaceDN/>
        <w:bidi w:val="0"/>
        <w:snapToGrid/>
        <w:spacing w:line="440" w:lineRule="exact"/>
        <w:ind w:left="0" w:leftChars="0" w:firstLine="480" w:firstLineChars="200"/>
        <w:textAlignment w:val="auto"/>
        <w:rPr>
          <w:rFonts w:hint="eastAsia" w:ascii="宋体" w:hAnsi="宋体" w:eastAsia="宋体" w:cs="宋体"/>
          <w:sz w:val="24"/>
          <w:szCs w:val="24"/>
          <w:lang w:eastAsia="zh-CN"/>
        </w:rPr>
      </w:pPr>
    </w:p>
    <w:p>
      <w:pPr>
        <w:pStyle w:val="51"/>
        <w:keepNext w:val="0"/>
        <w:keepLines w:val="0"/>
        <w:pageBreakBefore w:val="0"/>
        <w:widowControl w:val="0"/>
        <w:kinsoku/>
        <w:wordWrap/>
        <w:overflowPunct/>
        <w:topLinePunct w:val="0"/>
        <w:autoSpaceDE/>
        <w:autoSpaceDN/>
        <w:bidi w:val="0"/>
        <w:snapToGrid/>
        <w:spacing w:line="440" w:lineRule="exact"/>
        <w:ind w:left="0" w:leftChars="0" w:firstLine="480" w:firstLineChars="200"/>
        <w:textAlignment w:val="auto"/>
        <w:rPr>
          <w:rFonts w:hint="eastAsia" w:ascii="宋体" w:hAnsi="宋体" w:eastAsia="宋体" w:cs="宋体"/>
          <w:sz w:val="24"/>
          <w:szCs w:val="24"/>
          <w:lang w:eastAsia="zh-CN"/>
        </w:rPr>
      </w:pPr>
    </w:p>
    <w:p>
      <w:pPr>
        <w:pStyle w:val="25"/>
        <w:keepNext w:val="0"/>
        <w:keepLines w:val="0"/>
        <w:pageBreakBefore w:val="0"/>
        <w:widowControl w:val="0"/>
        <w:kinsoku/>
        <w:wordWrap/>
        <w:overflowPunct/>
        <w:topLinePunct w:val="0"/>
        <w:autoSpaceDE/>
        <w:autoSpaceDN/>
        <w:bidi w:val="0"/>
        <w:snapToGrid/>
        <w:spacing w:after="0" w:line="440" w:lineRule="exact"/>
        <w:textAlignment w:val="auto"/>
        <w:rPr>
          <w:rFonts w:hint="eastAsia" w:ascii="宋体" w:hAnsi="宋体" w:eastAsia="宋体" w:cs="宋体"/>
          <w:sz w:val="24"/>
          <w:szCs w:val="24"/>
        </w:rPr>
      </w:pPr>
    </w:p>
    <w:p>
      <w:pPr>
        <w:pStyle w:val="51"/>
        <w:keepNext w:val="0"/>
        <w:keepLines w:val="0"/>
        <w:pageBreakBefore w:val="0"/>
        <w:widowControl w:val="0"/>
        <w:kinsoku/>
        <w:wordWrap/>
        <w:overflowPunct/>
        <w:topLinePunct w:val="0"/>
        <w:autoSpaceDE/>
        <w:autoSpaceDN/>
        <w:bidi w:val="0"/>
        <w:snapToGrid/>
        <w:spacing w:line="440" w:lineRule="exact"/>
        <w:ind w:left="0" w:leftChars="0" w:firstLine="480" w:firstLineChars="200"/>
        <w:textAlignment w:val="auto"/>
        <w:rPr>
          <w:rFonts w:hint="eastAsia" w:ascii="宋体" w:hAnsi="宋体" w:eastAsia="宋体" w:cs="宋体"/>
          <w:sz w:val="24"/>
          <w:szCs w:val="24"/>
          <w:lang w:eastAsia="zh-CN"/>
        </w:rPr>
      </w:pPr>
    </w:p>
    <w:p>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31" w:name="_Toc184313294"/>
      <w:bookmarkEnd w:id="31"/>
      <w:bookmarkStart w:id="32" w:name="_Toc184313299"/>
      <w:bookmarkEnd w:id="32"/>
      <w:bookmarkStart w:id="33" w:name="_Toc184310307"/>
      <w:bookmarkEnd w:id="33"/>
      <w:bookmarkStart w:id="34" w:name="_Toc184314425"/>
      <w:bookmarkEnd w:id="34"/>
      <w:bookmarkStart w:id="35" w:name="_Toc184313293"/>
      <w:bookmarkEnd w:id="35"/>
      <w:bookmarkStart w:id="36" w:name="_Toc184313265"/>
      <w:bookmarkEnd w:id="36"/>
      <w:bookmarkStart w:id="37" w:name="_Toc184312134"/>
      <w:bookmarkEnd w:id="37"/>
      <w:bookmarkStart w:id="38" w:name="_Toc184313269"/>
      <w:bookmarkEnd w:id="38"/>
      <w:bookmarkStart w:id="39" w:name="_Toc184308098"/>
      <w:bookmarkEnd w:id="39"/>
      <w:bookmarkStart w:id="40" w:name="_Toc184308070"/>
      <w:bookmarkEnd w:id="40"/>
      <w:bookmarkStart w:id="41" w:name="_Toc184308077"/>
      <w:bookmarkEnd w:id="41"/>
      <w:bookmarkStart w:id="42" w:name="_Toc184308072"/>
      <w:bookmarkEnd w:id="42"/>
      <w:bookmarkStart w:id="43" w:name="_Toc184313256"/>
      <w:bookmarkEnd w:id="43"/>
      <w:bookmarkStart w:id="44" w:name="_Toc184312112"/>
      <w:bookmarkEnd w:id="44"/>
      <w:bookmarkStart w:id="45" w:name="_Toc184308080"/>
      <w:bookmarkEnd w:id="45"/>
      <w:bookmarkStart w:id="46" w:name="_Toc184308095"/>
      <w:bookmarkEnd w:id="46"/>
      <w:bookmarkStart w:id="47" w:name="_Toc184314452"/>
      <w:bookmarkEnd w:id="47"/>
      <w:bookmarkStart w:id="48" w:name="_Toc184313297"/>
      <w:bookmarkEnd w:id="48"/>
      <w:bookmarkStart w:id="49" w:name="_Toc184308054"/>
      <w:bookmarkEnd w:id="49"/>
      <w:bookmarkStart w:id="50" w:name="_Toc184312128"/>
      <w:bookmarkEnd w:id="50"/>
      <w:bookmarkStart w:id="51" w:name="_Toc184312119"/>
      <w:bookmarkEnd w:id="51"/>
      <w:bookmarkStart w:id="52" w:name="_Toc184314422"/>
      <w:bookmarkEnd w:id="52"/>
      <w:bookmarkStart w:id="53" w:name="_Toc184313242"/>
      <w:bookmarkEnd w:id="53"/>
      <w:bookmarkStart w:id="54" w:name="_Toc184310292"/>
      <w:bookmarkEnd w:id="54"/>
      <w:bookmarkStart w:id="55" w:name="_Toc184313240"/>
      <w:bookmarkEnd w:id="55"/>
      <w:bookmarkStart w:id="56" w:name="_Toc184308047"/>
      <w:bookmarkEnd w:id="56"/>
      <w:bookmarkStart w:id="57" w:name="_Toc184308068"/>
      <w:bookmarkEnd w:id="57"/>
      <w:bookmarkStart w:id="58" w:name="_Toc184308104"/>
      <w:bookmarkEnd w:id="58"/>
      <w:bookmarkStart w:id="59" w:name="_Toc184310282"/>
      <w:bookmarkEnd w:id="59"/>
      <w:bookmarkStart w:id="60" w:name="_Toc184308073"/>
      <w:bookmarkEnd w:id="60"/>
      <w:bookmarkStart w:id="61" w:name="_Toc184313290"/>
      <w:bookmarkEnd w:id="61"/>
      <w:bookmarkStart w:id="62" w:name="_Toc184313247"/>
      <w:bookmarkEnd w:id="62"/>
      <w:bookmarkStart w:id="63" w:name="_Toc184313279"/>
      <w:bookmarkEnd w:id="63"/>
      <w:bookmarkStart w:id="64" w:name="_Toc184310330"/>
      <w:bookmarkEnd w:id="64"/>
      <w:bookmarkStart w:id="65" w:name="_Toc184308036"/>
      <w:bookmarkEnd w:id="65"/>
      <w:bookmarkStart w:id="66" w:name="_Toc184308075"/>
      <w:bookmarkEnd w:id="66"/>
      <w:bookmarkStart w:id="67" w:name="_Toc184312124"/>
      <w:bookmarkEnd w:id="67"/>
      <w:bookmarkStart w:id="68" w:name="_Toc184314436"/>
      <w:bookmarkEnd w:id="68"/>
      <w:bookmarkStart w:id="69" w:name="_Toc184308051"/>
      <w:bookmarkEnd w:id="69"/>
      <w:bookmarkStart w:id="70" w:name="_Toc184308082"/>
      <w:bookmarkEnd w:id="70"/>
      <w:bookmarkStart w:id="71" w:name="_Toc184308078"/>
      <w:bookmarkEnd w:id="71"/>
      <w:bookmarkStart w:id="72" w:name="_Toc184313278"/>
      <w:bookmarkEnd w:id="72"/>
      <w:bookmarkStart w:id="73" w:name="_Toc184310320"/>
      <w:bookmarkEnd w:id="73"/>
      <w:bookmarkStart w:id="74" w:name="_Toc184312116"/>
      <w:bookmarkEnd w:id="74"/>
      <w:bookmarkStart w:id="75" w:name="_Toc184308092"/>
      <w:bookmarkEnd w:id="75"/>
      <w:bookmarkStart w:id="76" w:name="_Toc184313258"/>
      <w:bookmarkEnd w:id="76"/>
      <w:bookmarkStart w:id="77" w:name="_Toc184308049"/>
      <w:bookmarkEnd w:id="77"/>
      <w:bookmarkStart w:id="78" w:name="_Toc184312094"/>
      <w:bookmarkEnd w:id="78"/>
      <w:bookmarkStart w:id="79" w:name="_Toc184313268"/>
      <w:bookmarkEnd w:id="79"/>
      <w:bookmarkStart w:id="80" w:name="_Toc184310288"/>
      <w:bookmarkEnd w:id="80"/>
      <w:bookmarkStart w:id="81" w:name="_Toc184310327"/>
      <w:bookmarkEnd w:id="81"/>
      <w:bookmarkStart w:id="82" w:name="_Toc184314464"/>
      <w:bookmarkEnd w:id="82"/>
      <w:bookmarkStart w:id="83" w:name="_Toc184310297"/>
      <w:bookmarkEnd w:id="83"/>
      <w:bookmarkStart w:id="84" w:name="_Toc184308076"/>
      <w:bookmarkEnd w:id="84"/>
      <w:bookmarkStart w:id="85" w:name="_Toc184310302"/>
      <w:bookmarkEnd w:id="85"/>
      <w:bookmarkStart w:id="86" w:name="_Toc184312113"/>
      <w:bookmarkEnd w:id="86"/>
      <w:bookmarkStart w:id="87" w:name="_Toc184312136"/>
      <w:bookmarkEnd w:id="87"/>
      <w:bookmarkStart w:id="88" w:name="_Toc184310317"/>
      <w:bookmarkEnd w:id="88"/>
      <w:bookmarkStart w:id="89" w:name="_Toc184312072"/>
      <w:bookmarkEnd w:id="89"/>
      <w:bookmarkStart w:id="90" w:name="_Toc184310309"/>
      <w:bookmarkEnd w:id="90"/>
      <w:bookmarkStart w:id="91" w:name="_Toc184310298"/>
      <w:bookmarkEnd w:id="91"/>
      <w:bookmarkStart w:id="92" w:name="_Toc184308058"/>
      <w:bookmarkEnd w:id="92"/>
      <w:bookmarkStart w:id="93" w:name="_Toc184314455"/>
      <w:bookmarkEnd w:id="93"/>
      <w:bookmarkStart w:id="94" w:name="_Toc184308088"/>
      <w:bookmarkEnd w:id="94"/>
      <w:bookmarkStart w:id="95" w:name="_Toc184312131"/>
      <w:bookmarkEnd w:id="95"/>
      <w:bookmarkStart w:id="96" w:name="_Toc184310280"/>
      <w:bookmarkEnd w:id="96"/>
      <w:bookmarkStart w:id="97" w:name="_Toc184310340"/>
      <w:bookmarkEnd w:id="97"/>
      <w:bookmarkStart w:id="98" w:name="_Toc184314461"/>
      <w:bookmarkEnd w:id="98"/>
      <w:bookmarkStart w:id="99" w:name="_Toc184308097"/>
      <w:bookmarkEnd w:id="99"/>
      <w:bookmarkStart w:id="100" w:name="_Toc184313301"/>
      <w:bookmarkEnd w:id="100"/>
      <w:bookmarkStart w:id="101" w:name="_Toc184308090"/>
      <w:bookmarkEnd w:id="101"/>
      <w:bookmarkStart w:id="102" w:name="_Toc184312114"/>
      <w:bookmarkEnd w:id="102"/>
      <w:bookmarkStart w:id="103" w:name="_Toc184314476"/>
      <w:bookmarkEnd w:id="103"/>
      <w:bookmarkStart w:id="104" w:name="_Toc184310301"/>
      <w:bookmarkEnd w:id="104"/>
      <w:bookmarkStart w:id="105" w:name="_Toc184314446"/>
      <w:bookmarkEnd w:id="105"/>
      <w:bookmarkStart w:id="106" w:name="_Toc184314475"/>
      <w:bookmarkEnd w:id="106"/>
      <w:bookmarkStart w:id="107" w:name="_Toc184314469"/>
      <w:bookmarkEnd w:id="107"/>
      <w:bookmarkStart w:id="108" w:name="_Toc184310294"/>
      <w:bookmarkEnd w:id="108"/>
      <w:bookmarkStart w:id="109" w:name="_Toc184314412"/>
      <w:bookmarkEnd w:id="109"/>
      <w:bookmarkStart w:id="110" w:name="_Toc184312122"/>
      <w:bookmarkEnd w:id="110"/>
      <w:bookmarkStart w:id="111" w:name="_Toc184312069"/>
      <w:bookmarkEnd w:id="111"/>
      <w:bookmarkStart w:id="112" w:name="_Toc184313248"/>
      <w:bookmarkEnd w:id="112"/>
      <w:bookmarkStart w:id="113" w:name="_Toc184308048"/>
      <w:bookmarkEnd w:id="113"/>
      <w:bookmarkStart w:id="114" w:name="_Toc184314435"/>
      <w:bookmarkEnd w:id="114"/>
      <w:bookmarkStart w:id="115" w:name="_Toc184310338"/>
      <w:bookmarkEnd w:id="115"/>
      <w:bookmarkStart w:id="116" w:name="_Toc184312087"/>
      <w:bookmarkEnd w:id="116"/>
      <w:bookmarkStart w:id="117" w:name="_Toc184310303"/>
      <w:bookmarkEnd w:id="117"/>
      <w:bookmarkStart w:id="118" w:name="_Toc184312084"/>
      <w:bookmarkEnd w:id="118"/>
      <w:bookmarkStart w:id="119" w:name="_Toc184314480"/>
      <w:bookmarkEnd w:id="119"/>
      <w:bookmarkStart w:id="120" w:name="_Toc184310326"/>
      <w:bookmarkEnd w:id="120"/>
      <w:bookmarkStart w:id="121" w:name="_Toc184312091"/>
      <w:bookmarkEnd w:id="121"/>
      <w:bookmarkStart w:id="122" w:name="_Toc184314459"/>
      <w:bookmarkEnd w:id="122"/>
      <w:bookmarkStart w:id="123" w:name="_Toc184308093"/>
      <w:bookmarkEnd w:id="123"/>
      <w:bookmarkStart w:id="124" w:name="_Toc184310281"/>
      <w:bookmarkEnd w:id="124"/>
      <w:bookmarkStart w:id="125" w:name="_Toc184313287"/>
      <w:bookmarkEnd w:id="125"/>
      <w:bookmarkStart w:id="126" w:name="_Toc184310310"/>
      <w:bookmarkEnd w:id="126"/>
      <w:bookmarkStart w:id="127" w:name="_Toc184314460"/>
      <w:bookmarkEnd w:id="127"/>
      <w:bookmarkStart w:id="128" w:name="_Toc184310333"/>
      <w:bookmarkEnd w:id="128"/>
      <w:bookmarkStart w:id="129" w:name="_Toc184308059"/>
      <w:bookmarkEnd w:id="129"/>
      <w:bookmarkStart w:id="130" w:name="_Toc184314453"/>
      <w:bookmarkEnd w:id="130"/>
      <w:bookmarkStart w:id="131" w:name="_Toc184313267"/>
      <w:bookmarkEnd w:id="131"/>
      <w:bookmarkStart w:id="132" w:name="_Toc184312097"/>
      <w:bookmarkEnd w:id="132"/>
      <w:bookmarkStart w:id="133" w:name="_Toc184313285"/>
      <w:bookmarkEnd w:id="133"/>
      <w:bookmarkStart w:id="134" w:name="_Toc184312125"/>
      <w:bookmarkEnd w:id="134"/>
      <w:bookmarkStart w:id="135" w:name="_Toc184314477"/>
      <w:bookmarkEnd w:id="135"/>
      <w:bookmarkStart w:id="136" w:name="_Toc184308069"/>
      <w:bookmarkEnd w:id="136"/>
      <w:bookmarkStart w:id="137" w:name="_Toc184314482"/>
      <w:bookmarkEnd w:id="137"/>
      <w:bookmarkStart w:id="138" w:name="_Toc184308057"/>
      <w:bookmarkEnd w:id="138"/>
      <w:bookmarkStart w:id="139" w:name="_Toc184313284"/>
      <w:bookmarkEnd w:id="139"/>
      <w:bookmarkStart w:id="140" w:name="_Toc184312085"/>
      <w:bookmarkEnd w:id="140"/>
      <w:bookmarkStart w:id="141" w:name="_Toc184308081"/>
      <w:bookmarkEnd w:id="141"/>
      <w:bookmarkStart w:id="142" w:name="_Toc184312098"/>
      <w:bookmarkEnd w:id="142"/>
      <w:bookmarkStart w:id="143" w:name="_Toc184310308"/>
      <w:bookmarkEnd w:id="143"/>
      <w:bookmarkStart w:id="144" w:name="_Toc184308043"/>
      <w:bookmarkEnd w:id="144"/>
      <w:bookmarkStart w:id="145" w:name="_Toc184314438"/>
      <w:bookmarkEnd w:id="145"/>
      <w:bookmarkStart w:id="146" w:name="_Toc184313280"/>
      <w:bookmarkEnd w:id="146"/>
      <w:bookmarkStart w:id="147" w:name="_Toc184308096"/>
      <w:bookmarkEnd w:id="147"/>
      <w:bookmarkStart w:id="148" w:name="_Toc184308084"/>
      <w:bookmarkEnd w:id="148"/>
      <w:bookmarkStart w:id="149" w:name="_Toc184310332"/>
      <w:bookmarkEnd w:id="149"/>
      <w:bookmarkStart w:id="150" w:name="_Toc184313246"/>
      <w:bookmarkEnd w:id="150"/>
      <w:bookmarkStart w:id="151" w:name="_Toc184314449"/>
      <w:bookmarkEnd w:id="151"/>
      <w:bookmarkStart w:id="152" w:name="_Toc184313271"/>
      <w:bookmarkEnd w:id="152"/>
      <w:bookmarkStart w:id="153" w:name="_Toc184310293"/>
      <w:bookmarkEnd w:id="153"/>
      <w:bookmarkStart w:id="154" w:name="_Toc184314437"/>
      <w:bookmarkEnd w:id="154"/>
      <w:bookmarkStart w:id="155" w:name="_Toc184310341"/>
      <w:bookmarkEnd w:id="155"/>
      <w:bookmarkStart w:id="156" w:name="_Toc184313270"/>
      <w:bookmarkEnd w:id="156"/>
      <w:bookmarkStart w:id="157" w:name="_Toc184310343"/>
      <w:bookmarkEnd w:id="157"/>
      <w:bookmarkStart w:id="158" w:name="_Toc184308042"/>
      <w:bookmarkEnd w:id="158"/>
      <w:bookmarkStart w:id="159" w:name="_Toc184313305"/>
      <w:bookmarkEnd w:id="159"/>
      <w:bookmarkStart w:id="160" w:name="_Toc184314439"/>
      <w:bookmarkEnd w:id="160"/>
      <w:bookmarkStart w:id="161" w:name="_Toc184308060"/>
      <w:bookmarkEnd w:id="161"/>
      <w:bookmarkStart w:id="162" w:name="_Toc184313309"/>
      <w:bookmarkEnd w:id="162"/>
      <w:bookmarkStart w:id="163" w:name="_Toc184308052"/>
      <w:bookmarkEnd w:id="163"/>
      <w:bookmarkStart w:id="164" w:name="_Toc184310316"/>
      <w:bookmarkEnd w:id="164"/>
      <w:bookmarkStart w:id="165" w:name="_Toc184313282"/>
      <w:bookmarkEnd w:id="165"/>
      <w:bookmarkStart w:id="166" w:name="_Toc184308064"/>
      <w:bookmarkEnd w:id="166"/>
      <w:bookmarkStart w:id="167" w:name="_Toc184313238"/>
      <w:bookmarkEnd w:id="167"/>
      <w:bookmarkStart w:id="168" w:name="_Toc184313302"/>
      <w:bookmarkEnd w:id="168"/>
      <w:bookmarkStart w:id="169" w:name="_Toc184310277"/>
      <w:bookmarkEnd w:id="169"/>
      <w:bookmarkStart w:id="170" w:name="_Toc184312126"/>
      <w:bookmarkEnd w:id="170"/>
      <w:bookmarkStart w:id="171" w:name="_Toc184310325"/>
      <w:bookmarkEnd w:id="171"/>
      <w:bookmarkStart w:id="172" w:name="_Toc184312080"/>
      <w:bookmarkEnd w:id="172"/>
      <w:bookmarkStart w:id="173" w:name="_Toc184308101"/>
      <w:bookmarkEnd w:id="173"/>
      <w:bookmarkStart w:id="174" w:name="_Toc184314467"/>
      <w:bookmarkEnd w:id="174"/>
      <w:bookmarkStart w:id="175" w:name="_Toc184308074"/>
      <w:bookmarkEnd w:id="175"/>
      <w:bookmarkStart w:id="176" w:name="_Toc184314451"/>
      <w:bookmarkEnd w:id="176"/>
      <w:bookmarkStart w:id="177" w:name="_Toc184313250"/>
      <w:bookmarkEnd w:id="177"/>
      <w:bookmarkStart w:id="178" w:name="_Toc184310313"/>
      <w:bookmarkEnd w:id="178"/>
      <w:bookmarkStart w:id="179" w:name="_Toc184312135"/>
      <w:bookmarkEnd w:id="179"/>
      <w:bookmarkStart w:id="180" w:name="_Toc184313253"/>
      <w:bookmarkEnd w:id="180"/>
      <w:bookmarkStart w:id="181" w:name="_Toc184310336"/>
      <w:bookmarkEnd w:id="181"/>
      <w:bookmarkStart w:id="182" w:name="_Toc184310321"/>
      <w:bookmarkEnd w:id="182"/>
      <w:bookmarkStart w:id="183" w:name="_Toc184312123"/>
      <w:bookmarkEnd w:id="183"/>
      <w:bookmarkStart w:id="184" w:name="_Toc184314443"/>
      <w:bookmarkEnd w:id="184"/>
      <w:bookmarkStart w:id="185" w:name="_Toc184308099"/>
      <w:bookmarkEnd w:id="185"/>
      <w:bookmarkStart w:id="186" w:name="_Toc184314427"/>
      <w:bookmarkEnd w:id="186"/>
      <w:bookmarkStart w:id="187" w:name="_Toc184313251"/>
      <w:bookmarkEnd w:id="187"/>
      <w:bookmarkStart w:id="188" w:name="_Toc184310304"/>
      <w:bookmarkEnd w:id="188"/>
      <w:bookmarkStart w:id="189" w:name="_Toc184312118"/>
      <w:bookmarkEnd w:id="189"/>
      <w:bookmarkStart w:id="190" w:name="_Toc184312096"/>
      <w:bookmarkEnd w:id="190"/>
      <w:bookmarkStart w:id="191" w:name="_Toc184308053"/>
      <w:bookmarkEnd w:id="191"/>
      <w:bookmarkStart w:id="192" w:name="_Toc184308037"/>
      <w:bookmarkEnd w:id="192"/>
      <w:bookmarkStart w:id="193" w:name="_Toc184312137"/>
      <w:bookmarkEnd w:id="193"/>
      <w:bookmarkStart w:id="194" w:name="_Toc184312088"/>
      <w:bookmarkEnd w:id="194"/>
      <w:bookmarkStart w:id="195" w:name="_Toc184314423"/>
      <w:bookmarkEnd w:id="195"/>
      <w:bookmarkStart w:id="196" w:name="_Toc184308083"/>
      <w:bookmarkEnd w:id="196"/>
      <w:bookmarkStart w:id="197" w:name="_Toc184310318"/>
      <w:bookmarkEnd w:id="197"/>
      <w:bookmarkStart w:id="198" w:name="_Toc184310275"/>
      <w:bookmarkEnd w:id="198"/>
      <w:bookmarkStart w:id="199" w:name="_Toc184314458"/>
      <w:bookmarkEnd w:id="199"/>
      <w:bookmarkStart w:id="200" w:name="_Toc184312130"/>
      <w:bookmarkEnd w:id="200"/>
      <w:bookmarkStart w:id="201" w:name="_Toc184308056"/>
      <w:bookmarkEnd w:id="201"/>
      <w:bookmarkStart w:id="202" w:name="_Toc184314448"/>
      <w:bookmarkEnd w:id="202"/>
      <w:bookmarkStart w:id="203" w:name="_Toc184312133"/>
      <w:bookmarkEnd w:id="203"/>
      <w:bookmarkStart w:id="204" w:name="_Toc184313288"/>
      <w:bookmarkEnd w:id="204"/>
      <w:bookmarkStart w:id="205" w:name="_Toc184310295"/>
      <w:bookmarkEnd w:id="205"/>
      <w:bookmarkStart w:id="206" w:name="_Toc184313289"/>
      <w:bookmarkEnd w:id="206"/>
      <w:bookmarkStart w:id="207" w:name="_Toc184314441"/>
      <w:bookmarkEnd w:id="207"/>
      <w:bookmarkStart w:id="208" w:name="_Toc184313252"/>
      <w:bookmarkEnd w:id="208"/>
      <w:bookmarkStart w:id="209" w:name="_Toc184308085"/>
      <w:bookmarkEnd w:id="209"/>
      <w:bookmarkStart w:id="210" w:name="_Toc184313286"/>
      <w:bookmarkEnd w:id="210"/>
      <w:bookmarkStart w:id="211" w:name="_Toc184313255"/>
      <w:bookmarkEnd w:id="211"/>
      <w:bookmarkStart w:id="212" w:name="_Toc184313263"/>
      <w:bookmarkEnd w:id="212"/>
      <w:bookmarkStart w:id="213" w:name="_Toc184313292"/>
      <w:bookmarkEnd w:id="213"/>
      <w:bookmarkStart w:id="214" w:name="_Toc184314417"/>
      <w:bookmarkEnd w:id="214"/>
      <w:bookmarkStart w:id="215" w:name="_Toc184310315"/>
      <w:bookmarkEnd w:id="215"/>
      <w:bookmarkStart w:id="216" w:name="_Toc184314445"/>
      <w:bookmarkEnd w:id="216"/>
      <w:bookmarkStart w:id="217" w:name="_Toc184310342"/>
      <w:bookmarkEnd w:id="217"/>
      <w:bookmarkStart w:id="218" w:name="_Toc184312106"/>
      <w:bookmarkEnd w:id="218"/>
      <w:bookmarkStart w:id="219" w:name="_Toc184310337"/>
      <w:bookmarkEnd w:id="219"/>
      <w:bookmarkStart w:id="220" w:name="_Toc184310322"/>
      <w:bookmarkEnd w:id="220"/>
      <w:bookmarkStart w:id="221" w:name="_Toc184313260"/>
      <w:bookmarkEnd w:id="221"/>
      <w:bookmarkStart w:id="222" w:name="_Toc184312076"/>
      <w:bookmarkEnd w:id="222"/>
      <w:bookmarkStart w:id="223" w:name="_Toc184313298"/>
      <w:bookmarkEnd w:id="223"/>
      <w:bookmarkStart w:id="224" w:name="_Toc184314479"/>
      <w:bookmarkEnd w:id="224"/>
      <w:bookmarkStart w:id="225" w:name="_Toc184310329"/>
      <w:bookmarkEnd w:id="225"/>
      <w:bookmarkStart w:id="226" w:name="_Toc184312121"/>
      <w:bookmarkEnd w:id="226"/>
      <w:bookmarkStart w:id="227" w:name="_Toc184310286"/>
      <w:bookmarkEnd w:id="227"/>
      <w:bookmarkStart w:id="228" w:name="_Toc184312083"/>
      <w:bookmarkEnd w:id="228"/>
      <w:bookmarkStart w:id="229" w:name="_Toc184308061"/>
      <w:bookmarkEnd w:id="229"/>
      <w:bookmarkStart w:id="230" w:name="_Toc184313245"/>
      <w:bookmarkEnd w:id="230"/>
      <w:bookmarkStart w:id="231" w:name="_Toc184312077"/>
      <w:bookmarkEnd w:id="231"/>
      <w:bookmarkStart w:id="232" w:name="_Toc184313241"/>
      <w:bookmarkEnd w:id="232"/>
      <w:bookmarkStart w:id="233" w:name="_Toc184308065"/>
      <w:bookmarkEnd w:id="233"/>
      <w:bookmarkStart w:id="234" w:name="_Toc184310276"/>
      <w:bookmarkEnd w:id="234"/>
      <w:bookmarkStart w:id="235" w:name="_Toc184312107"/>
      <w:bookmarkEnd w:id="235"/>
      <w:bookmarkStart w:id="236" w:name="_Toc184310291"/>
      <w:bookmarkEnd w:id="236"/>
      <w:bookmarkStart w:id="237" w:name="_Toc184312120"/>
      <w:bookmarkEnd w:id="237"/>
      <w:bookmarkStart w:id="238" w:name="_Toc184310311"/>
      <w:bookmarkEnd w:id="238"/>
      <w:bookmarkStart w:id="239" w:name="_Toc184310334"/>
      <w:bookmarkEnd w:id="239"/>
      <w:bookmarkStart w:id="240" w:name="_Toc184310331"/>
      <w:bookmarkEnd w:id="240"/>
      <w:bookmarkStart w:id="241" w:name="_Toc184314471"/>
      <w:bookmarkEnd w:id="241"/>
      <w:bookmarkStart w:id="242" w:name="_Toc184313273"/>
      <w:bookmarkEnd w:id="242"/>
      <w:bookmarkStart w:id="243" w:name="_Toc184314413"/>
      <w:bookmarkEnd w:id="243"/>
      <w:bookmarkStart w:id="244" w:name="_Toc184310296"/>
      <w:bookmarkEnd w:id="244"/>
      <w:bookmarkStart w:id="245" w:name="_Toc184312075"/>
      <w:bookmarkEnd w:id="245"/>
      <w:bookmarkStart w:id="246" w:name="_Toc184310314"/>
      <w:bookmarkEnd w:id="246"/>
      <w:bookmarkStart w:id="247" w:name="_Toc184310305"/>
      <w:bookmarkEnd w:id="247"/>
      <w:bookmarkStart w:id="248" w:name="_Toc184313303"/>
      <w:bookmarkEnd w:id="248"/>
      <w:bookmarkStart w:id="249" w:name="_Toc184312108"/>
      <w:bookmarkEnd w:id="249"/>
      <w:bookmarkStart w:id="250" w:name="_Toc184314463"/>
      <w:bookmarkEnd w:id="250"/>
      <w:bookmarkStart w:id="251" w:name="_Toc184313277"/>
      <w:bookmarkEnd w:id="251"/>
      <w:bookmarkStart w:id="252" w:name="_Toc184313281"/>
      <w:bookmarkEnd w:id="252"/>
      <w:bookmarkStart w:id="253" w:name="_Toc184310273"/>
      <w:bookmarkEnd w:id="253"/>
      <w:bookmarkStart w:id="254" w:name="_Toc184308091"/>
      <w:bookmarkEnd w:id="254"/>
      <w:bookmarkStart w:id="255" w:name="_Toc184313308"/>
      <w:bookmarkEnd w:id="255"/>
      <w:bookmarkStart w:id="256" w:name="_Toc184312090"/>
      <w:bookmarkEnd w:id="256"/>
      <w:bookmarkStart w:id="257" w:name="_Toc184314466"/>
      <w:bookmarkEnd w:id="257"/>
      <w:bookmarkStart w:id="258" w:name="_Toc184312117"/>
      <w:bookmarkEnd w:id="258"/>
      <w:bookmarkStart w:id="259" w:name="_Toc184314428"/>
      <w:bookmarkEnd w:id="259"/>
      <w:bookmarkStart w:id="260" w:name="_Toc184310335"/>
      <w:bookmarkEnd w:id="260"/>
      <w:bookmarkStart w:id="261" w:name="_Toc184313257"/>
      <w:bookmarkEnd w:id="261"/>
      <w:bookmarkStart w:id="262" w:name="_Toc184308055"/>
      <w:bookmarkEnd w:id="262"/>
      <w:bookmarkStart w:id="263" w:name="_Toc184314424"/>
      <w:bookmarkEnd w:id="263"/>
      <w:bookmarkStart w:id="264" w:name="_Toc184312079"/>
      <w:bookmarkEnd w:id="264"/>
      <w:bookmarkStart w:id="265" w:name="_Toc184314468"/>
      <w:bookmarkEnd w:id="265"/>
      <w:bookmarkStart w:id="266" w:name="_Toc184313304"/>
      <w:bookmarkEnd w:id="266"/>
      <w:bookmarkStart w:id="267" w:name="_Toc184314444"/>
      <w:bookmarkEnd w:id="267"/>
      <w:bookmarkStart w:id="268" w:name="_Toc184308100"/>
      <w:bookmarkEnd w:id="268"/>
      <w:bookmarkStart w:id="269" w:name="_Toc184308105"/>
      <w:bookmarkEnd w:id="269"/>
      <w:bookmarkStart w:id="270" w:name="_Toc184314481"/>
      <w:bookmarkEnd w:id="270"/>
      <w:bookmarkStart w:id="271" w:name="_Toc184310290"/>
      <w:bookmarkEnd w:id="271"/>
      <w:bookmarkStart w:id="272" w:name="_Toc184308102"/>
      <w:bookmarkEnd w:id="272"/>
      <w:bookmarkStart w:id="273" w:name="_Toc184313300"/>
      <w:bookmarkEnd w:id="273"/>
      <w:bookmarkStart w:id="274" w:name="_Toc184314411"/>
      <w:bookmarkEnd w:id="274"/>
      <w:bookmarkStart w:id="275" w:name="_Toc184314454"/>
      <w:bookmarkEnd w:id="275"/>
      <w:bookmarkStart w:id="276" w:name="_Toc184314465"/>
      <w:bookmarkEnd w:id="276"/>
      <w:bookmarkStart w:id="277" w:name="_Toc184313276"/>
      <w:bookmarkEnd w:id="277"/>
      <w:bookmarkStart w:id="278" w:name="_Toc184310323"/>
      <w:bookmarkEnd w:id="278"/>
      <w:bookmarkStart w:id="279" w:name="_Toc184314433"/>
      <w:bookmarkEnd w:id="279"/>
      <w:bookmarkStart w:id="280" w:name="_Toc184314432"/>
      <w:bookmarkEnd w:id="280"/>
      <w:bookmarkStart w:id="281" w:name="_Toc184308046"/>
      <w:bookmarkEnd w:id="281"/>
      <w:bookmarkStart w:id="282" w:name="_Toc184312109"/>
      <w:bookmarkEnd w:id="282"/>
      <w:bookmarkStart w:id="283" w:name="_Toc184310319"/>
      <w:bookmarkEnd w:id="283"/>
      <w:bookmarkStart w:id="284" w:name="_Toc184308094"/>
      <w:bookmarkEnd w:id="284"/>
      <w:bookmarkStart w:id="285" w:name="_Toc184308107"/>
      <w:bookmarkEnd w:id="285"/>
      <w:bookmarkStart w:id="286" w:name="_Toc184313310"/>
      <w:bookmarkEnd w:id="286"/>
      <w:bookmarkStart w:id="287" w:name="_Toc184310344"/>
      <w:bookmarkEnd w:id="287"/>
      <w:bookmarkStart w:id="288" w:name="_Toc184310299"/>
      <w:bookmarkEnd w:id="288"/>
      <w:bookmarkStart w:id="289" w:name="_Toc184312093"/>
      <w:bookmarkEnd w:id="289"/>
      <w:bookmarkStart w:id="290" w:name="_Toc184312070"/>
      <w:bookmarkEnd w:id="290"/>
      <w:bookmarkStart w:id="291" w:name="_Toc184310283"/>
      <w:bookmarkEnd w:id="291"/>
      <w:bookmarkStart w:id="292" w:name="_Toc184312132"/>
      <w:bookmarkEnd w:id="292"/>
      <w:bookmarkStart w:id="293" w:name="_Toc184310274"/>
      <w:bookmarkEnd w:id="293"/>
      <w:bookmarkStart w:id="294" w:name="_Toc184314442"/>
      <w:bookmarkEnd w:id="294"/>
      <w:bookmarkStart w:id="295" w:name="_Toc184314415"/>
      <w:bookmarkEnd w:id="295"/>
      <w:bookmarkStart w:id="296" w:name="_Toc184310306"/>
      <w:bookmarkEnd w:id="296"/>
      <w:bookmarkStart w:id="297" w:name="_Toc184313259"/>
      <w:bookmarkEnd w:id="297"/>
      <w:bookmarkStart w:id="298" w:name="_Toc184312115"/>
      <w:bookmarkEnd w:id="298"/>
      <w:bookmarkStart w:id="299" w:name="_Toc184313266"/>
      <w:bookmarkEnd w:id="299"/>
      <w:bookmarkStart w:id="300" w:name="_Toc184314434"/>
      <w:bookmarkEnd w:id="300"/>
      <w:bookmarkStart w:id="301" w:name="_Toc184313262"/>
      <w:bookmarkEnd w:id="301"/>
      <w:bookmarkStart w:id="302" w:name="_Toc184308062"/>
      <w:bookmarkEnd w:id="302"/>
      <w:bookmarkStart w:id="303" w:name="_Toc184308103"/>
      <w:bookmarkEnd w:id="303"/>
      <w:bookmarkStart w:id="304" w:name="_Toc184312127"/>
      <w:bookmarkEnd w:id="304"/>
      <w:bookmarkStart w:id="305" w:name="_Toc184314418"/>
      <w:bookmarkEnd w:id="305"/>
      <w:bookmarkStart w:id="306" w:name="_Toc184313275"/>
      <w:bookmarkEnd w:id="306"/>
      <w:bookmarkStart w:id="307" w:name="_Toc184314474"/>
      <w:bookmarkEnd w:id="307"/>
      <w:bookmarkStart w:id="308" w:name="_Toc184312074"/>
      <w:bookmarkEnd w:id="308"/>
      <w:bookmarkStart w:id="309" w:name="_Toc184312071"/>
      <w:bookmarkEnd w:id="309"/>
      <w:bookmarkStart w:id="310" w:name="_Toc184313274"/>
      <w:bookmarkEnd w:id="310"/>
      <w:bookmarkStart w:id="311" w:name="_Toc184312078"/>
      <w:bookmarkEnd w:id="311"/>
      <w:bookmarkStart w:id="312" w:name="_Toc184308044"/>
      <w:bookmarkEnd w:id="312"/>
      <w:bookmarkStart w:id="313" w:name="_Toc184314462"/>
      <w:bookmarkEnd w:id="313"/>
      <w:bookmarkStart w:id="314" w:name="_Toc184308040"/>
      <w:bookmarkEnd w:id="314"/>
      <w:bookmarkStart w:id="315" w:name="_Toc184308079"/>
      <w:bookmarkEnd w:id="315"/>
      <w:bookmarkStart w:id="316" w:name="_Toc184310328"/>
      <w:bookmarkEnd w:id="316"/>
      <w:bookmarkStart w:id="317" w:name="_Toc184310324"/>
      <w:bookmarkEnd w:id="317"/>
      <w:bookmarkStart w:id="318" w:name="_Toc184312099"/>
      <w:bookmarkEnd w:id="318"/>
      <w:bookmarkStart w:id="319" w:name="_Toc184313239"/>
      <w:bookmarkEnd w:id="319"/>
      <w:bookmarkStart w:id="320" w:name="_Toc184312068"/>
      <w:bookmarkEnd w:id="320"/>
      <w:bookmarkStart w:id="321" w:name="_Toc184313243"/>
      <w:bookmarkEnd w:id="321"/>
      <w:bookmarkStart w:id="322" w:name="_Toc184314473"/>
      <w:bookmarkEnd w:id="322"/>
      <w:bookmarkStart w:id="323" w:name="_Toc184308089"/>
      <w:bookmarkEnd w:id="323"/>
      <w:bookmarkStart w:id="324" w:name="_Toc184314457"/>
      <w:bookmarkEnd w:id="324"/>
      <w:bookmarkStart w:id="325" w:name="_Toc184310300"/>
      <w:bookmarkEnd w:id="325"/>
      <w:bookmarkStart w:id="326" w:name="_Toc184312073"/>
      <w:bookmarkEnd w:id="326"/>
      <w:bookmarkStart w:id="327" w:name="_Toc184308045"/>
      <w:bookmarkEnd w:id="327"/>
      <w:bookmarkStart w:id="328" w:name="_Toc184314430"/>
      <w:bookmarkEnd w:id="328"/>
      <w:bookmarkStart w:id="329" w:name="_Toc184308087"/>
      <w:bookmarkEnd w:id="329"/>
      <w:bookmarkStart w:id="330" w:name="_Toc184310278"/>
      <w:bookmarkEnd w:id="330"/>
      <w:bookmarkStart w:id="331" w:name="_Toc184312092"/>
      <w:bookmarkEnd w:id="331"/>
      <w:bookmarkStart w:id="332" w:name="_Toc184312103"/>
      <w:bookmarkEnd w:id="332"/>
      <w:bookmarkStart w:id="333" w:name="_Toc184314419"/>
      <w:bookmarkEnd w:id="333"/>
      <w:bookmarkStart w:id="334" w:name="_Toc184310284"/>
      <w:bookmarkEnd w:id="334"/>
      <w:bookmarkStart w:id="335" w:name="_Toc184314478"/>
      <w:bookmarkEnd w:id="335"/>
      <w:bookmarkStart w:id="336" w:name="_Toc184314431"/>
      <w:bookmarkEnd w:id="336"/>
      <w:bookmarkStart w:id="337" w:name="_Toc184312067"/>
      <w:bookmarkEnd w:id="337"/>
      <w:bookmarkStart w:id="338" w:name="_Toc184312086"/>
      <w:bookmarkEnd w:id="338"/>
      <w:bookmarkStart w:id="339" w:name="_Toc184312102"/>
      <w:bookmarkEnd w:id="339"/>
      <w:bookmarkStart w:id="340" w:name="_Toc184312104"/>
      <w:bookmarkEnd w:id="340"/>
      <w:bookmarkStart w:id="341" w:name="_Toc184313261"/>
      <w:bookmarkEnd w:id="341"/>
      <w:bookmarkStart w:id="342" w:name="_Toc184308039"/>
      <w:bookmarkEnd w:id="342"/>
      <w:bookmarkStart w:id="343" w:name="_Toc184312111"/>
      <w:bookmarkEnd w:id="343"/>
      <w:bookmarkStart w:id="344" w:name="_Toc184312101"/>
      <w:bookmarkEnd w:id="344"/>
      <w:bookmarkStart w:id="345" w:name="_Toc184313249"/>
      <w:bookmarkEnd w:id="345"/>
      <w:bookmarkStart w:id="346" w:name="_Toc184312105"/>
      <w:bookmarkEnd w:id="346"/>
      <w:bookmarkStart w:id="347" w:name="_Toc184308071"/>
      <w:bookmarkEnd w:id="347"/>
      <w:bookmarkStart w:id="348" w:name="_Toc184313291"/>
      <w:bookmarkEnd w:id="348"/>
      <w:bookmarkStart w:id="349" w:name="_Toc184314416"/>
      <w:bookmarkEnd w:id="349"/>
      <w:bookmarkStart w:id="350" w:name="_Toc184314420"/>
      <w:bookmarkEnd w:id="350"/>
      <w:bookmarkStart w:id="351" w:name="_Toc184308067"/>
      <w:bookmarkEnd w:id="351"/>
      <w:bookmarkStart w:id="352" w:name="_Toc184310312"/>
      <w:bookmarkEnd w:id="352"/>
      <w:bookmarkStart w:id="353" w:name="_Toc184313295"/>
      <w:bookmarkEnd w:id="353"/>
      <w:bookmarkStart w:id="354" w:name="_Toc184313264"/>
      <w:bookmarkEnd w:id="354"/>
      <w:bookmarkStart w:id="355" w:name="_Toc184310339"/>
      <w:bookmarkEnd w:id="355"/>
      <w:bookmarkStart w:id="356" w:name="_Toc184314472"/>
      <w:bookmarkEnd w:id="356"/>
      <w:bookmarkStart w:id="357" w:name="_Toc184308063"/>
      <w:bookmarkEnd w:id="357"/>
      <w:bookmarkStart w:id="358" w:name="_Toc184312095"/>
      <w:bookmarkEnd w:id="358"/>
      <w:bookmarkStart w:id="359" w:name="_Toc184313296"/>
      <w:bookmarkEnd w:id="359"/>
      <w:bookmarkStart w:id="360" w:name="_Toc184308066"/>
      <w:bookmarkEnd w:id="360"/>
      <w:bookmarkStart w:id="361" w:name="_Toc184313244"/>
      <w:bookmarkEnd w:id="361"/>
      <w:bookmarkStart w:id="362" w:name="_Toc184312081"/>
      <w:bookmarkEnd w:id="362"/>
      <w:bookmarkStart w:id="363" w:name="_Toc184314429"/>
      <w:bookmarkEnd w:id="363"/>
      <w:bookmarkStart w:id="364" w:name="_Toc184314414"/>
      <w:bookmarkEnd w:id="364"/>
      <w:bookmarkStart w:id="365" w:name="_Toc184310279"/>
      <w:bookmarkEnd w:id="365"/>
      <w:bookmarkStart w:id="366" w:name="_Toc184314450"/>
      <w:bookmarkEnd w:id="366"/>
      <w:bookmarkStart w:id="367" w:name="_Toc184312110"/>
      <w:bookmarkEnd w:id="367"/>
      <w:bookmarkStart w:id="368" w:name="_Toc184312139"/>
      <w:bookmarkEnd w:id="368"/>
      <w:bookmarkStart w:id="369" w:name="_Toc184308108"/>
      <w:bookmarkEnd w:id="369"/>
      <w:bookmarkStart w:id="370" w:name="_Toc184313283"/>
      <w:bookmarkEnd w:id="370"/>
      <w:bookmarkStart w:id="371" w:name="_Toc184314426"/>
      <w:bookmarkEnd w:id="371"/>
      <w:bookmarkStart w:id="372" w:name="_Toc184314440"/>
      <w:bookmarkEnd w:id="372"/>
      <w:bookmarkStart w:id="373" w:name="_Toc184314447"/>
      <w:bookmarkEnd w:id="373"/>
      <w:bookmarkStart w:id="374" w:name="_Toc184308050"/>
      <w:bookmarkEnd w:id="374"/>
      <w:bookmarkStart w:id="375" w:name="_Toc184312089"/>
      <w:bookmarkEnd w:id="375"/>
      <w:bookmarkStart w:id="376" w:name="_Toc184313307"/>
      <w:bookmarkEnd w:id="376"/>
      <w:bookmarkStart w:id="377" w:name="_Toc184314456"/>
      <w:bookmarkEnd w:id="377"/>
      <w:bookmarkStart w:id="378" w:name="_Toc184312129"/>
      <w:bookmarkEnd w:id="378"/>
      <w:bookmarkStart w:id="379" w:name="_Toc184312082"/>
      <w:bookmarkEnd w:id="379"/>
      <w:bookmarkStart w:id="380" w:name="_Toc184308038"/>
      <w:bookmarkEnd w:id="380"/>
      <w:bookmarkStart w:id="381" w:name="_Toc184313306"/>
      <w:bookmarkEnd w:id="381"/>
      <w:bookmarkStart w:id="382" w:name="_Toc184310287"/>
      <w:bookmarkEnd w:id="382"/>
      <w:bookmarkStart w:id="383" w:name="_Toc184314470"/>
      <w:bookmarkEnd w:id="383"/>
      <w:bookmarkStart w:id="384" w:name="_Toc184314421"/>
      <w:bookmarkEnd w:id="384"/>
      <w:bookmarkStart w:id="385" w:name="_Toc184313272"/>
      <w:bookmarkEnd w:id="385"/>
      <w:bookmarkStart w:id="386" w:name="_Toc184308041"/>
      <w:bookmarkEnd w:id="386"/>
      <w:bookmarkStart w:id="387" w:name="_Toc184312100"/>
      <w:bookmarkEnd w:id="387"/>
      <w:bookmarkStart w:id="388" w:name="_Toc184308086"/>
      <w:bookmarkEnd w:id="388"/>
      <w:bookmarkStart w:id="389" w:name="_Toc184313254"/>
      <w:bookmarkEnd w:id="389"/>
      <w:bookmarkStart w:id="390" w:name="_Toc184310285"/>
      <w:bookmarkEnd w:id="390"/>
      <w:bookmarkStart w:id="391" w:name="_Toc184308106"/>
      <w:bookmarkEnd w:id="391"/>
      <w:bookmarkStart w:id="392" w:name="_Toc184312138"/>
      <w:bookmarkEnd w:id="392"/>
      <w:bookmarkStart w:id="393" w:name="_Toc184310272"/>
      <w:bookmarkEnd w:id="393"/>
      <w:bookmarkStart w:id="394" w:name="_Toc184310289"/>
      <w:bookmarkEnd w:id="394"/>
      <w:bookmarkStart w:id="395" w:name="_Toc184314410"/>
      <w:bookmarkEnd w:id="395"/>
      <w:r>
        <w:rPr>
          <w:rFonts w:hint="eastAsia" w:ascii="宋体" w:hAnsi="宋体" w:eastAsia="宋体" w:cs="宋体"/>
          <w:b/>
          <w:color w:val="auto"/>
          <w:sz w:val="36"/>
          <w:szCs w:val="36"/>
          <w:highlight w:val="none"/>
        </w:rPr>
        <w:t>评标办法</w:t>
      </w:r>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3"/>
        <w:tblW w:w="9090" w:type="dxa"/>
        <w:tblInd w:w="1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
        <w:gridCol w:w="5955"/>
        <w:gridCol w:w="465"/>
        <w:gridCol w:w="855"/>
        <w:gridCol w:w="13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5955"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评标标准</w:t>
            </w:r>
          </w:p>
        </w:tc>
        <w:tc>
          <w:tcPr>
            <w:tcW w:w="465"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权重</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主观分/客观分属性</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系统演示：根据投标人对系统功能的实现情况演示进行打分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1、桥梁超限检测与运行监管系统（</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en-US" w:eastAsia="zh-CN"/>
              </w:rPr>
              <w:t>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a、超限检测</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超各类站点基础信息、称重及视频监控等设施设备基础信息与运行信息、车辆检测信息等统一采集、管理。（</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b、统计分析</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分别对分时车流量、车籍地、及超限率分布进行统计，可自行设定统计的时间范围、区域、站点、车道、方向、车轴数；可手动选择是否过滤小车数据；统计结果以统计图表和统计数据表两种形式展现，可保存统计图表到本地。（</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c、车辆管理</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具有车辆信息、区域信息、机构信息、站点信息、设备信息等基础信息的编辑维护和管理功能。（1分）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2、数字远程设备管理运维系统（5分）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a、设备运行监测：能够对治超站点前端主要设备（称重传感器、抓拍相机等）的在线情况进行时实监测，展示设备健康状态，系统监测到设备异常（掉线、数据未及时上传等）。(1分）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b、应急维护：维保服务、应急服务全流程在线管理，提高工作效率。在线发起需求后自动派单处理，系统对工单处理进度、结果反馈情况进行监督跟踪及评价，处置进度智能预警、随时可查，实现闭环管理。（1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c、巡检服务：可根据巡检要求生成巡检计划，系统根据巡检周期生成巡检工单，能够自动分配给售后人员进行工单处理。巡检计划及巡检工单完成情况随时可查。(1分）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d、检衡服务：可根据站点检衡日期、检衡周期、检衡证书有效期等信息自动推算下次检衡日期，并可过微信和系统提前给售后人员和用户发送检衡提醒。(1分）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e、统计分析：展示治超前端站点基本信息、售后维护工单、设备运行监测、巡检服务等工作的完成情况，能够对统计数据进行查阅。(1分）</w:t>
            </w:r>
          </w:p>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注：演示内容满足或高于得满分，演示内容部分满足酌情扣分，不演示不得分，演示时间控制在10分钟以内完成。</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10</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主观分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w:t>
            </w:r>
          </w:p>
        </w:tc>
        <w:tc>
          <w:tcPr>
            <w:tcW w:w="5955" w:type="dxa"/>
            <w:vAlign w:val="top"/>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符合明确指标参数得</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分。投标产品的性能指标及技术参数属负偏离或缺漏项的每项扣</w:t>
            </w:r>
            <w:r>
              <w:rPr>
                <w:rFonts w:hint="eastAsia" w:ascii="宋体" w:hAnsi="宋体" w:eastAsia="宋体" w:cs="宋体"/>
                <w:sz w:val="24"/>
                <w:szCs w:val="24"/>
                <w:highlight w:val="none"/>
                <w:lang w:val="en-US" w:eastAsia="zh-CN"/>
              </w:rPr>
              <w:t>1</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扣完为止。（要求提供相关证明材料的，以证明材料为准，不提供或不符合要求的视作负偏离）。</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所投称重产品根据《动态公路车辆自动衡器检定规程》达到整车总重5级的得</w:t>
            </w:r>
            <w:r>
              <w:rPr>
                <w:rFonts w:hint="eastAsia" w:ascii="宋体" w:hAnsi="宋体" w:cs="宋体"/>
                <w:kern w:val="2"/>
                <w:sz w:val="24"/>
                <w:szCs w:val="24"/>
                <w:highlight w:val="none"/>
                <w:lang w:val="en-US" w:eastAsia="zh-CN" w:bidi="ar-SA"/>
              </w:rPr>
              <w:t>5</w:t>
            </w:r>
            <w:r>
              <w:rPr>
                <w:rFonts w:hint="eastAsia" w:ascii="宋体" w:hAnsi="宋体" w:eastAsia="宋体" w:cs="宋体"/>
                <w:kern w:val="2"/>
                <w:sz w:val="24"/>
                <w:szCs w:val="24"/>
                <w:highlight w:val="none"/>
                <w:lang w:val="en-US" w:eastAsia="zh-CN" w:bidi="ar-SA"/>
              </w:rPr>
              <w:t>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rPr>
              <w:t>提供《计量器具型式批准证书》扫描件</w:t>
            </w:r>
            <w:r>
              <w:rPr>
                <w:rFonts w:hint="eastAsia" w:ascii="宋体" w:hAnsi="宋体" w:eastAsia="宋体" w:cs="宋体"/>
                <w:sz w:val="24"/>
                <w:szCs w:val="24"/>
                <w:highlight w:val="none"/>
                <w:lang w:val="en-US" w:eastAsia="zh-CN"/>
              </w:rPr>
              <w:t>并</w:t>
            </w:r>
            <w:r>
              <w:rPr>
                <w:rFonts w:hint="eastAsia" w:ascii="宋体" w:hAnsi="宋体" w:eastAsia="宋体" w:cs="宋体"/>
                <w:sz w:val="24"/>
                <w:szCs w:val="24"/>
                <w:highlight w:val="none"/>
              </w:rPr>
              <w:t>加盖公章，否则不得分</w:t>
            </w:r>
            <w:r>
              <w:rPr>
                <w:rFonts w:hint="eastAsia" w:ascii="宋体" w:hAnsi="宋体" w:eastAsia="宋体" w:cs="宋体"/>
                <w:sz w:val="24"/>
                <w:szCs w:val="24"/>
                <w:highlight w:val="none"/>
                <w:lang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5</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所投称重产品根据《动态公路车辆自动衡器检定规程》单轴荷载或轴组荷载的准确度等级达到F级及以上（D、E级）的得1分，达到C级及以上（A、B级）的得2分。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rPr>
              <w:t>提供《计量器具型式批准证书》扫描件</w:t>
            </w:r>
            <w:r>
              <w:rPr>
                <w:rFonts w:hint="eastAsia" w:ascii="宋体" w:hAnsi="宋体" w:eastAsia="宋体" w:cs="宋体"/>
                <w:sz w:val="24"/>
                <w:szCs w:val="24"/>
                <w:highlight w:val="none"/>
                <w:lang w:val="en-US" w:eastAsia="zh-CN"/>
              </w:rPr>
              <w:t>并</w:t>
            </w:r>
            <w:r>
              <w:rPr>
                <w:rFonts w:hint="eastAsia" w:ascii="宋体" w:hAnsi="宋体" w:eastAsia="宋体" w:cs="宋体"/>
                <w:sz w:val="24"/>
                <w:szCs w:val="24"/>
                <w:highlight w:val="none"/>
              </w:rPr>
              <w:t>加盖公章，否则不得分</w:t>
            </w:r>
            <w:r>
              <w:rPr>
                <w:rFonts w:hint="eastAsia" w:ascii="宋体" w:hAnsi="宋体" w:eastAsia="宋体" w:cs="宋体"/>
                <w:sz w:val="24"/>
                <w:szCs w:val="24"/>
                <w:highlight w:val="none"/>
                <w:lang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2</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所投产品具有专利或著作权登记证书的，每个得1分，最高得2分。（</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rPr>
              <w:t>提供有效的登记证书和中国版权保护中心http://www.ccopyright.com.cn网页查询截图</w:t>
            </w:r>
            <w:r>
              <w:rPr>
                <w:rFonts w:hint="eastAsia" w:ascii="宋体" w:hAnsi="宋体" w:eastAsia="宋体" w:cs="宋体"/>
                <w:sz w:val="24"/>
                <w:szCs w:val="24"/>
                <w:highlight w:val="none"/>
                <w:lang w:val="en-US" w:eastAsia="zh-CN"/>
              </w:rPr>
              <w:t>并</w:t>
            </w:r>
            <w:r>
              <w:rPr>
                <w:rFonts w:hint="eastAsia" w:ascii="宋体" w:hAnsi="宋体" w:eastAsia="宋体" w:cs="宋体"/>
                <w:sz w:val="24"/>
                <w:szCs w:val="24"/>
                <w:highlight w:val="none"/>
              </w:rPr>
              <w:t>加盖公章，否则不得分</w:t>
            </w:r>
            <w:r>
              <w:rPr>
                <w:rFonts w:hint="eastAsia" w:ascii="宋体" w:hAnsi="宋体" w:eastAsia="宋体" w:cs="宋体"/>
                <w:sz w:val="24"/>
                <w:szCs w:val="24"/>
                <w:highlight w:val="none"/>
                <w:lang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2</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jc w:val="center"/>
              <w:textAlignment w:val="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6</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根据针对本项目制定的项目实施组织方案，包括项目组织机构、项目供货、安装、集成、调测、验收、项目进度计划、针对本项目的技术力量配备等综合打分，</w:t>
            </w:r>
            <w:r>
              <w:rPr>
                <w:rFonts w:hint="eastAsia" w:ascii="宋体" w:hAnsi="宋体" w:eastAsia="宋体" w:cs="宋体"/>
                <w:sz w:val="24"/>
                <w:szCs w:val="24"/>
                <w:highlight w:val="none"/>
              </w:rPr>
              <w:t>最高得</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分。</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5</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根据针对本项目制定的质量保证措施、安全文明生产措施、环保措施的完善性、规范性、可行性等综合打分，</w:t>
            </w:r>
            <w:r>
              <w:rPr>
                <w:rFonts w:hint="eastAsia" w:ascii="宋体" w:hAnsi="宋体" w:eastAsia="宋体" w:cs="宋体"/>
                <w:sz w:val="24"/>
                <w:szCs w:val="24"/>
                <w:highlight w:val="none"/>
              </w:rPr>
              <w:t>最高得</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3</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主观分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8</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根据针对本项目制定的人员安全规范、安全措施符合本项目安装现场施工要求情况等综合打分，</w:t>
            </w:r>
            <w:r>
              <w:rPr>
                <w:rFonts w:hint="eastAsia" w:ascii="宋体" w:hAnsi="宋体" w:eastAsia="宋体" w:cs="宋体"/>
                <w:sz w:val="24"/>
                <w:szCs w:val="24"/>
                <w:highlight w:val="none"/>
              </w:rPr>
              <w:t>最高得</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3</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主观分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9</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针对设备厂家延期供货提供详细有效的应急响应方案综合打分，最高得</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en-US" w:eastAsia="zh-CN"/>
              </w:rPr>
              <w:t>分</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针对交警临时管制时间较长提供详细有效的应急响应方案综合打分，</w:t>
            </w:r>
            <w:r>
              <w:rPr>
                <w:rFonts w:hint="eastAsia" w:ascii="宋体" w:hAnsi="宋体" w:eastAsia="宋体" w:cs="宋体"/>
                <w:sz w:val="24"/>
                <w:szCs w:val="24"/>
                <w:highlight w:val="none"/>
              </w:rPr>
              <w:t>最高得</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分。</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3</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主观分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根据培训计划包括培训内容、时间、地点、人次；系统培训，重点培训为维护、调试、配置及使用技能；业务人员培训，重点对相应应用的操作、使用</w:t>
            </w:r>
            <w:r>
              <w:rPr>
                <w:rFonts w:hint="eastAsia" w:ascii="宋体" w:hAnsi="宋体" w:eastAsia="宋体" w:cs="宋体"/>
                <w:sz w:val="24"/>
                <w:szCs w:val="24"/>
                <w:highlight w:val="none"/>
                <w:lang w:val="en-US" w:eastAsia="zh-CN"/>
              </w:rPr>
              <w:t>等综合打分，</w:t>
            </w:r>
            <w:r>
              <w:rPr>
                <w:rFonts w:hint="eastAsia" w:ascii="宋体" w:hAnsi="宋体" w:eastAsia="宋体" w:cs="宋体"/>
                <w:sz w:val="24"/>
                <w:szCs w:val="24"/>
                <w:highlight w:val="none"/>
              </w:rPr>
              <w:t>最高得</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分。</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主观分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11</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竣工验收后，承诺对系统免费运维</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运维</w:t>
            </w:r>
            <w:r>
              <w:rPr>
                <w:rFonts w:hint="eastAsia" w:ascii="宋体" w:hAnsi="宋体" w:eastAsia="宋体" w:cs="宋体"/>
                <w:sz w:val="24"/>
                <w:szCs w:val="24"/>
                <w:highlight w:val="none"/>
                <w:lang w:val="en-US" w:eastAsia="zh-CN"/>
              </w:rPr>
              <w:t>期内</w:t>
            </w:r>
            <w:r>
              <w:rPr>
                <w:rFonts w:hint="eastAsia" w:ascii="宋体" w:hAnsi="宋体" w:cs="宋体"/>
                <w:sz w:val="24"/>
                <w:szCs w:val="24"/>
                <w:highlight w:val="none"/>
                <w:lang w:eastAsia="zh-CN"/>
              </w:rPr>
              <w:t>计量检定</w:t>
            </w:r>
            <w:r>
              <w:rPr>
                <w:rFonts w:hint="eastAsia" w:ascii="宋体" w:hAnsi="宋体" w:cs="宋体"/>
                <w:sz w:val="24"/>
                <w:szCs w:val="24"/>
                <w:highlight w:val="none"/>
                <w:lang w:val="en-US" w:eastAsia="zh-CN"/>
              </w:rPr>
              <w:t>并</w:t>
            </w:r>
            <w:r>
              <w:rPr>
                <w:rFonts w:hint="eastAsia" w:ascii="宋体" w:hAnsi="宋体" w:cs="宋体"/>
                <w:sz w:val="24"/>
                <w:szCs w:val="24"/>
                <w:highlight w:val="none"/>
                <w:lang w:eastAsia="zh-CN"/>
              </w:rPr>
              <w:t>每月提供数据分析报告）</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年的得1分</w:t>
            </w:r>
            <w:r>
              <w:rPr>
                <w:rFonts w:hint="eastAsia" w:ascii="宋体" w:hAnsi="宋体" w:eastAsia="宋体" w:cs="宋体"/>
                <w:sz w:val="24"/>
                <w:szCs w:val="24"/>
                <w:highlight w:val="none"/>
                <w:lang w:eastAsia="zh-CN"/>
              </w:rPr>
              <w:t>，</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年的得</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cs="宋体"/>
                <w:sz w:val="24"/>
                <w:szCs w:val="24"/>
                <w:highlight w:val="none"/>
                <w:lang w:eastAsia="zh-CN"/>
              </w:rPr>
              <w:t>。（</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val="en-US" w:eastAsia="zh-CN"/>
              </w:rPr>
              <w:t>承诺函并</w:t>
            </w:r>
            <w:r>
              <w:rPr>
                <w:rFonts w:hint="eastAsia" w:ascii="宋体" w:hAnsi="宋体" w:eastAsia="宋体" w:cs="宋体"/>
                <w:sz w:val="24"/>
                <w:szCs w:val="24"/>
                <w:highlight w:val="none"/>
              </w:rPr>
              <w:t>加盖公章，否则不得分</w:t>
            </w:r>
            <w:r>
              <w:rPr>
                <w:rFonts w:hint="eastAsia" w:ascii="宋体" w:hAnsi="宋体" w:cs="宋体"/>
                <w:sz w:val="24"/>
                <w:szCs w:val="24"/>
                <w:highlight w:val="none"/>
                <w:lang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2</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12</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拟派项目负责人具有相关专业（指电子或自动化或机电工程或交通工程等专业）工程师职称证书</w:t>
            </w:r>
            <w:r>
              <w:rPr>
                <w:rFonts w:hint="eastAsia" w:ascii="宋体" w:hAnsi="宋体" w:cs="宋体"/>
                <w:kern w:val="2"/>
                <w:sz w:val="24"/>
                <w:szCs w:val="24"/>
                <w:highlight w:val="none"/>
                <w:lang w:val="en-US" w:eastAsia="zh-CN" w:bidi="ar-SA"/>
              </w:rPr>
              <w:t>的</w:t>
            </w:r>
            <w:r>
              <w:rPr>
                <w:rFonts w:hint="eastAsia" w:ascii="宋体" w:hAnsi="宋体" w:eastAsia="宋体" w:cs="宋体"/>
                <w:kern w:val="2"/>
                <w:sz w:val="24"/>
                <w:szCs w:val="24"/>
                <w:highlight w:val="none"/>
                <w:lang w:val="en-US" w:eastAsia="zh-CN" w:bidi="ar-SA"/>
              </w:rPr>
              <w:t>中级得</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分，高级及以上得</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分。</w:t>
            </w:r>
            <w:r>
              <w:rPr>
                <w:rFonts w:hint="eastAsia" w:ascii="宋体" w:hAnsi="宋体" w:cs="宋体"/>
                <w:sz w:val="24"/>
                <w:szCs w:val="24"/>
                <w:highlight w:val="none"/>
                <w:lang w:eastAsia="zh-CN"/>
              </w:rPr>
              <w:t>（</w:t>
            </w:r>
            <w:r>
              <w:rPr>
                <w:rFonts w:hint="eastAsia" w:ascii="宋体" w:hAnsi="宋体" w:eastAsia="宋体" w:cs="宋体"/>
                <w:sz w:val="24"/>
                <w:szCs w:val="24"/>
                <w:highlight w:val="none"/>
                <w:lang w:val="en-US" w:eastAsia="zh-CN"/>
              </w:rPr>
              <w:t>须</w:t>
            </w: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val="en-US" w:eastAsia="zh-CN"/>
              </w:rPr>
              <w:t>相关证书扫描件并</w:t>
            </w:r>
            <w:r>
              <w:rPr>
                <w:rFonts w:hint="eastAsia" w:ascii="宋体" w:hAnsi="宋体" w:eastAsia="宋体" w:cs="宋体"/>
                <w:sz w:val="24"/>
                <w:szCs w:val="24"/>
                <w:highlight w:val="none"/>
              </w:rPr>
              <w:t>加盖公章，否则不得分</w:t>
            </w:r>
            <w:r>
              <w:rPr>
                <w:rFonts w:hint="eastAsia" w:ascii="宋体" w:hAnsi="宋体" w:cs="宋体"/>
                <w:sz w:val="24"/>
                <w:szCs w:val="24"/>
                <w:highlight w:val="none"/>
                <w:lang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13</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投标人具有ISO9001质量管理体系认证证书、ISO14001环境管理体系认证证书、OHSAS18001职业健康安全管理体系认证证书</w:t>
            </w:r>
            <w:r>
              <w:rPr>
                <w:rFonts w:hint="eastAsia" w:ascii="宋体" w:hAnsi="宋体" w:cs="宋体"/>
                <w:sz w:val="24"/>
                <w:szCs w:val="24"/>
                <w:highlight w:val="none"/>
                <w:lang w:val="en-US" w:eastAsia="zh-CN"/>
              </w:rPr>
              <w:t>的</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每个</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最高得</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分</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提供相关证书扫描件</w:t>
            </w:r>
            <w:r>
              <w:rPr>
                <w:rFonts w:hint="eastAsia" w:ascii="宋体" w:hAnsi="宋体" w:eastAsia="宋体" w:cs="宋体"/>
                <w:sz w:val="24"/>
                <w:szCs w:val="24"/>
                <w:highlight w:val="none"/>
                <w:lang w:val="en-US" w:eastAsia="zh-CN"/>
              </w:rPr>
              <w:t>并</w:t>
            </w:r>
            <w:r>
              <w:rPr>
                <w:rFonts w:hint="eastAsia" w:ascii="宋体" w:hAnsi="宋体" w:eastAsia="宋体" w:cs="宋体"/>
                <w:sz w:val="24"/>
                <w:szCs w:val="24"/>
                <w:highlight w:val="none"/>
              </w:rPr>
              <w:t>加盖公章，否则不得分</w:t>
            </w:r>
            <w:r>
              <w:rPr>
                <w:rFonts w:hint="eastAsia" w:ascii="宋体" w:hAnsi="宋体" w:eastAsia="宋体" w:cs="宋体"/>
                <w:sz w:val="24"/>
                <w:szCs w:val="24"/>
                <w:highlight w:val="none"/>
                <w:lang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3</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14</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投标人具有商品售后服务成熟度认证证书</w:t>
            </w:r>
            <w:r>
              <w:rPr>
                <w:rFonts w:hint="eastAsia" w:ascii="宋体" w:hAnsi="宋体" w:eastAsia="宋体" w:cs="宋体"/>
                <w:sz w:val="24"/>
                <w:szCs w:val="24"/>
                <w:highlight w:val="none"/>
                <w:lang w:eastAsia="zh-CN"/>
              </w:rPr>
              <w:t>、售后服务体系完善程度认证</w:t>
            </w:r>
            <w:r>
              <w:rPr>
                <w:rFonts w:hint="eastAsia" w:ascii="宋体" w:hAnsi="宋体" w:eastAsia="宋体" w:cs="宋体"/>
                <w:sz w:val="24"/>
                <w:szCs w:val="24"/>
                <w:highlight w:val="none"/>
              </w:rPr>
              <w:t>证书</w:t>
            </w:r>
            <w:r>
              <w:rPr>
                <w:rFonts w:hint="eastAsia" w:ascii="宋体" w:hAnsi="宋体" w:eastAsia="宋体" w:cs="宋体"/>
                <w:sz w:val="24"/>
                <w:szCs w:val="24"/>
                <w:highlight w:val="none"/>
                <w:lang w:eastAsia="zh-CN"/>
              </w:rPr>
              <w:t>、商品售后服务达标认证证书，</w:t>
            </w:r>
            <w:r>
              <w:rPr>
                <w:rFonts w:hint="eastAsia" w:ascii="宋体" w:hAnsi="宋体" w:eastAsia="宋体" w:cs="宋体"/>
                <w:sz w:val="24"/>
                <w:szCs w:val="24"/>
                <w:highlight w:val="none"/>
              </w:rPr>
              <w:t>且认证范围包含与本项目采购设备系统相关的</w:t>
            </w:r>
            <w:r>
              <w:rPr>
                <w:rFonts w:hint="eastAsia" w:ascii="宋体" w:hAnsi="宋体" w:eastAsia="宋体" w:cs="宋体"/>
                <w:sz w:val="24"/>
                <w:szCs w:val="24"/>
                <w:highlight w:val="none"/>
                <w:lang w:val="en-US" w:eastAsia="zh-CN"/>
              </w:rPr>
              <w:t>每个</w:t>
            </w:r>
            <w:r>
              <w:rPr>
                <w:rFonts w:hint="eastAsia" w:ascii="宋体" w:hAnsi="宋体" w:eastAsia="宋体" w:cs="宋体"/>
                <w:sz w:val="24"/>
                <w:szCs w:val="24"/>
                <w:highlight w:val="none"/>
              </w:rPr>
              <w:t>得1分，</w:t>
            </w:r>
            <w:r>
              <w:rPr>
                <w:rFonts w:hint="eastAsia" w:ascii="宋体" w:hAnsi="宋体" w:eastAsia="宋体" w:cs="宋体"/>
                <w:sz w:val="24"/>
                <w:szCs w:val="24"/>
                <w:highlight w:val="none"/>
                <w:lang w:val="en-US" w:eastAsia="zh-CN"/>
              </w:rPr>
              <w:t>最高得3分</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提供相关证书扫描件</w:t>
            </w:r>
            <w:r>
              <w:rPr>
                <w:rFonts w:hint="eastAsia" w:ascii="宋体" w:hAnsi="宋体" w:eastAsia="宋体" w:cs="宋体"/>
                <w:sz w:val="24"/>
                <w:szCs w:val="24"/>
                <w:highlight w:val="none"/>
                <w:lang w:val="en-US" w:eastAsia="zh-CN"/>
              </w:rPr>
              <w:t>并</w:t>
            </w:r>
            <w:r>
              <w:rPr>
                <w:rFonts w:hint="eastAsia" w:ascii="宋体" w:hAnsi="宋体" w:eastAsia="宋体" w:cs="宋体"/>
                <w:sz w:val="24"/>
                <w:szCs w:val="24"/>
                <w:highlight w:val="none"/>
              </w:rPr>
              <w:t>加盖公章，否则不得分</w:t>
            </w:r>
            <w:r>
              <w:rPr>
                <w:rFonts w:hint="eastAsia" w:ascii="宋体" w:hAnsi="宋体" w:eastAsia="宋体" w:cs="宋体"/>
                <w:sz w:val="24"/>
                <w:szCs w:val="24"/>
                <w:highlight w:val="none"/>
                <w:lang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3</w:t>
            </w:r>
          </w:p>
        </w:tc>
        <w:tc>
          <w:tcPr>
            <w:tcW w:w="855" w:type="dxa"/>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15</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所投动态称重系统产品相关技术获得省级科学技术进步奖的得1分，通过国家级科技成果鉴定的得1分</w:t>
            </w:r>
            <w:r>
              <w:rPr>
                <w:rFonts w:hint="eastAsia" w:ascii="宋体" w:hAnsi="宋体" w:cs="宋体"/>
                <w:sz w:val="24"/>
                <w:szCs w:val="24"/>
                <w:highlight w:val="none"/>
                <w:lang w:eastAsia="zh-CN"/>
              </w:rPr>
              <w:t>。</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提供相关</w:t>
            </w:r>
            <w:r>
              <w:rPr>
                <w:rFonts w:hint="eastAsia" w:ascii="宋体" w:hAnsi="宋体" w:cs="宋体"/>
                <w:sz w:val="24"/>
                <w:szCs w:val="24"/>
                <w:highlight w:val="none"/>
                <w:lang w:val="en-US" w:eastAsia="zh-CN"/>
              </w:rPr>
              <w:t>资料</w:t>
            </w:r>
            <w:r>
              <w:rPr>
                <w:rFonts w:hint="eastAsia" w:ascii="宋体" w:hAnsi="宋体" w:eastAsia="宋体" w:cs="宋体"/>
                <w:sz w:val="24"/>
                <w:szCs w:val="24"/>
                <w:highlight w:val="none"/>
              </w:rPr>
              <w:t>扫描件</w:t>
            </w:r>
            <w:r>
              <w:rPr>
                <w:rFonts w:hint="eastAsia" w:ascii="宋体" w:hAnsi="宋体" w:eastAsia="宋体" w:cs="宋体"/>
                <w:sz w:val="24"/>
                <w:szCs w:val="24"/>
                <w:highlight w:val="none"/>
                <w:lang w:val="en-US" w:eastAsia="zh-CN"/>
              </w:rPr>
              <w:t>并</w:t>
            </w:r>
            <w:r>
              <w:rPr>
                <w:rFonts w:hint="eastAsia" w:ascii="宋体" w:hAnsi="宋体" w:eastAsia="宋体" w:cs="宋体"/>
                <w:sz w:val="24"/>
                <w:szCs w:val="24"/>
                <w:highlight w:val="none"/>
              </w:rPr>
              <w:t>加盖公章，否则不得分</w:t>
            </w:r>
            <w:r>
              <w:rPr>
                <w:rFonts w:hint="eastAsia" w:ascii="宋体" w:hAnsi="宋体" w:eastAsia="宋体" w:cs="宋体"/>
                <w:sz w:val="24"/>
                <w:szCs w:val="24"/>
                <w:highlight w:val="none"/>
                <w:lang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w:t>
            </w:r>
          </w:p>
        </w:tc>
        <w:tc>
          <w:tcPr>
            <w:tcW w:w="855" w:type="dxa"/>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6</w:t>
            </w:r>
          </w:p>
        </w:tc>
        <w:tc>
          <w:tcPr>
            <w:tcW w:w="5955" w:type="dxa"/>
            <w:vAlign w:val="center"/>
          </w:tcPr>
          <w:p>
            <w:pPr>
              <w:keepNext w:val="0"/>
              <w:keepLines w:val="0"/>
              <w:pageBreakBefore w:val="0"/>
              <w:kinsoku/>
              <w:wordWrap/>
              <w:overflowPunct/>
              <w:topLinePunct w:val="0"/>
              <w:autoSpaceDE/>
              <w:autoSpaceDN/>
              <w:bidi w:val="0"/>
              <w:snapToGrid/>
              <w:spacing w:line="24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投标人自2019年1月1日</w:t>
            </w:r>
            <w:r>
              <w:rPr>
                <w:rFonts w:hint="eastAsia" w:ascii="宋体" w:hAnsi="宋体" w:cs="宋体"/>
                <w:sz w:val="24"/>
                <w:szCs w:val="24"/>
                <w:highlight w:val="none"/>
                <w:lang w:val="en-US" w:eastAsia="zh-CN"/>
              </w:rPr>
              <w:t>（以合同签订日期为准）</w:t>
            </w:r>
            <w:r>
              <w:rPr>
                <w:rFonts w:hint="eastAsia" w:ascii="宋体" w:hAnsi="宋体" w:eastAsia="宋体" w:cs="宋体"/>
                <w:sz w:val="24"/>
                <w:szCs w:val="24"/>
                <w:highlight w:val="none"/>
                <w:lang w:val="en-US" w:eastAsia="zh-CN"/>
              </w:rPr>
              <w:t>以来具有类似项目【类似项目指至少包含</w:t>
            </w:r>
            <w:r>
              <w:rPr>
                <w:rFonts w:hint="eastAsia" w:ascii="宋体" w:hAnsi="宋体" w:cs="宋体"/>
                <w:sz w:val="24"/>
                <w:szCs w:val="24"/>
                <w:highlight w:val="none"/>
                <w:lang w:val="en-US" w:eastAsia="zh-CN"/>
              </w:rPr>
              <w:t>所投称重系统产品</w:t>
            </w:r>
            <w:r>
              <w:rPr>
                <w:rFonts w:hint="eastAsia" w:ascii="宋体" w:hAnsi="宋体" w:eastAsia="宋体" w:cs="宋体"/>
                <w:sz w:val="24"/>
                <w:szCs w:val="24"/>
                <w:highlight w:val="none"/>
                <w:lang w:val="en-US" w:eastAsia="zh-CN"/>
              </w:rPr>
              <w:t>车辆动态称重设备项目】</w:t>
            </w:r>
            <w:r>
              <w:rPr>
                <w:rFonts w:hint="eastAsia" w:ascii="宋体" w:hAnsi="宋体" w:cs="宋体"/>
                <w:sz w:val="24"/>
                <w:szCs w:val="24"/>
                <w:highlight w:val="none"/>
                <w:lang w:val="en-US" w:eastAsia="zh-CN"/>
              </w:rPr>
              <w:t>成功运行</w:t>
            </w:r>
            <w:r>
              <w:rPr>
                <w:rFonts w:hint="eastAsia" w:ascii="宋体" w:hAnsi="宋体" w:eastAsia="宋体" w:cs="宋体"/>
                <w:sz w:val="24"/>
                <w:szCs w:val="24"/>
                <w:highlight w:val="none"/>
                <w:lang w:val="en-US" w:eastAsia="zh-CN"/>
              </w:rPr>
              <w:t>业绩的，每个合同得</w:t>
            </w:r>
            <w:r>
              <w:rPr>
                <w:rFonts w:hint="eastAsia" w:ascii="宋体" w:hAnsi="宋体" w:cs="宋体"/>
                <w:sz w:val="24"/>
                <w:szCs w:val="24"/>
                <w:highlight w:val="none"/>
                <w:lang w:val="en-US" w:eastAsia="zh-CN"/>
              </w:rPr>
              <w:t>0.5</w:t>
            </w:r>
            <w:r>
              <w:rPr>
                <w:rFonts w:hint="eastAsia" w:ascii="宋体" w:hAnsi="宋体" w:eastAsia="宋体" w:cs="宋体"/>
                <w:sz w:val="24"/>
                <w:szCs w:val="24"/>
                <w:highlight w:val="none"/>
                <w:lang w:val="en-US" w:eastAsia="zh-CN"/>
              </w:rPr>
              <w:t>分，最高得</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分。（提供合同复印件并加盖公章</w:t>
            </w:r>
            <w:r>
              <w:rPr>
                <w:rFonts w:hint="eastAsia" w:ascii="宋体" w:hAnsi="宋体" w:eastAsia="宋体" w:cs="宋体"/>
                <w:sz w:val="24"/>
                <w:szCs w:val="24"/>
                <w:highlight w:val="none"/>
              </w:rPr>
              <w:t>，否则不得分</w:t>
            </w:r>
            <w:r>
              <w:rPr>
                <w:rFonts w:hint="eastAsia" w:ascii="宋体" w:hAnsi="宋体" w:eastAsia="宋体" w:cs="宋体"/>
                <w:sz w:val="24"/>
                <w:szCs w:val="24"/>
                <w:highlight w:val="none"/>
                <w:lang w:val="en-US" w:eastAsia="zh-CN"/>
              </w:rPr>
              <w:t>）</w:t>
            </w:r>
          </w:p>
        </w:tc>
        <w:tc>
          <w:tcPr>
            <w:tcW w:w="465" w:type="dxa"/>
            <w:vAlign w:val="center"/>
          </w:tcPr>
          <w:p>
            <w:pPr>
              <w:keepNext w:val="0"/>
              <w:keepLines w:val="0"/>
              <w:pageBreakBefore w:val="0"/>
              <w:kinsoku/>
              <w:wordWrap/>
              <w:overflowPunct/>
              <w:topLinePunct w:val="0"/>
              <w:autoSpaceDE/>
              <w:autoSpaceDN/>
              <w:bidi w:val="0"/>
              <w:snapToGrid/>
              <w:spacing w:line="240" w:lineRule="auto"/>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2</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4"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17</w:t>
            </w:r>
          </w:p>
        </w:tc>
        <w:tc>
          <w:tcPr>
            <w:tcW w:w="5955" w:type="dxa"/>
            <w:vAlign w:val="top"/>
          </w:tcPr>
          <w:p>
            <w:pPr>
              <w:keepNext w:val="0"/>
              <w:keepLines w:val="0"/>
              <w:pageBreakBefore w:val="0"/>
              <w:kinsoku/>
              <w:wordWrap/>
              <w:overflowPunct/>
              <w:topLinePunct w:val="0"/>
              <w:autoSpaceDE/>
              <w:autoSpaceDN/>
              <w:bidi w:val="0"/>
              <w:snapToGrid/>
              <w:spacing w:line="240" w:lineRule="auto"/>
              <w:ind w:firstLine="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有效投标报价的最低价作为评标基准价，其最低报价为满分；按［投标报价得分=（评标基准价/投标报价）*3</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］的计算公式计算。</w:t>
            </w:r>
          </w:p>
          <w:p>
            <w:pPr>
              <w:keepNext w:val="0"/>
              <w:keepLines w:val="0"/>
              <w:pageBreakBefore w:val="0"/>
              <w:widowControl/>
              <w:shd w:val="clear" w:color="auto" w:fill="FFFFFF"/>
              <w:kinsoku/>
              <w:wordWrap/>
              <w:overflowPunct/>
              <w:topLinePunct w:val="0"/>
              <w:autoSpaceDE/>
              <w:autoSpaceDN/>
              <w:bidi w:val="0"/>
              <w:adjustRightInd/>
              <w:snapToGrid/>
              <w:spacing w:line="240" w:lineRule="auto"/>
              <w:ind w:firstLine="0" w:firstLineChars="0"/>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评标过程中，不得去掉报价中的最高报价和最低报价。</w:t>
            </w:r>
          </w:p>
        </w:tc>
        <w:tc>
          <w:tcPr>
            <w:tcW w:w="465" w:type="dxa"/>
            <w:vAlign w:val="center"/>
          </w:tcPr>
          <w:p>
            <w:pPr>
              <w:keepNext w:val="0"/>
              <w:keepLines w:val="0"/>
              <w:pageBreakBefore w:val="0"/>
              <w:kinsoku/>
              <w:wordWrap/>
              <w:overflowPunct/>
              <w:topLinePunct w:val="0"/>
              <w:autoSpaceDE/>
              <w:autoSpaceDN/>
              <w:bidi w:val="0"/>
              <w:snapToGrid/>
              <w:spacing w:line="240" w:lineRule="auto"/>
              <w:ind w:firstLine="0" w:firstLineChars="0"/>
              <w:jc w:val="center"/>
              <w:textAlignment w:val="auto"/>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3</w:t>
            </w:r>
            <w:r>
              <w:rPr>
                <w:rFonts w:hint="eastAsia" w:ascii="宋体" w:hAnsi="宋体" w:cs="宋体"/>
                <w:sz w:val="24"/>
                <w:szCs w:val="24"/>
                <w:highlight w:val="none"/>
                <w:lang w:val="en-US" w:eastAsia="zh-CN"/>
              </w:rPr>
              <w:t>5</w:t>
            </w:r>
          </w:p>
        </w:tc>
        <w:tc>
          <w:tcPr>
            <w:tcW w:w="855"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客观分</w:t>
            </w:r>
          </w:p>
        </w:tc>
        <w:tc>
          <w:tcPr>
            <w:tcW w:w="1351" w:type="dxa"/>
            <w:vAlign w:val="center"/>
          </w:tcPr>
          <w:p>
            <w:pPr>
              <w:keepNext w:val="0"/>
              <w:keepLines w:val="0"/>
              <w:pageBreakBefore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w:t>
            </w:r>
          </w:p>
        </w:tc>
      </w:tr>
    </w:tbl>
    <w:p>
      <w:pPr>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shd w:val="clear" w:color="auto" w:fill="FFFFFF"/>
        </w:rPr>
        <w:t>*</w:t>
      </w:r>
      <w:r>
        <w:rPr>
          <w:rFonts w:hint="eastAsia" w:ascii="宋体" w:hAnsi="宋体" w:eastAsia="宋体" w:cs="宋体"/>
          <w:b/>
          <w:color w:val="auto"/>
          <w:sz w:val="24"/>
          <w:szCs w:val="24"/>
          <w:highlight w:val="none"/>
        </w:rPr>
        <w:t>备注：</w:t>
      </w:r>
      <w:r>
        <w:rPr>
          <w:rFonts w:hint="eastAsia" w:ascii="宋体" w:hAnsi="宋体" w:eastAsia="宋体" w:cs="宋体"/>
          <w:color w:val="auto"/>
          <w:sz w:val="24"/>
          <w:szCs w:val="24"/>
          <w:highlight w:val="none"/>
        </w:rPr>
        <w:t>投标人编制投标文件（商务技术文件部分）时，建议按此目录（序号和内容）提供评标标准相应的商务技术资料。 </w:t>
      </w:r>
    </w:p>
    <w:p>
      <w:pPr>
        <w:keepNext w:val="0"/>
        <w:keepLines w:val="0"/>
        <w:pageBreakBefore w:val="0"/>
        <w:kinsoku/>
        <w:wordWrap/>
        <w:overflowPunct/>
        <w:topLinePunct w:val="0"/>
        <w:autoSpaceDE/>
        <w:autoSpaceDN/>
        <w:bidi w:val="0"/>
        <w:snapToGrid w:val="0"/>
        <w:spacing w:line="600" w:lineRule="exact"/>
        <w:textAlignment w:val="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一、评标方法</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pPr>
        <w:keepNext w:val="0"/>
        <w:keepLines w:val="0"/>
        <w:pageBreakBefore w:val="0"/>
        <w:kinsoku/>
        <w:wordWrap/>
        <w:overflowPunct/>
        <w:topLinePunct w:val="0"/>
        <w:autoSpaceDE/>
        <w:autoSpaceDN/>
        <w:bidi w:val="0"/>
        <w:adjustRightInd/>
        <w:spacing w:line="600" w:lineRule="exact"/>
        <w:textAlignment w:val="auto"/>
        <w:rPr>
          <w:rFonts w:hint="eastAsia" w:ascii="宋体" w:hAnsi="宋体" w:eastAsia="宋体" w:cs="宋体"/>
          <w:color w:val="auto"/>
          <w:kern w:val="0"/>
          <w:sz w:val="30"/>
          <w:szCs w:val="30"/>
          <w:highlight w:val="none"/>
        </w:rPr>
      </w:pPr>
      <w:r>
        <w:rPr>
          <w:rFonts w:hint="eastAsia" w:ascii="宋体" w:hAnsi="宋体" w:eastAsia="宋体" w:cs="宋体"/>
          <w:b/>
          <w:color w:val="auto"/>
          <w:sz w:val="30"/>
          <w:szCs w:val="30"/>
          <w:highlight w:val="none"/>
        </w:rPr>
        <w:t>二、评标标准</w:t>
      </w:r>
    </w:p>
    <w:p>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pPr>
        <w:keepNext w:val="0"/>
        <w:keepLines w:val="0"/>
        <w:pageBreakBefore w:val="0"/>
        <w:kinsoku/>
        <w:wordWrap/>
        <w:overflowPunct/>
        <w:topLinePunct w:val="0"/>
        <w:autoSpaceDE/>
        <w:autoSpaceDN/>
        <w:bidi w:val="0"/>
        <w:spacing w:line="600" w:lineRule="exact"/>
        <w:textAlignment w:val="auto"/>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三、评标程序</w:t>
      </w:r>
    </w:p>
    <w:p>
      <w:pPr>
        <w:keepNext w:val="0"/>
        <w:keepLines w:val="0"/>
        <w:pageBreakBefore w:val="0"/>
        <w:widowControl w:val="0"/>
        <w:kinsoku/>
        <w:wordWrap/>
        <w:overflowPunct/>
        <w:topLinePunct w:val="0"/>
        <w:autoSpaceDE/>
        <w:autoSpaceDN/>
        <w:bidi w:val="0"/>
        <w:adjustRightInd w:val="0"/>
        <w:spacing w:line="44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keepNext w:val="0"/>
        <w:keepLines w:val="0"/>
        <w:pageBreakBefore w:val="0"/>
        <w:widowControl w:val="0"/>
        <w:kinsoku/>
        <w:wordWrap/>
        <w:overflowPunct/>
        <w:topLinePunct w:val="0"/>
        <w:autoSpaceDE/>
        <w:autoSpaceDN/>
        <w:bidi w:val="0"/>
        <w:adjustRightInd w:val="0"/>
        <w:spacing w:line="44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pPr>
        <w:keepNext w:val="0"/>
        <w:keepLines w:val="0"/>
        <w:pageBreakBefore w:val="0"/>
        <w:widowControl w:val="0"/>
        <w:kinsoku/>
        <w:wordWrap/>
        <w:overflowPunct/>
        <w:topLinePunct w:val="0"/>
        <w:autoSpaceDE/>
        <w:autoSpaceDN/>
        <w:bidi w:val="0"/>
        <w:adjustRightInd w:val="0"/>
        <w:spacing w:line="44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pPr>
        <w:keepNext w:val="0"/>
        <w:keepLines w:val="0"/>
        <w:pageBreakBefore w:val="0"/>
        <w:widowControl w:val="0"/>
        <w:kinsoku/>
        <w:wordWrap/>
        <w:overflowPunct/>
        <w:topLinePunct w:val="0"/>
        <w:autoSpaceDE/>
        <w:autoSpaceDN/>
        <w:bidi w:val="0"/>
        <w:adjustRightInd w:val="0"/>
        <w:spacing w:line="440" w:lineRule="exact"/>
        <w:ind w:firstLine="472" w:firstLineChars="196"/>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pPr>
        <w:pStyle w:val="128"/>
        <w:keepNext w:val="0"/>
        <w:keepLines w:val="0"/>
        <w:pageBreakBefore w:val="0"/>
        <w:widowControl w:val="0"/>
        <w:kinsoku/>
        <w:wordWrap/>
        <w:overflowPunct/>
        <w:topLinePunct w:val="0"/>
        <w:autoSpaceDE/>
        <w:autoSpaceDN/>
        <w:bidi w:val="0"/>
        <w:adjustRightInd w:val="0"/>
        <w:spacing w:before="0" w:line="440" w:lineRule="exact"/>
        <w:ind w:firstLine="508" w:firstLineChars="212"/>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pPr>
        <w:pStyle w:val="128"/>
        <w:keepNext w:val="0"/>
        <w:keepLines w:val="0"/>
        <w:pageBreakBefore w:val="0"/>
        <w:widowControl w:val="0"/>
        <w:kinsoku/>
        <w:wordWrap/>
        <w:overflowPunct/>
        <w:topLinePunct w:val="0"/>
        <w:autoSpaceDE/>
        <w:autoSpaceDN/>
        <w:bidi w:val="0"/>
        <w:adjustRightInd w:val="0"/>
        <w:spacing w:before="0" w:line="44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pPr>
        <w:pStyle w:val="128"/>
        <w:keepNext w:val="0"/>
        <w:keepLines w:val="0"/>
        <w:pageBreakBefore w:val="0"/>
        <w:widowControl w:val="0"/>
        <w:kinsoku/>
        <w:wordWrap/>
        <w:overflowPunct/>
        <w:topLinePunct w:val="0"/>
        <w:autoSpaceDE/>
        <w:autoSpaceDN/>
        <w:bidi w:val="0"/>
        <w:adjustRightInd w:val="0"/>
        <w:spacing w:before="0" w:line="44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pPr>
        <w:pStyle w:val="128"/>
        <w:keepNext w:val="0"/>
        <w:keepLines w:val="0"/>
        <w:pageBreakBefore w:val="0"/>
        <w:widowControl w:val="0"/>
        <w:kinsoku/>
        <w:wordWrap/>
        <w:overflowPunct/>
        <w:topLinePunct w:val="0"/>
        <w:autoSpaceDE/>
        <w:autoSpaceDN/>
        <w:bidi w:val="0"/>
        <w:adjustRightInd w:val="0"/>
        <w:spacing w:before="0" w:line="44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pPr>
        <w:pStyle w:val="128"/>
        <w:keepNext w:val="0"/>
        <w:keepLines w:val="0"/>
        <w:pageBreakBefore w:val="0"/>
        <w:widowControl w:val="0"/>
        <w:kinsoku/>
        <w:wordWrap/>
        <w:overflowPunct/>
        <w:topLinePunct w:val="0"/>
        <w:autoSpaceDE/>
        <w:autoSpaceDN/>
        <w:bidi w:val="0"/>
        <w:adjustRightInd w:val="0"/>
        <w:spacing w:before="0" w:line="44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pPr>
        <w:pStyle w:val="128"/>
        <w:keepNext w:val="0"/>
        <w:keepLines w:val="0"/>
        <w:pageBreakBefore w:val="0"/>
        <w:widowControl w:val="0"/>
        <w:kinsoku/>
        <w:wordWrap/>
        <w:overflowPunct/>
        <w:topLinePunct w:val="0"/>
        <w:autoSpaceDE/>
        <w:autoSpaceDN/>
        <w:bidi w:val="0"/>
        <w:adjustRightInd w:val="0"/>
        <w:spacing w:before="0" w:line="44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pPr>
        <w:pStyle w:val="128"/>
        <w:keepNext w:val="0"/>
        <w:keepLines w:val="0"/>
        <w:pageBreakBefore w:val="0"/>
        <w:widowControl w:val="0"/>
        <w:kinsoku/>
        <w:wordWrap/>
        <w:overflowPunct/>
        <w:topLinePunct w:val="0"/>
        <w:autoSpaceDE/>
        <w:autoSpaceDN/>
        <w:bidi w:val="0"/>
        <w:adjustRightInd w:val="0"/>
        <w:spacing w:before="0" w:line="44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keepNext w:val="0"/>
        <w:keepLines w:val="0"/>
        <w:pageBreakBefore w:val="0"/>
        <w:widowControl w:val="0"/>
        <w:kinsoku/>
        <w:wordWrap/>
        <w:overflowPunct/>
        <w:topLinePunct w:val="0"/>
        <w:autoSpaceDE/>
        <w:autoSpaceDN/>
        <w:bidi w:val="0"/>
        <w:adjustRightInd w:val="0"/>
        <w:spacing w:before="0" w:line="440" w:lineRule="exact"/>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keepNext w:val="0"/>
        <w:keepLines w:val="0"/>
        <w:pageBreakBefore w:val="0"/>
        <w:widowControl w:val="0"/>
        <w:kinsoku/>
        <w:wordWrap/>
        <w:overflowPunct/>
        <w:topLinePunct w:val="0"/>
        <w:autoSpaceDE/>
        <w:autoSpaceDN/>
        <w:bidi w:val="0"/>
        <w:adjustRightInd w:val="0"/>
        <w:spacing w:line="440" w:lineRule="exact"/>
        <w:ind w:firstLine="472" w:firstLineChars="196"/>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keepNext w:val="0"/>
        <w:keepLines w:val="0"/>
        <w:pageBreakBefore w:val="0"/>
        <w:widowControl/>
        <w:shd w:val="clear" w:color="auto" w:fill="FFFFFF"/>
        <w:kinsoku/>
        <w:wordWrap/>
        <w:overflowPunct/>
        <w:topLinePunct w:val="0"/>
        <w:autoSpaceDE/>
        <w:autoSpaceDN/>
        <w:bidi w:val="0"/>
        <w:adjustRightInd/>
        <w:spacing w:line="600" w:lineRule="exact"/>
        <w:jc w:val="left"/>
        <w:textAlignment w:val="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四、评标中的其他事项</w:t>
      </w:r>
    </w:p>
    <w:p>
      <w:pPr>
        <w:pStyle w:val="128"/>
        <w:pageBreakBefore w:val="0"/>
        <w:widowControl w:val="0"/>
        <w:kinsoku/>
        <w:wordWrap/>
        <w:overflowPunct/>
        <w:topLinePunct w:val="0"/>
        <w:autoSpaceDE/>
        <w:autoSpaceDN/>
        <w:bidi w:val="0"/>
        <w:spacing w:before="0" w:line="440" w:lineRule="exact"/>
        <w:ind w:firstLine="472" w:firstLineChars="196"/>
        <w:textAlignment w:val="auto"/>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6"/>
        <w:pageBreakBefore w:val="0"/>
        <w:widowControl w:val="0"/>
        <w:kinsoku/>
        <w:wordWrap/>
        <w:overflowPunct/>
        <w:topLinePunct w:val="0"/>
        <w:autoSpaceDE/>
        <w:autoSpaceDN/>
        <w:bidi w:val="0"/>
        <w:spacing w:line="440" w:lineRule="exact"/>
        <w:ind w:left="954" w:leftChars="226" w:hanging="479" w:firstLineChars="0"/>
        <w:textAlignment w:val="auto"/>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pPr>
        <w:pageBreakBefore w:val="0"/>
        <w:widowControl w:val="0"/>
        <w:kinsoku/>
        <w:wordWrap/>
        <w:overflowPunct/>
        <w:topLinePunct w:val="0"/>
        <w:autoSpaceDE/>
        <w:autoSpaceDN/>
        <w:bidi w:val="0"/>
        <w:snapToGrid w:val="0"/>
        <w:spacing w:line="440" w:lineRule="exact"/>
        <w:ind w:firstLine="120" w:firstLineChars="5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pPr>
        <w:pageBreakBefore w:val="0"/>
        <w:widowControl w:val="0"/>
        <w:kinsoku/>
        <w:wordWrap/>
        <w:overflowPunct/>
        <w:topLinePunct w:val="0"/>
        <w:autoSpaceDE/>
        <w:autoSpaceDN/>
        <w:bidi w:val="0"/>
        <w:spacing w:line="440" w:lineRule="exact"/>
        <w:ind w:firstLine="240" w:firstLineChars="1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pPr>
        <w:pStyle w:val="2"/>
        <w:pageBreakBefore w:val="0"/>
        <w:widowControl w:val="0"/>
        <w:kinsoku/>
        <w:wordWrap/>
        <w:overflowPunct/>
        <w:topLinePunct w:val="0"/>
        <w:autoSpaceDE/>
        <w:autoSpaceDN/>
        <w:bidi w:val="0"/>
        <w:spacing w:line="440" w:lineRule="exact"/>
        <w:ind w:left="862" w:leftChars="205"/>
        <w:textAlignment w:val="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pPr>
        <w:pStyle w:val="6"/>
        <w:pageBreakBefore w:val="0"/>
        <w:widowControl w:val="0"/>
        <w:kinsoku/>
        <w:wordWrap/>
        <w:overflowPunct/>
        <w:topLinePunct w:val="0"/>
        <w:autoSpaceDE/>
        <w:autoSpaceDN/>
        <w:bidi w:val="0"/>
        <w:snapToGrid w:val="0"/>
        <w:spacing w:line="440" w:lineRule="exact"/>
        <w:ind w:firstLine="472" w:firstLineChars="196"/>
        <w:textAlignment w:val="auto"/>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废标后，</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应当将废标理由通知所有投标人。</w:t>
      </w:r>
    </w:p>
    <w:p>
      <w:pPr>
        <w:pStyle w:val="6"/>
        <w:pageBreakBefore w:val="0"/>
        <w:widowControl w:val="0"/>
        <w:kinsoku/>
        <w:wordWrap/>
        <w:overflowPunct/>
        <w:topLinePunct w:val="0"/>
        <w:autoSpaceDE/>
        <w:autoSpaceDN/>
        <w:bidi w:val="0"/>
        <w:snapToGrid w:val="0"/>
        <w:spacing w:line="440" w:lineRule="exact"/>
        <w:ind w:firstLine="590" w:firstLineChars="245"/>
        <w:textAlignment w:val="auto"/>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沟通并作书面记录。采购人、</w:t>
      </w:r>
      <w:r>
        <w:rPr>
          <w:rFonts w:hint="eastAsia" w:ascii="宋体" w:hAnsi="宋体" w:eastAsia="宋体" w:cs="宋体"/>
          <w:color w:val="auto"/>
          <w:highlight w:val="none"/>
          <w:lang w:eastAsia="zh-CN"/>
        </w:rPr>
        <w:t>采购代理机构</w:t>
      </w:r>
      <w:r>
        <w:rPr>
          <w:rFonts w:hint="eastAsia" w:ascii="宋体" w:hAnsi="宋体" w:eastAsia="宋体" w:cs="宋体"/>
          <w:color w:val="auto"/>
          <w:highlight w:val="none"/>
        </w:rPr>
        <w:t>确认后，将修改招标文件，重新组织采购活动。</w:t>
      </w:r>
    </w:p>
    <w:p>
      <w:pPr>
        <w:pStyle w:val="6"/>
        <w:pageBreakBefore w:val="0"/>
        <w:widowControl w:val="0"/>
        <w:kinsoku/>
        <w:wordWrap/>
        <w:overflowPunct/>
        <w:topLinePunct w:val="0"/>
        <w:autoSpaceDE/>
        <w:autoSpaceDN/>
        <w:bidi w:val="0"/>
        <w:snapToGrid w:val="0"/>
        <w:spacing w:line="440" w:lineRule="exact"/>
        <w:ind w:firstLine="482"/>
        <w:textAlignment w:val="auto"/>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pPr>
        <w:pStyle w:val="6"/>
        <w:pageBreakBefore w:val="0"/>
        <w:widowControl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6"/>
        <w:pageBreakBefore w:val="0"/>
        <w:widowControl w:val="0"/>
        <w:kinsoku/>
        <w:wordWrap/>
        <w:overflowPunct/>
        <w:topLinePunct w:val="0"/>
        <w:autoSpaceDE/>
        <w:autoSpaceDN/>
        <w:bidi w:val="0"/>
        <w:snapToGrid w:val="0"/>
        <w:spacing w:line="440" w:lineRule="exact"/>
        <w:ind w:firstLine="0" w:firstLineChars="0"/>
        <w:textAlignment w:val="auto"/>
        <w:rPr>
          <w:rFonts w:hint="eastAsia" w:ascii="宋体" w:hAnsi="宋体" w:eastAsia="宋体" w:cs="宋体"/>
          <w:color w:val="auto"/>
          <w:highlight w:val="none"/>
        </w:rPr>
      </w:pPr>
    </w:p>
    <w:p>
      <w:pPr>
        <w:pStyle w:val="6"/>
        <w:pageBreakBefore w:val="0"/>
        <w:widowControl w:val="0"/>
        <w:kinsoku/>
        <w:wordWrap/>
        <w:overflowPunct/>
        <w:topLinePunct w:val="0"/>
        <w:autoSpaceDE/>
        <w:autoSpaceDN/>
        <w:bidi w:val="0"/>
        <w:snapToGrid w:val="0"/>
        <w:spacing w:line="440" w:lineRule="exact"/>
        <w:ind w:firstLine="0" w:firstLineChars="0"/>
        <w:textAlignment w:val="auto"/>
        <w:rPr>
          <w:rFonts w:hint="eastAsia" w:ascii="宋体" w:hAnsi="宋体" w:eastAsia="宋体" w:cs="宋体"/>
          <w:color w:val="auto"/>
          <w:highlight w:val="none"/>
        </w:rPr>
      </w:pPr>
    </w:p>
    <w:p>
      <w:pPr>
        <w:pStyle w:val="6"/>
        <w:pageBreakBefore w:val="0"/>
        <w:widowControl w:val="0"/>
        <w:kinsoku/>
        <w:wordWrap/>
        <w:overflowPunct/>
        <w:topLinePunct w:val="0"/>
        <w:autoSpaceDE/>
        <w:autoSpaceDN/>
        <w:bidi w:val="0"/>
        <w:snapToGrid w:val="0"/>
        <w:spacing w:line="440" w:lineRule="exact"/>
        <w:ind w:firstLine="0" w:firstLineChars="0"/>
        <w:textAlignment w:val="auto"/>
        <w:rPr>
          <w:rFonts w:hint="eastAsia" w:ascii="宋体" w:hAnsi="宋体" w:eastAsia="宋体" w:cs="宋体"/>
          <w:color w:val="auto"/>
          <w:highlight w:val="none"/>
        </w:rPr>
      </w:pPr>
    </w:p>
    <w:p>
      <w:pPr>
        <w:pStyle w:val="6"/>
        <w:pageBreakBefore w:val="0"/>
        <w:widowControl w:val="0"/>
        <w:kinsoku/>
        <w:wordWrap/>
        <w:overflowPunct/>
        <w:topLinePunct w:val="0"/>
        <w:autoSpaceDE/>
        <w:autoSpaceDN/>
        <w:bidi w:val="0"/>
        <w:snapToGrid w:val="0"/>
        <w:spacing w:line="440" w:lineRule="exact"/>
        <w:ind w:firstLine="0" w:firstLineChars="0"/>
        <w:textAlignment w:val="auto"/>
        <w:rPr>
          <w:rFonts w:hint="eastAsia" w:ascii="宋体" w:hAnsi="宋体" w:eastAsia="宋体" w:cs="宋体"/>
          <w:color w:val="auto"/>
          <w:highlight w:val="none"/>
        </w:rPr>
      </w:pPr>
    </w:p>
    <w:p>
      <w:pPr>
        <w:pStyle w:val="6"/>
        <w:pageBreakBefore w:val="0"/>
        <w:widowControl w:val="0"/>
        <w:kinsoku/>
        <w:wordWrap/>
        <w:overflowPunct/>
        <w:topLinePunct w:val="0"/>
        <w:autoSpaceDE/>
        <w:autoSpaceDN/>
        <w:bidi w:val="0"/>
        <w:snapToGrid w:val="0"/>
        <w:spacing w:line="440" w:lineRule="exact"/>
        <w:ind w:firstLine="0" w:firstLineChars="0"/>
        <w:textAlignment w:val="auto"/>
        <w:rPr>
          <w:rFonts w:hint="eastAsia" w:ascii="宋体" w:hAnsi="宋体" w:eastAsia="宋体" w:cs="宋体"/>
          <w:color w:val="auto"/>
          <w:highlight w:val="none"/>
        </w:rPr>
      </w:pPr>
    </w:p>
    <w:p>
      <w:pPr>
        <w:pStyle w:val="6"/>
        <w:pageBreakBefore w:val="0"/>
        <w:widowControl w:val="0"/>
        <w:kinsoku/>
        <w:wordWrap/>
        <w:overflowPunct/>
        <w:topLinePunct w:val="0"/>
        <w:autoSpaceDE/>
        <w:autoSpaceDN/>
        <w:bidi w:val="0"/>
        <w:snapToGrid w:val="0"/>
        <w:spacing w:line="440" w:lineRule="exact"/>
        <w:ind w:firstLine="0" w:firstLineChars="0"/>
        <w:textAlignment w:val="auto"/>
        <w:rPr>
          <w:rFonts w:hint="eastAsia" w:ascii="宋体" w:hAnsi="宋体" w:eastAsia="宋体" w:cs="宋体"/>
          <w:color w:val="auto"/>
          <w:highlight w:val="none"/>
        </w:rPr>
      </w:pPr>
    </w:p>
    <w:p>
      <w:pPr>
        <w:pStyle w:val="6"/>
        <w:pageBreakBefore w:val="0"/>
        <w:widowControl w:val="0"/>
        <w:kinsoku/>
        <w:wordWrap/>
        <w:overflowPunct/>
        <w:topLinePunct w:val="0"/>
        <w:autoSpaceDE/>
        <w:autoSpaceDN/>
        <w:bidi w:val="0"/>
        <w:spacing w:line="440" w:lineRule="exact"/>
        <w:textAlignment w:val="auto"/>
        <w:rPr>
          <w:rFonts w:hint="eastAsia" w:ascii="宋体" w:hAnsi="宋体" w:eastAsia="宋体" w:cs="宋体"/>
          <w:color w:val="auto"/>
          <w:highlight w:val="none"/>
        </w:rPr>
      </w:pPr>
    </w:p>
    <w:p>
      <w:pPr>
        <w:pStyle w:val="6"/>
        <w:pageBreakBefore w:val="0"/>
        <w:widowControl w:val="0"/>
        <w:kinsoku/>
        <w:wordWrap/>
        <w:overflowPunct/>
        <w:topLinePunct w:val="0"/>
        <w:autoSpaceDE/>
        <w:autoSpaceDN/>
        <w:bidi w:val="0"/>
        <w:spacing w:line="440" w:lineRule="exact"/>
        <w:textAlignment w:val="auto"/>
        <w:rPr>
          <w:rFonts w:hint="eastAsia" w:ascii="宋体" w:hAnsi="宋体" w:eastAsia="宋体" w:cs="宋体"/>
          <w:color w:val="auto"/>
          <w:highlight w:val="none"/>
        </w:rPr>
      </w:pPr>
    </w:p>
    <w:bookmarkEnd w:id="30"/>
    <w:p>
      <w:pPr>
        <w:spacing w:line="360" w:lineRule="auto"/>
        <w:ind w:left="720" w:leftChars="343" w:firstLine="1084" w:firstLineChars="300"/>
        <w:outlineLvl w:val="0"/>
        <w:rPr>
          <w:rFonts w:ascii="宋体" w:hAnsi="宋体" w:cs="宋体"/>
          <w:b/>
          <w:color w:val="auto"/>
          <w:sz w:val="36"/>
          <w:szCs w:val="36"/>
          <w:highlight w:val="none"/>
        </w:rPr>
      </w:pPr>
      <w:bookmarkStart w:id="396" w:name="第五部分"/>
      <w:bookmarkStart w:id="397" w:name="_Toc86217003"/>
      <w:r>
        <w:rPr>
          <w:rFonts w:hint="eastAsia" w:ascii="宋体" w:hAnsi="宋体" w:cs="宋体"/>
          <w:b/>
          <w:color w:val="auto"/>
          <w:sz w:val="36"/>
          <w:szCs w:val="36"/>
          <w:highlight w:val="none"/>
        </w:rPr>
        <w:t>第五部分 拟签订的合同文本</w:t>
      </w:r>
    </w:p>
    <w:p>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pPr>
        <w:spacing w:line="480" w:lineRule="auto"/>
        <w:jc w:val="center"/>
        <w:rPr>
          <w:rFonts w:ascii="宋体" w:hAnsi="宋体" w:cs="宋体"/>
          <w:b/>
          <w:color w:val="auto"/>
          <w:sz w:val="28"/>
          <w:szCs w:val="28"/>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（货物类）</w:t>
      </w:r>
    </w:p>
    <w:p>
      <w:pPr>
        <w:pStyle w:val="700"/>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pPr>
        <w:spacing w:before="120" w:line="22" w:lineRule="atLeast"/>
        <w:rPr>
          <w:rFonts w:ascii="宋体" w:hAnsi="宋体" w:cs="宋体"/>
          <w:color w:val="auto"/>
          <w:sz w:val="24"/>
          <w:highlight w:val="none"/>
        </w:rPr>
      </w:pPr>
    </w:p>
    <w:p>
      <w:pPr>
        <w:pStyle w:val="2"/>
        <w:rPr>
          <w:color w:val="auto"/>
          <w:highlight w:val="none"/>
        </w:rPr>
      </w:pPr>
    </w:p>
    <w:p>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pPr>
        <w:pStyle w:val="597"/>
        <w:spacing w:before="120" w:line="22" w:lineRule="atLeast"/>
        <w:rPr>
          <w:rFonts w:ascii="宋体" w:hAnsi="宋体" w:eastAsia="宋体" w:cs="宋体"/>
          <w:color w:val="auto"/>
          <w:szCs w:val="24"/>
          <w:highlight w:val="none"/>
        </w:rPr>
      </w:pPr>
    </w:p>
    <w:p>
      <w:pPr>
        <w:pStyle w:val="597"/>
        <w:spacing w:before="120" w:line="22" w:lineRule="atLeast"/>
        <w:rPr>
          <w:rFonts w:ascii="宋体" w:hAnsi="宋体" w:eastAsia="宋体" w:cs="宋体"/>
          <w:color w:val="auto"/>
          <w:szCs w:val="24"/>
          <w:highlight w:val="none"/>
        </w:rPr>
      </w:pPr>
    </w:p>
    <w:p>
      <w:pPr>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pPr>
        <w:spacing w:before="120" w:line="22" w:lineRule="atLeast"/>
        <w:rPr>
          <w:rFonts w:ascii="宋体" w:hAnsi="宋体" w:cs="宋体"/>
          <w:color w:val="auto"/>
          <w:sz w:val="24"/>
          <w:highlight w:val="none"/>
        </w:rPr>
      </w:pPr>
    </w:p>
    <w:p>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pPr>
        <w:widowControl/>
        <w:jc w:val="left"/>
        <w:rPr>
          <w:rFonts w:ascii="宋体" w:hAnsi="宋体" w:cs="宋体"/>
          <w:color w:val="auto"/>
          <w:kern w:val="0"/>
          <w:sz w:val="24"/>
          <w:highlight w:val="none"/>
        </w:rPr>
        <w:sectPr>
          <w:pgSz w:w="11905" w:h="16838"/>
          <w:pgMar w:top="1417" w:right="1417" w:bottom="1417" w:left="1417" w:header="851" w:footer="992" w:gutter="0"/>
          <w:cols w:space="0" w:num="1"/>
          <w:titlePg/>
          <w:rtlGutter w:val="0"/>
          <w:docGrid w:linePitch="0" w:charSpace="0"/>
        </w:sectPr>
      </w:pP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建德市住房和城乡建设局</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公开招标</w:t>
      </w:r>
      <w:r>
        <w:rPr>
          <w:rFonts w:ascii="宋体" w:hAnsi="宋体"/>
          <w:color w:val="auto"/>
          <w:sz w:val="24"/>
          <w:highlight w:val="none"/>
          <w:u w:val="single"/>
        </w:rPr>
        <w:t xml:space="preserve">）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建德市住房和城乡建设局</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pPr>
        <w:keepNext w:val="0"/>
        <w:keepLines w:val="0"/>
        <w:pageBreakBefore w:val="0"/>
        <w:kinsoku/>
        <w:wordWrap/>
        <w:overflowPunct/>
        <w:topLinePunct w:val="0"/>
        <w:autoSpaceDE/>
        <w:autoSpaceDN/>
        <w:bidi w:val="0"/>
        <w:snapToGrid/>
        <w:spacing w:line="440" w:lineRule="exact"/>
        <w:ind w:firstLine="482" w:firstLineChars="200"/>
        <w:textAlignment w:val="auto"/>
        <w:outlineLvl w:val="0"/>
        <w:rPr>
          <w:rFonts w:ascii="宋体" w:hAnsi="宋体"/>
          <w:color w:val="auto"/>
          <w:sz w:val="24"/>
          <w:highlight w:val="none"/>
        </w:rPr>
      </w:pPr>
      <w:bookmarkStart w:id="398" w:name="_Toc19273"/>
      <w:bookmarkStart w:id="399" w:name="_Toc22967"/>
      <w:bookmarkStart w:id="400" w:name="_Toc15367"/>
      <w:bookmarkStart w:id="401" w:name="_Toc20421"/>
      <w:bookmarkStart w:id="402" w:name="_Toc28855"/>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8"/>
      <w:bookmarkEnd w:id="399"/>
      <w:bookmarkEnd w:id="400"/>
      <w:bookmarkEnd w:id="401"/>
      <w:bookmarkEnd w:id="402"/>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pPr>
        <w:keepNext w:val="0"/>
        <w:keepLines w:val="0"/>
        <w:pageBreakBefore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highlight w:val="none"/>
        </w:rPr>
      </w:pPr>
      <w:bookmarkStart w:id="403" w:name="_Toc18585"/>
      <w:bookmarkStart w:id="404" w:name="_Toc22185"/>
      <w:bookmarkStart w:id="405" w:name="_Toc6773"/>
      <w:bookmarkStart w:id="406" w:name="_Toc6311"/>
      <w:bookmarkStart w:id="407" w:name="_Toc2918"/>
      <w:r>
        <w:rPr>
          <w:rFonts w:ascii="宋体" w:hAnsi="宋体"/>
          <w:b/>
          <w:color w:val="auto"/>
          <w:sz w:val="24"/>
          <w:highlight w:val="none"/>
        </w:rPr>
        <w:t xml:space="preserve">1.2 </w:t>
      </w:r>
      <w:r>
        <w:rPr>
          <w:rFonts w:hint="eastAsia" w:ascii="宋体" w:hAnsi="宋体"/>
          <w:b/>
          <w:color w:val="auto"/>
          <w:sz w:val="24"/>
          <w:highlight w:val="none"/>
        </w:rPr>
        <w:t>标的</w:t>
      </w:r>
      <w:bookmarkEnd w:id="403"/>
      <w:bookmarkEnd w:id="404"/>
      <w:bookmarkEnd w:id="405"/>
      <w:bookmarkEnd w:id="406"/>
      <w:bookmarkEnd w:id="407"/>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s="宋体"/>
          <w:color w:val="auto"/>
          <w:sz w:val="24"/>
          <w:highlight w:val="none"/>
          <w:u w:val="single"/>
        </w:rPr>
      </w:pPr>
      <w:bookmarkStart w:id="408" w:name="_Toc5635"/>
      <w:bookmarkStart w:id="409" w:name="_Toc21124"/>
      <w:bookmarkStart w:id="410" w:name="_Toc13918"/>
      <w:bookmarkStart w:id="411" w:name="_Toc4929"/>
      <w:bookmarkStart w:id="412" w:name="_Toc1386"/>
      <w:r>
        <w:rPr>
          <w:rFonts w:hint="eastAsia" w:ascii="宋体" w:hAnsi="宋体" w:cs="宋体"/>
          <w:color w:val="auto"/>
          <w:sz w:val="24"/>
          <w:highlight w:val="none"/>
        </w:rPr>
        <w:t>1.2.1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s="宋体"/>
          <w:color w:val="auto"/>
          <w:sz w:val="24"/>
          <w:highlight w:val="none"/>
          <w:u w:val="single"/>
        </w:rPr>
      </w:pPr>
      <w:r>
        <w:rPr>
          <w:rFonts w:hint="eastAsia" w:ascii="宋体" w:hAnsi="宋体" w:cs="宋体"/>
          <w:color w:val="auto"/>
          <w:sz w:val="24"/>
          <w:highlight w:val="none"/>
        </w:rPr>
        <w:t>1.2.2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s="宋体"/>
          <w:color w:val="auto"/>
          <w:sz w:val="24"/>
          <w:highlight w:val="none"/>
          <w:u w:val="single"/>
        </w:rPr>
      </w:pPr>
      <w:r>
        <w:rPr>
          <w:rFonts w:hint="eastAsia" w:ascii="宋体" w:hAnsi="宋体" w:cs="宋体"/>
          <w:color w:val="auto"/>
          <w:sz w:val="24"/>
          <w:highlight w:val="none"/>
        </w:rPr>
        <w:t>1.2.3 货物质量：</w:t>
      </w:r>
      <w:r>
        <w:rPr>
          <w:rFonts w:hint="eastAsia" w:ascii="宋体" w:hAnsi="宋体" w:cs="宋体"/>
          <w:color w:val="auto"/>
          <w:sz w:val="24"/>
          <w:highlight w:val="none"/>
          <w:u w:val="single"/>
        </w:rPr>
        <w:t>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keepNext w:val="0"/>
        <w:keepLines w:val="0"/>
        <w:pageBreakBefore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highlight w:val="none"/>
        </w:rPr>
      </w:pPr>
      <w:r>
        <w:rPr>
          <w:rFonts w:ascii="宋体" w:hAnsi="宋体"/>
          <w:b/>
          <w:color w:val="auto"/>
          <w:sz w:val="24"/>
          <w:highlight w:val="none"/>
        </w:rPr>
        <w:t>1.3 价款</w:t>
      </w:r>
      <w:bookmarkEnd w:id="408"/>
      <w:bookmarkEnd w:id="409"/>
      <w:bookmarkEnd w:id="410"/>
      <w:bookmarkEnd w:id="411"/>
      <w:bookmarkEnd w:id="412"/>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rPr>
        <w:t>1.3.1</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pPr>
              <w:pStyle w:val="317"/>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pPr>
              <w:pStyle w:val="317"/>
              <w:spacing w:line="560" w:lineRule="exact"/>
              <w:jc w:val="center"/>
              <w:rPr>
                <w:rFonts w:hAnsi="宋体"/>
                <w:color w:val="auto"/>
                <w:sz w:val="24"/>
                <w:szCs w:val="24"/>
                <w:highlight w:val="none"/>
              </w:rPr>
            </w:pPr>
            <w:r>
              <w:rPr>
                <w:rFonts w:hAnsi="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hAnsi="宋体"/>
                <w:color w:val="auto"/>
                <w:sz w:val="24"/>
                <w:szCs w:val="24"/>
                <w:highlight w:val="none"/>
              </w:rPr>
            </w:pPr>
          </w:p>
        </w:tc>
        <w:tc>
          <w:tcPr>
            <w:tcW w:w="3402" w:type="dxa"/>
            <w:vAlign w:val="center"/>
          </w:tcPr>
          <w:p>
            <w:pPr>
              <w:pStyle w:val="317"/>
              <w:spacing w:line="560" w:lineRule="exact"/>
              <w:ind w:firstLine="200"/>
              <w:jc w:val="center"/>
              <w:rPr>
                <w:rFonts w:hAnsi="宋体"/>
                <w:color w:val="auto"/>
                <w:sz w:val="24"/>
                <w:szCs w:val="24"/>
                <w:highlight w:val="none"/>
              </w:rPr>
            </w:pPr>
          </w:p>
        </w:tc>
        <w:tc>
          <w:tcPr>
            <w:tcW w:w="2552" w:type="dxa"/>
            <w:vAlign w:val="center"/>
          </w:tcPr>
          <w:p>
            <w:pPr>
              <w:pStyle w:val="317"/>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hAnsi="宋体"/>
                <w:color w:val="auto"/>
                <w:sz w:val="24"/>
                <w:szCs w:val="24"/>
                <w:highlight w:val="none"/>
              </w:rPr>
            </w:pPr>
          </w:p>
        </w:tc>
        <w:tc>
          <w:tcPr>
            <w:tcW w:w="3402" w:type="dxa"/>
            <w:vAlign w:val="center"/>
          </w:tcPr>
          <w:p>
            <w:pPr>
              <w:pStyle w:val="317"/>
              <w:spacing w:line="560" w:lineRule="exact"/>
              <w:ind w:firstLine="200"/>
              <w:jc w:val="center"/>
              <w:rPr>
                <w:rFonts w:hAnsi="宋体"/>
                <w:color w:val="auto"/>
                <w:sz w:val="24"/>
                <w:szCs w:val="24"/>
                <w:highlight w:val="none"/>
              </w:rPr>
            </w:pPr>
          </w:p>
        </w:tc>
        <w:tc>
          <w:tcPr>
            <w:tcW w:w="2552" w:type="dxa"/>
            <w:vAlign w:val="center"/>
          </w:tcPr>
          <w:p>
            <w:pPr>
              <w:pStyle w:val="317"/>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7"/>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pPr>
              <w:pStyle w:val="317"/>
              <w:spacing w:line="560" w:lineRule="exact"/>
              <w:ind w:firstLine="200"/>
              <w:jc w:val="center"/>
              <w:rPr>
                <w:rFonts w:hAnsi="宋体"/>
                <w:color w:val="auto"/>
                <w:sz w:val="24"/>
                <w:szCs w:val="24"/>
                <w:highlight w:val="none"/>
              </w:rPr>
            </w:pPr>
          </w:p>
        </w:tc>
      </w:tr>
    </w:tbl>
    <w:p>
      <w:pPr>
        <w:pStyle w:val="957"/>
        <w:pageBreakBefore w:val="0"/>
        <w:kinsoku/>
        <w:wordWrap/>
        <w:overflowPunct/>
        <w:topLinePunct w:val="0"/>
        <w:bidi w:val="0"/>
        <w:snapToGrid/>
        <w:spacing w:before="0" w:beforeAutospacing="0" w:after="0" w:afterAutospacing="0" w:line="440" w:lineRule="exact"/>
        <w:ind w:firstLine="480"/>
        <w:textAlignment w:val="auto"/>
        <w:rPr>
          <w:b/>
          <w:color w:val="auto"/>
          <w:sz w:val="24"/>
          <w:szCs w:val="24"/>
          <w:highlight w:val="none"/>
        </w:rPr>
      </w:pPr>
      <w:bookmarkStart w:id="413" w:name="_Toc1814"/>
      <w:bookmarkStart w:id="414" w:name="_Toc22618"/>
      <w:bookmarkStart w:id="415" w:name="_Toc10340"/>
      <w:bookmarkStart w:id="416" w:name="_Toc4760"/>
      <w:bookmarkStart w:id="417" w:name="_Toc31421"/>
      <w:bookmarkStart w:id="418" w:name="_Toc11108"/>
      <w:bookmarkStart w:id="419" w:name="_Toc8772"/>
      <w:bookmarkStart w:id="420" w:name="_Toc3625"/>
      <w:r>
        <w:rPr>
          <w:rFonts w:hint="eastAsia"/>
          <w:b/>
          <w:color w:val="auto"/>
          <w:sz w:val="24"/>
          <w:szCs w:val="24"/>
          <w:highlight w:val="none"/>
        </w:rPr>
        <w:t>1.4履约保证金</w:t>
      </w:r>
    </w:p>
    <w:p>
      <w:pPr>
        <w:pStyle w:val="957"/>
        <w:pageBreakBefore w:val="0"/>
        <w:kinsoku/>
        <w:wordWrap/>
        <w:overflowPunct/>
        <w:topLinePunct w:val="0"/>
        <w:bidi w:val="0"/>
        <w:snapToGrid/>
        <w:spacing w:before="0" w:beforeAutospacing="0" w:after="0" w:afterAutospacing="0" w:line="440" w:lineRule="exact"/>
        <w:ind w:firstLine="480"/>
        <w:textAlignment w:val="auto"/>
        <w:rPr>
          <w:color w:val="auto"/>
          <w:sz w:val="24"/>
          <w:szCs w:val="24"/>
          <w:highlight w:val="none"/>
        </w:rPr>
      </w:pPr>
      <w:r>
        <w:rPr>
          <w:rFonts w:hint="eastAsia"/>
          <w:color w:val="auto"/>
          <w:sz w:val="24"/>
          <w:szCs w:val="24"/>
          <w:highlight w:val="none"/>
        </w:rPr>
        <w:t>乙方</w:t>
      </w:r>
      <w:r>
        <w:rPr>
          <w:rFonts w:hint="eastAsia"/>
          <w:color w:val="auto"/>
          <w:sz w:val="24"/>
          <w:szCs w:val="24"/>
          <w:highlight w:val="none"/>
          <w:u w:val="single"/>
        </w:rPr>
        <w:t xml:space="preserve">     </w:t>
      </w:r>
      <w:r>
        <w:rPr>
          <w:rFonts w:hint="eastAsia"/>
          <w:color w:val="auto"/>
          <w:sz w:val="24"/>
          <w:szCs w:val="24"/>
          <w:highlight w:val="none"/>
        </w:rPr>
        <w:t>（是</w:t>
      </w:r>
      <w:r>
        <w:rPr>
          <w:rFonts w:hint="eastAsia" w:ascii="仿宋" w:hAnsi="仿宋" w:eastAsia="仿宋" w:cs="仿宋"/>
          <w:color w:val="auto"/>
          <w:sz w:val="24"/>
          <w:szCs w:val="24"/>
          <w:highlight w:val="none"/>
        </w:rPr>
        <w:t>/</w:t>
      </w:r>
      <w:r>
        <w:rPr>
          <w:rFonts w:hint="eastAsia"/>
          <w:color w:val="auto"/>
          <w:sz w:val="24"/>
          <w:szCs w:val="24"/>
          <w:highlight w:val="none"/>
        </w:rPr>
        <w:t>否）需要支付履约保证金。若需要支付履约保证金的，则：</w:t>
      </w:r>
    </w:p>
    <w:p>
      <w:pPr>
        <w:pageBreakBefore w:val="0"/>
        <w:kinsoku/>
        <w:wordWrap/>
        <w:overflowPunct/>
        <w:topLinePunct w:val="0"/>
        <w:bidi w:val="0"/>
        <w:snapToGrid/>
        <w:spacing w:line="440" w:lineRule="exact"/>
        <w:ind w:firstLine="480" w:firstLineChars="200"/>
        <w:textAlignment w:val="auto"/>
        <w:outlineLvl w:val="0"/>
        <w:rPr>
          <w:rFonts w:ascii="宋体" w:hAnsi="宋体" w:cs="宋体"/>
          <w:color w:val="auto"/>
          <w:kern w:val="0"/>
          <w:sz w:val="24"/>
          <w:szCs w:val="24"/>
          <w:highlight w:val="none"/>
        </w:rPr>
      </w:pPr>
      <w:r>
        <w:rPr>
          <w:rFonts w:hint="eastAsia" w:ascii="宋体" w:hAnsi="宋体" w:cs="宋体"/>
          <w:color w:val="auto"/>
          <w:kern w:val="0"/>
          <w:sz w:val="24"/>
          <w:szCs w:val="24"/>
          <w:highlight w:val="none"/>
        </w:rPr>
        <w:t>1.4.1履约保证金的比例为合同金额的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1</w:t>
      </w:r>
      <w:r>
        <w:rPr>
          <w:rFonts w:hint="eastAsia" w:ascii="宋体" w:hAnsi="宋体" w:cs="宋体"/>
          <w:color w:val="auto"/>
          <w:kern w:val="0"/>
          <w:sz w:val="24"/>
          <w:szCs w:val="24"/>
          <w:highlight w:val="none"/>
        </w:rPr>
        <w:t>%；</w:t>
      </w:r>
    </w:p>
    <w:p>
      <w:pPr>
        <w:pageBreakBefore w:val="0"/>
        <w:kinsoku/>
        <w:wordWrap/>
        <w:overflowPunct/>
        <w:topLinePunct w:val="0"/>
        <w:bidi w:val="0"/>
        <w:snapToGrid/>
        <w:spacing w:line="440" w:lineRule="exact"/>
        <w:ind w:firstLine="480" w:firstLineChars="200"/>
        <w:textAlignment w:val="auto"/>
        <w:outlineLvl w:val="0"/>
        <w:rPr>
          <w:rFonts w:ascii="宋体" w:hAnsi="宋体" w:cs="宋体"/>
          <w:color w:val="auto"/>
          <w:kern w:val="0"/>
          <w:sz w:val="24"/>
          <w:szCs w:val="24"/>
          <w:highlight w:val="none"/>
        </w:rPr>
      </w:pPr>
      <w:r>
        <w:rPr>
          <w:rFonts w:hint="eastAsia" w:ascii="宋体" w:hAnsi="宋体" w:cs="宋体"/>
          <w:color w:val="auto"/>
          <w:kern w:val="0"/>
          <w:sz w:val="24"/>
          <w:szCs w:val="24"/>
          <w:highlight w:val="none"/>
        </w:rPr>
        <w:t>1.4.2履约保证金支付方式详见</w:t>
      </w:r>
      <w:r>
        <w:rPr>
          <w:rFonts w:hint="eastAsia" w:ascii="宋体" w:hAnsi="宋体" w:cs="宋体"/>
          <w:color w:val="auto"/>
          <w:kern w:val="0"/>
          <w:sz w:val="24"/>
          <w:szCs w:val="24"/>
          <w:highlight w:val="none"/>
          <w:u w:val="single"/>
        </w:rPr>
        <w:t xml:space="preserve">    </w:t>
      </w:r>
      <w:r>
        <w:rPr>
          <w:rFonts w:hint="eastAsia" w:ascii="宋体" w:hAnsi="宋体" w:cs="宋体"/>
          <w:b/>
          <w:i/>
          <w:color w:val="auto"/>
          <w:sz w:val="24"/>
          <w:szCs w:val="24"/>
          <w:highlight w:val="none"/>
          <w:u w:val="single"/>
        </w:rPr>
        <w:t>合同专用条款</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w:t>
      </w:r>
    </w:p>
    <w:p>
      <w:pPr>
        <w:pStyle w:val="2"/>
        <w:pageBreakBefore w:val="0"/>
        <w:tabs>
          <w:tab w:val="left" w:pos="0"/>
        </w:tabs>
        <w:kinsoku/>
        <w:wordWrap/>
        <w:overflowPunct/>
        <w:topLinePunct w:val="0"/>
        <w:bidi w:val="0"/>
        <w:snapToGrid/>
        <w:spacing w:line="440" w:lineRule="exact"/>
        <w:ind w:left="0" w:firstLine="480" w:firstLineChars="200"/>
        <w:textAlignment w:val="auto"/>
        <w:rPr>
          <w:color w:val="auto"/>
          <w:sz w:val="24"/>
          <w:szCs w:val="24"/>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pageBreakBefore w:val="0"/>
        <w:kinsoku/>
        <w:wordWrap/>
        <w:overflowPunct/>
        <w:topLinePunct w:val="0"/>
        <w:bidi w:val="0"/>
        <w:snapToGrid/>
        <w:spacing w:line="440" w:lineRule="exact"/>
        <w:ind w:firstLine="480" w:firstLineChars="200"/>
        <w:textAlignment w:val="auto"/>
        <w:outlineLvl w:val="0"/>
        <w:rPr>
          <w:rFonts w:ascii="宋体" w:hAnsi="宋体" w:cs="宋体"/>
          <w:color w:val="auto"/>
          <w:kern w:val="0"/>
          <w:sz w:val="24"/>
          <w:szCs w:val="24"/>
          <w:highlight w:val="none"/>
        </w:rPr>
      </w:pPr>
      <w:r>
        <w:rPr>
          <w:rFonts w:hint="eastAsia" w:ascii="宋体" w:hAnsi="宋体" w:cs="宋体"/>
          <w:color w:val="auto"/>
          <w:kern w:val="0"/>
          <w:sz w:val="24"/>
          <w:szCs w:val="24"/>
          <w:highlight w:val="none"/>
        </w:rPr>
        <w:t>1.4.4甲方在项目验收结束后及时退还履约保证金。甲方在项目通过验收之日起</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szCs w:val="24"/>
          <w:highlight w:val="none"/>
          <w:u w:val="single"/>
        </w:rPr>
        <w:t xml:space="preserve">  0.05（可根据情况修改）  </w:t>
      </w:r>
      <w:r>
        <w:rPr>
          <w:rFonts w:hint="eastAsia" w:ascii="宋体" w:hAnsi="宋体" w:cs="宋体"/>
          <w:color w:val="auto"/>
          <w:kern w:val="0"/>
          <w:sz w:val="24"/>
          <w:szCs w:val="24"/>
          <w:highlight w:val="none"/>
        </w:rPr>
        <w:t>%计算，最高限额为本合同履约保证金的</w:t>
      </w:r>
      <w:r>
        <w:rPr>
          <w:rFonts w:hint="eastAsia" w:ascii="宋体" w:hAnsi="宋体" w:cs="宋体"/>
          <w:color w:val="auto"/>
          <w:kern w:val="0"/>
          <w:sz w:val="24"/>
          <w:szCs w:val="24"/>
          <w:highlight w:val="none"/>
          <w:u w:val="single"/>
        </w:rPr>
        <w:t xml:space="preserve">  20  </w:t>
      </w:r>
      <w:r>
        <w:rPr>
          <w:rFonts w:hint="eastAsia" w:ascii="宋体" w:hAnsi="宋体" w:cs="宋体"/>
          <w:color w:val="auto"/>
          <w:kern w:val="0"/>
          <w:sz w:val="24"/>
          <w:szCs w:val="24"/>
          <w:highlight w:val="none"/>
        </w:rPr>
        <w:t xml:space="preserve"> %。</w:t>
      </w:r>
    </w:p>
    <w:p>
      <w:pPr>
        <w:pageBreakBefore w:val="0"/>
        <w:kinsoku/>
        <w:wordWrap/>
        <w:overflowPunct/>
        <w:topLinePunct w:val="0"/>
        <w:bidi w:val="0"/>
        <w:snapToGrid/>
        <w:spacing w:line="440" w:lineRule="exact"/>
        <w:ind w:firstLine="482" w:firstLineChars="200"/>
        <w:textAlignment w:val="auto"/>
        <w:outlineLvl w:val="0"/>
        <w:rPr>
          <w:rFonts w:ascii="宋体" w:hAnsi="宋体" w:cs="宋体"/>
          <w:b/>
          <w:color w:val="auto"/>
          <w:sz w:val="24"/>
          <w:szCs w:val="24"/>
          <w:highlight w:val="none"/>
        </w:rPr>
      </w:pPr>
      <w:r>
        <w:rPr>
          <w:rFonts w:hint="eastAsia" w:ascii="宋体" w:hAnsi="宋体" w:cs="宋体"/>
          <w:b/>
          <w:color w:val="auto"/>
          <w:sz w:val="24"/>
          <w:szCs w:val="24"/>
          <w:highlight w:val="none"/>
        </w:rPr>
        <w:t>1.5</w:t>
      </w:r>
      <w:bookmarkEnd w:id="413"/>
      <w:bookmarkEnd w:id="414"/>
      <w:bookmarkEnd w:id="415"/>
      <w:r>
        <w:rPr>
          <w:rFonts w:hint="eastAsia" w:ascii="宋体" w:hAnsi="宋体" w:cs="宋体"/>
          <w:b/>
          <w:color w:val="auto"/>
          <w:sz w:val="24"/>
          <w:szCs w:val="24"/>
          <w:highlight w:val="none"/>
        </w:rPr>
        <w:t>预付款</w:t>
      </w:r>
    </w:p>
    <w:p>
      <w:pPr>
        <w:pStyle w:val="957"/>
        <w:pageBreakBefore w:val="0"/>
        <w:kinsoku/>
        <w:wordWrap/>
        <w:overflowPunct/>
        <w:topLinePunct w:val="0"/>
        <w:bidi w:val="0"/>
        <w:snapToGrid/>
        <w:spacing w:before="0" w:beforeAutospacing="0" w:after="0" w:afterAutospacing="0" w:line="440" w:lineRule="exact"/>
        <w:ind w:firstLine="480"/>
        <w:textAlignment w:val="auto"/>
        <w:rPr>
          <w:color w:val="auto"/>
          <w:sz w:val="24"/>
          <w:szCs w:val="24"/>
          <w:highlight w:val="none"/>
        </w:rPr>
      </w:pPr>
      <w:r>
        <w:rPr>
          <w:rFonts w:hint="eastAsia"/>
          <w:color w:val="auto"/>
          <w:sz w:val="24"/>
          <w:szCs w:val="24"/>
          <w:highlight w:val="none"/>
        </w:rPr>
        <w:t>甲方</w:t>
      </w:r>
      <w:r>
        <w:rPr>
          <w:rFonts w:hint="eastAsia"/>
          <w:color w:val="auto"/>
          <w:sz w:val="24"/>
          <w:szCs w:val="24"/>
          <w:highlight w:val="none"/>
          <w:u w:val="single"/>
        </w:rPr>
        <w:t xml:space="preserve"> 是 </w:t>
      </w:r>
      <w:r>
        <w:rPr>
          <w:rFonts w:hint="eastAsia"/>
          <w:color w:val="auto"/>
          <w:sz w:val="24"/>
          <w:szCs w:val="24"/>
          <w:highlight w:val="none"/>
        </w:rPr>
        <w:t>（是</w:t>
      </w:r>
      <w:r>
        <w:rPr>
          <w:rFonts w:hint="eastAsia" w:ascii="仿宋" w:hAnsi="仿宋" w:eastAsia="仿宋" w:cs="仿宋"/>
          <w:color w:val="auto"/>
          <w:sz w:val="24"/>
          <w:szCs w:val="24"/>
          <w:highlight w:val="none"/>
        </w:rPr>
        <w:t>/</w:t>
      </w:r>
      <w:r>
        <w:rPr>
          <w:rFonts w:hint="eastAsia"/>
          <w:color w:val="auto"/>
          <w:sz w:val="24"/>
          <w:szCs w:val="24"/>
          <w:highlight w:val="none"/>
        </w:rPr>
        <w:t>否）需要支付预付款。若需要支付预付款的，则：</w:t>
      </w:r>
    </w:p>
    <w:p>
      <w:pPr>
        <w:pageBreakBefore w:val="0"/>
        <w:kinsoku/>
        <w:wordWrap/>
        <w:overflowPunct/>
        <w:topLinePunct w:val="0"/>
        <w:bidi w:val="0"/>
        <w:snapToGrid/>
        <w:spacing w:line="440" w:lineRule="exact"/>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1.5.1预付款比例、支付方式、时间详见</w:t>
      </w:r>
      <w:r>
        <w:rPr>
          <w:rFonts w:hint="eastAsia" w:ascii="宋体" w:hAnsi="宋体" w:cs="宋体"/>
          <w:color w:val="auto"/>
          <w:kern w:val="0"/>
          <w:sz w:val="24"/>
          <w:szCs w:val="24"/>
          <w:highlight w:val="none"/>
          <w:u w:val="single"/>
        </w:rPr>
        <w:t xml:space="preserve">    </w:t>
      </w:r>
      <w:r>
        <w:rPr>
          <w:rFonts w:hint="eastAsia" w:ascii="宋体" w:hAnsi="宋体" w:cs="宋体"/>
          <w:b/>
          <w:i/>
          <w:color w:val="auto"/>
          <w:sz w:val="24"/>
          <w:szCs w:val="24"/>
          <w:highlight w:val="none"/>
          <w:u w:val="single"/>
        </w:rPr>
        <w:t>合同专用条款</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w:t>
      </w:r>
    </w:p>
    <w:p>
      <w:pPr>
        <w:pStyle w:val="957"/>
        <w:pageBreakBefore w:val="0"/>
        <w:kinsoku/>
        <w:wordWrap/>
        <w:overflowPunct/>
        <w:topLinePunct w:val="0"/>
        <w:bidi w:val="0"/>
        <w:snapToGrid/>
        <w:spacing w:before="0" w:beforeAutospacing="0" w:after="0" w:afterAutospacing="0" w:line="440" w:lineRule="exact"/>
        <w:ind w:firstLine="480"/>
        <w:textAlignment w:val="auto"/>
        <w:rPr>
          <w:color w:val="auto"/>
          <w:sz w:val="24"/>
          <w:szCs w:val="24"/>
          <w:highlight w:val="none"/>
        </w:rPr>
      </w:pPr>
      <w:r>
        <w:rPr>
          <w:rFonts w:hint="eastAsia"/>
          <w:color w:val="auto"/>
          <w:sz w:val="24"/>
          <w:szCs w:val="24"/>
          <w:highlight w:val="none"/>
        </w:rPr>
        <w:t>1.5.2预付款的扣回方式详见</w:t>
      </w:r>
      <w:r>
        <w:rPr>
          <w:rFonts w:hint="eastAsia"/>
          <w:color w:val="auto"/>
          <w:sz w:val="24"/>
          <w:szCs w:val="24"/>
          <w:highlight w:val="none"/>
          <w:u w:val="single"/>
        </w:rPr>
        <w:t xml:space="preserve">    </w:t>
      </w:r>
      <w:r>
        <w:rPr>
          <w:rFonts w:hint="eastAsia"/>
          <w:b/>
          <w:i/>
          <w:color w:val="auto"/>
          <w:sz w:val="24"/>
          <w:szCs w:val="24"/>
          <w:highlight w:val="none"/>
          <w:u w:val="single"/>
        </w:rPr>
        <w:t>合同专用条款</w:t>
      </w:r>
      <w:r>
        <w:rPr>
          <w:rFonts w:hint="eastAsia"/>
          <w:color w:val="auto"/>
          <w:sz w:val="24"/>
          <w:szCs w:val="24"/>
          <w:highlight w:val="none"/>
          <w:u w:val="single"/>
        </w:rPr>
        <w:t xml:space="preserve">           </w:t>
      </w:r>
      <w:r>
        <w:rPr>
          <w:rFonts w:hint="eastAsia"/>
          <w:color w:val="auto"/>
          <w:sz w:val="24"/>
          <w:szCs w:val="24"/>
          <w:highlight w:val="none"/>
        </w:rPr>
        <w:t>；</w:t>
      </w:r>
    </w:p>
    <w:p>
      <w:pPr>
        <w:pStyle w:val="957"/>
        <w:pageBreakBefore w:val="0"/>
        <w:kinsoku/>
        <w:wordWrap/>
        <w:overflowPunct/>
        <w:topLinePunct w:val="0"/>
        <w:bidi w:val="0"/>
        <w:snapToGrid/>
        <w:spacing w:before="0" w:beforeAutospacing="0" w:after="0" w:afterAutospacing="0" w:line="440" w:lineRule="exact"/>
        <w:ind w:firstLine="480"/>
        <w:textAlignment w:val="auto"/>
        <w:rPr>
          <w:color w:val="auto"/>
          <w:sz w:val="24"/>
          <w:szCs w:val="24"/>
          <w:highlight w:val="none"/>
          <w:u w:val="single"/>
        </w:rPr>
      </w:pPr>
      <w:r>
        <w:rPr>
          <w:rFonts w:hint="eastAsia"/>
          <w:color w:val="auto"/>
          <w:sz w:val="24"/>
          <w:szCs w:val="24"/>
          <w:highlight w:val="none"/>
        </w:rPr>
        <w:t>1.5.3预付款的担保措施详见</w:t>
      </w:r>
      <w:r>
        <w:rPr>
          <w:rFonts w:hint="eastAsia"/>
          <w:color w:val="auto"/>
          <w:sz w:val="24"/>
          <w:szCs w:val="24"/>
          <w:highlight w:val="none"/>
          <w:u w:val="single"/>
        </w:rPr>
        <w:t xml:space="preserve">    </w:t>
      </w:r>
      <w:r>
        <w:rPr>
          <w:rFonts w:hint="eastAsia"/>
          <w:b/>
          <w:i/>
          <w:color w:val="auto"/>
          <w:sz w:val="24"/>
          <w:szCs w:val="24"/>
          <w:highlight w:val="none"/>
          <w:u w:val="single"/>
        </w:rPr>
        <w:t>合同专用条款</w:t>
      </w:r>
      <w:r>
        <w:rPr>
          <w:rFonts w:hint="eastAsia"/>
          <w:color w:val="auto"/>
          <w:sz w:val="24"/>
          <w:szCs w:val="24"/>
          <w:highlight w:val="none"/>
          <w:u w:val="single"/>
        </w:rPr>
        <w:t xml:space="preserve">          </w:t>
      </w:r>
      <w:r>
        <w:rPr>
          <w:rFonts w:hint="eastAsia"/>
          <w:color w:val="auto"/>
          <w:sz w:val="24"/>
          <w:szCs w:val="24"/>
          <w:highlight w:val="none"/>
        </w:rPr>
        <w:t>。</w:t>
      </w:r>
    </w:p>
    <w:p>
      <w:pPr>
        <w:pStyle w:val="957"/>
        <w:pageBreakBefore w:val="0"/>
        <w:kinsoku/>
        <w:wordWrap/>
        <w:overflowPunct/>
        <w:topLinePunct w:val="0"/>
        <w:bidi w:val="0"/>
        <w:snapToGrid/>
        <w:spacing w:before="0" w:beforeAutospacing="0" w:after="0" w:afterAutospacing="0" w:line="440" w:lineRule="exact"/>
        <w:ind w:firstLine="480"/>
        <w:textAlignment w:val="auto"/>
        <w:rPr>
          <w:b/>
          <w:bCs/>
          <w:color w:val="auto"/>
          <w:sz w:val="24"/>
          <w:szCs w:val="24"/>
          <w:highlight w:val="none"/>
        </w:rPr>
      </w:pPr>
      <w:r>
        <w:rPr>
          <w:rFonts w:hint="eastAsia"/>
          <w:b/>
          <w:bCs/>
          <w:color w:val="auto"/>
          <w:sz w:val="24"/>
          <w:szCs w:val="24"/>
          <w:highlight w:val="none"/>
        </w:rPr>
        <w:t>1.6资金支付</w:t>
      </w:r>
    </w:p>
    <w:p>
      <w:pPr>
        <w:pStyle w:val="957"/>
        <w:pageBreakBefore w:val="0"/>
        <w:kinsoku/>
        <w:wordWrap/>
        <w:overflowPunct/>
        <w:topLinePunct w:val="0"/>
        <w:bidi w:val="0"/>
        <w:snapToGrid/>
        <w:spacing w:before="0" w:beforeAutospacing="0" w:after="0" w:afterAutospacing="0" w:line="440" w:lineRule="exact"/>
        <w:ind w:firstLine="480"/>
        <w:textAlignment w:val="auto"/>
        <w:rPr>
          <w:color w:val="auto"/>
          <w:sz w:val="24"/>
          <w:szCs w:val="24"/>
          <w:highlight w:val="none"/>
        </w:rPr>
      </w:pPr>
      <w:r>
        <w:rPr>
          <w:rFonts w:hint="eastAsia"/>
          <w:color w:val="auto"/>
          <w:sz w:val="24"/>
          <w:szCs w:val="24"/>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pageBreakBefore w:val="0"/>
        <w:kinsoku/>
        <w:wordWrap/>
        <w:overflowPunct/>
        <w:topLinePunct w:val="0"/>
        <w:bidi w:val="0"/>
        <w:snapToGrid/>
        <w:spacing w:line="440" w:lineRule="exact"/>
        <w:ind w:firstLine="480" w:firstLineChars="200"/>
        <w:textAlignment w:val="auto"/>
        <w:outlineLvl w:val="0"/>
        <w:rPr>
          <w:rFonts w:ascii="宋体" w:hAnsi="宋体" w:cs="宋体"/>
          <w:color w:val="auto"/>
          <w:sz w:val="24"/>
          <w:szCs w:val="24"/>
          <w:highlight w:val="none"/>
        </w:rPr>
      </w:pPr>
      <w:r>
        <w:rPr>
          <w:rFonts w:hint="eastAsia" w:ascii="宋体" w:hAnsi="宋体" w:cs="宋体"/>
          <w:color w:val="auto"/>
          <w:sz w:val="24"/>
          <w:szCs w:val="24"/>
          <w:highlight w:val="none"/>
        </w:rPr>
        <w:t>1.6.2资金支付的方式、时间和条件详见</w:t>
      </w:r>
      <w:r>
        <w:rPr>
          <w:rFonts w:hint="eastAsia" w:ascii="宋体" w:hAnsi="宋体" w:cs="宋体"/>
          <w:b/>
          <w:i/>
          <w:color w:val="auto"/>
          <w:sz w:val="24"/>
          <w:szCs w:val="24"/>
          <w:highlight w:val="none"/>
          <w:u w:val="single"/>
        </w:rPr>
        <w:t>合同专用条款</w:t>
      </w:r>
      <w:r>
        <w:rPr>
          <w:rFonts w:hint="eastAsia" w:ascii="宋体" w:hAnsi="宋体" w:cs="宋体"/>
          <w:color w:val="auto"/>
          <w:sz w:val="24"/>
          <w:szCs w:val="24"/>
          <w:highlight w:val="none"/>
        </w:rPr>
        <w:t>。</w:t>
      </w:r>
    </w:p>
    <w:p>
      <w:pPr>
        <w:pageBreakBefore w:val="0"/>
        <w:kinsoku/>
        <w:wordWrap/>
        <w:overflowPunct/>
        <w:topLinePunct w:val="0"/>
        <w:bidi w:val="0"/>
        <w:snapToGrid/>
        <w:spacing w:line="440" w:lineRule="exact"/>
        <w:ind w:firstLine="482" w:firstLineChars="200"/>
        <w:textAlignment w:val="auto"/>
        <w:outlineLvl w:val="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7</w:t>
      </w:r>
      <w:r>
        <w:rPr>
          <w:rFonts w:ascii="宋体" w:hAnsi="宋体"/>
          <w:b/>
          <w:color w:val="auto"/>
          <w:sz w:val="24"/>
          <w:szCs w:val="24"/>
          <w:highlight w:val="none"/>
        </w:rPr>
        <w:t xml:space="preserve"> 履行期限</w:t>
      </w:r>
      <w:r>
        <w:rPr>
          <w:rFonts w:hint="eastAsia" w:ascii="宋体" w:hAnsi="宋体"/>
          <w:b/>
          <w:color w:val="auto"/>
          <w:sz w:val="24"/>
          <w:szCs w:val="24"/>
          <w:highlight w:val="none"/>
        </w:rPr>
        <w:t>、地点和方式</w:t>
      </w:r>
      <w:bookmarkEnd w:id="416"/>
      <w:bookmarkEnd w:id="417"/>
      <w:bookmarkEnd w:id="418"/>
      <w:bookmarkEnd w:id="419"/>
      <w:bookmarkEnd w:id="420"/>
    </w:p>
    <w:p>
      <w:pPr>
        <w:pageBreakBefore w:val="0"/>
        <w:kinsoku/>
        <w:wordWrap/>
        <w:overflowPunct/>
        <w:topLinePunct w:val="0"/>
        <w:bidi w:val="0"/>
        <w:snapToGrid/>
        <w:spacing w:line="44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标项一</w:t>
      </w:r>
    </w:p>
    <w:p>
      <w:pPr>
        <w:pageBreakBefore w:val="0"/>
        <w:kinsoku/>
        <w:wordWrap/>
        <w:overflowPunct/>
        <w:topLinePunct w:val="0"/>
        <w:bidi w:val="0"/>
        <w:snapToGrid/>
        <w:spacing w:line="440" w:lineRule="exact"/>
        <w:ind w:firstLine="480" w:firstLineChars="200"/>
        <w:textAlignment w:val="auto"/>
        <w:rPr>
          <w:rFonts w:ascii="宋体" w:hAnsi="宋体" w:cs="宋体"/>
          <w:sz w:val="24"/>
          <w:szCs w:val="24"/>
          <w:u w:val="single"/>
        </w:rPr>
      </w:pPr>
      <w:r>
        <w:rPr>
          <w:rFonts w:hint="eastAsia" w:ascii="宋体" w:hAnsi="宋体" w:cs="宋体"/>
          <w:sz w:val="24"/>
          <w:szCs w:val="24"/>
        </w:rPr>
        <w:t>1.7.1 交付期限：详见</w:t>
      </w:r>
      <w:r>
        <w:rPr>
          <w:rFonts w:hint="eastAsia" w:ascii="宋体" w:hAnsi="宋体" w:cs="宋体"/>
          <w:b/>
          <w:i/>
          <w:sz w:val="24"/>
          <w:szCs w:val="24"/>
          <w:u w:val="single"/>
        </w:rPr>
        <w:t>合同专用条款</w:t>
      </w:r>
      <w:r>
        <w:rPr>
          <w:rFonts w:hint="eastAsia" w:ascii="宋体" w:hAnsi="宋体" w:cs="宋体"/>
          <w:sz w:val="24"/>
          <w:szCs w:val="24"/>
        </w:rPr>
        <w:t>；</w:t>
      </w:r>
    </w:p>
    <w:p>
      <w:pPr>
        <w:pageBreakBefore w:val="0"/>
        <w:kinsoku/>
        <w:wordWrap/>
        <w:overflowPunct/>
        <w:topLinePunct w:val="0"/>
        <w:bidi w:val="0"/>
        <w:snapToGrid/>
        <w:spacing w:line="440" w:lineRule="exact"/>
        <w:ind w:firstLine="480" w:firstLineChars="200"/>
        <w:textAlignment w:val="auto"/>
        <w:rPr>
          <w:rFonts w:ascii="宋体" w:hAnsi="宋体" w:cs="宋体"/>
          <w:sz w:val="24"/>
          <w:szCs w:val="24"/>
        </w:rPr>
      </w:pPr>
      <w:r>
        <w:rPr>
          <w:rFonts w:hint="eastAsia" w:ascii="宋体" w:hAnsi="宋体" w:cs="宋体"/>
          <w:sz w:val="24"/>
          <w:szCs w:val="24"/>
        </w:rPr>
        <w:t>1.7.2 交付地点：</w:t>
      </w:r>
      <w:r>
        <w:rPr>
          <w:rFonts w:hint="eastAsia" w:ascii="宋体" w:hAnsi="宋体" w:cs="宋体"/>
          <w:b/>
          <w:i/>
          <w:sz w:val="24"/>
          <w:szCs w:val="24"/>
          <w:u w:val="single"/>
        </w:rPr>
        <w:t>合同专用条款</w:t>
      </w:r>
      <w:r>
        <w:rPr>
          <w:rFonts w:hint="eastAsia" w:ascii="宋体" w:hAnsi="宋体" w:cs="宋体"/>
          <w:sz w:val="24"/>
          <w:szCs w:val="24"/>
        </w:rPr>
        <w:t>；</w:t>
      </w:r>
    </w:p>
    <w:p>
      <w:pPr>
        <w:pageBreakBefore w:val="0"/>
        <w:kinsoku/>
        <w:wordWrap/>
        <w:overflowPunct/>
        <w:topLinePunct w:val="0"/>
        <w:bidi w:val="0"/>
        <w:snapToGrid/>
        <w:spacing w:line="440" w:lineRule="exact"/>
        <w:ind w:firstLine="480" w:firstLineChars="200"/>
        <w:textAlignment w:val="auto"/>
        <w:rPr>
          <w:rFonts w:hint="eastAsia" w:ascii="宋体" w:hAnsi="宋体" w:cs="宋体"/>
          <w:sz w:val="24"/>
          <w:szCs w:val="24"/>
        </w:rPr>
      </w:pPr>
      <w:r>
        <w:rPr>
          <w:rFonts w:hint="eastAsia" w:ascii="宋体" w:hAnsi="宋体" w:cs="宋体"/>
          <w:sz w:val="24"/>
          <w:szCs w:val="24"/>
        </w:rPr>
        <w:t>1.7.3 交付方式：</w:t>
      </w:r>
      <w:r>
        <w:rPr>
          <w:rFonts w:hint="eastAsia" w:ascii="宋体" w:hAnsi="宋体" w:cs="宋体"/>
          <w:b/>
          <w:i/>
          <w:sz w:val="24"/>
          <w:szCs w:val="24"/>
          <w:u w:val="single"/>
        </w:rPr>
        <w:t>合同专用条款</w:t>
      </w:r>
      <w:r>
        <w:rPr>
          <w:rFonts w:hint="eastAsia" w:ascii="宋体" w:hAnsi="宋体" w:cs="宋体"/>
          <w:sz w:val="24"/>
          <w:szCs w:val="24"/>
        </w:rPr>
        <w:t>。</w:t>
      </w:r>
    </w:p>
    <w:p>
      <w:pPr>
        <w:pageBreakBefore w:val="0"/>
        <w:kinsoku/>
        <w:wordWrap/>
        <w:overflowPunct/>
        <w:topLinePunct w:val="0"/>
        <w:bidi w:val="0"/>
        <w:snapToGrid/>
        <w:spacing w:line="440" w:lineRule="exact"/>
        <w:ind w:firstLine="482" w:firstLineChars="200"/>
        <w:textAlignment w:val="auto"/>
        <w:outlineLvl w:val="0"/>
        <w:rPr>
          <w:rFonts w:ascii="宋体" w:hAnsi="宋体"/>
          <w:color w:val="auto"/>
          <w:sz w:val="24"/>
          <w:szCs w:val="24"/>
          <w:highlight w:val="none"/>
          <w:u w:val="single"/>
        </w:rPr>
      </w:pPr>
      <w:bookmarkStart w:id="421" w:name="_Toc2375"/>
      <w:bookmarkStart w:id="422" w:name="_Toc5698"/>
      <w:bookmarkStart w:id="423" w:name="_Toc3079"/>
      <w:bookmarkStart w:id="424" w:name="_Toc24662"/>
      <w:bookmarkStart w:id="425" w:name="_Toc8586"/>
      <w:r>
        <w:rPr>
          <w:rFonts w:ascii="宋体" w:hAnsi="宋体"/>
          <w:b/>
          <w:color w:val="auto"/>
          <w:sz w:val="24"/>
          <w:szCs w:val="24"/>
          <w:highlight w:val="none"/>
        </w:rPr>
        <w:t>1.</w:t>
      </w:r>
      <w:r>
        <w:rPr>
          <w:rFonts w:hint="eastAsia" w:ascii="宋体" w:hAnsi="宋体"/>
          <w:b/>
          <w:color w:val="auto"/>
          <w:sz w:val="24"/>
          <w:szCs w:val="24"/>
          <w:highlight w:val="none"/>
        </w:rPr>
        <w:t>8违约责任</w:t>
      </w:r>
      <w:bookmarkEnd w:id="421"/>
      <w:bookmarkEnd w:id="422"/>
      <w:bookmarkEnd w:id="423"/>
      <w:bookmarkEnd w:id="424"/>
      <w:bookmarkEnd w:id="425"/>
    </w:p>
    <w:p>
      <w:pPr>
        <w:pageBreakBefore w:val="0"/>
        <w:kinsoku/>
        <w:wordWrap/>
        <w:overflowPunct/>
        <w:topLinePunct w:val="0"/>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8</w:t>
      </w:r>
      <w:r>
        <w:rPr>
          <w:rFonts w:ascii="宋体" w:hAnsi="宋体"/>
          <w:color w:val="auto"/>
          <w:sz w:val="24"/>
          <w:szCs w:val="24"/>
          <w:highlight w:val="none"/>
        </w:rPr>
        <w:t xml:space="preserve">.1 </w:t>
      </w:r>
      <w:r>
        <w:rPr>
          <w:rFonts w:hint="eastAsia" w:ascii="宋体" w:hAnsi="宋体"/>
          <w:color w:val="auto"/>
          <w:sz w:val="24"/>
          <w:szCs w:val="24"/>
          <w:highlight w:val="none"/>
        </w:rPr>
        <w:t>除不可抗力外，如果乙方没有按照本合同约定的期限、地点和方式交付货物，那么甲方可要求乙方支付违约金，违约金按每迟延交付货物一日的应交付而未交付货物价格</w:t>
      </w:r>
      <w:r>
        <w:rPr>
          <w:rFonts w:ascii="宋体" w:hAnsi="宋体"/>
          <w:color w:val="auto"/>
          <w:sz w:val="24"/>
          <w:szCs w:val="24"/>
          <w:highlight w:val="none"/>
        </w:rPr>
        <w:t>的</w:t>
      </w:r>
      <w:r>
        <w:rPr>
          <w:rFonts w:hint="eastAsia" w:ascii="宋体" w:hAnsi="宋体"/>
          <w:color w:val="auto"/>
          <w:sz w:val="24"/>
          <w:szCs w:val="24"/>
          <w:highlight w:val="none"/>
          <w:u w:val="single"/>
        </w:rPr>
        <w:t>0.05（可根据情况修改）</w:t>
      </w:r>
      <w:r>
        <w:rPr>
          <w:rFonts w:ascii="宋体" w:hAnsi="宋体"/>
          <w:color w:val="auto"/>
          <w:sz w:val="24"/>
          <w:szCs w:val="24"/>
          <w:highlight w:val="none"/>
          <w:u w:val="single"/>
        </w:rPr>
        <w:t xml:space="preserve"> </w:t>
      </w:r>
      <w:r>
        <w:rPr>
          <w:rFonts w:ascii="宋体" w:hAnsi="宋体"/>
          <w:color w:val="auto"/>
          <w:sz w:val="24"/>
          <w:szCs w:val="24"/>
          <w:highlight w:val="none"/>
        </w:rPr>
        <w:t>%计算</w:t>
      </w:r>
      <w:r>
        <w:rPr>
          <w:rFonts w:hint="eastAsia" w:ascii="宋体" w:hAnsi="宋体"/>
          <w:color w:val="auto"/>
          <w:sz w:val="24"/>
          <w:szCs w:val="24"/>
          <w:highlight w:val="none"/>
        </w:rPr>
        <w:t>，</w:t>
      </w:r>
      <w:r>
        <w:rPr>
          <w:rFonts w:ascii="宋体" w:hAnsi="宋体"/>
          <w:color w:val="auto"/>
          <w:sz w:val="24"/>
          <w:szCs w:val="24"/>
          <w:highlight w:val="none"/>
        </w:rPr>
        <w:t>最高限额为</w:t>
      </w:r>
      <w:r>
        <w:rPr>
          <w:rFonts w:hint="eastAsia" w:ascii="宋体" w:hAnsi="宋体"/>
          <w:color w:val="auto"/>
          <w:sz w:val="24"/>
          <w:szCs w:val="24"/>
          <w:highlight w:val="none"/>
        </w:rPr>
        <w:t>本</w:t>
      </w:r>
      <w:r>
        <w:rPr>
          <w:rFonts w:ascii="宋体" w:hAnsi="宋体"/>
          <w:color w:val="auto"/>
          <w:sz w:val="24"/>
          <w:szCs w:val="24"/>
          <w:highlight w:val="none"/>
        </w:rPr>
        <w:t>合同总价的</w:t>
      </w:r>
      <w:r>
        <w:rPr>
          <w:rFonts w:ascii="宋体" w:hAnsi="宋体"/>
          <w:color w:val="auto"/>
          <w:sz w:val="24"/>
          <w:szCs w:val="24"/>
          <w:highlight w:val="none"/>
          <w:u w:val="single"/>
        </w:rPr>
        <w:t xml:space="preserve">  20   </w:t>
      </w:r>
      <w:r>
        <w:rPr>
          <w:rFonts w:ascii="宋体" w:hAnsi="宋体"/>
          <w:color w:val="auto"/>
          <w:sz w:val="24"/>
          <w:szCs w:val="24"/>
          <w:highlight w:val="none"/>
        </w:rPr>
        <w:t>%</w:t>
      </w:r>
      <w:r>
        <w:rPr>
          <w:rFonts w:hint="eastAsia" w:ascii="宋体" w:hAnsi="宋体"/>
          <w:color w:val="auto"/>
          <w:sz w:val="24"/>
          <w:szCs w:val="24"/>
          <w:highlight w:val="none"/>
        </w:rPr>
        <w:t>；</w:t>
      </w:r>
      <w:r>
        <w:rPr>
          <w:rFonts w:ascii="宋体" w:hAnsi="宋体"/>
          <w:color w:val="auto"/>
          <w:sz w:val="24"/>
          <w:szCs w:val="24"/>
          <w:highlight w:val="none"/>
        </w:rPr>
        <w:t>迟延</w:t>
      </w:r>
      <w:r>
        <w:rPr>
          <w:rFonts w:hint="eastAsia" w:ascii="宋体" w:hAnsi="宋体"/>
          <w:color w:val="auto"/>
          <w:sz w:val="24"/>
          <w:szCs w:val="24"/>
          <w:highlight w:val="none"/>
        </w:rPr>
        <w:t>履行</w:t>
      </w:r>
      <w:r>
        <w:rPr>
          <w:rFonts w:ascii="宋体" w:hAnsi="宋体"/>
          <w:color w:val="auto"/>
          <w:sz w:val="24"/>
          <w:szCs w:val="24"/>
          <w:highlight w:val="none"/>
        </w:rPr>
        <w:t>的违约金计算数额达到前述最高限额之日起</w:t>
      </w:r>
      <w:r>
        <w:rPr>
          <w:rFonts w:hint="eastAsia" w:ascii="宋体" w:hAnsi="宋体"/>
          <w:color w:val="auto"/>
          <w:sz w:val="24"/>
          <w:szCs w:val="24"/>
          <w:highlight w:val="none"/>
        </w:rPr>
        <w:t>，</w:t>
      </w:r>
      <w:r>
        <w:rPr>
          <w:rFonts w:ascii="宋体" w:hAnsi="宋体"/>
          <w:color w:val="auto"/>
          <w:sz w:val="24"/>
          <w:szCs w:val="24"/>
          <w:highlight w:val="none"/>
        </w:rPr>
        <w:t>甲方有权在要求乙方支付违约金的同时</w:t>
      </w:r>
      <w:r>
        <w:rPr>
          <w:rFonts w:hint="eastAsia" w:ascii="宋体" w:hAnsi="宋体"/>
          <w:color w:val="auto"/>
          <w:sz w:val="24"/>
          <w:szCs w:val="24"/>
          <w:highlight w:val="none"/>
        </w:rPr>
        <w:t>，书面通知乙方</w:t>
      </w:r>
      <w:r>
        <w:rPr>
          <w:rFonts w:ascii="宋体" w:hAnsi="宋体"/>
          <w:color w:val="auto"/>
          <w:sz w:val="24"/>
          <w:szCs w:val="24"/>
          <w:highlight w:val="none"/>
        </w:rPr>
        <w:t>解除本合同</w:t>
      </w:r>
      <w:r>
        <w:rPr>
          <w:rFonts w:hint="eastAsia" w:ascii="宋体" w:hAnsi="宋体"/>
          <w:color w:val="auto"/>
          <w:sz w:val="24"/>
          <w:szCs w:val="24"/>
          <w:highlight w:val="none"/>
        </w:rPr>
        <w:t>；</w:t>
      </w:r>
    </w:p>
    <w:p>
      <w:pPr>
        <w:pStyle w:val="2"/>
        <w:pageBreakBefore w:val="0"/>
        <w:kinsoku/>
        <w:wordWrap/>
        <w:overflowPunct/>
        <w:topLinePunct w:val="0"/>
        <w:bidi w:val="0"/>
        <w:snapToGrid/>
        <w:spacing w:line="440" w:lineRule="exact"/>
        <w:ind w:left="0" w:firstLine="480" w:firstLineChars="200"/>
        <w:textAlignment w:val="auto"/>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1.8.2除不可抗力外，如果甲方没有按照本合同约定的付款方式付款，那么乙方可要求甲方支付违约金，违约金按每迟延付款一日的应付而未付款的</w:t>
      </w:r>
      <w:r>
        <w:rPr>
          <w:rFonts w:hint="eastAsia" w:ascii="宋体" w:hAnsi="宋体" w:eastAsia="宋体" w:cs="宋体"/>
          <w:b w:val="0"/>
          <w:bCs w:val="0"/>
          <w:color w:val="auto"/>
          <w:sz w:val="24"/>
          <w:szCs w:val="24"/>
          <w:highlight w:val="none"/>
          <w:u w:val="single"/>
          <w:lang w:val="en-US"/>
        </w:rPr>
        <w:t xml:space="preserve">  0.05（可根据情况修改）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pageBreakBefore w:val="0"/>
        <w:kinsoku/>
        <w:wordWrap/>
        <w:overflowPunct/>
        <w:topLinePunct w:val="0"/>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8</w:t>
      </w:r>
      <w:r>
        <w:rPr>
          <w:rFonts w:ascii="宋体" w:hAnsi="宋体"/>
          <w:color w:val="auto"/>
          <w:sz w:val="24"/>
          <w:szCs w:val="24"/>
          <w:highlight w:val="none"/>
        </w:rPr>
        <w:t>.</w:t>
      </w:r>
      <w:r>
        <w:rPr>
          <w:rFonts w:hint="eastAsia" w:ascii="宋体" w:hAnsi="宋体"/>
          <w:color w:val="auto"/>
          <w:sz w:val="24"/>
          <w:szCs w:val="24"/>
          <w:highlight w:val="none"/>
        </w:rPr>
        <w:t>3</w:t>
      </w:r>
      <w:r>
        <w:rPr>
          <w:rFonts w:hint="eastAsia" w:ascii="宋体" w:hAnsi="宋体" w:cs="宋体"/>
          <w:color w:val="auto"/>
          <w:sz w:val="24"/>
          <w:szCs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r>
        <w:rPr>
          <w:rFonts w:hint="eastAsia" w:ascii="宋体" w:hAnsi="宋体"/>
          <w:color w:val="auto"/>
          <w:sz w:val="24"/>
          <w:szCs w:val="24"/>
          <w:highlight w:val="none"/>
        </w:rPr>
        <w:t>；</w:t>
      </w:r>
    </w:p>
    <w:p>
      <w:pPr>
        <w:pageBreakBefore w:val="0"/>
        <w:kinsoku/>
        <w:wordWrap/>
        <w:overflowPunct/>
        <w:topLinePunct w:val="0"/>
        <w:bidi w:val="0"/>
        <w:snapToGrid/>
        <w:spacing w:line="440" w:lineRule="exact"/>
        <w:ind w:firstLine="480" w:firstLineChars="200"/>
        <w:textAlignment w:val="auto"/>
        <w:rPr>
          <w:rFonts w:ascii="宋体" w:hAnsi="宋体" w:cs="宋体"/>
          <w:color w:val="auto"/>
          <w:sz w:val="24"/>
          <w:szCs w:val="24"/>
          <w:highlight w:val="none"/>
        </w:rPr>
      </w:pPr>
      <w:bookmarkStart w:id="426" w:name="_Toc32454"/>
      <w:bookmarkStart w:id="427" w:name="_Toc30329"/>
      <w:bookmarkStart w:id="428" w:name="_Toc9497"/>
      <w:bookmarkStart w:id="429" w:name="_Toc18683"/>
      <w:bookmarkStart w:id="430" w:name="_Toc26807"/>
      <w:r>
        <w:rPr>
          <w:rFonts w:hint="eastAsia" w:ascii="宋体" w:hAnsi="宋体" w:cs="宋体"/>
          <w:color w:val="auto"/>
          <w:sz w:val="24"/>
          <w:szCs w:val="24"/>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pageBreakBefore w:val="0"/>
        <w:kinsoku/>
        <w:wordWrap/>
        <w:overflowPunct/>
        <w:topLinePunct w:val="0"/>
        <w:bidi w:val="0"/>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1.8.5 如果出现政府采购监督管理部门在处理投诉事项期间，书面通知甲方暂停采购活动的情形，或者询问或质疑事项可能影响中标或者成交结果的，导致甲方中止履行合同的情形，均不视为甲方违约；</w:t>
      </w:r>
    </w:p>
    <w:p>
      <w:pPr>
        <w:pageBreakBefore w:val="0"/>
        <w:kinsoku/>
        <w:wordWrap/>
        <w:overflowPunct/>
        <w:topLinePunct w:val="0"/>
        <w:bidi w:val="0"/>
        <w:snapToGrid/>
        <w:spacing w:line="440" w:lineRule="exact"/>
        <w:ind w:right="-420" w:rightChars="-200"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1.8.6违约责任</w:t>
      </w:r>
      <w:r>
        <w:rPr>
          <w:rFonts w:hint="eastAsia" w:ascii="宋体" w:hAnsi="宋体" w:cs="宋体"/>
          <w:b/>
          <w:i/>
          <w:color w:val="auto"/>
          <w:sz w:val="24"/>
          <w:szCs w:val="24"/>
          <w:highlight w:val="none"/>
          <w:u w:val="single"/>
        </w:rPr>
        <w:t>合同专用条款</w:t>
      </w:r>
      <w:r>
        <w:rPr>
          <w:rFonts w:hint="eastAsia" w:ascii="宋体" w:hAnsi="宋体" w:cs="宋体"/>
          <w:color w:val="auto"/>
          <w:sz w:val="24"/>
          <w:szCs w:val="24"/>
          <w:highlight w:val="none"/>
        </w:rPr>
        <w:t>另有约定的，从其约定。</w:t>
      </w:r>
    </w:p>
    <w:bookmarkEnd w:id="426"/>
    <w:bookmarkEnd w:id="427"/>
    <w:bookmarkEnd w:id="428"/>
    <w:bookmarkEnd w:id="429"/>
    <w:bookmarkEnd w:id="430"/>
    <w:p>
      <w:pPr>
        <w:pageBreakBefore w:val="0"/>
        <w:kinsoku/>
        <w:wordWrap/>
        <w:overflowPunct/>
        <w:topLinePunct w:val="0"/>
        <w:bidi w:val="0"/>
        <w:snapToGrid/>
        <w:spacing w:line="440" w:lineRule="exact"/>
        <w:ind w:firstLine="482" w:firstLineChars="200"/>
        <w:textAlignment w:val="auto"/>
        <w:outlineLvl w:val="0"/>
        <w:rPr>
          <w:rFonts w:ascii="宋体" w:hAnsi="宋体" w:cs="宋体"/>
          <w:b/>
          <w:color w:val="auto"/>
          <w:sz w:val="24"/>
          <w:szCs w:val="24"/>
          <w:highlight w:val="none"/>
        </w:rPr>
      </w:pPr>
      <w:bookmarkStart w:id="431" w:name="_Toc28375"/>
      <w:bookmarkStart w:id="432" w:name="_Toc15583"/>
      <w:bookmarkStart w:id="433" w:name="_Toc16021"/>
      <w:r>
        <w:rPr>
          <w:rFonts w:hint="eastAsia" w:ascii="宋体" w:hAnsi="宋体" w:cs="宋体"/>
          <w:b/>
          <w:color w:val="auto"/>
          <w:sz w:val="24"/>
          <w:szCs w:val="24"/>
          <w:highlight w:val="none"/>
        </w:rPr>
        <w:t>1.9合同争议的解决</w:t>
      </w:r>
      <w:bookmarkEnd w:id="431"/>
      <w:bookmarkEnd w:id="432"/>
      <w:bookmarkEnd w:id="433"/>
    </w:p>
    <w:p>
      <w:pPr>
        <w:pageBreakBefore w:val="0"/>
        <w:kinsoku/>
        <w:wordWrap/>
        <w:overflowPunct/>
        <w:topLinePunct w:val="0"/>
        <w:bidi w:val="0"/>
        <w:snapToGrid/>
        <w:spacing w:line="440" w:lineRule="exact"/>
        <w:ind w:left="-61" w:leftChars="-29" w:right="-420" w:rightChars="-200" w:firstLine="240" w:firstLineChars="100"/>
        <w:textAlignment w:val="auto"/>
        <w:rPr>
          <w:rFonts w:ascii="宋体" w:hAnsi="宋体" w:cs="宋体"/>
          <w:color w:val="auto"/>
          <w:sz w:val="24"/>
          <w:szCs w:val="24"/>
          <w:highlight w:val="none"/>
        </w:rPr>
      </w:pPr>
      <w:r>
        <w:rPr>
          <w:rFonts w:hint="eastAsia" w:ascii="宋体" w:hAnsi="宋体" w:cs="宋体"/>
          <w:color w:val="auto"/>
          <w:sz w:val="24"/>
          <w:szCs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szCs w:val="24"/>
          <w:highlight w:val="none"/>
          <w:u w:val="single"/>
        </w:rPr>
        <w:t xml:space="preserve">      </w:t>
      </w:r>
      <w:r>
        <w:rPr>
          <w:rFonts w:hint="eastAsia" w:ascii="宋体" w:hAnsi="宋体" w:cs="宋体"/>
          <w:color w:val="auto"/>
          <w:sz w:val="24"/>
          <w:szCs w:val="24"/>
          <w:highlight w:val="none"/>
        </w:rPr>
        <w:t>条款规定的方式解决：</w:t>
      </w:r>
    </w:p>
    <w:p>
      <w:pPr>
        <w:pageBreakBefore w:val="0"/>
        <w:kinsoku/>
        <w:wordWrap/>
        <w:overflowPunct/>
        <w:topLinePunct w:val="0"/>
        <w:bidi w:val="0"/>
        <w:snapToGrid/>
        <w:spacing w:line="440" w:lineRule="exact"/>
        <w:ind w:left="-420" w:leftChars="-200" w:right="-420" w:rightChars="-200" w:firstLine="600" w:firstLineChars="250"/>
        <w:textAlignment w:val="auto"/>
        <w:rPr>
          <w:rFonts w:ascii="宋体" w:hAnsi="宋体" w:cs="宋体"/>
          <w:color w:val="auto"/>
          <w:sz w:val="24"/>
          <w:szCs w:val="24"/>
          <w:highlight w:val="none"/>
        </w:rPr>
      </w:pPr>
      <w:r>
        <w:rPr>
          <w:rFonts w:hint="eastAsia" w:ascii="宋体" w:hAnsi="宋体" w:cs="宋体"/>
          <w:color w:val="auto"/>
          <w:sz w:val="24"/>
          <w:szCs w:val="24"/>
          <w:highlight w:val="none"/>
        </w:rPr>
        <w:t>1.9.1 将争议提交</w:t>
      </w:r>
      <w:r>
        <w:rPr>
          <w:rFonts w:hint="eastAsia" w:ascii="宋体" w:hAnsi="宋体" w:cs="宋体"/>
          <w:b/>
          <w:i/>
          <w:color w:val="auto"/>
          <w:sz w:val="24"/>
          <w:szCs w:val="24"/>
          <w:highlight w:val="none"/>
          <w:u w:val="single"/>
        </w:rPr>
        <w:t>合同专用条款</w:t>
      </w:r>
      <w:r>
        <w:rPr>
          <w:rFonts w:hint="eastAsia" w:ascii="宋体" w:hAnsi="宋体" w:cs="宋体"/>
          <w:color w:val="auto"/>
          <w:sz w:val="24"/>
          <w:szCs w:val="24"/>
          <w:highlight w:val="none"/>
        </w:rPr>
        <w:t>仲裁委员会依申请仲裁时其现行有效的仲裁规则裁决；</w:t>
      </w:r>
    </w:p>
    <w:p>
      <w:pPr>
        <w:pageBreakBefore w:val="0"/>
        <w:kinsoku/>
        <w:wordWrap/>
        <w:overflowPunct/>
        <w:topLinePunct w:val="0"/>
        <w:bidi w:val="0"/>
        <w:snapToGrid/>
        <w:spacing w:line="440" w:lineRule="exact"/>
        <w:ind w:left="-420" w:leftChars="-200" w:right="-420" w:rightChars="-200" w:firstLine="600" w:firstLineChars="250"/>
        <w:textAlignment w:val="auto"/>
        <w:rPr>
          <w:rFonts w:ascii="宋体" w:hAnsi="宋体" w:cs="宋体"/>
          <w:color w:val="auto"/>
          <w:sz w:val="24"/>
          <w:szCs w:val="24"/>
          <w:highlight w:val="none"/>
        </w:rPr>
      </w:pPr>
      <w:r>
        <w:rPr>
          <w:rFonts w:hint="eastAsia" w:ascii="宋体" w:hAnsi="宋体" w:cs="宋体"/>
          <w:color w:val="auto"/>
          <w:sz w:val="24"/>
          <w:szCs w:val="24"/>
          <w:highlight w:val="none"/>
        </w:rPr>
        <w:t>1.9.2 向</w:t>
      </w:r>
      <w:r>
        <w:rPr>
          <w:rFonts w:hint="eastAsia" w:ascii="宋体" w:hAnsi="宋体" w:cs="宋体"/>
          <w:b/>
          <w:i/>
          <w:color w:val="auto"/>
          <w:sz w:val="24"/>
          <w:szCs w:val="24"/>
          <w:highlight w:val="none"/>
          <w:u w:val="single"/>
        </w:rPr>
        <w:t>合同专用条款</w:t>
      </w:r>
      <w:r>
        <w:rPr>
          <w:rFonts w:hint="eastAsia" w:ascii="宋体" w:hAnsi="宋体" w:cs="宋体"/>
          <w:color w:val="auto"/>
          <w:sz w:val="24"/>
          <w:szCs w:val="24"/>
          <w:highlight w:val="none"/>
        </w:rPr>
        <w:t>人民法院起诉。</w:t>
      </w:r>
    </w:p>
    <w:p>
      <w:pPr>
        <w:pageBreakBefore w:val="0"/>
        <w:kinsoku/>
        <w:wordWrap/>
        <w:overflowPunct/>
        <w:topLinePunct w:val="0"/>
        <w:bidi w:val="0"/>
        <w:snapToGrid/>
        <w:spacing w:line="440" w:lineRule="exact"/>
        <w:ind w:firstLine="482" w:firstLineChars="200"/>
        <w:textAlignment w:val="auto"/>
        <w:outlineLvl w:val="0"/>
        <w:rPr>
          <w:rFonts w:ascii="宋体" w:hAnsi="宋体" w:cs="宋体"/>
          <w:b/>
          <w:color w:val="auto"/>
          <w:sz w:val="24"/>
          <w:szCs w:val="24"/>
          <w:highlight w:val="none"/>
        </w:rPr>
      </w:pPr>
      <w:bookmarkStart w:id="434" w:name="_Toc7245"/>
      <w:bookmarkStart w:id="435" w:name="_Toc15322"/>
      <w:bookmarkStart w:id="436" w:name="_Toc11173"/>
      <w:r>
        <w:rPr>
          <w:rFonts w:hint="eastAsia" w:ascii="宋体" w:hAnsi="宋体" w:cs="宋体"/>
          <w:b/>
          <w:color w:val="auto"/>
          <w:sz w:val="24"/>
          <w:szCs w:val="24"/>
          <w:highlight w:val="none"/>
        </w:rPr>
        <w:t>2.0 合同生效</w:t>
      </w:r>
      <w:bookmarkEnd w:id="434"/>
      <w:bookmarkEnd w:id="435"/>
      <w:bookmarkEnd w:id="436"/>
    </w:p>
    <w:p>
      <w:pPr>
        <w:pageBreakBefore w:val="0"/>
        <w:kinsoku/>
        <w:wordWrap/>
        <w:overflowPunct/>
        <w:topLinePunct w:val="0"/>
        <w:bidi w:val="0"/>
        <w:snapToGrid/>
        <w:spacing w:line="440" w:lineRule="exact"/>
        <w:ind w:firstLine="480" w:firstLineChars="200"/>
        <w:textAlignment w:val="auto"/>
        <w:rPr>
          <w:rFonts w:ascii="宋体" w:hAnsi="宋体" w:cs="宋体"/>
          <w:b/>
          <w:color w:val="auto"/>
          <w:sz w:val="24"/>
          <w:szCs w:val="24"/>
          <w:highlight w:val="none"/>
        </w:rPr>
      </w:pPr>
      <w:r>
        <w:rPr>
          <w:rFonts w:hint="eastAsia" w:ascii="宋体" w:hAnsi="宋体" w:cs="宋体"/>
          <w:color w:val="auto"/>
          <w:sz w:val="24"/>
          <w:szCs w:val="24"/>
          <w:highlight w:val="none"/>
        </w:rPr>
        <w:t>本合同自双方当事人盖章签字时生效。</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hint="eastAsia" w:ascii="宋体" w:hAnsi="宋体"/>
          <w:b/>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hint="eastAsia" w:ascii="宋体" w:hAnsi="宋体"/>
          <w:b/>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b/>
          <w:color w:val="auto"/>
          <w:sz w:val="24"/>
          <w:szCs w:val="24"/>
          <w:highlight w:val="none"/>
          <w:lang w:val="zh-CN"/>
        </w:rPr>
        <w:t>甲方</w:t>
      </w:r>
      <w:r>
        <w:rPr>
          <w:rFonts w:hint="eastAsia" w:ascii="宋体" w:hAnsi="宋体"/>
          <w:color w:val="auto"/>
          <w:sz w:val="24"/>
          <w:szCs w:val="24"/>
          <w:highlight w:val="none"/>
          <w:lang w:val="zh-CN"/>
        </w:rPr>
        <w:t>：</w:t>
      </w:r>
      <w:r>
        <w:rPr>
          <w:rFonts w:ascii="宋体" w:hAnsi="宋体"/>
          <w:color w:val="auto"/>
          <w:sz w:val="24"/>
          <w:szCs w:val="24"/>
          <w:highlight w:val="none"/>
          <w:lang w:val="zh-CN"/>
        </w:rPr>
        <w:t xml:space="preserve">                             </w:t>
      </w:r>
      <w:r>
        <w:rPr>
          <w:rFonts w:ascii="宋体" w:hAnsi="宋体"/>
          <w:b/>
          <w:color w:val="auto"/>
          <w:sz w:val="24"/>
          <w:szCs w:val="24"/>
          <w:highlight w:val="none"/>
          <w:lang w:val="zh-CN"/>
        </w:rPr>
        <w:t xml:space="preserve">      乙方</w:t>
      </w:r>
      <w:r>
        <w:rPr>
          <w:rFonts w:hint="eastAsia" w:ascii="宋体" w:hAnsi="宋体"/>
          <w:color w:val="auto"/>
          <w:sz w:val="24"/>
          <w:szCs w:val="24"/>
          <w:highlight w:val="none"/>
          <w:lang w:val="zh-CN"/>
        </w:rPr>
        <w:t>：</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统一社会信用代码：</w:t>
      </w:r>
      <w:r>
        <w:rPr>
          <w:rFonts w:ascii="宋体" w:hAnsi="宋体"/>
          <w:color w:val="auto"/>
          <w:sz w:val="24"/>
          <w:szCs w:val="24"/>
          <w:highlight w:val="none"/>
          <w:lang w:val="zh-CN"/>
        </w:rPr>
        <w:t xml:space="preserve">                        </w:t>
      </w:r>
      <w:r>
        <w:rPr>
          <w:rFonts w:hint="eastAsia" w:ascii="宋体" w:hAnsi="宋体"/>
          <w:color w:val="auto"/>
          <w:sz w:val="24"/>
          <w:szCs w:val="24"/>
          <w:highlight w:val="none"/>
          <w:lang w:val="zh-CN"/>
        </w:rPr>
        <w:t>统一社会信用代码或身份证号码：</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住所：</w:t>
      </w:r>
      <w:r>
        <w:rPr>
          <w:rFonts w:ascii="宋体" w:hAnsi="宋体"/>
          <w:color w:val="auto"/>
          <w:sz w:val="24"/>
          <w:szCs w:val="24"/>
          <w:highlight w:val="none"/>
          <w:lang w:val="zh-CN"/>
        </w:rPr>
        <w:t xml:space="preserve">                                   </w:t>
      </w:r>
      <w:r>
        <w:rPr>
          <w:rFonts w:hint="eastAsia" w:ascii="宋体" w:hAnsi="宋体"/>
          <w:color w:val="auto"/>
          <w:sz w:val="24"/>
          <w:szCs w:val="24"/>
          <w:highlight w:val="none"/>
          <w:lang w:val="zh-CN"/>
        </w:rPr>
        <w:t>住所：</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法定代表人或</w:t>
      </w:r>
      <w:r>
        <w:rPr>
          <w:rFonts w:ascii="宋体" w:hAnsi="宋体"/>
          <w:color w:val="auto"/>
          <w:sz w:val="24"/>
          <w:szCs w:val="24"/>
          <w:highlight w:val="none"/>
          <w:lang w:val="zh-CN"/>
        </w:rPr>
        <w:t xml:space="preserve">                             </w:t>
      </w:r>
      <w:r>
        <w:rPr>
          <w:rFonts w:hint="eastAsia" w:ascii="宋体" w:hAnsi="宋体"/>
          <w:color w:val="auto"/>
          <w:sz w:val="24"/>
          <w:szCs w:val="24"/>
          <w:highlight w:val="none"/>
          <w:lang w:val="zh-CN"/>
        </w:rPr>
        <w:t>法定代表人或</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授权代表（签字）：</w:t>
      </w:r>
      <w:r>
        <w:rPr>
          <w:rFonts w:ascii="宋体" w:hAnsi="宋体"/>
          <w:color w:val="auto"/>
          <w:sz w:val="24"/>
          <w:szCs w:val="24"/>
          <w:highlight w:val="none"/>
          <w:lang w:val="zh-CN"/>
        </w:rPr>
        <w:t xml:space="preserve">                       授权代表（签字）: </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联系人：</w:t>
      </w:r>
      <w:r>
        <w:rPr>
          <w:rFonts w:ascii="宋体" w:hAnsi="宋体"/>
          <w:color w:val="auto"/>
          <w:sz w:val="24"/>
          <w:szCs w:val="24"/>
          <w:highlight w:val="none"/>
          <w:lang w:val="zh-CN"/>
        </w:rPr>
        <w:t xml:space="preserve">                                 </w:t>
      </w:r>
      <w:r>
        <w:rPr>
          <w:rFonts w:hint="eastAsia" w:ascii="宋体" w:hAnsi="宋体"/>
          <w:color w:val="auto"/>
          <w:sz w:val="24"/>
          <w:szCs w:val="24"/>
          <w:highlight w:val="none"/>
          <w:lang w:val="zh-CN"/>
        </w:rPr>
        <w:t>联系人：</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约定送达地址：</w:t>
      </w:r>
      <w:r>
        <w:rPr>
          <w:rFonts w:ascii="宋体" w:hAnsi="宋体"/>
          <w:color w:val="auto"/>
          <w:sz w:val="24"/>
          <w:szCs w:val="24"/>
          <w:highlight w:val="none"/>
          <w:lang w:val="zh-CN"/>
        </w:rPr>
        <w:t xml:space="preserve">                           </w:t>
      </w:r>
      <w:r>
        <w:rPr>
          <w:rFonts w:hint="eastAsia" w:ascii="宋体" w:hAnsi="宋体"/>
          <w:color w:val="auto"/>
          <w:sz w:val="24"/>
          <w:szCs w:val="24"/>
          <w:highlight w:val="none"/>
          <w:lang w:val="zh-CN"/>
        </w:rPr>
        <w:t>约定送达地址：</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邮政编码：</w:t>
      </w:r>
      <w:r>
        <w:rPr>
          <w:rFonts w:ascii="宋体" w:hAnsi="宋体"/>
          <w:color w:val="auto"/>
          <w:sz w:val="24"/>
          <w:szCs w:val="24"/>
          <w:highlight w:val="none"/>
          <w:lang w:val="zh-CN"/>
        </w:rPr>
        <w:t xml:space="preserve">                               </w:t>
      </w:r>
      <w:r>
        <w:rPr>
          <w:rFonts w:hint="eastAsia" w:ascii="宋体" w:hAnsi="宋体"/>
          <w:color w:val="auto"/>
          <w:sz w:val="24"/>
          <w:szCs w:val="24"/>
          <w:highlight w:val="none"/>
          <w:lang w:val="zh-CN"/>
        </w:rPr>
        <w:t>邮政编码：</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电话</w:t>
      </w:r>
      <w:r>
        <w:rPr>
          <w:rFonts w:ascii="宋体" w:hAnsi="宋体"/>
          <w:color w:val="auto"/>
          <w:sz w:val="24"/>
          <w:szCs w:val="24"/>
          <w:highlight w:val="none"/>
          <w:lang w:val="zh-CN"/>
        </w:rPr>
        <w:t xml:space="preserve">:                                    电话: </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r>
        <w:rPr>
          <w:rFonts w:hint="eastAsia" w:ascii="宋体" w:hAnsi="宋体"/>
          <w:color w:val="auto"/>
          <w:sz w:val="24"/>
          <w:szCs w:val="24"/>
          <w:highlight w:val="none"/>
          <w:lang w:val="zh-CN"/>
        </w:rPr>
        <w:t>传真</w:t>
      </w:r>
      <w:r>
        <w:rPr>
          <w:rFonts w:ascii="宋体" w:hAnsi="宋体"/>
          <w:color w:val="auto"/>
          <w:sz w:val="24"/>
          <w:szCs w:val="24"/>
          <w:highlight w:val="none"/>
          <w:lang w:val="zh-CN"/>
        </w:rPr>
        <w:t xml:space="preserve">:                                    </w:t>
      </w:r>
      <w:r>
        <w:rPr>
          <w:rFonts w:hint="eastAsia" w:ascii="宋体" w:hAnsi="宋体"/>
          <w:color w:val="auto"/>
          <w:sz w:val="24"/>
          <w:szCs w:val="24"/>
          <w:highlight w:val="none"/>
          <w:lang w:val="zh-CN"/>
        </w:rPr>
        <w:t>传真</w:t>
      </w:r>
      <w:r>
        <w:rPr>
          <w:rFonts w:ascii="宋体" w:hAnsi="宋体"/>
          <w:color w:val="auto"/>
          <w:sz w:val="24"/>
          <w:szCs w:val="24"/>
          <w:highlight w:val="none"/>
          <w:lang w:val="zh-CN"/>
        </w:rPr>
        <w:t>:</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rPr>
      </w:pPr>
      <w:r>
        <w:rPr>
          <w:rFonts w:hint="eastAsia" w:ascii="宋体" w:hAnsi="宋体"/>
          <w:color w:val="auto"/>
          <w:sz w:val="24"/>
          <w:szCs w:val="24"/>
          <w:highlight w:val="none"/>
          <w:lang w:val="zh-CN"/>
        </w:rPr>
        <w:t>电子邮箱：</w:t>
      </w:r>
      <w:r>
        <w:rPr>
          <w:rFonts w:ascii="宋体" w:hAnsi="宋体"/>
          <w:color w:val="auto"/>
          <w:sz w:val="24"/>
          <w:szCs w:val="24"/>
          <w:highlight w:val="none"/>
          <w:lang w:val="zh-CN"/>
        </w:rPr>
        <w:t xml:space="preserve">                               </w:t>
      </w:r>
      <w:r>
        <w:rPr>
          <w:rFonts w:hint="eastAsia" w:ascii="宋体" w:hAnsi="宋体"/>
          <w:color w:val="auto"/>
          <w:sz w:val="24"/>
          <w:szCs w:val="24"/>
          <w:highlight w:val="none"/>
          <w:lang w:val="zh-CN"/>
        </w:rPr>
        <w:t>电子邮箱：</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rPr>
      </w:pPr>
      <w:r>
        <w:rPr>
          <w:rFonts w:hint="eastAsia" w:ascii="宋体" w:hAnsi="宋体"/>
          <w:color w:val="auto"/>
          <w:sz w:val="24"/>
          <w:szCs w:val="24"/>
          <w:highlight w:val="none"/>
        </w:rPr>
        <w:t>开户银行：</w:t>
      </w:r>
      <w:r>
        <w:rPr>
          <w:rFonts w:ascii="宋体" w:hAnsi="宋体"/>
          <w:color w:val="auto"/>
          <w:sz w:val="24"/>
          <w:szCs w:val="24"/>
          <w:highlight w:val="none"/>
        </w:rPr>
        <w:t xml:space="preserve">                               开户银行： </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rPr>
      </w:pPr>
      <w:r>
        <w:rPr>
          <w:rFonts w:hint="eastAsia" w:ascii="宋体" w:hAnsi="宋体"/>
          <w:color w:val="auto"/>
          <w:sz w:val="24"/>
          <w:szCs w:val="24"/>
          <w:highlight w:val="none"/>
        </w:rPr>
        <w:t>开户名称：</w:t>
      </w:r>
      <w:r>
        <w:rPr>
          <w:rFonts w:ascii="宋体" w:hAnsi="宋体"/>
          <w:color w:val="auto"/>
          <w:sz w:val="24"/>
          <w:szCs w:val="24"/>
          <w:highlight w:val="none"/>
        </w:rPr>
        <w:t xml:space="preserve">                               开户名称： </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rPr>
      </w:pPr>
      <w:r>
        <w:rPr>
          <w:rFonts w:hint="eastAsia" w:ascii="宋体" w:hAnsi="宋体"/>
          <w:color w:val="auto"/>
          <w:sz w:val="24"/>
          <w:szCs w:val="24"/>
          <w:highlight w:val="none"/>
        </w:rPr>
        <w:t>开户账号：</w:t>
      </w:r>
      <w:r>
        <w:rPr>
          <w:rFonts w:ascii="宋体" w:hAnsi="宋体"/>
          <w:color w:val="auto"/>
          <w:sz w:val="24"/>
          <w:szCs w:val="24"/>
          <w:highlight w:val="none"/>
          <w:lang w:val="zh-CN"/>
        </w:rPr>
        <w:t xml:space="preserve">                               </w:t>
      </w:r>
      <w:r>
        <w:rPr>
          <w:rFonts w:hint="eastAsia" w:ascii="宋体" w:hAnsi="宋体"/>
          <w:color w:val="auto"/>
          <w:sz w:val="24"/>
          <w:szCs w:val="24"/>
          <w:highlight w:val="none"/>
        </w:rPr>
        <w:t>开户账号：</w:t>
      </w: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ageBreakBefore w:val="0"/>
        <w:kinsoku/>
        <w:wordWrap/>
        <w:overflowPunct/>
        <w:topLinePunct w:val="0"/>
        <w:autoSpaceDE w:val="0"/>
        <w:autoSpaceDN w:val="0"/>
        <w:bidi w:val="0"/>
        <w:snapToGrid/>
        <w:spacing w:line="440" w:lineRule="exact"/>
        <w:textAlignment w:val="auto"/>
        <w:rPr>
          <w:rFonts w:ascii="宋体" w:hAnsi="宋体"/>
          <w:color w:val="auto"/>
          <w:sz w:val="24"/>
          <w:szCs w:val="24"/>
          <w:highlight w:val="none"/>
          <w:lang w:val="zh-CN"/>
        </w:rPr>
      </w:pPr>
    </w:p>
    <w:p>
      <w:pPr>
        <w:pStyle w:val="700"/>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37" w:name="_Toc14021"/>
      <w:bookmarkStart w:id="438" w:name="_Toc19680"/>
      <w:bookmarkStart w:id="439" w:name="_Toc5228"/>
      <w:bookmarkStart w:id="440" w:name="_Toc25079"/>
      <w:bookmarkStart w:id="441" w:name="_Toc31297"/>
      <w:r>
        <w:rPr>
          <w:rFonts w:ascii="宋体" w:hAnsi="宋体"/>
          <w:b/>
          <w:color w:val="auto"/>
          <w:sz w:val="24"/>
          <w:szCs w:val="24"/>
          <w:highlight w:val="none"/>
        </w:rPr>
        <w:t>2.1 定义</w:t>
      </w:r>
      <w:bookmarkEnd w:id="437"/>
      <w:bookmarkEnd w:id="438"/>
      <w:bookmarkEnd w:id="439"/>
      <w:bookmarkEnd w:id="440"/>
      <w:bookmarkEnd w:id="441"/>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本合同中的下列</w:t>
      </w:r>
      <w:r>
        <w:rPr>
          <w:rFonts w:hint="eastAsia" w:ascii="宋体" w:hAnsi="宋体"/>
          <w:color w:val="auto"/>
          <w:sz w:val="24"/>
          <w:szCs w:val="24"/>
          <w:highlight w:val="none"/>
        </w:rPr>
        <w:t>词</w:t>
      </w:r>
      <w:r>
        <w:rPr>
          <w:rFonts w:ascii="宋体" w:hAnsi="宋体"/>
          <w:color w:val="auto"/>
          <w:sz w:val="24"/>
          <w:szCs w:val="24"/>
          <w:highlight w:val="none"/>
        </w:rPr>
        <w:t>语应</w:t>
      </w:r>
      <w:r>
        <w:rPr>
          <w:rFonts w:hint="eastAsia" w:ascii="宋体" w:hAnsi="宋体"/>
          <w:color w:val="auto"/>
          <w:sz w:val="24"/>
          <w:szCs w:val="24"/>
          <w:highlight w:val="none"/>
        </w:rPr>
        <w:t>按以下内容进行</w:t>
      </w:r>
      <w:r>
        <w:rPr>
          <w:rFonts w:ascii="宋体" w:hAnsi="宋体"/>
          <w:color w:val="auto"/>
          <w:sz w:val="24"/>
          <w:szCs w:val="24"/>
          <w:highlight w:val="none"/>
        </w:rPr>
        <w:t>解释：</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ascii="宋体" w:hAnsi="宋体"/>
          <w:color w:val="auto"/>
          <w:sz w:val="24"/>
          <w:szCs w:val="24"/>
          <w:highlight w:val="none"/>
        </w:rPr>
        <w:t xml:space="preserve">2.1.1 </w:t>
      </w:r>
      <w:r>
        <w:rPr>
          <w:rFonts w:hint="eastAsia" w:ascii="宋体" w:hAnsi="宋体"/>
          <w:color w:val="auto"/>
          <w:sz w:val="24"/>
          <w:szCs w:val="24"/>
          <w:highlight w:val="none"/>
        </w:rPr>
        <w:t>“合同”系指采购人和中标或成交供应商签订的载明双方当事人所达成的协议，并包括所有的附件、附录和构成合同的其他文件。</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hint="eastAsia" w:ascii="宋体" w:hAnsi="宋体"/>
          <w:color w:val="auto"/>
          <w:sz w:val="24"/>
          <w:szCs w:val="24"/>
          <w:highlight w:val="none"/>
        </w:rPr>
        <w:t>2.1.2 “合同价”系指根据合同约定，中标或成交供应商在完全履行合同义务后，采购人应支付给中标或成交供应商的价格。</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hint="eastAsia" w:ascii="宋体" w:hAnsi="宋体"/>
          <w:color w:val="auto"/>
          <w:sz w:val="24"/>
          <w:szCs w:val="24"/>
          <w:highlight w:val="none"/>
        </w:rPr>
        <w:t>2.1.3 “货物”系指中标或成交供应商根据合同约定应向采购人交付的一切各种形态和种类的物品，包括原材料、燃料、设备、机械、仪表、备件、计算机软件、产品等，并包括工具、手册等其他相关资料。</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hint="eastAsia" w:ascii="宋体" w:hAnsi="宋体"/>
          <w:color w:val="auto"/>
          <w:sz w:val="24"/>
          <w:szCs w:val="24"/>
          <w:highlight w:val="none"/>
        </w:rPr>
        <w:t>2.1.4 “甲方”系指与中标或成交供应商签署合同的采购人；采购人委托采购代理机构代表其与乙方签订合同的，采购人的授权委托书作为合同附件。</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hint="eastAsia" w:ascii="宋体" w:hAnsi="宋体"/>
          <w:color w:val="auto"/>
          <w:sz w:val="24"/>
          <w:szCs w:val="24"/>
          <w:highlight w:val="none"/>
        </w:rPr>
        <w:t>2.1.5 “乙方”系指根据合同约定交付货物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hint="eastAsia" w:ascii="宋体" w:hAnsi="宋体"/>
          <w:color w:val="auto"/>
          <w:sz w:val="24"/>
          <w:szCs w:val="24"/>
          <w:highlight w:val="none"/>
        </w:rPr>
        <w:t>2.1.6 “现场”系指合同约定货物将要运至或者安装的地点</w:t>
      </w:r>
      <w:r>
        <w:rPr>
          <w:rFonts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42" w:name="_Toc19539"/>
      <w:bookmarkStart w:id="443" w:name="_Toc31402"/>
      <w:bookmarkStart w:id="444" w:name="_Toc16752"/>
      <w:bookmarkStart w:id="445" w:name="_Toc23289"/>
      <w:bookmarkStart w:id="446" w:name="_Toc3769"/>
      <w:r>
        <w:rPr>
          <w:rFonts w:ascii="宋体" w:hAnsi="宋体"/>
          <w:b/>
          <w:color w:val="auto"/>
          <w:sz w:val="24"/>
          <w:szCs w:val="24"/>
          <w:highlight w:val="none"/>
        </w:rPr>
        <w:t>2.2 技术规范</w:t>
      </w:r>
      <w:bookmarkEnd w:id="442"/>
      <w:bookmarkEnd w:id="443"/>
      <w:bookmarkEnd w:id="444"/>
      <w:bookmarkEnd w:id="445"/>
      <w:bookmarkEnd w:id="446"/>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hint="eastAsia" w:ascii="宋体" w:hAnsi="宋体"/>
          <w:color w:val="auto"/>
          <w:sz w:val="24"/>
          <w:szCs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r>
        <w:rPr>
          <w:rFonts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47" w:name="_Toc12412"/>
      <w:bookmarkStart w:id="448" w:name="_Toc4133"/>
      <w:bookmarkStart w:id="449" w:name="_Toc27945"/>
      <w:bookmarkStart w:id="450" w:name="_Toc9161"/>
      <w:bookmarkStart w:id="451" w:name="_Toc13673"/>
      <w:r>
        <w:rPr>
          <w:rFonts w:ascii="宋体" w:hAnsi="宋体"/>
          <w:b/>
          <w:color w:val="auto"/>
          <w:sz w:val="24"/>
          <w:szCs w:val="24"/>
          <w:highlight w:val="none"/>
        </w:rPr>
        <w:t>2.3 知识产权</w:t>
      </w:r>
      <w:bookmarkEnd w:id="447"/>
      <w:bookmarkEnd w:id="448"/>
      <w:bookmarkEnd w:id="449"/>
      <w:bookmarkEnd w:id="450"/>
      <w:bookmarkEnd w:id="451"/>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 xml:space="preserve">2.3.1 </w:t>
      </w:r>
      <w:r>
        <w:rPr>
          <w:rFonts w:hint="eastAsia" w:ascii="宋体" w:hAnsi="宋体"/>
          <w:color w:val="auto"/>
          <w:sz w:val="24"/>
          <w:szCs w:val="24"/>
          <w:highlight w:val="none"/>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 xml:space="preserve">2.3.2 </w:t>
      </w:r>
      <w:r>
        <w:rPr>
          <w:rFonts w:hint="eastAsia" w:ascii="宋体" w:hAnsi="宋体"/>
          <w:color w:val="auto"/>
          <w:sz w:val="24"/>
          <w:szCs w:val="24"/>
          <w:highlight w:val="none"/>
        </w:rPr>
        <w:t>具有知识产权的计算机软件等货物的知识产权归属，</w:t>
      </w:r>
      <w:r>
        <w:rPr>
          <w:rFonts w:ascii="宋体" w:hAnsi="宋体"/>
          <w:color w:val="auto"/>
          <w:sz w:val="24"/>
          <w:szCs w:val="24"/>
          <w:highlight w:val="none"/>
        </w:rPr>
        <w:t>详见</w:t>
      </w:r>
      <w:r>
        <w:rPr>
          <w:rFonts w:ascii="宋体" w:hAnsi="宋体"/>
          <w:b/>
          <w:i/>
          <w:color w:val="auto"/>
          <w:sz w:val="24"/>
          <w:szCs w:val="24"/>
          <w:highlight w:val="none"/>
          <w:u w:val="single"/>
        </w:rPr>
        <w:t>合同专用条款</w:t>
      </w:r>
      <w:r>
        <w:rPr>
          <w:rFonts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cs="宋体"/>
          <w:b/>
          <w:sz w:val="24"/>
          <w:szCs w:val="24"/>
        </w:rPr>
      </w:pPr>
      <w:bookmarkStart w:id="452" w:name="_Toc11932"/>
      <w:bookmarkStart w:id="453" w:name="_Toc29149"/>
      <w:bookmarkStart w:id="454" w:name="_Toc4194"/>
      <w:r>
        <w:rPr>
          <w:rFonts w:hint="eastAsia" w:ascii="宋体" w:hAnsi="宋体" w:cs="宋体"/>
          <w:b/>
          <w:sz w:val="24"/>
          <w:szCs w:val="24"/>
        </w:rPr>
        <w:t>2.4 包装和装运</w:t>
      </w:r>
      <w:bookmarkEnd w:id="452"/>
      <w:bookmarkEnd w:id="453"/>
      <w:bookmarkEnd w:id="454"/>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s="宋体"/>
          <w:sz w:val="24"/>
          <w:szCs w:val="24"/>
        </w:rPr>
      </w:pPr>
      <w:r>
        <w:rPr>
          <w:rFonts w:hint="eastAsia" w:ascii="宋体" w:hAnsi="宋体" w:cs="宋体"/>
          <w:sz w:val="24"/>
          <w:szCs w:val="24"/>
        </w:rPr>
        <w:t>2.4.1除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sz w:val="24"/>
          <w:szCs w:val="24"/>
        </w:rPr>
      </w:pPr>
      <w:r>
        <w:rPr>
          <w:rFonts w:hint="eastAsia" w:ascii="宋体" w:hAnsi="宋体" w:cs="宋体"/>
          <w:sz w:val="24"/>
          <w:szCs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s="宋体"/>
          <w:sz w:val="24"/>
          <w:szCs w:val="24"/>
        </w:rPr>
      </w:pPr>
      <w:r>
        <w:rPr>
          <w:rFonts w:hint="eastAsia" w:ascii="宋体" w:hAnsi="宋体" w:cs="宋体"/>
          <w:sz w:val="24"/>
          <w:szCs w:val="24"/>
        </w:rPr>
        <w:t>2.4.3 装运货物的要求和通知，详见</w:t>
      </w:r>
      <w:r>
        <w:rPr>
          <w:rFonts w:hint="eastAsia" w:ascii="宋体" w:hAnsi="宋体" w:cs="宋体"/>
          <w:b/>
          <w:i/>
          <w:sz w:val="24"/>
          <w:szCs w:val="24"/>
          <w:u w:val="single"/>
        </w:rPr>
        <w:t>合同专用条款</w:t>
      </w:r>
      <w:r>
        <w:rPr>
          <w:rFonts w:hint="eastAsia" w:ascii="宋体" w:hAnsi="宋体" w:cs="宋体"/>
          <w:sz w:val="24"/>
          <w:szCs w:val="24"/>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ascii="宋体" w:hAnsi="宋体"/>
          <w:b/>
          <w:color w:val="auto"/>
          <w:sz w:val="24"/>
          <w:szCs w:val="24"/>
          <w:highlight w:val="none"/>
        </w:rPr>
      </w:pPr>
      <w:r>
        <w:rPr>
          <w:rFonts w:ascii="宋体" w:hAnsi="宋体"/>
          <w:b/>
          <w:color w:val="auto"/>
          <w:sz w:val="24"/>
          <w:szCs w:val="24"/>
          <w:highlight w:val="none"/>
        </w:rPr>
        <w:t>2.</w:t>
      </w:r>
      <w:r>
        <w:rPr>
          <w:rFonts w:hint="eastAsia" w:ascii="宋体" w:hAnsi="宋体"/>
          <w:b/>
          <w:color w:val="auto"/>
          <w:sz w:val="24"/>
          <w:szCs w:val="24"/>
          <w:highlight w:val="none"/>
          <w:lang w:val="en-US" w:eastAsia="zh-CN"/>
        </w:rPr>
        <w:t>5</w:t>
      </w:r>
      <w:r>
        <w:rPr>
          <w:rFonts w:ascii="宋体" w:hAnsi="宋体"/>
          <w:b/>
          <w:color w:val="auto"/>
          <w:sz w:val="24"/>
          <w:szCs w:val="24"/>
          <w:highlight w:val="none"/>
        </w:rPr>
        <w:t xml:space="preserve"> </w:t>
      </w:r>
      <w:r>
        <w:rPr>
          <w:rFonts w:hint="eastAsia" w:ascii="宋体" w:hAnsi="宋体"/>
          <w:b/>
          <w:color w:val="auto"/>
          <w:sz w:val="24"/>
          <w:szCs w:val="24"/>
          <w:highlight w:val="none"/>
        </w:rPr>
        <w:t>履约检查和问题反馈</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lang w:val="en-US" w:eastAsia="zh-CN"/>
        </w:rPr>
        <w:t>5</w:t>
      </w:r>
      <w:r>
        <w:rPr>
          <w:rFonts w:ascii="宋体" w:hAnsi="宋体"/>
          <w:color w:val="auto"/>
          <w:sz w:val="24"/>
          <w:szCs w:val="24"/>
          <w:highlight w:val="none"/>
        </w:rPr>
        <w:t>.1</w:t>
      </w:r>
      <w:r>
        <w:rPr>
          <w:rFonts w:hint="eastAsia" w:ascii="宋体" w:hAnsi="宋体"/>
          <w:color w:val="auto"/>
          <w:sz w:val="24"/>
          <w:szCs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hint="eastAsia" w:ascii="宋体" w:hAnsi="宋体"/>
          <w:color w:val="auto"/>
          <w:sz w:val="24"/>
          <w:szCs w:val="24"/>
          <w:highlight w:val="none"/>
        </w:rPr>
        <w:t>2.5.2 合同履行期间，甲方有权将履行过程中出现的问题反馈给乙方，双方当事人应以书面形式约定需要完善和改进的内容。</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55" w:name="_Toc26555"/>
      <w:bookmarkStart w:id="456" w:name="_Toc31233"/>
      <w:bookmarkStart w:id="457" w:name="_Toc15447"/>
      <w:bookmarkStart w:id="458" w:name="_Toc32670"/>
      <w:bookmarkStart w:id="459" w:name="_Toc22011"/>
      <w:r>
        <w:rPr>
          <w:rFonts w:ascii="宋体" w:hAnsi="宋体"/>
          <w:b/>
          <w:color w:val="auto"/>
          <w:sz w:val="24"/>
          <w:szCs w:val="24"/>
          <w:highlight w:val="none"/>
        </w:rPr>
        <w:t>2.</w:t>
      </w:r>
      <w:r>
        <w:rPr>
          <w:rFonts w:hint="eastAsia" w:ascii="宋体" w:hAnsi="宋体"/>
          <w:b/>
          <w:color w:val="auto"/>
          <w:sz w:val="24"/>
          <w:szCs w:val="24"/>
          <w:highlight w:val="none"/>
          <w:lang w:val="en-US" w:eastAsia="zh-CN"/>
        </w:rPr>
        <w:t>6</w:t>
      </w:r>
      <w:r>
        <w:rPr>
          <w:rFonts w:ascii="宋体" w:hAnsi="宋体"/>
          <w:b/>
          <w:color w:val="auto"/>
          <w:sz w:val="24"/>
          <w:szCs w:val="24"/>
          <w:highlight w:val="none"/>
        </w:rPr>
        <w:t xml:space="preserve"> 结算方式和付款条件</w:t>
      </w:r>
      <w:bookmarkEnd w:id="455"/>
      <w:bookmarkEnd w:id="456"/>
      <w:bookmarkEnd w:id="457"/>
      <w:bookmarkEnd w:id="458"/>
      <w:bookmarkEnd w:id="459"/>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详见</w:t>
      </w:r>
      <w:r>
        <w:rPr>
          <w:rFonts w:ascii="宋体" w:hAnsi="宋体"/>
          <w:b/>
          <w:i/>
          <w:color w:val="auto"/>
          <w:sz w:val="24"/>
          <w:szCs w:val="24"/>
          <w:highlight w:val="none"/>
          <w:u w:val="single"/>
        </w:rPr>
        <w:t>合同专用条款</w:t>
      </w:r>
      <w:r>
        <w:rPr>
          <w:rFonts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60" w:name="_Toc13467"/>
      <w:bookmarkStart w:id="461" w:name="_Toc30507"/>
      <w:bookmarkStart w:id="462" w:name="_Toc16163"/>
      <w:bookmarkStart w:id="463" w:name="_Toc13154"/>
      <w:bookmarkStart w:id="464" w:name="_Toc18990"/>
      <w:r>
        <w:rPr>
          <w:rFonts w:ascii="宋体" w:hAnsi="宋体"/>
          <w:b/>
          <w:color w:val="auto"/>
          <w:sz w:val="24"/>
          <w:szCs w:val="24"/>
          <w:highlight w:val="none"/>
        </w:rPr>
        <w:t>2.</w:t>
      </w:r>
      <w:r>
        <w:rPr>
          <w:rFonts w:hint="eastAsia" w:ascii="宋体" w:hAnsi="宋体"/>
          <w:b/>
          <w:color w:val="auto"/>
          <w:sz w:val="24"/>
          <w:szCs w:val="24"/>
          <w:highlight w:val="none"/>
          <w:lang w:val="en-US" w:eastAsia="zh-CN"/>
        </w:rPr>
        <w:t>7</w:t>
      </w:r>
      <w:r>
        <w:rPr>
          <w:rFonts w:ascii="宋体" w:hAnsi="宋体"/>
          <w:b/>
          <w:color w:val="auto"/>
          <w:sz w:val="24"/>
          <w:szCs w:val="24"/>
          <w:highlight w:val="none"/>
        </w:rPr>
        <w:t xml:space="preserve"> 技术资料和保密义务</w:t>
      </w:r>
      <w:bookmarkEnd w:id="460"/>
      <w:bookmarkEnd w:id="461"/>
      <w:bookmarkEnd w:id="462"/>
      <w:bookmarkEnd w:id="463"/>
      <w:bookmarkEnd w:id="464"/>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lang w:val="en-US" w:eastAsia="zh-CN"/>
        </w:rPr>
        <w:t>7</w:t>
      </w:r>
      <w:r>
        <w:rPr>
          <w:rFonts w:ascii="宋体" w:hAnsi="宋体"/>
          <w:color w:val="auto"/>
          <w:sz w:val="24"/>
          <w:szCs w:val="24"/>
          <w:highlight w:val="none"/>
        </w:rPr>
        <w:t xml:space="preserve">.1 </w:t>
      </w:r>
      <w:r>
        <w:rPr>
          <w:rFonts w:hint="eastAsia" w:ascii="宋体" w:hAnsi="宋体"/>
          <w:color w:val="auto"/>
          <w:sz w:val="24"/>
          <w:szCs w:val="24"/>
          <w:highlight w:val="none"/>
        </w:rPr>
        <w:t>乙方有权依据合同约定和项目需要，向甲方了解有关情况，调阅有关资料等，甲方应予积极配合；</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hint="eastAsia" w:ascii="宋体" w:hAnsi="宋体"/>
          <w:color w:val="auto"/>
          <w:sz w:val="24"/>
          <w:szCs w:val="24"/>
          <w:highlight w:val="none"/>
        </w:rPr>
        <w:t>2.6.2 乙方有义务妥善保管和保护由甲方提供的前款信息和资料等；</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hint="eastAsia" w:ascii="宋体" w:hAnsi="宋体"/>
          <w:color w:val="auto"/>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65" w:name="_Toc19069"/>
      <w:r>
        <w:rPr>
          <w:rFonts w:ascii="宋体" w:hAnsi="宋体"/>
          <w:b/>
          <w:color w:val="auto"/>
          <w:sz w:val="24"/>
          <w:szCs w:val="24"/>
          <w:highlight w:val="none"/>
        </w:rPr>
        <w:t>2.</w:t>
      </w:r>
      <w:r>
        <w:rPr>
          <w:rFonts w:hint="eastAsia" w:ascii="宋体" w:hAnsi="宋体"/>
          <w:b/>
          <w:color w:val="auto"/>
          <w:sz w:val="24"/>
          <w:szCs w:val="24"/>
          <w:highlight w:val="none"/>
          <w:lang w:val="en-US" w:eastAsia="zh-CN"/>
        </w:rPr>
        <w:t>8</w:t>
      </w:r>
      <w:r>
        <w:rPr>
          <w:rFonts w:ascii="宋体" w:hAnsi="宋体"/>
          <w:b/>
          <w:color w:val="auto"/>
          <w:sz w:val="24"/>
          <w:szCs w:val="24"/>
          <w:highlight w:val="none"/>
        </w:rPr>
        <w:t xml:space="preserve"> </w:t>
      </w:r>
      <w:r>
        <w:rPr>
          <w:rFonts w:hint="eastAsia" w:ascii="宋体" w:hAnsi="宋体"/>
          <w:b/>
          <w:color w:val="auto"/>
          <w:sz w:val="24"/>
          <w:szCs w:val="24"/>
          <w:highlight w:val="none"/>
        </w:rPr>
        <w:t>质量保证</w:t>
      </w:r>
      <w:bookmarkEnd w:id="465"/>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lang w:val="en-US" w:eastAsia="zh-CN"/>
        </w:rPr>
        <w:t>8</w:t>
      </w:r>
      <w:r>
        <w:rPr>
          <w:rFonts w:ascii="宋体" w:hAnsi="宋体"/>
          <w:color w:val="auto"/>
          <w:sz w:val="24"/>
          <w:szCs w:val="24"/>
          <w:highlight w:val="none"/>
        </w:rPr>
        <w:t xml:space="preserve">.1 </w:t>
      </w:r>
      <w:r>
        <w:rPr>
          <w:rFonts w:hint="eastAsia" w:ascii="宋体" w:hAnsi="宋体"/>
          <w:color w:val="auto"/>
          <w:sz w:val="24"/>
          <w:szCs w:val="24"/>
          <w:highlight w:val="none"/>
        </w:rPr>
        <w:t>乙方应建立和完善履行合同的内部质量保证体系，并提供相关内部规章制度给甲方，以便甲方进行监督检查；</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hint="eastAsia" w:ascii="宋体" w:hAnsi="宋体"/>
          <w:color w:val="auto"/>
          <w:sz w:val="24"/>
          <w:szCs w:val="24"/>
          <w:highlight w:val="none"/>
        </w:rPr>
        <w:t>2.7.2 乙方应保证履行合同的人员数量和素质、软件和硬件设备的配置、场地、环境和设施等满足全面履行合同的要求，并应接受甲方的监督检查。</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cs="宋体"/>
          <w:b/>
          <w:sz w:val="24"/>
          <w:szCs w:val="24"/>
        </w:rPr>
      </w:pPr>
      <w:bookmarkStart w:id="466" w:name="_Toc17244"/>
      <w:bookmarkStart w:id="467" w:name="_Toc22267"/>
      <w:r>
        <w:rPr>
          <w:rFonts w:hint="eastAsia" w:ascii="宋体" w:hAnsi="宋体" w:cs="宋体"/>
          <w:b/>
          <w:sz w:val="24"/>
          <w:szCs w:val="24"/>
        </w:rPr>
        <w:t>2.</w:t>
      </w:r>
      <w:r>
        <w:rPr>
          <w:rFonts w:hint="eastAsia" w:ascii="宋体" w:hAnsi="宋体" w:cs="宋体"/>
          <w:b/>
          <w:sz w:val="24"/>
          <w:szCs w:val="24"/>
          <w:lang w:val="en-US" w:eastAsia="zh-CN"/>
        </w:rPr>
        <w:t>9</w:t>
      </w:r>
      <w:r>
        <w:rPr>
          <w:rFonts w:hint="eastAsia" w:ascii="宋体" w:hAnsi="宋体" w:cs="宋体"/>
          <w:b/>
          <w:sz w:val="24"/>
          <w:szCs w:val="24"/>
        </w:rPr>
        <w:t xml:space="preserve"> 货物的风险负担</w:t>
      </w:r>
      <w:bookmarkEnd w:id="466"/>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outlineLvl w:val="0"/>
        <w:rPr>
          <w:rFonts w:hint="eastAsia" w:ascii="宋体" w:hAnsi="宋体" w:cs="宋体"/>
          <w:sz w:val="24"/>
          <w:szCs w:val="24"/>
        </w:rPr>
      </w:pPr>
      <w:r>
        <w:rPr>
          <w:rFonts w:hint="eastAsia" w:ascii="宋体" w:hAnsi="宋体" w:cs="宋体"/>
          <w:sz w:val="24"/>
          <w:szCs w:val="24"/>
        </w:rPr>
        <w:t>货物或者在途货物或者交付给第一承运人后的货物毁损、灭失的风险负担详见</w:t>
      </w:r>
      <w:r>
        <w:rPr>
          <w:rFonts w:hint="eastAsia" w:ascii="宋体" w:hAnsi="宋体" w:cs="宋体"/>
          <w:b/>
          <w:i/>
          <w:sz w:val="24"/>
          <w:szCs w:val="24"/>
          <w:u w:val="single"/>
        </w:rPr>
        <w:t>合同专用条款</w:t>
      </w:r>
      <w:r>
        <w:rPr>
          <w:rFonts w:hint="eastAsia" w:ascii="宋体" w:hAnsi="宋体" w:cs="宋体"/>
          <w:sz w:val="24"/>
          <w:szCs w:val="24"/>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r>
        <w:rPr>
          <w:rFonts w:ascii="宋体" w:hAnsi="宋体"/>
          <w:b/>
          <w:color w:val="auto"/>
          <w:sz w:val="24"/>
          <w:szCs w:val="24"/>
          <w:highlight w:val="none"/>
        </w:rPr>
        <w:t>2.</w:t>
      </w:r>
      <w:r>
        <w:rPr>
          <w:rFonts w:hint="eastAsia" w:ascii="宋体" w:hAnsi="宋体"/>
          <w:b/>
          <w:color w:val="auto"/>
          <w:sz w:val="24"/>
          <w:szCs w:val="24"/>
          <w:highlight w:val="none"/>
          <w:lang w:val="en-US" w:eastAsia="zh-CN"/>
        </w:rPr>
        <w:t>10</w:t>
      </w:r>
      <w:r>
        <w:rPr>
          <w:rFonts w:ascii="宋体" w:hAnsi="宋体"/>
          <w:b/>
          <w:color w:val="auto"/>
          <w:sz w:val="24"/>
          <w:szCs w:val="24"/>
          <w:highlight w:val="none"/>
        </w:rPr>
        <w:t xml:space="preserve"> </w:t>
      </w:r>
      <w:bookmarkEnd w:id="467"/>
      <w:r>
        <w:rPr>
          <w:rFonts w:hint="eastAsia" w:ascii="宋体" w:hAnsi="宋体"/>
          <w:b/>
          <w:color w:val="auto"/>
          <w:sz w:val="24"/>
          <w:szCs w:val="24"/>
          <w:highlight w:val="none"/>
        </w:rPr>
        <w:t>延迟交货</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hint="eastAsia" w:ascii="宋体" w:hAnsi="宋体"/>
          <w:color w:val="auto"/>
          <w:sz w:val="24"/>
          <w:szCs w:val="24"/>
          <w:highlight w:val="none"/>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r>
        <w:rPr>
          <w:rFonts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68" w:name="_Toc10611"/>
      <w:r>
        <w:rPr>
          <w:rFonts w:ascii="宋体" w:hAnsi="宋体"/>
          <w:b/>
          <w:color w:val="auto"/>
          <w:sz w:val="24"/>
          <w:szCs w:val="24"/>
          <w:highlight w:val="none"/>
        </w:rPr>
        <w:t>2.</w:t>
      </w:r>
      <w:r>
        <w:rPr>
          <w:rFonts w:hint="eastAsia" w:ascii="宋体" w:hAnsi="宋体"/>
          <w:b/>
          <w:color w:val="auto"/>
          <w:sz w:val="24"/>
          <w:szCs w:val="24"/>
          <w:highlight w:val="none"/>
          <w:lang w:val="en-US" w:eastAsia="zh-CN"/>
        </w:rPr>
        <w:t>11</w:t>
      </w:r>
      <w:r>
        <w:rPr>
          <w:rFonts w:ascii="宋体" w:hAnsi="宋体"/>
          <w:b/>
          <w:color w:val="auto"/>
          <w:sz w:val="24"/>
          <w:szCs w:val="24"/>
          <w:highlight w:val="none"/>
        </w:rPr>
        <w:t xml:space="preserve"> </w:t>
      </w:r>
      <w:r>
        <w:rPr>
          <w:rFonts w:hint="eastAsia" w:ascii="宋体" w:hAnsi="宋体"/>
          <w:b/>
          <w:color w:val="auto"/>
          <w:sz w:val="24"/>
          <w:szCs w:val="24"/>
          <w:highlight w:val="none"/>
        </w:rPr>
        <w:t>合同变更</w:t>
      </w:r>
      <w:bookmarkEnd w:id="468"/>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hint="eastAsia" w:ascii="宋体" w:hAnsi="宋体"/>
          <w:color w:val="auto"/>
          <w:sz w:val="24"/>
          <w:szCs w:val="24"/>
          <w:highlight w:val="none"/>
        </w:rPr>
        <w:t>合同继续履行将损害国家利益和社会公共利益的，双方当事人应当以书面形式变更合同。有过错的一方应当承担赔偿责任，双方当事人都有过错的，各自承担相应的责任。</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69" w:name="_Toc10663"/>
      <w:bookmarkStart w:id="470" w:name="_Toc42"/>
      <w:bookmarkStart w:id="471" w:name="_Toc23368"/>
      <w:bookmarkStart w:id="472" w:name="_Toc21830"/>
      <w:bookmarkStart w:id="473" w:name="_Toc26689"/>
      <w:r>
        <w:rPr>
          <w:rFonts w:ascii="宋体" w:hAnsi="宋体"/>
          <w:b/>
          <w:color w:val="auto"/>
          <w:sz w:val="24"/>
          <w:szCs w:val="24"/>
          <w:highlight w:val="none"/>
        </w:rPr>
        <w:t>2.1</w:t>
      </w:r>
      <w:r>
        <w:rPr>
          <w:rFonts w:hint="eastAsia" w:ascii="宋体" w:hAnsi="宋体"/>
          <w:b/>
          <w:color w:val="auto"/>
          <w:sz w:val="24"/>
          <w:szCs w:val="24"/>
          <w:highlight w:val="none"/>
          <w:lang w:val="en-US" w:eastAsia="zh-CN"/>
        </w:rPr>
        <w:t>2</w:t>
      </w:r>
      <w:r>
        <w:rPr>
          <w:rFonts w:ascii="宋体" w:hAnsi="宋体"/>
          <w:b/>
          <w:color w:val="auto"/>
          <w:sz w:val="24"/>
          <w:szCs w:val="24"/>
          <w:highlight w:val="none"/>
        </w:rPr>
        <w:t xml:space="preserve"> 合同转让和分包</w:t>
      </w:r>
      <w:bookmarkEnd w:id="469"/>
      <w:bookmarkEnd w:id="470"/>
      <w:bookmarkEnd w:id="471"/>
      <w:bookmarkEnd w:id="472"/>
      <w:bookmarkEnd w:id="473"/>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color w:val="auto"/>
          <w:sz w:val="24"/>
          <w:szCs w:val="24"/>
          <w:highlight w:val="none"/>
        </w:rPr>
      </w:pPr>
      <w:r>
        <w:rPr>
          <w:rFonts w:hint="eastAsia" w:ascii="宋体" w:hAnsi="宋体"/>
          <w:color w:val="auto"/>
          <w:sz w:val="24"/>
          <w:szCs w:val="24"/>
          <w:highlight w:val="none"/>
          <w:lang w:val="en-US" w:eastAsia="zh-CN"/>
        </w:rPr>
        <w:t>2.12.1</w:t>
      </w:r>
      <w:r>
        <w:rPr>
          <w:rFonts w:hint="eastAsia" w:ascii="宋体" w:hAnsi="宋体"/>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hint="eastAsia" w:ascii="宋体" w:hAnsi="宋体"/>
          <w:color w:val="auto"/>
          <w:sz w:val="24"/>
          <w:szCs w:val="24"/>
          <w:highlight w:val="none"/>
        </w:rPr>
        <w:t>2.1</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.2乙方采取分包方式履行合同的，甲方可直接向分包供应商支付款项。</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74" w:name="_Toc25571"/>
      <w:bookmarkStart w:id="475" w:name="_Toc26633"/>
      <w:bookmarkStart w:id="476" w:name="_Toc32494"/>
      <w:bookmarkStart w:id="477" w:name="_Toc4720"/>
      <w:bookmarkStart w:id="478" w:name="_Toc14371"/>
      <w:r>
        <w:rPr>
          <w:rFonts w:ascii="宋体" w:hAnsi="宋体"/>
          <w:b/>
          <w:color w:val="auto"/>
          <w:sz w:val="24"/>
          <w:szCs w:val="24"/>
          <w:highlight w:val="none"/>
        </w:rPr>
        <w:t>2.1</w:t>
      </w:r>
      <w:r>
        <w:rPr>
          <w:rFonts w:hint="eastAsia" w:ascii="宋体" w:hAnsi="宋体"/>
          <w:b/>
          <w:color w:val="auto"/>
          <w:sz w:val="24"/>
          <w:szCs w:val="24"/>
          <w:highlight w:val="none"/>
          <w:lang w:val="en-US" w:eastAsia="zh-CN"/>
        </w:rPr>
        <w:t>3</w:t>
      </w:r>
      <w:r>
        <w:rPr>
          <w:rFonts w:ascii="宋体" w:hAnsi="宋体"/>
          <w:b/>
          <w:color w:val="auto"/>
          <w:sz w:val="24"/>
          <w:szCs w:val="24"/>
          <w:highlight w:val="none"/>
        </w:rPr>
        <w:t xml:space="preserve"> 不可抗力</w:t>
      </w:r>
      <w:bookmarkEnd w:id="474"/>
      <w:bookmarkEnd w:id="475"/>
      <w:bookmarkEnd w:id="476"/>
      <w:bookmarkEnd w:id="477"/>
      <w:bookmarkEnd w:id="478"/>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3</w:t>
      </w:r>
      <w:r>
        <w:rPr>
          <w:rFonts w:ascii="宋体" w:hAnsi="宋体"/>
          <w:color w:val="auto"/>
          <w:sz w:val="24"/>
          <w:szCs w:val="24"/>
          <w:highlight w:val="none"/>
        </w:rPr>
        <w:t>.1如果任何一方遭遇法律规定的不可抗力，致使合同履行受阻时，履行合同的期限应予延长，延长的期限应相当于不可抗力所影响的时间</w:t>
      </w:r>
      <w:r>
        <w:rPr>
          <w:rFonts w:hint="eastAsia"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3</w:t>
      </w:r>
      <w:r>
        <w:rPr>
          <w:rFonts w:ascii="宋体" w:hAnsi="宋体"/>
          <w:color w:val="auto"/>
          <w:sz w:val="24"/>
          <w:szCs w:val="24"/>
          <w:highlight w:val="none"/>
        </w:rPr>
        <w:t xml:space="preserve">.2 </w:t>
      </w:r>
      <w:r>
        <w:rPr>
          <w:rFonts w:hint="eastAsia" w:ascii="宋体" w:hAnsi="宋体"/>
          <w:color w:val="auto"/>
          <w:sz w:val="24"/>
          <w:szCs w:val="24"/>
          <w:highlight w:val="none"/>
        </w:rPr>
        <w:t>因不可抗力致使不能实现合同目的的，当事人可以解除合同；</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3</w:t>
      </w:r>
      <w:r>
        <w:rPr>
          <w:rFonts w:ascii="宋体" w:hAnsi="宋体"/>
          <w:color w:val="auto"/>
          <w:sz w:val="24"/>
          <w:szCs w:val="24"/>
          <w:highlight w:val="none"/>
        </w:rPr>
        <w:t xml:space="preserve">.3 </w:t>
      </w:r>
      <w:r>
        <w:rPr>
          <w:rFonts w:hint="eastAsia" w:ascii="宋体" w:hAnsi="宋体"/>
          <w:color w:val="auto"/>
          <w:sz w:val="24"/>
          <w:szCs w:val="24"/>
          <w:highlight w:val="none"/>
        </w:rPr>
        <w:t>因</w:t>
      </w:r>
      <w:r>
        <w:rPr>
          <w:rFonts w:ascii="宋体" w:hAnsi="宋体"/>
          <w:color w:val="auto"/>
          <w:sz w:val="24"/>
          <w:szCs w:val="24"/>
          <w:highlight w:val="none"/>
        </w:rPr>
        <w:t>不可抗力致使合同有变更必要的，双方当事人应在</w:t>
      </w:r>
      <w:r>
        <w:rPr>
          <w:rFonts w:ascii="宋体" w:hAnsi="宋体"/>
          <w:b/>
          <w:i/>
          <w:color w:val="auto"/>
          <w:sz w:val="24"/>
          <w:szCs w:val="24"/>
          <w:highlight w:val="none"/>
          <w:u w:val="single"/>
        </w:rPr>
        <w:t>合同专用条款</w:t>
      </w:r>
      <w:r>
        <w:rPr>
          <w:rFonts w:ascii="宋体" w:hAnsi="宋体"/>
          <w:color w:val="auto"/>
          <w:sz w:val="24"/>
          <w:szCs w:val="24"/>
          <w:highlight w:val="none"/>
        </w:rPr>
        <w:t>约定时间内以书面形式变更合同</w:t>
      </w:r>
      <w:r>
        <w:rPr>
          <w:rFonts w:hint="eastAsia"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3</w:t>
      </w:r>
      <w:r>
        <w:rPr>
          <w:rFonts w:ascii="宋体" w:hAnsi="宋体"/>
          <w:color w:val="auto"/>
          <w:sz w:val="24"/>
          <w:szCs w:val="24"/>
          <w:highlight w:val="none"/>
        </w:rPr>
        <w:t>.4受</w:t>
      </w:r>
      <w:r>
        <w:rPr>
          <w:rFonts w:hint="eastAsia" w:ascii="宋体" w:hAnsi="宋体"/>
          <w:color w:val="auto"/>
          <w:sz w:val="24"/>
          <w:szCs w:val="24"/>
          <w:highlight w:val="none"/>
        </w:rPr>
        <w:t>不可抗力</w:t>
      </w:r>
      <w:r>
        <w:rPr>
          <w:rFonts w:ascii="宋体" w:hAnsi="宋体"/>
          <w:color w:val="auto"/>
          <w:sz w:val="24"/>
          <w:szCs w:val="24"/>
          <w:highlight w:val="none"/>
        </w:rPr>
        <w:t>影响的一方在不可抗力发生后</w:t>
      </w:r>
      <w:r>
        <w:rPr>
          <w:rFonts w:hint="eastAsia" w:ascii="宋体" w:hAnsi="宋体"/>
          <w:color w:val="auto"/>
          <w:sz w:val="24"/>
          <w:szCs w:val="24"/>
          <w:highlight w:val="none"/>
        </w:rPr>
        <w:t>，</w:t>
      </w:r>
      <w:r>
        <w:rPr>
          <w:rFonts w:ascii="宋体" w:hAnsi="宋体"/>
          <w:color w:val="auto"/>
          <w:sz w:val="24"/>
          <w:szCs w:val="24"/>
          <w:highlight w:val="none"/>
        </w:rPr>
        <w:t>应在</w:t>
      </w:r>
      <w:r>
        <w:rPr>
          <w:rFonts w:ascii="宋体" w:hAnsi="宋体"/>
          <w:b/>
          <w:i/>
          <w:color w:val="auto"/>
          <w:sz w:val="24"/>
          <w:szCs w:val="24"/>
          <w:highlight w:val="none"/>
          <w:u w:val="single"/>
        </w:rPr>
        <w:t>合同专用条款</w:t>
      </w:r>
      <w:r>
        <w:rPr>
          <w:rFonts w:ascii="宋体" w:hAnsi="宋体"/>
          <w:color w:val="auto"/>
          <w:sz w:val="24"/>
          <w:szCs w:val="24"/>
          <w:highlight w:val="none"/>
        </w:rPr>
        <w:t>约定时间内以书面形式通知</w:t>
      </w:r>
      <w:r>
        <w:rPr>
          <w:rFonts w:hint="eastAsia" w:ascii="宋体" w:hAnsi="宋体"/>
          <w:color w:val="auto"/>
          <w:sz w:val="24"/>
          <w:szCs w:val="24"/>
          <w:highlight w:val="none"/>
        </w:rPr>
        <w:t>对</w:t>
      </w:r>
      <w:r>
        <w:rPr>
          <w:rFonts w:ascii="宋体" w:hAnsi="宋体"/>
          <w:color w:val="auto"/>
          <w:sz w:val="24"/>
          <w:szCs w:val="24"/>
          <w:highlight w:val="none"/>
        </w:rPr>
        <w:t>方当事人，并在</w:t>
      </w:r>
      <w:r>
        <w:rPr>
          <w:rFonts w:ascii="宋体" w:hAnsi="宋体"/>
          <w:b/>
          <w:i/>
          <w:color w:val="auto"/>
          <w:sz w:val="24"/>
          <w:szCs w:val="24"/>
          <w:highlight w:val="none"/>
          <w:u w:val="single"/>
        </w:rPr>
        <w:t>合同专用条款</w:t>
      </w:r>
      <w:r>
        <w:rPr>
          <w:rFonts w:ascii="宋体" w:hAnsi="宋体"/>
          <w:color w:val="auto"/>
          <w:sz w:val="24"/>
          <w:szCs w:val="24"/>
          <w:highlight w:val="none"/>
        </w:rPr>
        <w:t>约定时间内，将有关部门出具的证明文件送达</w:t>
      </w:r>
      <w:r>
        <w:rPr>
          <w:rFonts w:hint="eastAsia" w:ascii="宋体" w:hAnsi="宋体"/>
          <w:color w:val="auto"/>
          <w:sz w:val="24"/>
          <w:szCs w:val="24"/>
          <w:highlight w:val="none"/>
        </w:rPr>
        <w:t>对方当事人</w:t>
      </w:r>
      <w:r>
        <w:rPr>
          <w:rFonts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79" w:name="_Toc3638"/>
      <w:bookmarkStart w:id="480" w:name="_Toc25783"/>
      <w:bookmarkStart w:id="481" w:name="_Toc23854"/>
      <w:bookmarkStart w:id="482" w:name="_Toc24465"/>
      <w:bookmarkStart w:id="483" w:name="_Toc14115"/>
      <w:r>
        <w:rPr>
          <w:rFonts w:ascii="宋体" w:hAnsi="宋体"/>
          <w:b/>
          <w:color w:val="auto"/>
          <w:sz w:val="24"/>
          <w:szCs w:val="24"/>
          <w:highlight w:val="none"/>
        </w:rPr>
        <w:t>2.1</w:t>
      </w:r>
      <w:r>
        <w:rPr>
          <w:rFonts w:hint="eastAsia" w:ascii="宋体" w:hAnsi="宋体"/>
          <w:b/>
          <w:color w:val="auto"/>
          <w:sz w:val="24"/>
          <w:szCs w:val="24"/>
          <w:highlight w:val="none"/>
          <w:lang w:val="en-US" w:eastAsia="zh-CN"/>
        </w:rPr>
        <w:t>4</w:t>
      </w:r>
      <w:r>
        <w:rPr>
          <w:rFonts w:ascii="宋体" w:hAnsi="宋体"/>
          <w:b/>
          <w:color w:val="auto"/>
          <w:sz w:val="24"/>
          <w:szCs w:val="24"/>
          <w:highlight w:val="none"/>
        </w:rPr>
        <w:t xml:space="preserve"> 税费</w:t>
      </w:r>
      <w:bookmarkEnd w:id="479"/>
      <w:bookmarkEnd w:id="480"/>
      <w:bookmarkEnd w:id="481"/>
      <w:bookmarkEnd w:id="482"/>
      <w:bookmarkEnd w:id="483"/>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与合同有关的一切税费</w:t>
      </w:r>
      <w:r>
        <w:rPr>
          <w:rFonts w:hint="eastAsia" w:ascii="宋体" w:hAnsi="宋体"/>
          <w:color w:val="auto"/>
          <w:sz w:val="24"/>
          <w:szCs w:val="24"/>
          <w:highlight w:val="none"/>
        </w:rPr>
        <w:t>，</w:t>
      </w:r>
      <w:r>
        <w:rPr>
          <w:rFonts w:ascii="宋体" w:hAnsi="宋体"/>
          <w:color w:val="auto"/>
          <w:sz w:val="24"/>
          <w:szCs w:val="24"/>
          <w:highlight w:val="none"/>
        </w:rPr>
        <w:t>均按照中华人民共和国法律的相关规定缴纳。</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84" w:name="_Toc26883"/>
      <w:bookmarkStart w:id="485" w:name="_Toc25525"/>
      <w:bookmarkStart w:id="486" w:name="_Toc7315"/>
      <w:bookmarkStart w:id="487" w:name="_Toc30105"/>
      <w:bookmarkStart w:id="488" w:name="_Toc14814"/>
      <w:r>
        <w:rPr>
          <w:rFonts w:ascii="宋体" w:hAnsi="宋体"/>
          <w:b/>
          <w:color w:val="auto"/>
          <w:sz w:val="24"/>
          <w:szCs w:val="24"/>
          <w:highlight w:val="none"/>
        </w:rPr>
        <w:t>2.1</w:t>
      </w:r>
      <w:r>
        <w:rPr>
          <w:rFonts w:hint="eastAsia" w:ascii="宋体" w:hAnsi="宋体"/>
          <w:b/>
          <w:color w:val="auto"/>
          <w:sz w:val="24"/>
          <w:szCs w:val="24"/>
          <w:highlight w:val="none"/>
          <w:lang w:val="en-US" w:eastAsia="zh-CN"/>
        </w:rPr>
        <w:t>5</w:t>
      </w:r>
      <w:r>
        <w:rPr>
          <w:rFonts w:ascii="宋体" w:hAnsi="宋体"/>
          <w:b/>
          <w:color w:val="auto"/>
          <w:sz w:val="24"/>
          <w:szCs w:val="24"/>
          <w:highlight w:val="none"/>
        </w:rPr>
        <w:t xml:space="preserve"> 乙方破产</w:t>
      </w:r>
      <w:bookmarkEnd w:id="484"/>
      <w:bookmarkEnd w:id="485"/>
      <w:bookmarkEnd w:id="486"/>
      <w:bookmarkEnd w:id="487"/>
      <w:bookmarkEnd w:id="488"/>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如果乙方破产导致合同无法履行时，甲方可以书面形式通知乙方终止合同且不给予乙方任何补偿和赔偿</w:t>
      </w:r>
      <w:r>
        <w:rPr>
          <w:rFonts w:hint="eastAsia" w:ascii="宋体" w:hAnsi="宋体"/>
          <w:color w:val="auto"/>
          <w:sz w:val="24"/>
          <w:szCs w:val="24"/>
          <w:highlight w:val="none"/>
        </w:rPr>
        <w:t>，但合同的</w:t>
      </w:r>
      <w:r>
        <w:rPr>
          <w:rFonts w:ascii="宋体" w:hAnsi="宋体"/>
          <w:color w:val="auto"/>
          <w:sz w:val="24"/>
          <w:szCs w:val="24"/>
          <w:highlight w:val="none"/>
        </w:rPr>
        <w:t>终止不损害或不影响甲方已经采取或将要采取的任何要求乙方支付违约金</w:t>
      </w:r>
      <w:r>
        <w:rPr>
          <w:rFonts w:hint="eastAsia" w:ascii="宋体" w:hAnsi="宋体"/>
          <w:color w:val="auto"/>
          <w:sz w:val="24"/>
          <w:szCs w:val="24"/>
          <w:highlight w:val="none"/>
        </w:rPr>
        <w:t>、</w:t>
      </w:r>
      <w:r>
        <w:rPr>
          <w:rFonts w:ascii="宋体" w:hAnsi="宋体"/>
          <w:color w:val="auto"/>
          <w:sz w:val="24"/>
          <w:szCs w:val="24"/>
          <w:highlight w:val="none"/>
        </w:rPr>
        <w:t>赔偿损失等的行动或补救措施的权利</w:t>
      </w:r>
      <w:r>
        <w:rPr>
          <w:rFonts w:hint="eastAsia"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89" w:name="_Toc2016"/>
      <w:bookmarkStart w:id="490" w:name="_Toc23323"/>
      <w:bookmarkStart w:id="491" w:name="_Toc1123"/>
      <w:r>
        <w:rPr>
          <w:rFonts w:ascii="宋体" w:hAnsi="宋体"/>
          <w:b/>
          <w:color w:val="auto"/>
          <w:sz w:val="24"/>
          <w:szCs w:val="24"/>
          <w:highlight w:val="none"/>
        </w:rPr>
        <w:t>2.1</w:t>
      </w:r>
      <w:r>
        <w:rPr>
          <w:rFonts w:hint="eastAsia" w:ascii="宋体" w:hAnsi="宋体"/>
          <w:b/>
          <w:color w:val="auto"/>
          <w:sz w:val="24"/>
          <w:szCs w:val="24"/>
          <w:highlight w:val="none"/>
          <w:lang w:val="en-US" w:eastAsia="zh-CN"/>
        </w:rPr>
        <w:t>6</w:t>
      </w:r>
      <w:r>
        <w:rPr>
          <w:rFonts w:ascii="宋体" w:hAnsi="宋体"/>
          <w:b/>
          <w:color w:val="auto"/>
          <w:sz w:val="24"/>
          <w:szCs w:val="24"/>
          <w:highlight w:val="none"/>
        </w:rPr>
        <w:t xml:space="preserve"> 合同中止、终止</w:t>
      </w:r>
      <w:bookmarkEnd w:id="489"/>
      <w:bookmarkEnd w:id="490"/>
      <w:bookmarkEnd w:id="491"/>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6</w:t>
      </w:r>
      <w:r>
        <w:rPr>
          <w:rFonts w:ascii="宋体" w:hAnsi="宋体"/>
          <w:color w:val="auto"/>
          <w:sz w:val="24"/>
          <w:szCs w:val="24"/>
          <w:highlight w:val="none"/>
        </w:rPr>
        <w:t xml:space="preserve">.1 </w:t>
      </w:r>
      <w:r>
        <w:rPr>
          <w:rFonts w:hint="eastAsia" w:ascii="宋体" w:hAnsi="宋体"/>
          <w:color w:val="auto"/>
          <w:sz w:val="24"/>
          <w:szCs w:val="24"/>
          <w:highlight w:val="none"/>
        </w:rPr>
        <w:t>双方当事人不得擅自中止或者终止合同；</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6</w:t>
      </w:r>
      <w:r>
        <w:rPr>
          <w:rFonts w:ascii="宋体" w:hAnsi="宋体"/>
          <w:color w:val="auto"/>
          <w:sz w:val="24"/>
          <w:szCs w:val="24"/>
          <w:highlight w:val="none"/>
        </w:rPr>
        <w:t>.2合同继续履行将损害国家利益和社会公共利益的，双方当事人应当中止或者终止合同。有过错的一方应当承担赔偿责任，双方当事人都有过错的，各自承担相应的责任。</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92" w:name="_Toc14525"/>
      <w:bookmarkStart w:id="493" w:name="_Toc1969"/>
      <w:bookmarkStart w:id="494" w:name="_Toc17363"/>
      <w:r>
        <w:rPr>
          <w:rFonts w:ascii="宋体" w:hAnsi="宋体"/>
          <w:b/>
          <w:color w:val="auto"/>
          <w:sz w:val="24"/>
          <w:szCs w:val="24"/>
          <w:highlight w:val="none"/>
        </w:rPr>
        <w:t>2.1</w:t>
      </w:r>
      <w:r>
        <w:rPr>
          <w:rFonts w:hint="eastAsia" w:ascii="宋体" w:hAnsi="宋体"/>
          <w:b/>
          <w:color w:val="auto"/>
          <w:sz w:val="24"/>
          <w:szCs w:val="24"/>
          <w:highlight w:val="none"/>
          <w:lang w:val="en-US" w:eastAsia="zh-CN"/>
        </w:rPr>
        <w:t>7</w:t>
      </w:r>
      <w:r>
        <w:rPr>
          <w:rFonts w:ascii="宋体" w:hAnsi="宋体"/>
          <w:b/>
          <w:color w:val="auto"/>
          <w:sz w:val="24"/>
          <w:szCs w:val="24"/>
          <w:highlight w:val="none"/>
        </w:rPr>
        <w:t xml:space="preserve"> 检验和验收</w:t>
      </w:r>
      <w:bookmarkEnd w:id="492"/>
      <w:bookmarkEnd w:id="493"/>
      <w:bookmarkEnd w:id="494"/>
    </w:p>
    <w:p>
      <w:pPr>
        <w:keepNext w:val="0"/>
        <w:keepLines w:val="0"/>
        <w:pageBreakBefore w:val="0"/>
        <w:widowControl w:val="0"/>
        <w:tabs>
          <w:tab w:val="left" w:pos="360"/>
          <w:tab w:val="left" w:pos="540"/>
          <w:tab w:val="left" w:pos="1080"/>
        </w:tabs>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7</w:t>
      </w:r>
      <w:r>
        <w:rPr>
          <w:rFonts w:ascii="宋体" w:hAnsi="宋体"/>
          <w:color w:val="auto"/>
          <w:sz w:val="24"/>
          <w:szCs w:val="24"/>
          <w:highlight w:val="none"/>
        </w:rPr>
        <w:t xml:space="preserve">.1 </w:t>
      </w:r>
      <w:r>
        <w:rPr>
          <w:rFonts w:hint="eastAsia" w:ascii="宋体" w:hAnsi="宋体"/>
          <w:color w:val="auto"/>
          <w:sz w:val="24"/>
          <w:szCs w:val="24"/>
          <w:highlight w:val="none"/>
        </w:rPr>
        <w:t>货物交付前，乙方应对货物的质量、数量等方面进行详细、全面的检验，并向甲方出具证明货物符合合同约定的文件；货物交付时，甲方在</w:t>
      </w:r>
      <w:r>
        <w:rPr>
          <w:rFonts w:hint="eastAsia" w:ascii="宋体" w:hAnsi="宋体"/>
          <w:b/>
          <w:i/>
          <w:color w:val="auto"/>
          <w:sz w:val="24"/>
          <w:szCs w:val="24"/>
          <w:highlight w:val="none"/>
          <w:u w:val="single"/>
        </w:rPr>
        <w:t>合同专用条款</w:t>
      </w:r>
      <w:r>
        <w:rPr>
          <w:rFonts w:hint="eastAsia" w:ascii="宋体" w:hAnsi="宋体"/>
          <w:color w:val="auto"/>
          <w:sz w:val="24"/>
          <w:szCs w:val="24"/>
          <w:highlight w:val="none"/>
        </w:rPr>
        <w:t>约定时间内组织验收，并可依法邀请相关方参加，验收应出具验收书；</w:t>
      </w:r>
    </w:p>
    <w:p>
      <w:pPr>
        <w:keepNext w:val="0"/>
        <w:keepLines w:val="0"/>
        <w:pageBreakBefore w:val="0"/>
        <w:widowControl w:val="0"/>
        <w:tabs>
          <w:tab w:val="left" w:pos="360"/>
          <w:tab w:val="left" w:pos="540"/>
          <w:tab w:val="left" w:pos="1080"/>
        </w:tabs>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7</w:t>
      </w:r>
      <w:r>
        <w:rPr>
          <w:rFonts w:ascii="宋体" w:hAnsi="宋体"/>
          <w:color w:val="auto"/>
          <w:sz w:val="24"/>
          <w:szCs w:val="24"/>
          <w:highlight w:val="none"/>
        </w:rPr>
        <w:t xml:space="preserve">.2 </w:t>
      </w:r>
      <w:r>
        <w:rPr>
          <w:rFonts w:hint="eastAsia" w:ascii="宋体" w:hAnsi="宋体"/>
          <w:color w:val="auto"/>
          <w:sz w:val="24"/>
          <w:szCs w:val="24"/>
          <w:highlight w:val="none"/>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keepNext w:val="0"/>
        <w:keepLines w:val="0"/>
        <w:pageBreakBefore w:val="0"/>
        <w:widowControl w:val="0"/>
        <w:tabs>
          <w:tab w:val="left" w:pos="360"/>
          <w:tab w:val="left" w:pos="540"/>
          <w:tab w:val="left" w:pos="1080"/>
        </w:tabs>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7</w:t>
      </w:r>
      <w:r>
        <w:rPr>
          <w:rFonts w:ascii="宋体" w:hAnsi="宋体"/>
          <w:color w:val="auto"/>
          <w:sz w:val="24"/>
          <w:szCs w:val="24"/>
          <w:highlight w:val="none"/>
        </w:rPr>
        <w:t xml:space="preserve">.3 </w:t>
      </w:r>
      <w:r>
        <w:rPr>
          <w:rFonts w:hint="eastAsia" w:ascii="宋体" w:hAnsi="宋体"/>
          <w:color w:val="auto"/>
          <w:sz w:val="24"/>
          <w:szCs w:val="24"/>
          <w:highlight w:val="none"/>
        </w:rPr>
        <w:t>检验和验收标准、程序等具体内容以及前述验收书的效力详见</w:t>
      </w:r>
      <w:r>
        <w:rPr>
          <w:rFonts w:ascii="宋体" w:hAnsi="宋体"/>
          <w:b/>
          <w:i/>
          <w:color w:val="auto"/>
          <w:sz w:val="24"/>
          <w:szCs w:val="24"/>
          <w:highlight w:val="none"/>
          <w:u w:val="single"/>
        </w:rPr>
        <w:t>合同专用条款</w:t>
      </w:r>
      <w:r>
        <w:rPr>
          <w:rFonts w:hint="eastAsia" w:ascii="宋体" w:hAnsi="宋体"/>
          <w:i/>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495" w:name="_Toc12666"/>
      <w:bookmarkStart w:id="496" w:name="_Toc2308"/>
      <w:bookmarkStart w:id="497" w:name="_Toc9808"/>
      <w:bookmarkStart w:id="498" w:name="_Toc31892"/>
      <w:bookmarkStart w:id="499" w:name="_Toc25198"/>
      <w:r>
        <w:rPr>
          <w:rFonts w:ascii="宋体" w:hAnsi="宋体"/>
          <w:b/>
          <w:color w:val="auto"/>
          <w:sz w:val="24"/>
          <w:szCs w:val="24"/>
          <w:highlight w:val="none"/>
        </w:rPr>
        <w:t>2.1</w:t>
      </w:r>
      <w:r>
        <w:rPr>
          <w:rFonts w:hint="eastAsia" w:ascii="宋体" w:hAnsi="宋体"/>
          <w:b/>
          <w:color w:val="auto"/>
          <w:sz w:val="24"/>
          <w:szCs w:val="24"/>
          <w:highlight w:val="none"/>
          <w:lang w:val="en-US" w:eastAsia="zh-CN"/>
        </w:rPr>
        <w:t>8</w:t>
      </w:r>
      <w:r>
        <w:rPr>
          <w:rFonts w:ascii="宋体" w:hAnsi="宋体"/>
          <w:b/>
          <w:color w:val="auto"/>
          <w:sz w:val="24"/>
          <w:szCs w:val="24"/>
          <w:highlight w:val="none"/>
        </w:rPr>
        <w:t xml:space="preserve"> 通知和送达</w:t>
      </w:r>
      <w:bookmarkEnd w:id="495"/>
      <w:bookmarkEnd w:id="496"/>
      <w:bookmarkEnd w:id="497"/>
      <w:bookmarkEnd w:id="498"/>
      <w:bookmarkEnd w:id="499"/>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bookmarkStart w:id="500" w:name="_Toc27674"/>
      <w:bookmarkStart w:id="501" w:name="_Toc18401"/>
      <w:r>
        <w:rPr>
          <w:rFonts w:ascii="宋体" w:hAnsi="宋体"/>
          <w:color w:val="auto"/>
          <w:sz w:val="24"/>
          <w:szCs w:val="24"/>
          <w:highlight w:val="none"/>
        </w:rPr>
        <w:t>2.1</w:t>
      </w:r>
      <w:r>
        <w:rPr>
          <w:rFonts w:hint="eastAsia" w:ascii="宋体" w:hAnsi="宋体"/>
          <w:color w:val="auto"/>
          <w:sz w:val="24"/>
          <w:szCs w:val="24"/>
          <w:highlight w:val="none"/>
          <w:lang w:val="en-US" w:eastAsia="zh-CN"/>
        </w:rPr>
        <w:t>8</w:t>
      </w:r>
      <w:r>
        <w:rPr>
          <w:rFonts w:ascii="宋体" w:hAnsi="宋体"/>
          <w:color w:val="auto"/>
          <w:sz w:val="24"/>
          <w:szCs w:val="24"/>
          <w:highlight w:val="none"/>
        </w:rPr>
        <w:t>.1</w:t>
      </w:r>
      <w:r>
        <w:rPr>
          <w:rFonts w:hint="eastAsia" w:ascii="宋体" w:hAnsi="宋体"/>
          <w:color w:val="auto"/>
          <w:sz w:val="24"/>
          <w:szCs w:val="24"/>
          <w:highlight w:val="none"/>
        </w:rPr>
        <w:t>任何一方因履行合同而以合同第一部分尾部所列明的传真或电子邮件</w:t>
      </w:r>
      <w:r>
        <w:rPr>
          <w:rFonts w:ascii="宋体" w:hAnsi="宋体"/>
          <w:color w:val="auto"/>
          <w:sz w:val="24"/>
          <w:szCs w:val="24"/>
          <w:highlight w:val="none"/>
        </w:rPr>
        <w:t xml:space="preserve"> </w:t>
      </w:r>
      <w:r>
        <w:rPr>
          <w:rFonts w:ascii="宋体" w:hAnsi="宋体"/>
          <w:color w:val="auto"/>
          <w:sz w:val="24"/>
          <w:szCs w:val="24"/>
          <w:highlight w:val="none"/>
          <w:u w:val="single"/>
        </w:rPr>
        <w:t xml:space="preserve">       </w:t>
      </w:r>
      <w:r>
        <w:rPr>
          <w:rFonts w:hint="eastAsia" w:ascii="宋体" w:hAnsi="宋体"/>
          <w:color w:val="auto"/>
          <w:sz w:val="24"/>
          <w:szCs w:val="24"/>
          <w:highlight w:val="none"/>
        </w:rPr>
        <w:t>发出的所有通知、文件、材料，均视为已向对方当事人送达；任何一方变更上述送达方式或者地址的，应于</w:t>
      </w:r>
      <w:r>
        <w:rPr>
          <w:rFonts w:ascii="宋体" w:hAnsi="宋体"/>
          <w:color w:val="auto"/>
          <w:sz w:val="24"/>
          <w:szCs w:val="24"/>
          <w:highlight w:val="none"/>
          <w:u w:val="single"/>
        </w:rPr>
        <w:t>3</w:t>
      </w:r>
      <w:r>
        <w:rPr>
          <w:rFonts w:hint="eastAsia" w:ascii="宋体" w:hAnsi="宋体"/>
          <w:color w:val="auto"/>
          <w:sz w:val="24"/>
          <w:szCs w:val="24"/>
          <w:highlight w:val="none"/>
        </w:rPr>
        <w:t>个工作日内书面通知对方当事人，在对方当事人收到有关变更通知之前，变更前的约定送达方式或者地址仍视为有效。</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8</w:t>
      </w:r>
      <w:r>
        <w:rPr>
          <w:rFonts w:ascii="宋体" w:hAnsi="宋体"/>
          <w:color w:val="auto"/>
          <w:sz w:val="24"/>
          <w:szCs w:val="24"/>
          <w:highlight w:val="none"/>
        </w:rPr>
        <w:t>.2以当面交付方式送达的，交付之时视为送达；以电子邮件方式送达的，发出电子邮件之时视为送达；以传真方式送达的，发出传真之时视为送达；以邮寄方式送达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szCs w:val="24"/>
          <w:highlight w:val="none"/>
        </w:rPr>
        <w:t>的，邮件挂号寄出或者交邮之日之次日视为送达。</w:t>
      </w:r>
      <w:bookmarkEnd w:id="500"/>
      <w:bookmarkEnd w:id="501"/>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b/>
          <w:color w:val="auto"/>
          <w:sz w:val="24"/>
          <w:szCs w:val="24"/>
          <w:highlight w:val="none"/>
        </w:rPr>
      </w:pPr>
      <w:bookmarkStart w:id="502" w:name="_Toc27644"/>
      <w:bookmarkStart w:id="503" w:name="_Toc5063"/>
      <w:bookmarkStart w:id="504" w:name="_Toc20808"/>
      <w:bookmarkStart w:id="505" w:name="_Toc12254"/>
      <w:bookmarkStart w:id="506" w:name="_Toc28906"/>
      <w:r>
        <w:rPr>
          <w:rFonts w:ascii="宋体" w:hAnsi="宋体"/>
          <w:b/>
          <w:color w:val="auto"/>
          <w:sz w:val="24"/>
          <w:szCs w:val="24"/>
          <w:highlight w:val="none"/>
        </w:rPr>
        <w:t>2.1</w:t>
      </w:r>
      <w:r>
        <w:rPr>
          <w:rFonts w:hint="eastAsia" w:ascii="宋体" w:hAnsi="宋体"/>
          <w:b/>
          <w:color w:val="auto"/>
          <w:sz w:val="24"/>
          <w:szCs w:val="24"/>
          <w:highlight w:val="none"/>
          <w:lang w:val="en-US" w:eastAsia="zh-CN"/>
        </w:rPr>
        <w:t>9</w:t>
      </w:r>
      <w:r>
        <w:rPr>
          <w:rFonts w:ascii="宋体" w:hAnsi="宋体"/>
          <w:b/>
          <w:color w:val="auto"/>
          <w:sz w:val="24"/>
          <w:szCs w:val="24"/>
          <w:highlight w:val="none"/>
        </w:rPr>
        <w:t xml:space="preserve"> </w:t>
      </w:r>
      <w:r>
        <w:rPr>
          <w:rFonts w:hint="eastAsia" w:ascii="宋体" w:hAnsi="宋体"/>
          <w:b/>
          <w:color w:val="auto"/>
          <w:sz w:val="24"/>
          <w:szCs w:val="24"/>
          <w:highlight w:val="none"/>
        </w:rPr>
        <w:t>合同使用的文字和</w:t>
      </w:r>
      <w:r>
        <w:rPr>
          <w:rFonts w:ascii="宋体" w:hAnsi="宋体"/>
          <w:b/>
          <w:color w:val="auto"/>
          <w:sz w:val="24"/>
          <w:szCs w:val="24"/>
          <w:highlight w:val="none"/>
        </w:rPr>
        <w:t>适用的法律</w:t>
      </w:r>
      <w:bookmarkEnd w:id="502"/>
      <w:bookmarkEnd w:id="503"/>
      <w:bookmarkEnd w:id="504"/>
      <w:bookmarkEnd w:id="505"/>
      <w:bookmarkEnd w:id="506"/>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9</w:t>
      </w:r>
      <w:r>
        <w:rPr>
          <w:rFonts w:ascii="宋体" w:hAnsi="宋体"/>
          <w:color w:val="auto"/>
          <w:sz w:val="24"/>
          <w:szCs w:val="24"/>
          <w:highlight w:val="none"/>
        </w:rPr>
        <w:t>.1 合同使用汉语书就</w:t>
      </w:r>
      <w:r>
        <w:rPr>
          <w:rFonts w:hint="eastAsia" w:ascii="宋体" w:hAnsi="宋体"/>
          <w:color w:val="auto"/>
          <w:sz w:val="24"/>
          <w:szCs w:val="24"/>
          <w:highlight w:val="none"/>
        </w:rPr>
        <w:t>、</w:t>
      </w:r>
      <w:r>
        <w:rPr>
          <w:rFonts w:ascii="宋体" w:hAnsi="宋体"/>
          <w:color w:val="auto"/>
          <w:sz w:val="24"/>
          <w:szCs w:val="24"/>
          <w:highlight w:val="none"/>
        </w:rPr>
        <w:t>变更和解释</w:t>
      </w:r>
      <w:r>
        <w:rPr>
          <w:rFonts w:hint="eastAsia"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9</w:t>
      </w:r>
      <w:r>
        <w:rPr>
          <w:rFonts w:ascii="宋体" w:hAnsi="宋体"/>
          <w:color w:val="auto"/>
          <w:sz w:val="24"/>
          <w:szCs w:val="24"/>
          <w:highlight w:val="none"/>
        </w:rPr>
        <w:t xml:space="preserve">.2 </w:t>
      </w:r>
      <w:r>
        <w:rPr>
          <w:rFonts w:hint="eastAsia" w:ascii="宋体" w:hAnsi="宋体"/>
          <w:color w:val="auto"/>
          <w:sz w:val="24"/>
          <w:szCs w:val="24"/>
          <w:highlight w:val="none"/>
        </w:rPr>
        <w:t>合同适用</w:t>
      </w:r>
      <w:r>
        <w:rPr>
          <w:rFonts w:ascii="宋体" w:hAnsi="宋体"/>
          <w:color w:val="auto"/>
          <w:sz w:val="24"/>
          <w:szCs w:val="24"/>
          <w:highlight w:val="none"/>
        </w:rPr>
        <w:t>中华人民共和国法律。</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ascii="宋体" w:hAnsi="宋体" w:cs="宋体"/>
          <w:b/>
          <w:color w:val="auto"/>
          <w:sz w:val="24"/>
          <w:szCs w:val="24"/>
          <w:highlight w:val="none"/>
        </w:rPr>
      </w:pPr>
      <w:bookmarkStart w:id="507" w:name="_Toc18540"/>
      <w:bookmarkStart w:id="508" w:name="_Toc4355"/>
      <w:bookmarkStart w:id="509" w:name="_Toc30599"/>
      <w:r>
        <w:rPr>
          <w:rFonts w:hint="eastAsia" w:ascii="宋体" w:hAnsi="宋体" w:cs="宋体"/>
          <w:b/>
          <w:color w:val="auto"/>
          <w:sz w:val="24"/>
          <w:szCs w:val="24"/>
          <w:highlight w:val="none"/>
        </w:rPr>
        <w:t>2.</w:t>
      </w:r>
      <w:r>
        <w:rPr>
          <w:rFonts w:hint="eastAsia" w:ascii="宋体" w:hAnsi="宋体" w:cs="宋体"/>
          <w:b/>
          <w:color w:val="auto"/>
          <w:sz w:val="24"/>
          <w:szCs w:val="24"/>
          <w:highlight w:val="none"/>
          <w:lang w:val="en-US" w:eastAsia="zh-CN"/>
        </w:rPr>
        <w:t>20</w:t>
      </w:r>
      <w:r>
        <w:rPr>
          <w:rFonts w:hint="eastAsia" w:ascii="宋体" w:hAnsi="宋体" w:cs="宋体"/>
          <w:b/>
          <w:color w:val="auto"/>
          <w:sz w:val="24"/>
          <w:szCs w:val="24"/>
          <w:highlight w:val="none"/>
        </w:rPr>
        <w:t xml:space="preserve"> 计量单位</w:t>
      </w:r>
      <w:bookmarkEnd w:id="507"/>
      <w:bookmarkEnd w:id="508"/>
      <w:bookmarkEnd w:id="509"/>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除技术规范中另有规定外,合同的计量单位均使用国家法定计量单位。</w:t>
      </w:r>
    </w:p>
    <w:p>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rPr>
          <w:rFonts w:ascii="宋体" w:hAnsi="宋体"/>
          <w:b/>
          <w:color w:val="auto"/>
          <w:sz w:val="24"/>
          <w:szCs w:val="24"/>
          <w:highlight w:val="none"/>
        </w:rPr>
      </w:pPr>
      <w:r>
        <w:rPr>
          <w:rFonts w:ascii="宋体" w:hAnsi="宋体"/>
          <w:b/>
          <w:color w:val="auto"/>
          <w:sz w:val="24"/>
          <w:szCs w:val="24"/>
          <w:highlight w:val="none"/>
        </w:rPr>
        <w:t>2.</w:t>
      </w:r>
      <w:r>
        <w:rPr>
          <w:rFonts w:hint="eastAsia" w:ascii="宋体" w:hAnsi="宋体"/>
          <w:b/>
          <w:color w:val="auto"/>
          <w:sz w:val="24"/>
          <w:szCs w:val="24"/>
          <w:highlight w:val="none"/>
          <w:lang w:val="en-US" w:eastAsia="zh-CN"/>
        </w:rPr>
        <w:t>21</w:t>
      </w:r>
      <w:r>
        <w:rPr>
          <w:rFonts w:ascii="宋体" w:hAnsi="宋体"/>
          <w:b/>
          <w:color w:val="auto"/>
          <w:sz w:val="24"/>
          <w:szCs w:val="24"/>
          <w:highlight w:val="none"/>
        </w:rPr>
        <w:t>合同份数</w:t>
      </w:r>
    </w:p>
    <w:p>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ascii="宋体" w:hAnsi="宋体"/>
          <w:color w:val="auto"/>
          <w:sz w:val="24"/>
          <w:szCs w:val="24"/>
          <w:highlight w:val="none"/>
        </w:rPr>
      </w:pPr>
      <w:r>
        <w:rPr>
          <w:rFonts w:ascii="宋体" w:hAnsi="宋体"/>
          <w:color w:val="auto"/>
          <w:sz w:val="24"/>
          <w:szCs w:val="24"/>
          <w:highlight w:val="none"/>
        </w:rPr>
        <w:t>合同份数按</w:t>
      </w:r>
      <w:r>
        <w:rPr>
          <w:rFonts w:ascii="宋体" w:hAnsi="宋体"/>
          <w:b/>
          <w:i/>
          <w:color w:val="auto"/>
          <w:sz w:val="24"/>
          <w:szCs w:val="24"/>
          <w:highlight w:val="none"/>
          <w:u w:val="single"/>
        </w:rPr>
        <w:t>合同专用条款</w:t>
      </w:r>
      <w:r>
        <w:rPr>
          <w:rFonts w:ascii="宋体" w:hAnsi="宋体"/>
          <w:color w:val="auto"/>
          <w:sz w:val="24"/>
          <w:szCs w:val="24"/>
          <w:highlight w:val="none"/>
        </w:rPr>
        <w:t>规定</w:t>
      </w:r>
      <w:r>
        <w:rPr>
          <w:rFonts w:hint="eastAsia" w:ascii="宋体" w:hAnsi="宋体"/>
          <w:color w:val="auto"/>
          <w:sz w:val="24"/>
          <w:szCs w:val="24"/>
          <w:highlight w:val="none"/>
        </w:rPr>
        <w:t>，</w:t>
      </w:r>
      <w:r>
        <w:rPr>
          <w:rFonts w:ascii="宋体" w:hAnsi="宋体"/>
          <w:color w:val="auto"/>
          <w:sz w:val="24"/>
          <w:szCs w:val="24"/>
          <w:highlight w:val="none"/>
        </w:rPr>
        <w:t>每份均具有同等法律效力</w:t>
      </w:r>
      <w:r>
        <w:rPr>
          <w:rFonts w:hint="eastAsia" w:ascii="宋体" w:hAnsi="宋体"/>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firstLine="2872" w:firstLineChars="1197"/>
        <w:textAlignment w:val="auto"/>
        <w:outlineLvl w:val="0"/>
        <w:rPr>
          <w:rFonts w:hint="eastAsia" w:ascii="宋体" w:hAnsi="宋体" w:eastAsia="宋体" w:cs="宋体"/>
          <w:b/>
          <w:color w:val="auto"/>
          <w:highlight w:val="none"/>
        </w:rPr>
      </w:pPr>
      <w:r>
        <w:rPr>
          <w:rFonts w:hint="eastAsia" w:ascii="宋体" w:hAnsi="宋体" w:eastAsia="宋体" w:cs="宋体"/>
          <w:color w:val="auto"/>
          <w:kern w:val="0"/>
          <w:sz w:val="24"/>
          <w:szCs w:val="24"/>
          <w:highlight w:val="none"/>
        </w:rPr>
        <w:br w:type="page"/>
      </w:r>
      <w:r>
        <w:rPr>
          <w:rFonts w:hint="eastAsia" w:ascii="宋体" w:hAnsi="宋体" w:eastAsia="宋体" w:cs="宋体"/>
          <w:b/>
          <w:color w:val="auto"/>
          <w:sz w:val="32"/>
          <w:szCs w:val="20"/>
          <w:highlight w:val="none"/>
        </w:rPr>
        <w:t xml:space="preserve"> 第三部分  合同专用条款</w:t>
      </w:r>
    </w:p>
    <w:p>
      <w:pPr>
        <w:keepNext w:val="0"/>
        <w:keepLines w:val="0"/>
        <w:pageBreakBefore w:val="0"/>
        <w:widowControl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4975" w:type="pct"/>
        <w:tblInd w:w="4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95"/>
        <w:gridCol w:w="818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1.4.2</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color w:val="auto"/>
                <w:sz w:val="24"/>
                <w:szCs w:val="24"/>
                <w:highlight w:val="none"/>
              </w:rPr>
            </w:pPr>
            <w:r>
              <w:rPr>
                <w:rStyle w:val="352"/>
                <w:rFonts w:hint="eastAsia" w:ascii="宋体" w:hAnsi="宋体" w:eastAsia="宋体" w:cs="宋体"/>
                <w:b w:val="0"/>
                <w:color w:val="auto"/>
                <w:sz w:val="24"/>
                <w:szCs w:val="24"/>
                <w:highlight w:val="none"/>
              </w:rPr>
              <w:t>履约保证金：本项目不收取履约保证金。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1.5.1</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color w:val="auto"/>
                <w:kern w:val="0"/>
                <w:sz w:val="24"/>
                <w:szCs w:val="24"/>
                <w:highlight w:val="none"/>
              </w:rPr>
              <w:t>预付款比例、支付方式、时间</w:t>
            </w:r>
            <w:r>
              <w:rPr>
                <w:rFonts w:hint="eastAsia" w:ascii="宋体" w:hAnsi="宋体" w:eastAsia="宋体" w:cs="宋体"/>
                <w:color w:val="auto"/>
                <w:kern w:val="0"/>
                <w:sz w:val="24"/>
                <w:szCs w:val="24"/>
                <w:highlight w:val="none"/>
                <w:lang w:eastAsia="zh-CN"/>
              </w:rPr>
              <w:t>：合同签订生效以及具备实施条件后7个工作日内，采购单位支付合同价款的50%预付款</w:t>
            </w:r>
            <w:r>
              <w:rPr>
                <w:rFonts w:hint="eastAsia" w:ascii="宋体" w:hAnsi="宋体" w:cs="宋体"/>
                <w:color w:val="auto"/>
                <w:kern w:val="0"/>
                <w:sz w:val="24"/>
                <w:szCs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1.5.2</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预付款的扣回方式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none"/>
                <w:lang w:eastAsia="zh-CN"/>
              </w:rPr>
              <w:t>抵扣项目款</w:t>
            </w:r>
            <w:r>
              <w:rPr>
                <w:rFonts w:hint="eastAsia" w:ascii="宋体" w:hAnsi="宋体" w:eastAsia="宋体" w:cs="宋体"/>
                <w:color w:val="auto"/>
                <w:sz w:val="24"/>
                <w:szCs w:val="24"/>
                <w:highlight w:val="none"/>
                <w:u w:val="none"/>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1.5.3</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color w:val="auto"/>
                <w:sz w:val="24"/>
                <w:szCs w:val="24"/>
                <w:highlight w:val="none"/>
              </w:rPr>
              <w:t>预付款的担保措施</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sz w:val="24"/>
                <w:szCs w:val="24"/>
                <w:highlight w:val="none"/>
                <w:lang w:eastAsia="zh-CN"/>
              </w:rPr>
              <w:t>中标人</w:t>
            </w:r>
            <w:r>
              <w:rPr>
                <w:rFonts w:hint="eastAsia" w:ascii="宋体" w:hAnsi="宋体" w:eastAsia="宋体" w:cs="宋体"/>
                <w:bCs/>
                <w:color w:val="auto"/>
                <w:sz w:val="24"/>
                <w:szCs w:val="24"/>
                <w:highlight w:val="none"/>
                <w:lang w:val="zh-CN"/>
              </w:rPr>
              <w:t>需提供相应金额的预付款保函至采购人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资金支付的方式、时间和条件：采购单位根据合同、投标文件等资料进行验收。</w:t>
            </w:r>
          </w:p>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合同签订生效以及具备实施条件后7个工作日内，采购单位支付合同价款的50%预付款；在规定时间内完成项目的供货、验收通过并接入杭州监测平台后，由采购单位向中标供应商支付剩余50%项目款</w:t>
            </w:r>
            <w:r>
              <w:rPr>
                <w:rFonts w:hint="eastAsia" w:ascii="宋体" w:hAnsi="宋体" w:eastAsia="宋体" w:cs="宋体"/>
                <w:bCs/>
                <w:color w:val="auto"/>
                <w:sz w:val="24"/>
                <w:szCs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color w:val="auto"/>
                <w:sz w:val="24"/>
                <w:szCs w:val="24"/>
                <w:highlight w:val="none"/>
              </w:rPr>
              <w:t>交付期限</w:t>
            </w:r>
            <w:r>
              <w:rPr>
                <w:rFonts w:ascii="宋体" w:hAnsi="宋体"/>
                <w:color w:val="auto"/>
                <w:sz w:val="24"/>
                <w:szCs w:val="24"/>
                <w:highlight w:val="none"/>
              </w:rPr>
              <w:t>：</w:t>
            </w:r>
            <w:r>
              <w:rPr>
                <w:rFonts w:hint="eastAsia" w:ascii="宋体" w:hAnsi="宋体"/>
                <w:color w:val="auto"/>
                <w:sz w:val="24"/>
                <w:szCs w:val="24"/>
                <w:highlight w:val="none"/>
                <w:lang w:eastAsia="zh-CN"/>
              </w:rPr>
              <w:t>签订合同后60日历天内安装完成并接入杭州监测平台</w:t>
            </w:r>
            <w:r>
              <w:rPr>
                <w:rFonts w:hint="eastAsia" w:ascii="宋体" w:hAnsi="宋体"/>
                <w:color w:val="auto"/>
                <w:sz w:val="24"/>
                <w:szCs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.2 </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交付地点：</w:t>
            </w:r>
            <w:r>
              <w:rPr>
                <w:rFonts w:hint="eastAsia" w:ascii="宋体" w:hAnsi="宋体" w:cs="宋体"/>
                <w:color w:val="auto"/>
                <w:sz w:val="24"/>
                <w:szCs w:val="24"/>
                <w:highlight w:val="none"/>
                <w:lang w:eastAsia="zh-CN"/>
              </w:rPr>
              <w:t>采购人指定地点</w:t>
            </w:r>
            <w:r>
              <w:rPr>
                <w:rFonts w:hint="eastAsia" w:ascii="宋体" w:hAnsi="宋体" w:eastAsia="宋体" w:cs="宋体"/>
                <w:color w:val="auto"/>
                <w:sz w:val="24"/>
                <w:szCs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.3</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color w:val="auto"/>
                <w:sz w:val="24"/>
                <w:szCs w:val="24"/>
                <w:highlight w:val="none"/>
              </w:rPr>
              <w:t>交付方式</w:t>
            </w:r>
            <w:r>
              <w:rPr>
                <w:rFonts w:hint="eastAsia" w:ascii="宋体" w:hAnsi="宋体" w:eastAsia="宋体" w:cs="宋体"/>
                <w:color w:val="auto"/>
                <w:sz w:val="24"/>
                <w:szCs w:val="24"/>
                <w:highlight w:val="none"/>
              </w:rPr>
              <w:t>：提供中标货物的安装、培训和技术指导。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违约责任：由于乙方原因(除不可抗力外)不能按期交付合同标的，对超出交付期的每一天，乙方应按合同总价款的千分之三承担违约金，在合同货款支付时一次性扣除。若超出交付期十天(含十天)以上的，甲方有权终止合同，履约保证金不予退还。</w:t>
            </w:r>
          </w:p>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乙方按合同要求</w:t>
            </w:r>
            <w:r>
              <w:rPr>
                <w:rFonts w:hint="eastAsia" w:ascii="宋体" w:hAnsi="宋体" w:eastAsia="宋体" w:cs="宋体"/>
                <w:color w:val="auto"/>
                <w:sz w:val="24"/>
                <w:szCs w:val="24"/>
                <w:highlight w:val="none"/>
                <w:lang w:eastAsia="zh-CN"/>
              </w:rPr>
              <w:t>完成服务后</w:t>
            </w:r>
            <w:r>
              <w:rPr>
                <w:rFonts w:hint="eastAsia" w:ascii="宋体" w:hAnsi="宋体" w:eastAsia="宋体" w:cs="宋体"/>
                <w:color w:val="auto"/>
                <w:sz w:val="24"/>
                <w:szCs w:val="24"/>
                <w:highlight w:val="none"/>
              </w:rPr>
              <w:t>，经验收合格后，甲方超出付款期支付货款的，每逾一天，甲方应向乙方支付合同金额的千分之三的滞纳金。如遇特殊情况甲方要求推迟供货或验收的，必须事先征得乙方的同意，否则应承担由此给乙方造成的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9</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szCs w:val="24"/>
                <w:highlight w:val="none"/>
                <w:u w:val="single"/>
              </w:rPr>
              <w:t xml:space="preserve"> 1.</w:t>
            </w:r>
            <w:r>
              <w:rPr>
                <w:rFonts w:hint="eastAsia" w:ascii="宋体" w:hAnsi="宋体" w:eastAsia="宋体" w:cs="宋体"/>
                <w:b/>
                <w:i/>
                <w:color w:val="auto"/>
                <w:sz w:val="24"/>
                <w:szCs w:val="24"/>
                <w:highlight w:val="none"/>
                <w:u w:val="single"/>
                <w:lang w:val="en-US" w:eastAsia="zh-CN"/>
              </w:rPr>
              <w:t>9</w:t>
            </w:r>
            <w:r>
              <w:rPr>
                <w:rFonts w:hint="eastAsia" w:ascii="宋体" w:hAnsi="宋体" w:eastAsia="宋体" w:cs="宋体"/>
                <w:b/>
                <w:i/>
                <w:color w:val="auto"/>
                <w:sz w:val="24"/>
                <w:szCs w:val="24"/>
                <w:highlight w:val="none"/>
                <w:u w:val="single"/>
              </w:rPr>
              <w:t xml:space="preserve">.2  </w:t>
            </w:r>
            <w:r>
              <w:rPr>
                <w:rFonts w:hint="eastAsia" w:ascii="宋体" w:hAnsi="宋体" w:eastAsia="宋体" w:cs="宋体"/>
                <w:color w:val="auto"/>
                <w:sz w:val="24"/>
                <w:szCs w:val="24"/>
                <w:highlight w:val="none"/>
              </w:rPr>
              <w:t>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向</w:t>
            </w:r>
            <w:r>
              <w:rPr>
                <w:rFonts w:hint="eastAsia" w:ascii="宋体" w:hAnsi="宋体" w:eastAsia="宋体" w:cs="宋体"/>
                <w:b/>
                <w:i/>
                <w:color w:val="auto"/>
                <w:sz w:val="24"/>
                <w:szCs w:val="24"/>
                <w:highlight w:val="none"/>
                <w:u w:val="single"/>
              </w:rPr>
              <w:t>建德市人民法院</w:t>
            </w:r>
            <w:r>
              <w:rPr>
                <w:rFonts w:hint="eastAsia" w:ascii="宋体" w:hAnsi="宋体" w:eastAsia="宋体" w:cs="宋体"/>
                <w:color w:val="auto"/>
                <w:sz w:val="24"/>
                <w:szCs w:val="24"/>
                <w:highlight w:val="none"/>
              </w:rPr>
              <w:t>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具有知识产权的计算机软件等货物的知识产权归属：</w:t>
            </w:r>
            <w:r>
              <w:rPr>
                <w:rFonts w:hint="eastAsia" w:ascii="宋体" w:hAnsi="宋体" w:eastAsia="宋体" w:cs="宋体"/>
                <w:b/>
                <w:bCs/>
                <w:color w:val="auto"/>
                <w:sz w:val="24"/>
                <w:szCs w:val="24"/>
                <w:highlight w:val="none"/>
              </w:rPr>
              <w:t>甲方。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color w:val="auto"/>
                <w:sz w:val="24"/>
                <w:szCs w:val="24"/>
                <w:highlight w:val="none"/>
              </w:rPr>
              <w:t xml:space="preserve">2.4.3 </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装运货物的要求和通知</w:t>
            </w:r>
            <w:r>
              <w:rPr>
                <w:rFonts w:hint="eastAsia" w:ascii="宋体" w:hAnsi="宋体"/>
                <w:color w:val="auto"/>
                <w:sz w:val="24"/>
                <w:szCs w:val="24"/>
                <w:highlight w:val="none"/>
                <w:lang w:eastAsia="zh-CN"/>
              </w:rPr>
              <w:t>：</w:t>
            </w:r>
            <w:r>
              <w:rPr>
                <w:rFonts w:hint="eastAsia" w:ascii="宋体" w:hAnsi="宋体"/>
                <w:b/>
                <w:bCs/>
                <w:color w:val="auto"/>
                <w:sz w:val="24"/>
                <w:szCs w:val="24"/>
                <w:highlight w:val="none"/>
                <w:lang w:eastAsia="zh-CN"/>
              </w:rPr>
              <w:t>按乙方投标方案中施工进度要求。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6</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b w:val="0"/>
                <w:bCs/>
                <w:color w:val="auto"/>
                <w:sz w:val="24"/>
                <w:szCs w:val="24"/>
                <w:highlight w:val="none"/>
                <w:lang w:eastAsia="zh-CN"/>
              </w:rPr>
            </w:pPr>
            <w:r>
              <w:rPr>
                <w:rFonts w:ascii="宋体" w:hAnsi="宋体"/>
                <w:b/>
                <w:color w:val="auto"/>
                <w:sz w:val="24"/>
                <w:szCs w:val="24"/>
                <w:highlight w:val="none"/>
              </w:rPr>
              <w:t>结算方式和付款条件</w:t>
            </w:r>
            <w:r>
              <w:rPr>
                <w:rFonts w:hint="eastAsia" w:ascii="宋体" w:hAnsi="宋体"/>
                <w:b/>
                <w:color w:val="auto"/>
                <w:sz w:val="24"/>
                <w:szCs w:val="24"/>
                <w:highlight w:val="none"/>
                <w:lang w:eastAsia="zh-CN"/>
              </w:rPr>
              <w:t>：</w:t>
            </w:r>
            <w:r>
              <w:rPr>
                <w:rFonts w:hint="eastAsia" w:ascii="宋体" w:hAnsi="宋体"/>
                <w:b w:val="0"/>
                <w:bCs/>
                <w:color w:val="auto"/>
                <w:sz w:val="24"/>
                <w:szCs w:val="24"/>
                <w:highlight w:val="none"/>
                <w:lang w:eastAsia="zh-CN"/>
              </w:rPr>
              <w:t>采购单位根据合同、投标文件等资料进行验收。</w:t>
            </w:r>
          </w:p>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b w:val="0"/>
                <w:bCs/>
                <w:color w:val="auto"/>
                <w:sz w:val="24"/>
                <w:szCs w:val="24"/>
                <w:highlight w:val="none"/>
                <w:lang w:eastAsia="zh-CN"/>
              </w:rPr>
              <w:t>合同签订生效以及具备实施条件后7个工作日内，采购单位支付合同价款的50%预付款；在规定时间内完成项目的供货、验收通过并接入杭州监测平台后，由采购单位向中标供应商支付剩余50%项目款。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b w:val="0"/>
                <w:bCs/>
                <w:color w:val="auto"/>
                <w:sz w:val="24"/>
                <w:szCs w:val="24"/>
                <w:highlight w:val="none"/>
                <w:lang w:eastAsia="zh-CN"/>
              </w:rPr>
              <w:t xml:space="preserve">2.9 </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b w:val="0"/>
                <w:bCs/>
                <w:color w:val="auto"/>
                <w:sz w:val="24"/>
                <w:szCs w:val="24"/>
                <w:highlight w:val="none"/>
                <w:lang w:eastAsia="zh-CN"/>
              </w:rPr>
            </w:pPr>
            <w:r>
              <w:rPr>
                <w:rFonts w:hint="eastAsia" w:ascii="宋体" w:hAnsi="宋体"/>
                <w:b w:val="0"/>
                <w:bCs/>
                <w:color w:val="auto"/>
                <w:sz w:val="24"/>
                <w:szCs w:val="24"/>
                <w:highlight w:val="none"/>
                <w:lang w:eastAsia="zh-CN"/>
              </w:rPr>
              <w:t>货物或者在途货物或者交付给第一承运人后的货物毁损、灭失的风险负担</w:t>
            </w:r>
            <w:r>
              <w:rPr>
                <w:rFonts w:hint="eastAsia" w:ascii="宋体" w:hAnsi="宋体"/>
                <w:b/>
                <w:bCs w:val="0"/>
                <w:color w:val="auto"/>
                <w:sz w:val="24"/>
                <w:szCs w:val="24"/>
                <w:highlight w:val="none"/>
                <w:lang w:eastAsia="zh-CN"/>
              </w:rPr>
              <w:t>都有乙方自行负责。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.3</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因不可抗力致使合同有变更必要的，双方当事人应在</w:t>
            </w:r>
            <w:r>
              <w:rPr>
                <w:rFonts w:hint="eastAsia" w:ascii="宋体" w:hAnsi="宋体" w:eastAsia="宋体" w:cs="宋体"/>
                <w:b/>
                <w:i/>
                <w:color w:val="auto"/>
                <w:sz w:val="24"/>
                <w:szCs w:val="24"/>
                <w:highlight w:val="none"/>
                <w:u w:val="single"/>
              </w:rPr>
              <w:t>30日</w:t>
            </w:r>
            <w:r>
              <w:rPr>
                <w:rFonts w:hint="eastAsia" w:ascii="宋体" w:hAnsi="宋体" w:eastAsia="宋体" w:cs="宋体"/>
                <w:color w:val="auto"/>
                <w:sz w:val="24"/>
                <w:szCs w:val="24"/>
                <w:highlight w:val="none"/>
              </w:rPr>
              <w:t>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 </w:t>
            </w:r>
          </w:p>
        </w:tc>
        <w:tc>
          <w:tcPr>
            <w:tcW w:w="4506" w:type="pct"/>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受不可抗力影响的一方在不可抗力发生后，应在</w:t>
            </w:r>
            <w:r>
              <w:rPr>
                <w:rFonts w:hint="eastAsia" w:ascii="宋体" w:hAnsi="宋体" w:eastAsia="宋体" w:cs="宋体"/>
                <w:b/>
                <w:i/>
                <w:color w:val="auto"/>
                <w:sz w:val="24"/>
                <w:szCs w:val="24"/>
                <w:highlight w:val="none"/>
                <w:u w:val="single"/>
              </w:rPr>
              <w:t>7日</w:t>
            </w:r>
            <w:r>
              <w:rPr>
                <w:rFonts w:hint="eastAsia" w:ascii="宋体" w:hAnsi="宋体" w:eastAsia="宋体" w:cs="宋体"/>
                <w:color w:val="auto"/>
                <w:sz w:val="24"/>
                <w:szCs w:val="24"/>
                <w:highlight w:val="none"/>
              </w:rPr>
              <w:t>内以书面形式通知对方当事人，并在</w:t>
            </w:r>
            <w:r>
              <w:rPr>
                <w:rFonts w:hint="eastAsia" w:ascii="宋体" w:hAnsi="宋体" w:eastAsia="宋体" w:cs="宋体"/>
                <w:b/>
                <w:i/>
                <w:color w:val="auto"/>
                <w:sz w:val="24"/>
                <w:szCs w:val="24"/>
                <w:highlight w:val="none"/>
                <w:u w:val="single"/>
              </w:rPr>
              <w:t>14日</w:t>
            </w:r>
            <w:r>
              <w:rPr>
                <w:rFonts w:hint="eastAsia" w:ascii="宋体" w:hAnsi="宋体" w:eastAsia="宋体" w:cs="宋体"/>
                <w:color w:val="auto"/>
                <w:sz w:val="24"/>
                <w:szCs w:val="24"/>
                <w:highlight w:val="none"/>
              </w:rPr>
              <w:t>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val="en-US" w:eastAsia="zh-CN"/>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7</w:t>
            </w:r>
            <w:r>
              <w:rPr>
                <w:rFonts w:ascii="宋体" w:hAnsi="宋体"/>
                <w:color w:val="auto"/>
                <w:sz w:val="24"/>
                <w:szCs w:val="24"/>
                <w:highlight w:val="none"/>
              </w:rPr>
              <w:t xml:space="preserve">.1 </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货物交付前，乙方应对货物的质量、数量等方面进行详细、全面的检验，并向甲方出具证明货物符合合同约定的文件；货物交付时，甲方在</w:t>
            </w:r>
            <w:r>
              <w:rPr>
                <w:rFonts w:hint="eastAsia" w:ascii="宋体" w:hAnsi="宋体" w:eastAsia="宋体" w:cs="宋体"/>
                <w:b/>
                <w:bCs/>
                <w:color w:val="auto"/>
                <w:sz w:val="24"/>
                <w:szCs w:val="24"/>
                <w:highlight w:val="none"/>
                <w:u w:val="single"/>
              </w:rPr>
              <w:t>货物安装调试完成3日内</w:t>
            </w:r>
            <w:r>
              <w:rPr>
                <w:rFonts w:hint="eastAsia" w:ascii="宋体" w:hAnsi="宋体" w:eastAsia="宋体" w:cs="宋体"/>
                <w:color w:val="auto"/>
                <w:sz w:val="24"/>
                <w:szCs w:val="24"/>
                <w:highlight w:val="none"/>
              </w:rPr>
              <w:t>内组织验收，并可依法邀请相关方参加，验收应出具验收书；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eastAsia="zh-CN"/>
              </w:rPr>
            </w:pPr>
            <w:r>
              <w:rPr>
                <w:rFonts w:ascii="宋体" w:hAnsi="宋体"/>
                <w:color w:val="auto"/>
                <w:sz w:val="24"/>
                <w:szCs w:val="24"/>
                <w:highlight w:val="none"/>
              </w:rPr>
              <w:t>2.1</w:t>
            </w:r>
            <w:r>
              <w:rPr>
                <w:rFonts w:hint="eastAsia" w:ascii="宋体" w:hAnsi="宋体"/>
                <w:color w:val="auto"/>
                <w:sz w:val="24"/>
                <w:szCs w:val="24"/>
                <w:highlight w:val="none"/>
                <w:lang w:val="en-US" w:eastAsia="zh-CN"/>
              </w:rPr>
              <w:t>7</w:t>
            </w:r>
            <w:r>
              <w:rPr>
                <w:rFonts w:ascii="宋体" w:hAnsi="宋体"/>
                <w:color w:val="auto"/>
                <w:sz w:val="24"/>
                <w:szCs w:val="24"/>
                <w:highlight w:val="none"/>
              </w:rPr>
              <w:t>.3</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cs="宋体"/>
                <w:color w:val="auto"/>
                <w:sz w:val="24"/>
                <w:szCs w:val="24"/>
                <w:highlight w:val="none"/>
                <w:lang w:eastAsia="zh-CN"/>
              </w:rPr>
            </w:pPr>
            <w:r>
              <w:rPr>
                <w:rFonts w:hint="eastAsia" w:ascii="宋体" w:hAnsi="宋体" w:eastAsia="宋体" w:cs="宋体"/>
                <w:color w:val="auto"/>
                <w:sz w:val="24"/>
                <w:szCs w:val="24"/>
                <w:highlight w:val="none"/>
                <w:lang w:eastAsia="zh-CN"/>
              </w:rPr>
              <w:t>检验和验收标准、程序等具体内容以及前述验收书的效力</w:t>
            </w:r>
            <w:r>
              <w:rPr>
                <w:rFonts w:hint="eastAsia" w:ascii="宋体" w:hAnsi="宋体" w:cs="宋体"/>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1、乙方应提供系统设备的有效检验材料，经采购人认可后，与合同的技术指标一起作为验收标准。甲方对系统设备验收合格后，出具验收报告并在《建德市政府采购物品验收反馈表》上签署意见并加盖单位公章。验收中发现系统设备达不到验收标准或合同规定的技术指标，乙方必须更换，并负担由此给甲方造成的损失，直到验收合格为止。</w:t>
            </w:r>
          </w:p>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2、乙方应于投标书中提供系统设备的验收标准和检测办法，并在验收中提供甲方认可的相应检测手段，验收标准应符合中国有关的国家、地方、行业的标准，如若中标，经甲方确认后作为验收的依据。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493"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21</w:t>
            </w:r>
          </w:p>
        </w:tc>
        <w:tc>
          <w:tcPr>
            <w:tcW w:w="4506" w:type="pct"/>
            <w:vAlign w:val="center"/>
          </w:tcPr>
          <w:p>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合同份数：</w:t>
            </w:r>
            <w:r>
              <w:rPr>
                <w:rFonts w:hint="eastAsia" w:ascii="宋体" w:hAnsi="宋体" w:eastAsia="宋体" w:cs="宋体"/>
                <w:color w:val="auto"/>
                <w:kern w:val="0"/>
                <w:sz w:val="24"/>
                <w:szCs w:val="24"/>
                <w:highlight w:val="none"/>
              </w:rPr>
              <w:t>本合同壹式陆份，甲、乙双方各执贰份，见证单位壹份，监管部门壹份。</w:t>
            </w:r>
          </w:p>
        </w:tc>
      </w:tr>
    </w:tbl>
    <w:p>
      <w:pPr>
        <w:spacing w:line="360" w:lineRule="auto"/>
        <w:ind w:left="-420" w:leftChars="-200" w:right="-420" w:rightChars="-200" w:firstLine="480" w:firstLineChars="200"/>
        <w:rPr>
          <w:rFonts w:hint="eastAsia" w:ascii="宋体" w:hAnsi="宋体" w:eastAsia="宋体" w:cs="宋体"/>
          <w:color w:val="auto"/>
          <w:sz w:val="24"/>
          <w:highlight w:val="none"/>
        </w:rPr>
      </w:pPr>
    </w:p>
    <w:p>
      <w:pPr>
        <w:spacing w:line="360" w:lineRule="auto"/>
        <w:ind w:left="-420" w:leftChars="-200" w:right="-420" w:rightChars="-200"/>
        <w:rPr>
          <w:rFonts w:hint="eastAsia" w:ascii="宋体" w:hAnsi="宋体" w:eastAsia="宋体" w:cs="宋体"/>
          <w:color w:val="auto"/>
          <w:sz w:val="24"/>
          <w:highlight w:val="none"/>
        </w:rPr>
      </w:pPr>
    </w:p>
    <w:p>
      <w:pPr>
        <w:pStyle w:val="2"/>
        <w:rPr>
          <w:rFonts w:hint="eastAsia" w:ascii="宋体" w:hAnsi="宋体" w:eastAsia="宋体" w:cs="宋体"/>
          <w:color w:val="auto"/>
          <w:highlight w:val="none"/>
        </w:rPr>
      </w:pPr>
    </w:p>
    <w:p>
      <w:pPr>
        <w:rPr>
          <w:rFonts w:hint="eastAsia" w:ascii="宋体" w:hAnsi="宋体" w:eastAsia="宋体" w:cs="宋体"/>
          <w:color w:val="auto"/>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spacing w:line="360" w:lineRule="auto"/>
        <w:ind w:left="720" w:firstLine="723" w:firstLineChars="200"/>
        <w:outlineLvl w:val="0"/>
        <w:rPr>
          <w:rFonts w:hint="eastAsia" w:ascii="宋体" w:hAnsi="宋体" w:eastAsia="宋体" w:cs="宋体"/>
          <w:b/>
          <w:color w:val="auto"/>
          <w:sz w:val="36"/>
          <w:szCs w:val="20"/>
          <w:highlight w:val="none"/>
        </w:rPr>
      </w:pPr>
    </w:p>
    <w:p>
      <w:pPr>
        <w:rPr>
          <w:rFonts w:hint="eastAsia"/>
          <w:color w:val="auto"/>
          <w:highlight w:val="none"/>
        </w:rPr>
      </w:pPr>
    </w:p>
    <w:p>
      <w:pPr>
        <w:spacing w:line="360" w:lineRule="auto"/>
        <w:ind w:left="720" w:firstLine="1446" w:firstLineChars="400"/>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6"/>
      <w:r>
        <w:rPr>
          <w:rFonts w:hint="eastAsia" w:ascii="宋体" w:hAnsi="宋体" w:eastAsia="宋体" w:cs="宋体"/>
          <w:b/>
          <w:color w:val="auto"/>
          <w:sz w:val="36"/>
          <w:szCs w:val="20"/>
          <w:highlight w:val="none"/>
        </w:rPr>
        <w:t xml:space="preserve"> </w:t>
      </w:r>
      <w:bookmarkEnd w:id="397"/>
      <w:r>
        <w:rPr>
          <w:rFonts w:hint="eastAsia" w:ascii="宋体" w:hAnsi="宋体" w:eastAsia="宋体" w:cs="宋体"/>
          <w:b/>
          <w:color w:val="auto"/>
          <w:sz w:val="36"/>
          <w:szCs w:val="20"/>
          <w:highlight w:val="none"/>
        </w:rPr>
        <w:t>应提交的有关格式范例</w:t>
      </w:r>
    </w:p>
    <w:p>
      <w:pPr>
        <w:spacing w:line="360" w:lineRule="auto"/>
        <w:jc w:val="center"/>
        <w:outlineLvl w:val="0"/>
        <w:rPr>
          <w:rFonts w:hint="eastAsia" w:ascii="宋体" w:hAnsi="宋体" w:eastAsia="宋体" w:cs="宋体"/>
          <w:b/>
          <w:color w:val="auto"/>
          <w:kern w:val="0"/>
          <w:sz w:val="36"/>
          <w:szCs w:val="36"/>
          <w:highlight w:val="none"/>
        </w:r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w:t>
      </w:r>
      <w:r>
        <w:rPr>
          <w:rFonts w:hint="eastAsia" w:ascii="宋体" w:hAnsi="宋体" w:cs="宋体"/>
          <w:sz w:val="24"/>
        </w:rPr>
        <w:t>………………………………</w:t>
      </w:r>
      <w:r>
        <w:rPr>
          <w:rFonts w:hint="eastAsia" w:ascii="宋体" w:hAnsi="宋体" w:eastAsia="宋体" w:cs="宋体"/>
          <w:color w:val="auto"/>
          <w:sz w:val="24"/>
          <w:highlight w:val="none"/>
        </w:rPr>
        <w:t>（页码）</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pPr>
        <w:snapToGrid w:val="0"/>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pPr>
        <w:snapToGrid w:val="0"/>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eastAsia="zh-CN"/>
        </w:rPr>
        <w:t>建德市住房和城乡建设局</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杭州天恒投资建设管理有限公司</w:t>
      </w:r>
      <w:r>
        <w:rPr>
          <w:rFonts w:hint="eastAsia" w:ascii="宋体" w:hAnsi="宋体" w:eastAsia="宋体" w:cs="宋体"/>
          <w:color w:val="auto"/>
          <w:sz w:val="24"/>
          <w:highlight w:val="none"/>
        </w:rPr>
        <w:t>：</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cs="宋体"/>
          <w:color w:val="auto"/>
          <w:sz w:val="24"/>
          <w:highlight w:val="none"/>
          <w:lang w:eastAsia="zh-CN"/>
        </w:rPr>
        <w:t>桥头称重设施采购项目</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JD2023BF-139</w:t>
      </w:r>
      <w:r>
        <w:rPr>
          <w:rFonts w:hint="eastAsia" w:ascii="宋体" w:hAnsi="宋体" w:eastAsia="宋体" w:cs="宋体"/>
          <w:color w:val="auto"/>
          <w:sz w:val="24"/>
          <w:highlight w:val="none"/>
        </w:rPr>
        <w:t>】政府采购活动，郑重承诺：</w:t>
      </w:r>
    </w:p>
    <w:p>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w:t>
      </w:r>
      <w:r>
        <w:rPr>
          <w:rFonts w:hint="eastAsia" w:ascii="宋体" w:hAnsi="宋体" w:eastAsia="宋体" w:cs="宋体"/>
          <w:color w:val="auto"/>
          <w:sz w:val="24"/>
          <w:highlight w:val="none"/>
          <w:lang w:eastAsia="zh-CN"/>
        </w:rPr>
        <w:t>重大税收违法失信主体</w:t>
      </w:r>
      <w:r>
        <w:rPr>
          <w:rFonts w:hint="eastAsia" w:ascii="宋体" w:hAnsi="宋体" w:eastAsia="宋体" w:cs="宋体"/>
          <w:color w:val="auto"/>
          <w:sz w:val="24"/>
          <w:highlight w:val="none"/>
        </w:rPr>
        <w:t>、政府采购严重违法失信行为记录名单。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三、落实政府采购政策需满足的资格要求（如果有）</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.专门面向中小企业，货物全部由符合政策要求的中小企业（或小微企业）制造的，提供相应的中小企业声明函（附件7）。 </w:t>
      </w:r>
    </w:p>
    <w:p>
      <w:pPr>
        <w:widowControl/>
        <w:spacing w:line="360" w:lineRule="auto"/>
        <w:ind w:firstLine="480"/>
        <w:jc w:val="left"/>
        <w:rPr>
          <w:rFonts w:hint="eastAsia" w:ascii="宋体" w:hAnsi="宋体" w:eastAsia="宋体" w:cs="宋体"/>
          <w:color w:val="auto"/>
          <w:sz w:val="24"/>
          <w:highlight w:val="none"/>
        </w:rPr>
      </w:pPr>
    </w:p>
    <w:p>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pPr>
        <w:widowControl/>
        <w:spacing w:line="360" w:lineRule="auto"/>
        <w:ind w:left="150"/>
        <w:jc w:val="center"/>
        <w:rPr>
          <w:rFonts w:hint="eastAsia" w:ascii="宋体" w:hAnsi="宋体" w:eastAsia="宋体" w:cs="宋体"/>
          <w:b/>
          <w:color w:val="auto"/>
          <w:kern w:val="0"/>
          <w:sz w:val="32"/>
          <w:szCs w:val="32"/>
          <w:highlight w:val="none"/>
        </w:rPr>
      </w:pPr>
    </w:p>
    <w:p>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pPr>
        <w:rPr>
          <w:rFonts w:hint="eastAsia" w:ascii="宋体" w:hAnsi="宋体" w:eastAsia="宋体" w:cs="宋体"/>
          <w:color w:val="auto"/>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spacing w:line="360" w:lineRule="auto"/>
        <w:ind w:right="420"/>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rPr>
          <w:rFonts w:hint="eastAsia" w:ascii="宋体" w:hAnsi="宋体" w:eastAsia="宋体" w:cs="宋体"/>
          <w:b/>
          <w:color w:val="auto"/>
          <w:kern w:val="0"/>
          <w:sz w:val="32"/>
          <w:szCs w:val="32"/>
          <w:highlight w:val="none"/>
          <w:lang w:val="zh-CN"/>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pStyle w:val="2"/>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pPr>
        <w:snapToGrid w:val="0"/>
        <w:spacing w:line="360" w:lineRule="auto"/>
        <w:ind w:firstLine="3855" w:firstLineChars="1200"/>
        <w:outlineLvl w:val="0"/>
        <w:rPr>
          <w:rFonts w:hint="eastAsia" w:ascii="宋体" w:hAnsi="宋体" w:eastAsia="宋体" w:cs="宋体"/>
          <w:b/>
          <w:color w:val="auto"/>
          <w:kern w:val="0"/>
          <w:sz w:val="32"/>
          <w:szCs w:val="32"/>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snapToGrid w:val="0"/>
        <w:spacing w:line="240" w:lineRule="auto"/>
        <w:ind w:firstLine="3855" w:firstLineChars="1200"/>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pPr>
        <w:keepNext w:val="0"/>
        <w:keepLines w:val="0"/>
        <w:pageBreakBefore w:val="0"/>
        <w:widowControl w:val="0"/>
        <w:kinsoku/>
        <w:wordWrap/>
        <w:overflowPunct/>
        <w:topLinePunct w:val="0"/>
        <w:autoSpaceDE/>
        <w:autoSpaceDN/>
        <w:bidi w:val="0"/>
        <w:adjustRightInd w:val="0"/>
        <w:snapToGrid w:val="0"/>
        <w:spacing w:line="390" w:lineRule="exac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建德市住房和城乡建设局</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杭州天恒投资建设管理有限公司</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val="0"/>
        <w:snapToGrid w:val="0"/>
        <w:spacing w:line="39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我方参加你方组织的</w:t>
      </w:r>
      <w:r>
        <w:rPr>
          <w:rFonts w:hint="eastAsia" w:ascii="宋体" w:hAnsi="宋体" w:cs="宋体"/>
          <w:color w:val="auto"/>
          <w:sz w:val="24"/>
          <w:szCs w:val="24"/>
          <w:highlight w:val="none"/>
          <w:lang w:eastAsia="zh-CN"/>
        </w:rPr>
        <w:t>桥头称重设施采购项目</w:t>
      </w:r>
      <w:r>
        <w:rPr>
          <w:rFonts w:hint="eastAsia" w:ascii="宋体" w:hAnsi="宋体" w:eastAsia="宋体" w:cs="宋体"/>
          <w:color w:val="auto"/>
          <w:sz w:val="24"/>
          <w:szCs w:val="24"/>
          <w:highlight w:val="none"/>
        </w:rPr>
        <w:t>【招标编号：</w:t>
      </w:r>
      <w:r>
        <w:rPr>
          <w:rFonts w:hint="eastAsia" w:ascii="宋体" w:hAnsi="宋体" w:cs="宋体"/>
          <w:color w:val="auto"/>
          <w:sz w:val="24"/>
          <w:szCs w:val="24"/>
          <w:highlight w:val="none"/>
          <w:lang w:eastAsia="zh-CN"/>
        </w:rPr>
        <w:t>JD2023BF-139</w:t>
      </w:r>
      <w:r>
        <w:rPr>
          <w:rFonts w:hint="eastAsia" w:ascii="宋体" w:hAnsi="宋体" w:eastAsia="宋体" w:cs="宋体"/>
          <w:color w:val="auto"/>
          <w:sz w:val="24"/>
          <w:szCs w:val="24"/>
          <w:highlight w:val="none"/>
        </w:rPr>
        <w:t>】招标的有关活动，并对此项目进行投标。为此：</w:t>
      </w:r>
    </w:p>
    <w:p>
      <w:pPr>
        <w:keepNext w:val="0"/>
        <w:keepLines w:val="0"/>
        <w:pageBreakBefore w:val="0"/>
        <w:widowControl w:val="0"/>
        <w:kinsoku/>
        <w:wordWrap/>
        <w:overflowPunct/>
        <w:topLinePunct w:val="0"/>
        <w:autoSpaceDE/>
        <w:autoSpaceDN/>
        <w:bidi w:val="0"/>
        <w:adjustRightInd w:val="0"/>
        <w:snapToGrid w:val="0"/>
        <w:spacing w:line="39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1、我方承诺投标有效期从提交投标文件的截止之日起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天（不少于90天），本投标文件在投标有效期满之前均具有约束力。</w:t>
      </w:r>
    </w:p>
    <w:p>
      <w:pPr>
        <w:keepNext w:val="0"/>
        <w:keepLines w:val="0"/>
        <w:pageBreakBefore w:val="0"/>
        <w:widowControl w:val="0"/>
        <w:kinsoku/>
        <w:wordWrap/>
        <w:overflowPunct/>
        <w:topLinePunct w:val="0"/>
        <w:autoSpaceDE/>
        <w:autoSpaceDN/>
        <w:bidi w:val="0"/>
        <w:adjustRightInd w:val="0"/>
        <w:snapToGrid w:val="0"/>
        <w:spacing w:line="39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2、我方的投标文件包括以下内容：</w:t>
      </w:r>
    </w:p>
    <w:p>
      <w:pPr>
        <w:keepNext w:val="0"/>
        <w:keepLines w:val="0"/>
        <w:pageBreakBefore w:val="0"/>
        <w:widowControl w:val="0"/>
        <w:kinsoku/>
        <w:wordWrap/>
        <w:overflowPunct/>
        <w:topLinePunct w:val="0"/>
        <w:autoSpaceDE/>
        <w:autoSpaceDN/>
        <w:bidi w:val="0"/>
        <w:adjustRightInd w:val="0"/>
        <w:snapToGrid w:val="0"/>
        <w:spacing w:line="390" w:lineRule="exact"/>
        <w:ind w:left="210" w:leftChars="1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2.1资格文件：</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2.1.1承诺函；</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w:t>
      </w:r>
      <w:r>
        <w:rPr>
          <w:rFonts w:hint="eastAsia" w:ascii="宋体" w:hAnsi="宋体" w:eastAsia="宋体" w:cs="宋体"/>
          <w:snapToGrid w:val="0"/>
          <w:color w:val="auto"/>
          <w:kern w:val="28"/>
          <w:sz w:val="24"/>
          <w:szCs w:val="24"/>
          <w:highlight w:val="none"/>
        </w:rPr>
        <w:t>联合协议（如果有)；</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2.1.3落实政府采购政策需满足的资格要求（如果有）；</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2.1.4本项目的特定资格要求</w:t>
      </w:r>
      <w:r>
        <w:rPr>
          <w:rFonts w:hint="eastAsia" w:ascii="宋体" w:hAnsi="宋体" w:eastAsia="宋体" w:cs="宋体"/>
          <w:snapToGrid w:val="0"/>
          <w:color w:val="auto"/>
          <w:kern w:val="28"/>
          <w:sz w:val="24"/>
          <w:szCs w:val="24"/>
          <w:highlight w:val="none"/>
        </w:rPr>
        <w:t>（如果有）</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val="0"/>
        <w:snapToGrid w:val="0"/>
        <w:spacing w:line="390" w:lineRule="exact"/>
        <w:ind w:left="210" w:leftChars="100"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sz w:val="24"/>
          <w:szCs w:val="24"/>
          <w:highlight w:val="none"/>
        </w:rPr>
        <w:t>商务技术</w:t>
      </w:r>
      <w:r>
        <w:rPr>
          <w:rFonts w:hint="eastAsia" w:ascii="宋体" w:hAnsi="宋体" w:eastAsia="宋体" w:cs="宋体"/>
          <w:color w:val="auto"/>
          <w:sz w:val="24"/>
          <w:szCs w:val="24"/>
          <w:highlight w:val="none"/>
          <w:lang w:val="zh-CN"/>
        </w:rPr>
        <w:t>文件：</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2.2.1投标函；</w:t>
      </w:r>
      <w:r>
        <w:rPr>
          <w:rFonts w:hint="eastAsia" w:ascii="宋体" w:hAnsi="宋体" w:eastAsia="宋体" w:cs="宋体"/>
          <w:color w:val="auto"/>
          <w:sz w:val="24"/>
          <w:szCs w:val="24"/>
          <w:highlight w:val="none"/>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2.2.3分包意向协议</w:t>
      </w:r>
      <w:r>
        <w:rPr>
          <w:rFonts w:hint="eastAsia" w:ascii="宋体" w:hAnsi="宋体" w:eastAsia="宋体" w:cs="宋体"/>
          <w:snapToGrid w:val="0"/>
          <w:color w:val="auto"/>
          <w:kern w:val="28"/>
          <w:sz w:val="24"/>
          <w:szCs w:val="24"/>
          <w:highlight w:val="none"/>
        </w:rPr>
        <w:t>（如果有）</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2.2.4符合性审查资料；</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2.2.5评标标准相应的商务技术资料；</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2.2.6投标标的清单；</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2.2.7商务技术偏离表；</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政府采购供应商廉洁自律承诺书；</w:t>
      </w:r>
    </w:p>
    <w:p>
      <w:pPr>
        <w:keepNext w:val="0"/>
        <w:keepLines w:val="0"/>
        <w:pageBreakBefore w:val="0"/>
        <w:widowControl w:val="0"/>
        <w:kinsoku/>
        <w:wordWrap/>
        <w:overflowPunct/>
        <w:topLinePunct w:val="0"/>
        <w:autoSpaceDE/>
        <w:autoSpaceDN/>
        <w:bidi w:val="0"/>
        <w:adjustRightInd w:val="0"/>
        <w:snapToGrid w:val="0"/>
        <w:spacing w:line="390" w:lineRule="exact"/>
        <w:ind w:left="210" w:leftChars="1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3报价文件</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2.3.1开标一览表（报价表）；</w:t>
      </w:r>
    </w:p>
    <w:p>
      <w:pPr>
        <w:keepNext w:val="0"/>
        <w:keepLines w:val="0"/>
        <w:pageBreakBefore w:val="0"/>
        <w:widowControl w:val="0"/>
        <w:kinsoku/>
        <w:wordWrap/>
        <w:overflowPunct/>
        <w:topLinePunct w:val="0"/>
        <w:autoSpaceDE/>
        <w:autoSpaceDN/>
        <w:bidi w:val="0"/>
        <w:adjustRightInd w:val="0"/>
        <w:snapToGrid w:val="0"/>
        <w:spacing w:line="390" w:lineRule="exact"/>
        <w:ind w:left="420"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2.3.2中小企业声明函（如果有）。</w:t>
      </w:r>
    </w:p>
    <w:p>
      <w:pPr>
        <w:keepNext w:val="0"/>
        <w:keepLines w:val="0"/>
        <w:pageBreakBefore w:val="0"/>
        <w:widowControl w:val="0"/>
        <w:kinsoku/>
        <w:wordWrap/>
        <w:overflowPunct/>
        <w:topLinePunct w:val="0"/>
        <w:autoSpaceDE/>
        <w:autoSpaceDN/>
        <w:bidi w:val="0"/>
        <w:adjustRightInd w:val="0"/>
        <w:snapToGrid w:val="0"/>
        <w:spacing w:line="39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3、我方承诺除商务技术偏离表列出的偏离外，我方响应招标文件的全部要求。</w:t>
      </w:r>
    </w:p>
    <w:p>
      <w:pPr>
        <w:keepNext w:val="0"/>
        <w:keepLines w:val="0"/>
        <w:pageBreakBefore w:val="0"/>
        <w:widowControl w:val="0"/>
        <w:kinsoku/>
        <w:wordWrap/>
        <w:overflowPunct/>
        <w:topLinePunct w:val="0"/>
        <w:autoSpaceDE/>
        <w:autoSpaceDN/>
        <w:bidi w:val="0"/>
        <w:adjustRightInd w:val="0"/>
        <w:snapToGrid w:val="0"/>
        <w:spacing w:line="39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4、如我方中标，我方承诺：</w:t>
      </w:r>
    </w:p>
    <w:p>
      <w:pPr>
        <w:keepNext w:val="0"/>
        <w:keepLines w:val="0"/>
        <w:pageBreakBefore w:val="0"/>
        <w:widowControl w:val="0"/>
        <w:kinsoku/>
        <w:wordWrap/>
        <w:overflowPunct/>
        <w:topLinePunct w:val="0"/>
        <w:autoSpaceDE/>
        <w:autoSpaceDN/>
        <w:bidi w:val="0"/>
        <w:adjustRightInd w:val="0"/>
        <w:snapToGrid w:val="0"/>
        <w:spacing w:line="390" w:lineRule="exact"/>
        <w:ind w:left="210" w:leftChars="1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4.1在收到中标通知书后，在中标通知书规定的期限内与你方签订合同；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390" w:lineRule="exact"/>
        <w:ind w:left="210" w:leftChars="1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4.2在签订合同时不向你方提出附加条件； </w:t>
      </w:r>
    </w:p>
    <w:p>
      <w:pPr>
        <w:keepNext w:val="0"/>
        <w:keepLines w:val="0"/>
        <w:pageBreakBefore w:val="0"/>
        <w:widowControl w:val="0"/>
        <w:kinsoku/>
        <w:wordWrap/>
        <w:overflowPunct/>
        <w:topLinePunct w:val="0"/>
        <w:autoSpaceDE/>
        <w:autoSpaceDN/>
        <w:bidi w:val="0"/>
        <w:adjustRightInd w:val="0"/>
        <w:snapToGrid w:val="0"/>
        <w:spacing w:line="390" w:lineRule="exact"/>
        <w:ind w:left="210" w:leftChars="1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4.3按照招标文件要求提交履约保证金； </w:t>
      </w:r>
    </w:p>
    <w:p>
      <w:pPr>
        <w:keepNext w:val="0"/>
        <w:keepLines w:val="0"/>
        <w:pageBreakBefore w:val="0"/>
        <w:widowControl w:val="0"/>
        <w:kinsoku/>
        <w:wordWrap/>
        <w:overflowPunct/>
        <w:topLinePunct w:val="0"/>
        <w:autoSpaceDE/>
        <w:autoSpaceDN/>
        <w:bidi w:val="0"/>
        <w:adjustRightInd w:val="0"/>
        <w:snapToGrid w:val="0"/>
        <w:spacing w:line="390" w:lineRule="exact"/>
        <w:ind w:left="210" w:leftChars="1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390" w:lineRule="exact"/>
        <w:ind w:left="210" w:leftChars="1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5、其他补充说明: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pPr>
        <w:keepNext w:val="0"/>
        <w:keepLines w:val="0"/>
        <w:pageBreakBefore w:val="0"/>
        <w:widowControl w:val="0"/>
        <w:kinsoku/>
        <w:wordWrap/>
        <w:overflowPunct/>
        <w:topLinePunct w:val="0"/>
        <w:autoSpaceDE/>
        <w:autoSpaceDN/>
        <w:bidi w:val="0"/>
        <w:adjustRightInd w:val="0"/>
        <w:spacing w:line="390" w:lineRule="exact"/>
        <w:ind w:firstLine="3600" w:firstLineChars="15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投标人名称（电子签名）：                          </w:t>
      </w:r>
    </w:p>
    <w:p>
      <w:pPr>
        <w:keepNext w:val="0"/>
        <w:keepLines w:val="0"/>
        <w:pageBreakBefore w:val="0"/>
        <w:widowControl w:val="0"/>
        <w:kinsoku/>
        <w:wordWrap/>
        <w:overflowPunct/>
        <w:topLinePunct w:val="0"/>
        <w:autoSpaceDE/>
        <w:autoSpaceDN/>
        <w:bidi w:val="0"/>
        <w:adjustRightInd w:val="0"/>
        <w:spacing w:line="39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日期：  年   月   日</w:t>
      </w:r>
    </w:p>
    <w:p>
      <w:pPr>
        <w:keepNext w:val="0"/>
        <w:keepLines w:val="0"/>
        <w:pageBreakBefore w:val="0"/>
        <w:widowControl w:val="0"/>
        <w:kinsoku/>
        <w:wordWrap/>
        <w:overflowPunct/>
        <w:topLinePunct w:val="0"/>
        <w:autoSpaceDE/>
        <w:autoSpaceDN/>
        <w:bidi w:val="0"/>
        <w:adjustRightInd w:val="0"/>
        <w:spacing w:line="390" w:lineRule="exact"/>
        <w:ind w:right="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注：按本格式和要求提供。</w:t>
      </w:r>
    </w:p>
    <w:p>
      <w:pPr>
        <w:jc w:val="center"/>
        <w:rPr>
          <w:rFonts w:hint="eastAsia" w:ascii="宋体" w:hAnsi="宋体" w:eastAsia="宋体" w:cs="宋体"/>
          <w:b/>
          <w:color w:val="auto"/>
          <w:kern w:val="0"/>
          <w:sz w:val="32"/>
          <w:szCs w:val="32"/>
          <w:highlight w:val="none"/>
          <w:lang w:val="zh-CN"/>
        </w:rPr>
      </w:pPr>
    </w:p>
    <w:p>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授权委托书（适用于非联合体投标）</w:t>
      </w:r>
    </w:p>
    <w:p>
      <w:pPr>
        <w:snapToGrid w:val="0"/>
        <w:spacing w:line="360" w:lineRule="auto"/>
        <w:jc w:val="both"/>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建德市住房和城乡建设局</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杭州天恒投资建设管理有限公司</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cs="宋体"/>
          <w:color w:val="auto"/>
          <w:sz w:val="24"/>
          <w:highlight w:val="none"/>
          <w:lang w:eastAsia="zh-CN"/>
        </w:rPr>
        <w:t>桥头称重设施采购项目</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JD2023BF-139</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sz w:val="24"/>
          <w:highlight w:val="none"/>
        </w:rPr>
      </w:pPr>
    </w:p>
    <w:p>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授权委托书（适用于联合体投标）</w:t>
      </w:r>
    </w:p>
    <w:p>
      <w:pPr>
        <w:pStyle w:val="2"/>
        <w:rPr>
          <w:rFonts w:hint="eastAsia" w:ascii="宋体" w:hAnsi="宋体" w:eastAsia="宋体" w:cs="宋体"/>
          <w:color w:val="auto"/>
          <w:highlight w:val="none"/>
        </w:rPr>
      </w:pPr>
    </w:p>
    <w:p>
      <w:pP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建德市住房和城乡建设局</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杭州天恒投资建设管理有限公司</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cs="宋体"/>
          <w:color w:val="auto"/>
          <w:sz w:val="24"/>
          <w:highlight w:val="none"/>
          <w:lang w:eastAsia="zh-CN"/>
        </w:rPr>
        <w:t>桥头称重设施采购项目</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JD2023BF-139</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政政府采购投标的一切事项，其法律后果由我方承担。</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pPr>
        <w:jc w:val="both"/>
        <w:rPr>
          <w:rFonts w:hint="eastAsia" w:ascii="宋体" w:hAnsi="宋体" w:eastAsia="宋体" w:cs="宋体"/>
          <w:b/>
          <w:color w:val="auto"/>
          <w:kern w:val="0"/>
          <w:sz w:val="32"/>
          <w:szCs w:val="32"/>
          <w:highlight w:val="none"/>
        </w:rPr>
      </w:pPr>
    </w:p>
    <w:p>
      <w:pPr>
        <w:rPr>
          <w:rFonts w:hint="eastAsia" w:ascii="宋体" w:hAnsi="宋体" w:eastAsia="宋体" w:cs="宋体"/>
          <w:color w:val="auto"/>
          <w:highlight w:val="none"/>
        </w:rPr>
      </w:pP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autoSpaceDE w:val="0"/>
        <w:autoSpaceDN w:val="0"/>
        <w:spacing w:line="360" w:lineRule="auto"/>
        <w:jc w:val="center"/>
        <w:rPr>
          <w:rFonts w:hint="eastAsia" w:ascii="宋体" w:hAnsi="宋体" w:eastAsia="宋体" w:cs="宋体"/>
          <w:b/>
          <w:color w:val="auto"/>
          <w:kern w:val="0"/>
          <w:sz w:val="32"/>
          <w:szCs w:val="32"/>
          <w:highlight w:val="none"/>
          <w:lang w:val="zh-CN"/>
        </w:rPr>
      </w:pPr>
    </w:p>
    <w:p>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pPr>
        <w:pStyle w:val="146"/>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082" w:type="dxa"/>
          </w:tcPr>
          <w:p>
            <w:pPr>
              <w:pStyle w:val="146"/>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pPr>
              <w:pStyle w:val="146"/>
              <w:adjustRightInd w:val="0"/>
              <w:spacing w:line="360" w:lineRule="auto"/>
              <w:rPr>
                <w:rFonts w:hint="eastAsia" w:ascii="宋体" w:hAnsi="宋体" w:eastAsia="宋体" w:cs="宋体"/>
                <w:bCs/>
                <w:color w:val="auto"/>
                <w:sz w:val="24"/>
                <w:highlight w:val="none"/>
              </w:rPr>
            </w:pPr>
          </w:p>
        </w:tc>
      </w:tr>
    </w:tbl>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snapToGrid w:val="0"/>
        <w:spacing w:line="360" w:lineRule="auto"/>
        <w:ind w:right="480"/>
        <w:rPr>
          <w:rFonts w:hint="eastAsia" w:ascii="宋体" w:hAnsi="宋体" w:eastAsia="宋体" w:cs="宋体"/>
          <w:b/>
          <w:color w:val="auto"/>
          <w:kern w:val="0"/>
          <w:sz w:val="32"/>
          <w:szCs w:val="32"/>
          <w:highlight w:val="none"/>
        </w:rPr>
        <w:sectPr>
          <w:headerReference r:id="rId9" w:type="first"/>
          <w:footerReference r:id="rId11" w:type="first"/>
          <w:headerReference r:id="rId8" w:type="default"/>
          <w:footerReference r:id="rId10" w:type="default"/>
          <w:pgSz w:w="11905" w:h="16838"/>
          <w:pgMar w:top="1417" w:right="1417" w:bottom="1417" w:left="1417" w:header="851" w:footer="992" w:gutter="0"/>
          <w:cols w:space="0" w:num="1"/>
          <w:titlePg/>
          <w:rtlGutter w:val="0"/>
          <w:docGrid w:linePitch="312" w:charSpace="0"/>
        </w:sectPr>
      </w:pPr>
    </w:p>
    <w:p>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pPr>
        <w:widowControl/>
        <w:spacing w:line="360" w:lineRule="auto"/>
        <w:ind w:firstLine="120" w:firstLineChars="50"/>
        <w:jc w:val="left"/>
        <w:rPr>
          <w:rFonts w:hint="eastAsia" w:ascii="宋体" w:hAnsi="宋体" w:eastAsia="宋体" w:cs="宋体"/>
          <w:color w:val="auto"/>
          <w:sz w:val="24"/>
          <w:highlight w:val="none"/>
        </w:rPr>
      </w:pPr>
      <w:bookmarkStart w:id="510" w:name="_Hlk101169080"/>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bookmarkEnd w:id="510"/>
    <w:p>
      <w:pPr>
        <w:snapToGrid w:val="0"/>
        <w:spacing w:line="360" w:lineRule="auto"/>
        <w:rPr>
          <w:rFonts w:hint="eastAsia" w:ascii="宋体" w:hAnsi="宋体" w:eastAsia="宋体" w:cs="宋体"/>
          <w:color w:val="auto"/>
          <w:kern w:val="0"/>
          <w:sz w:val="24"/>
          <w:highlight w:val="none"/>
        </w:rPr>
      </w:pPr>
    </w:p>
    <w:p>
      <w:pPr>
        <w:jc w:val="center"/>
        <w:rPr>
          <w:rFonts w:hint="eastAsia" w:ascii="宋体" w:hAnsi="宋体" w:eastAsia="宋体" w:cs="宋体"/>
          <w:b/>
          <w:color w:val="auto"/>
          <w:kern w:val="0"/>
          <w:sz w:val="32"/>
          <w:szCs w:val="32"/>
          <w:highlight w:val="none"/>
        </w:rPr>
      </w:pPr>
    </w:p>
    <w:p>
      <w:pPr>
        <w:pStyle w:val="2"/>
        <w:rPr>
          <w:rFonts w:hint="eastAsia" w:ascii="宋体" w:hAnsi="宋体" w:eastAsia="宋体" w:cs="宋体"/>
          <w:color w:val="auto"/>
          <w:highlight w:val="none"/>
          <w:lang w:val="en-US"/>
        </w:rPr>
      </w:pPr>
    </w:p>
    <w:p>
      <w:pPr>
        <w:rPr>
          <w:rFonts w:hint="eastAsia" w:ascii="宋体" w:hAnsi="宋体" w:eastAsia="宋体" w:cs="宋体"/>
          <w:color w:val="auto"/>
          <w:highlight w:val="none"/>
        </w:rPr>
      </w:pPr>
    </w:p>
    <w:p>
      <w:pPr>
        <w:pStyle w:val="2"/>
        <w:rPr>
          <w:rFonts w:hint="eastAsia" w:ascii="宋体" w:hAnsi="宋体" w:eastAsia="宋体" w:cs="宋体"/>
          <w:color w:val="auto"/>
          <w:highlight w:val="none"/>
          <w:lang w:val="en-US"/>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pPr>
        <w:jc w:val="center"/>
        <w:rPr>
          <w:rFonts w:hint="eastAsia" w:ascii="宋体" w:hAnsi="宋体" w:eastAsia="宋体" w:cs="宋体"/>
          <w:b/>
          <w:color w:val="auto"/>
          <w:kern w:val="0"/>
          <w:sz w:val="32"/>
          <w:szCs w:val="32"/>
          <w:highlight w:val="none"/>
        </w:rPr>
      </w:pPr>
    </w:p>
    <w:tbl>
      <w:tblPr>
        <w:tblStyle w:val="62"/>
        <w:tblW w:w="9060"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5"/>
        <w:gridCol w:w="3825"/>
        <w:gridCol w:w="3150"/>
        <w:gridCol w:w="1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585"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3825"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3150"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500" w:type="dxa"/>
            <w:vAlign w:val="center"/>
          </w:tcPr>
          <w:p>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585"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825"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3150"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500" w:type="dxa"/>
          </w:tcPr>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585"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3825" w:type="dxa"/>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3150" w:type="dxa"/>
            <w:vAlign w:val="center"/>
          </w:tcPr>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500" w:type="dxa"/>
          </w:tcPr>
          <w:p>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585" w:type="dxa"/>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3825" w:type="dxa"/>
          </w:tcPr>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3150" w:type="dxa"/>
            <w:vAlign w:val="center"/>
          </w:tcPr>
          <w:p>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500" w:type="dxa"/>
          </w:tcPr>
          <w:p>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numPr>
          <w:ilvl w:val="0"/>
          <w:numId w:val="2"/>
        </w:numPr>
        <w:ind w:firstLine="2891" w:firstLineChars="9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投标标的清单</w:t>
      </w:r>
    </w:p>
    <w:tbl>
      <w:tblPr>
        <w:tblStyle w:val="62"/>
        <w:tblW w:w="90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数量</w:t>
            </w: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76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p>
    <w:p>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pPr>
              <w:jc w:val="center"/>
              <w:rPr>
                <w:rFonts w:hint="eastAsia" w:ascii="宋体" w:hAnsi="宋体" w:eastAsia="宋体" w:cs="宋体"/>
                <w:b/>
                <w:color w:val="auto"/>
                <w:kern w:val="0"/>
                <w:sz w:val="32"/>
                <w:szCs w:val="32"/>
                <w:highlight w:val="none"/>
              </w:rPr>
            </w:pPr>
          </w:p>
        </w:tc>
        <w:tc>
          <w:tcPr>
            <w:tcW w:w="3546" w:type="dxa"/>
          </w:tcPr>
          <w:p>
            <w:pPr>
              <w:jc w:val="center"/>
              <w:rPr>
                <w:rFonts w:hint="eastAsia" w:ascii="宋体" w:hAnsi="宋体" w:eastAsia="宋体" w:cs="宋体"/>
                <w:b/>
                <w:color w:val="auto"/>
                <w:kern w:val="0"/>
                <w:sz w:val="32"/>
                <w:szCs w:val="32"/>
                <w:highlight w:val="none"/>
              </w:rPr>
            </w:pPr>
          </w:p>
        </w:tc>
        <w:tc>
          <w:tcPr>
            <w:tcW w:w="1276" w:type="dxa"/>
          </w:tcPr>
          <w:p>
            <w:pPr>
              <w:jc w:val="center"/>
              <w:rPr>
                <w:rFonts w:hint="eastAsia" w:ascii="宋体" w:hAnsi="宋体" w:eastAsia="宋体" w:cs="宋体"/>
                <w:b/>
                <w:color w:val="auto"/>
                <w:kern w:val="0"/>
                <w:sz w:val="32"/>
                <w:szCs w:val="32"/>
                <w:highlight w:val="none"/>
              </w:rPr>
            </w:pPr>
          </w:p>
        </w:tc>
      </w:tr>
    </w:tbl>
    <w:p>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pPr>
        <w:jc w:val="center"/>
        <w:rPr>
          <w:rFonts w:hint="eastAsia" w:ascii="宋体" w:hAnsi="宋体" w:eastAsia="宋体" w:cs="宋体"/>
          <w:b/>
          <w:color w:val="auto"/>
          <w:kern w:val="0"/>
          <w:sz w:val="32"/>
          <w:szCs w:val="32"/>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bCs/>
          <w:color w:val="auto"/>
          <w:sz w:val="32"/>
          <w:szCs w:val="32"/>
          <w:highlight w:val="none"/>
        </w:rPr>
      </w:pPr>
    </w:p>
    <w:p>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pPr>
        <w:snapToGrid w:val="0"/>
        <w:spacing w:line="360" w:lineRule="auto"/>
        <w:rPr>
          <w:rFonts w:hint="eastAsia" w:ascii="宋体" w:hAnsi="宋体" w:eastAsia="宋体" w:cs="宋体"/>
          <w:color w:val="auto"/>
          <w:sz w:val="24"/>
          <w:highlight w:val="none"/>
        </w:rPr>
      </w:pPr>
    </w:p>
    <w:p>
      <w:pP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建德市住房和城乡建设局</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杭州天恒投资建设管理有限公司</w:t>
      </w:r>
      <w:r>
        <w:rPr>
          <w:rFonts w:hint="eastAsia" w:ascii="宋体" w:hAnsi="宋体" w:eastAsia="宋体" w:cs="宋体"/>
          <w:color w:val="auto"/>
          <w:kern w:val="0"/>
          <w:sz w:val="24"/>
          <w:highlight w:val="none"/>
          <w:lang w:val="zh-CN"/>
        </w:rPr>
        <w:t>：</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bCs/>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pacing w:line="360" w:lineRule="auto"/>
        <w:jc w:val="center"/>
        <w:rPr>
          <w:rFonts w:hint="eastAsia" w:ascii="宋体" w:hAnsi="宋体" w:eastAsia="宋体" w:cs="宋体"/>
          <w:b/>
          <w:bCs/>
          <w:color w:val="auto"/>
          <w:sz w:val="24"/>
          <w:highlight w:val="none"/>
        </w:rPr>
        <w:sectPr>
          <w:headerReference r:id="rId13" w:type="first"/>
          <w:footerReference r:id="rId15" w:type="first"/>
          <w:headerReference r:id="rId12" w:type="default"/>
          <w:footerReference r:id="rId14" w:type="default"/>
          <w:pgSz w:w="11905" w:h="16838"/>
          <w:pgMar w:top="1417" w:right="1417" w:bottom="1417" w:left="1417" w:header="851" w:footer="992" w:gutter="0"/>
          <w:cols w:space="0" w:num="1"/>
          <w:titlePg/>
          <w:rtlGutter w:val="0"/>
          <w:docGrid w:linePitch="312" w:charSpace="0"/>
        </w:sectPr>
      </w:pP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pPr>
        <w:spacing w:line="360" w:lineRule="auto"/>
        <w:jc w:val="center"/>
        <w:outlineLvl w:val="0"/>
        <w:rPr>
          <w:rFonts w:hint="eastAsia" w:ascii="宋体" w:hAnsi="宋体" w:eastAsia="宋体" w:cs="宋体"/>
          <w:b/>
          <w:color w:val="auto"/>
          <w:kern w:val="0"/>
          <w:sz w:val="36"/>
          <w:szCs w:val="36"/>
          <w:highlight w:val="none"/>
        </w:rPr>
      </w:pP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rPr>
          <w:rFonts w:hint="eastAsia" w:ascii="宋体" w:hAnsi="宋体" w:eastAsia="宋体" w:cs="宋体"/>
          <w:color w:val="auto"/>
          <w:sz w:val="24"/>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5" w:h="16838"/>
          <w:pgMar w:top="1417" w:right="1417" w:bottom="1417" w:left="1417" w:header="851" w:footer="992" w:gutter="0"/>
          <w:cols w:space="0" w:num="1"/>
          <w:titlePg/>
          <w:rtlGutter w:val="0"/>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eastAsia="zh-CN"/>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hint="eastAsia" w:ascii="宋体" w:hAnsi="宋体" w:eastAsia="宋体" w:cs="宋体"/>
          <w:color w:val="auto"/>
          <w:kern w:val="0"/>
          <w:sz w:val="24"/>
          <w:highlight w:val="none"/>
        </w:rPr>
      </w:pPr>
      <w:r>
        <w:rPr>
          <w:rFonts w:hint="eastAsia" w:ascii="宋体" w:hAnsi="宋体" w:cs="宋体"/>
          <w:color w:val="auto"/>
          <w:sz w:val="24"/>
          <w:highlight w:val="none"/>
          <w:lang w:eastAsia="zh-CN"/>
        </w:rPr>
        <w:t>建德市住房和城乡建设局</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杭州天恒投资建设管理有限公司</w:t>
      </w:r>
      <w:r>
        <w:rPr>
          <w:rFonts w:hint="eastAsia" w:ascii="宋体" w:hAnsi="宋体" w:eastAsia="宋体" w:cs="宋体"/>
          <w:color w:val="auto"/>
          <w:kern w:val="0"/>
          <w:sz w:val="24"/>
          <w:highlight w:val="none"/>
          <w:lang w:val="zh-CN"/>
        </w:rPr>
        <w:t>：</w:t>
      </w:r>
    </w:p>
    <w:p>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桥头称重设施采购项目</w:t>
      </w:r>
      <w:r>
        <w:rPr>
          <w:rFonts w:hint="eastAsia" w:ascii="宋体" w:hAnsi="宋体" w:eastAsia="宋体" w:cs="宋体"/>
          <w:color w:val="auto"/>
          <w:kern w:val="0"/>
          <w:sz w:val="24"/>
          <w:highlight w:val="none"/>
          <w:lang w:val="zh-CN"/>
        </w:rPr>
        <w:t>【招标编号：</w:t>
      </w:r>
      <w:r>
        <w:rPr>
          <w:rFonts w:hint="eastAsia" w:ascii="宋体" w:hAnsi="宋体" w:cs="宋体"/>
          <w:color w:val="auto"/>
          <w:sz w:val="24"/>
          <w:highlight w:val="none"/>
          <w:lang w:eastAsia="zh-CN"/>
        </w:rPr>
        <w:t>JD2023BF-139</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2"/>
        <w:tblW w:w="13995"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992"/>
        <w:gridCol w:w="2268"/>
        <w:gridCol w:w="2410"/>
        <w:gridCol w:w="2268"/>
        <w:gridCol w:w="2126"/>
        <w:gridCol w:w="1458"/>
        <w:gridCol w:w="1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718"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vAlign w:val="top"/>
          </w:tcPr>
          <w:p>
            <w:pPr>
              <w:spacing w:line="360" w:lineRule="auto"/>
              <w:jc w:val="center"/>
              <w:rPr>
                <w:rFonts w:ascii="宋体" w:hAnsi="宋体" w:cs="宋体"/>
                <w:b/>
                <w:color w:val="000000" w:themeColor="text1"/>
                <w:sz w:val="24"/>
                <w14:textFill>
                  <w14:solidFill>
                    <w14:schemeClr w14:val="tx1"/>
                  </w14:solidFill>
                </w14:textFill>
              </w:rPr>
            </w:pPr>
          </w:p>
          <w:p>
            <w:pPr>
              <w:spacing w:line="360" w:lineRule="auto"/>
              <w:jc w:val="center"/>
              <w:rPr>
                <w:rFonts w:ascii="宋体" w:hAnsi="宋体" w:eastAsia="宋体" w:cs="宋体"/>
                <w:b/>
                <w:color w:val="000000" w:themeColor="text1"/>
                <w:kern w:val="2"/>
                <w:sz w:val="24"/>
                <w:szCs w:val="24"/>
                <w:lang w:val="en-US" w:eastAsia="zh-CN" w:bidi="ar-SA"/>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品牌（如果有）</w:t>
            </w:r>
          </w:p>
        </w:tc>
        <w:tc>
          <w:tcPr>
            <w:tcW w:w="2410" w:type="dxa"/>
            <w:vAlign w:val="center"/>
          </w:tcPr>
          <w:p>
            <w:pPr>
              <w:spacing w:line="360" w:lineRule="auto"/>
              <w:jc w:val="center"/>
              <w:rPr>
                <w:rFonts w:ascii="宋体" w:hAnsi="宋体" w:eastAsia="宋体" w:cs="宋体"/>
                <w:b/>
                <w:color w:val="000000" w:themeColor="text1"/>
                <w:kern w:val="2"/>
                <w:sz w:val="24"/>
                <w:szCs w:val="24"/>
                <w:lang w:val="en-US" w:eastAsia="zh-CN" w:bidi="ar-SA"/>
                <w14:textFill>
                  <w14:solidFill>
                    <w14:schemeClr w14:val="tx1"/>
                  </w14:solidFill>
                </w14:textFill>
              </w:rPr>
            </w:pPr>
            <w:r>
              <w:rPr>
                <w:rFonts w:hint="eastAsia" w:ascii="宋体" w:hAnsi="宋体" w:cs="宋体"/>
                <w:b/>
                <w:color w:val="000000" w:themeColor="text1"/>
                <w:sz w:val="24"/>
                <w14:textFill>
                  <w14:solidFill>
                    <w14:schemeClr w14:val="tx1"/>
                  </w14:solidFill>
                </w14:textFill>
              </w:rPr>
              <w:t>规格型号</w:t>
            </w:r>
          </w:p>
        </w:tc>
        <w:tc>
          <w:tcPr>
            <w:tcW w:w="2268" w:type="dxa"/>
            <w:vAlign w:val="center"/>
          </w:tcPr>
          <w:p>
            <w:pPr>
              <w:spacing w:line="360" w:lineRule="auto"/>
              <w:jc w:val="center"/>
              <w:rPr>
                <w:rFonts w:ascii="宋体" w:hAnsi="宋体" w:eastAsia="宋体" w:cs="宋体"/>
                <w:b/>
                <w:color w:val="000000" w:themeColor="text1"/>
                <w:kern w:val="2"/>
                <w:sz w:val="24"/>
                <w:szCs w:val="24"/>
                <w:lang w:val="en-US" w:eastAsia="zh-CN" w:bidi="ar-SA"/>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数量</w:t>
            </w:r>
          </w:p>
        </w:tc>
        <w:tc>
          <w:tcPr>
            <w:tcW w:w="2126" w:type="dxa"/>
            <w:vAlign w:val="center"/>
          </w:tcPr>
          <w:p>
            <w:pPr>
              <w:spacing w:line="360" w:lineRule="auto"/>
              <w:jc w:val="center"/>
              <w:rPr>
                <w:rFonts w:ascii="宋体" w:hAnsi="宋体" w:eastAsia="宋体" w:cs="宋体"/>
                <w:b/>
                <w:color w:val="000000" w:themeColor="text1"/>
                <w:kern w:val="2"/>
                <w:sz w:val="24"/>
                <w:szCs w:val="24"/>
                <w:lang w:val="en-US" w:eastAsia="zh-CN" w:bidi="ar-SA"/>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单价</w:t>
            </w:r>
          </w:p>
        </w:tc>
        <w:tc>
          <w:tcPr>
            <w:tcW w:w="1458" w:type="dxa"/>
            <w:vAlign w:val="center"/>
          </w:tcPr>
          <w:p>
            <w:pPr>
              <w:spacing w:line="360" w:lineRule="auto"/>
              <w:jc w:val="center"/>
              <w:rPr>
                <w:rFonts w:ascii="宋体" w:hAnsi="宋体" w:eastAsia="宋体" w:cs="宋体"/>
                <w:b/>
                <w:color w:val="000000" w:themeColor="text1"/>
                <w:kern w:val="2"/>
                <w:sz w:val="24"/>
                <w:szCs w:val="24"/>
                <w:lang w:val="en-US" w:eastAsia="zh-CN" w:bidi="ar-SA"/>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合计</w:t>
            </w:r>
          </w:p>
        </w:tc>
        <w:tc>
          <w:tcPr>
            <w:tcW w:w="1755" w:type="dxa"/>
            <w:vAlign w:val="center"/>
          </w:tcPr>
          <w:p>
            <w:pPr>
              <w:spacing w:line="360" w:lineRule="auto"/>
              <w:jc w:val="center"/>
              <w:rPr>
                <w:rFonts w:ascii="宋体" w:hAnsi="宋体" w:cs="宋体"/>
                <w:b/>
                <w:color w:val="000000" w:themeColor="text1"/>
                <w:sz w:val="24"/>
                <w14:textFill>
                  <w14:solidFill>
                    <w14:schemeClr w14:val="tx1"/>
                  </w14:solidFill>
                </w14:textFill>
              </w:rPr>
            </w:pPr>
          </w:p>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备注（如果有）</w:t>
            </w:r>
          </w:p>
          <w:p>
            <w:pPr>
              <w:spacing w:line="360" w:lineRule="auto"/>
              <w:jc w:val="center"/>
              <w:rPr>
                <w:rFonts w:ascii="宋体" w:hAnsi="宋体" w:eastAsia="宋体" w:cs="宋体"/>
                <w:b/>
                <w:color w:val="000000" w:themeColor="text1"/>
                <w:kern w:val="2"/>
                <w:sz w:val="24"/>
                <w:szCs w:val="24"/>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18"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1458" w:type="dxa"/>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8"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1458" w:type="dxa"/>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8"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1458" w:type="dxa"/>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8" w:type="dxa"/>
            <w:vAlign w:val="center"/>
          </w:tcPr>
          <w:p>
            <w:pPr>
              <w:spacing w:line="360" w:lineRule="auto"/>
              <w:jc w:val="center"/>
              <w:rPr>
                <w:rFonts w:ascii="宋体" w:hAnsi="宋体" w:cs="宋体"/>
                <w:color w:val="auto"/>
                <w:sz w:val="24"/>
                <w:highlight w:val="none"/>
              </w:rPr>
            </w:pP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1458" w:type="dxa"/>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8" w:type="dxa"/>
            <w:vAlign w:val="center"/>
          </w:tcPr>
          <w:p>
            <w:pPr>
              <w:spacing w:line="360" w:lineRule="auto"/>
              <w:jc w:val="center"/>
              <w:rPr>
                <w:rFonts w:ascii="宋体" w:hAnsi="宋体" w:cs="宋体"/>
                <w:color w:val="auto"/>
                <w:sz w:val="24"/>
                <w:highlight w:val="none"/>
              </w:rPr>
            </w:pPr>
          </w:p>
        </w:tc>
        <w:tc>
          <w:tcPr>
            <w:tcW w:w="992"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410" w:type="dxa"/>
            <w:vAlign w:val="center"/>
          </w:tcPr>
          <w:p>
            <w:pPr>
              <w:snapToGrid w:val="0"/>
              <w:spacing w:line="360" w:lineRule="auto"/>
              <w:jc w:val="center"/>
              <w:rPr>
                <w:rFonts w:ascii="宋体" w:hAnsi="宋体" w:cs="宋体"/>
                <w:color w:val="auto"/>
                <w:sz w:val="24"/>
                <w:highlight w:val="none"/>
              </w:rPr>
            </w:pPr>
          </w:p>
        </w:tc>
        <w:tc>
          <w:tcPr>
            <w:tcW w:w="2268" w:type="dxa"/>
            <w:vAlign w:val="center"/>
          </w:tcPr>
          <w:p>
            <w:pPr>
              <w:snapToGrid w:val="0"/>
              <w:spacing w:line="360" w:lineRule="auto"/>
              <w:jc w:val="center"/>
              <w:rPr>
                <w:rFonts w:ascii="宋体" w:hAnsi="宋体" w:cs="宋体"/>
                <w:color w:val="auto"/>
                <w:sz w:val="24"/>
                <w:highlight w:val="none"/>
              </w:rPr>
            </w:pPr>
          </w:p>
        </w:tc>
        <w:tc>
          <w:tcPr>
            <w:tcW w:w="2126" w:type="dxa"/>
            <w:vAlign w:val="center"/>
          </w:tcPr>
          <w:p>
            <w:pPr>
              <w:spacing w:line="360" w:lineRule="auto"/>
              <w:jc w:val="center"/>
              <w:rPr>
                <w:rFonts w:ascii="宋体" w:hAnsi="宋体" w:cs="宋体"/>
                <w:color w:val="auto"/>
                <w:sz w:val="24"/>
                <w:highlight w:val="none"/>
              </w:rPr>
            </w:pPr>
          </w:p>
        </w:tc>
        <w:tc>
          <w:tcPr>
            <w:tcW w:w="1458" w:type="dxa"/>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388"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07"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388"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07" w:type="dxa"/>
            <w:gridSpan w:val="4"/>
          </w:tcPr>
          <w:p>
            <w:pPr>
              <w:spacing w:line="360" w:lineRule="auto"/>
              <w:jc w:val="center"/>
              <w:rPr>
                <w:rFonts w:ascii="宋体" w:hAnsi="宋体" w:cs="宋体"/>
                <w:color w:val="auto"/>
                <w:sz w:val="24"/>
                <w:highlight w:val="none"/>
              </w:rPr>
            </w:pPr>
          </w:p>
        </w:tc>
      </w:tr>
    </w:tbl>
    <w:p>
      <w:pPr>
        <w:pStyle w:val="2"/>
        <w:rPr>
          <w:rFonts w:hint="eastAsia"/>
          <w:color w:val="auto"/>
          <w:highlight w:val="none"/>
          <w:lang w:val="zh-CN"/>
        </w:rPr>
      </w:pPr>
    </w:p>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color w:val="auto"/>
          <w:kern w:val="0"/>
          <w:sz w:val="24"/>
          <w:highlight w:val="none"/>
          <w:lang w:val="zh-CN"/>
        </w:rPr>
        <w:t>1、</w:t>
      </w:r>
      <w:r>
        <w:rPr>
          <w:rFonts w:hint="eastAsia" w:ascii="宋体" w:hAnsi="宋体" w:cs="宋体"/>
          <w:kern w:val="0"/>
          <w:sz w:val="24"/>
          <w:lang w:val="zh-CN"/>
        </w:rPr>
        <w:t>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000000" w:themeColor="text1"/>
          <w:kern w:val="0"/>
          <w:sz w:val="24"/>
          <w:szCs w:val="22"/>
          <w:lang w:val="zh-CN"/>
          <w14:textFill>
            <w14:solidFill>
              <w14:schemeClr w14:val="tx1"/>
            </w14:solidFill>
          </w14:textFill>
        </w:rPr>
        <w:t>4</w:t>
      </w:r>
      <w:r>
        <w:rPr>
          <w:rFonts w:hint="eastAsia" w:ascii="宋体" w:hAnsi="宋体" w:cs="宋体"/>
          <w:color w:val="000000" w:themeColor="text1"/>
          <w:kern w:val="0"/>
          <w:sz w:val="24"/>
          <w:szCs w:val="22"/>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r>
        <w:rPr>
          <w:rFonts w:hint="eastAsia" w:ascii="宋体" w:hAnsi="宋体" w:cs="宋体"/>
          <w:color w:val="auto"/>
          <w:kern w:val="0"/>
          <w:sz w:val="24"/>
          <w:highlight w:val="none"/>
          <w:lang w:val="zh-CN"/>
        </w:rPr>
        <w:t>。</w:t>
      </w:r>
    </w:p>
    <w:p>
      <w:pPr>
        <w:spacing w:line="360" w:lineRule="auto"/>
        <w:ind w:firstLine="482" w:firstLineChars="200"/>
        <w:rPr>
          <w:rFonts w:hint="eastAsia" w:ascii="宋体" w:hAnsi="宋体" w:eastAsia="宋体" w:cs="宋体"/>
          <w:b/>
          <w:color w:val="auto"/>
          <w:kern w:val="0"/>
          <w:sz w:val="24"/>
          <w:highlight w:val="none"/>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pPr>
        <w:snapToGrid w:val="0"/>
        <w:spacing w:line="360" w:lineRule="auto"/>
        <w:ind w:firstLine="480" w:firstLineChars="200"/>
        <w:jc w:val="left"/>
        <w:rPr>
          <w:rFonts w:ascii="宋体" w:hAnsi="宋体" w:cs="宋体"/>
          <w:color w:val="auto"/>
          <w:kern w:val="0"/>
          <w:sz w:val="24"/>
          <w:highlight w:val="none"/>
          <w:lang w:val="zh-CN"/>
        </w:rPr>
      </w:pPr>
    </w:p>
    <w:p>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sectPr>
          <w:headerReference r:id="rId21" w:type="first"/>
          <w:footerReference r:id="rId24" w:type="first"/>
          <w:headerReference r:id="rId20" w:type="default"/>
          <w:footerReference r:id="rId22" w:type="default"/>
          <w:footerReference r:id="rId23" w:type="even"/>
          <w:pgSz w:w="16838" w:h="11905" w:orient="landscape"/>
          <w:pgMar w:top="1417" w:right="1417" w:bottom="1417" w:left="1417" w:header="851" w:footer="992" w:gutter="0"/>
          <w:cols w:space="0" w:num="1"/>
          <w:titlePg/>
          <w:rtlGutter w:val="0"/>
          <w:docGrid w:linePitch="312" w:charSpace="0"/>
        </w:sectPr>
      </w:pPr>
      <w:bookmarkStart w:id="511" w:name="_Toc465665161"/>
    </w:p>
    <w:p>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r>
        <w:rPr>
          <w:rFonts w:hint="eastAsia" w:ascii="宋体" w:hAnsi="宋体" w:eastAsia="宋体" w:cs="宋体"/>
          <w:color w:val="auto"/>
          <w:highlight w:val="none"/>
        </w:rPr>
        <w:t>附件</w:t>
      </w:r>
      <w:bookmarkEnd w:id="511"/>
    </w:p>
    <w:p>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pPr>
        <w:spacing w:line="360" w:lineRule="auto"/>
        <w:jc w:val="center"/>
        <w:rPr>
          <w:rFonts w:hint="eastAsia" w:ascii="宋体" w:hAnsi="宋体" w:eastAsia="宋体" w:cs="宋体"/>
          <w:b/>
          <w:color w:val="auto"/>
          <w:spacing w:val="6"/>
          <w:sz w:val="32"/>
          <w:szCs w:val="32"/>
          <w:highlight w:val="none"/>
        </w:rPr>
      </w:pPr>
      <w:bookmarkStart w:id="512" w:name="OLE_LINK14"/>
      <w:bookmarkStart w:id="513" w:name="OLE_LINK13"/>
      <w:r>
        <w:rPr>
          <w:rFonts w:hint="eastAsia" w:ascii="宋体" w:hAnsi="宋体" w:eastAsia="宋体" w:cs="宋体"/>
          <w:b/>
          <w:color w:val="auto"/>
          <w:spacing w:val="6"/>
          <w:sz w:val="32"/>
          <w:szCs w:val="32"/>
          <w:highlight w:val="none"/>
        </w:rPr>
        <w:t>残疾人福利性单位声明函</w:t>
      </w:r>
    </w:p>
    <w:bookmarkEnd w:id="512"/>
    <w:bookmarkEnd w:id="513"/>
    <w:p>
      <w:pPr>
        <w:spacing w:line="360" w:lineRule="auto"/>
        <w:rPr>
          <w:rFonts w:hint="eastAsia" w:ascii="宋体" w:hAnsi="宋体" w:eastAsia="宋体" w:cs="宋体"/>
          <w:b/>
          <w:color w:val="auto"/>
          <w:spacing w:val="6"/>
          <w:sz w:val="30"/>
          <w:szCs w:val="30"/>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ind w:firstLine="420" w:firstLineChars="200"/>
        <w:rPr>
          <w:rFonts w:hint="eastAsia" w:ascii="宋体" w:hAnsi="宋体" w:eastAsia="宋体" w:cs="宋体"/>
          <w:color w:val="auto"/>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jc w:val="center"/>
        <w:rPr>
          <w:rFonts w:hint="eastAsia" w:ascii="宋体" w:hAnsi="宋体" w:eastAsia="宋体" w:cs="宋体"/>
          <w:b/>
          <w:bCs/>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color w:val="auto"/>
          <w:sz w:val="24"/>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pPr>
        <w:spacing w:line="360" w:lineRule="auto"/>
        <w:rPr>
          <w:rFonts w:hint="eastAsia" w:ascii="宋体" w:hAnsi="宋体" w:eastAsia="宋体" w:cs="宋体"/>
          <w:color w:val="auto"/>
          <w:sz w:val="24"/>
          <w:highlight w:val="none"/>
          <w:u w:val="single"/>
        </w:rPr>
      </w:pPr>
    </w:p>
    <w:p>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u w:val="single"/>
          <w:lang w:eastAsia="zh-CN"/>
        </w:rPr>
        <w:t>建德市住房和城乡建设局</w:t>
      </w: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eastAsia="zh-CN"/>
        </w:rPr>
        <w:t>杭州天恒投资建设管理有限公司</w:t>
      </w:r>
      <w:r>
        <w:rPr>
          <w:rFonts w:hint="eastAsia" w:ascii="宋体" w:hAnsi="宋体" w:eastAsia="宋体" w:cs="宋体"/>
          <w:color w:val="auto"/>
          <w:sz w:val="24"/>
          <w:highlight w:val="none"/>
          <w:u w:val="singl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cs="宋体"/>
          <w:color w:val="auto"/>
          <w:sz w:val="24"/>
          <w:highlight w:val="none"/>
          <w:lang w:eastAsia="zh-CN"/>
        </w:rPr>
        <w:t>桥头称重设施采购项目</w:t>
      </w:r>
      <w:r>
        <w:rPr>
          <w:rFonts w:hint="eastAsia" w:ascii="宋体" w:hAnsi="宋体" w:eastAsia="宋体" w:cs="宋体"/>
          <w:color w:val="auto"/>
          <w:sz w:val="24"/>
          <w:highlight w:val="none"/>
        </w:rPr>
        <w:t>项目【招标编号：</w:t>
      </w:r>
      <w:r>
        <w:rPr>
          <w:rFonts w:hint="eastAsia" w:ascii="宋体" w:hAnsi="宋体" w:cs="宋体"/>
          <w:color w:val="auto"/>
          <w:sz w:val="24"/>
          <w:highlight w:val="none"/>
          <w:lang w:eastAsia="zh-CN"/>
        </w:rPr>
        <w:t>JD2023BF-139</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附件5：联合协议</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cs="宋体"/>
          <w:color w:val="auto"/>
          <w:sz w:val="24"/>
          <w:highlight w:val="none"/>
          <w:lang w:eastAsia="zh-CN"/>
        </w:rPr>
        <w:t>桥头称重设施采购项目</w:t>
      </w:r>
      <w:r>
        <w:rPr>
          <w:rFonts w:hint="eastAsia" w:ascii="宋体" w:hAnsi="宋体" w:eastAsia="宋体" w:cs="宋体"/>
          <w:color w:val="auto"/>
          <w:sz w:val="24"/>
          <w:highlight w:val="none"/>
        </w:rPr>
        <w:t>【招标编号：</w:t>
      </w:r>
      <w:r>
        <w:rPr>
          <w:rFonts w:hint="eastAsia" w:ascii="宋体" w:hAnsi="宋体" w:cs="宋体"/>
          <w:color w:val="auto"/>
          <w:sz w:val="24"/>
          <w:highlight w:val="none"/>
          <w:lang w:eastAsia="zh-CN"/>
        </w:rPr>
        <w:t>JD2023BF-139</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投标。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pPr>
        <w:snapToGrid w:val="0"/>
        <w:spacing w:line="360" w:lineRule="auto"/>
        <w:ind w:firstLine="576"/>
        <w:rPr>
          <w:rFonts w:hint="eastAsia" w:ascii="宋体" w:hAnsi="宋体" w:eastAsia="宋体" w:cs="宋体"/>
          <w:color w:val="auto"/>
          <w:kern w:val="0"/>
          <w:sz w:val="24"/>
          <w:highlight w:val="none"/>
          <w:lang w:val="zh-CN"/>
        </w:rPr>
      </w:pPr>
      <w:bookmarkStart w:id="514" w:name="_Hlk101134295"/>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bookmarkEnd w:id="514"/>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（联合体成员X,……）</w:t>
      </w:r>
      <w:r>
        <w:rPr>
          <w:rFonts w:hint="eastAsia" w:ascii="宋体" w:hAnsi="宋体" w:eastAsia="宋体" w:cs="宋体"/>
          <w:color w:val="auto"/>
          <w:kern w:val="0"/>
          <w:sz w:val="24"/>
          <w:highlight w:val="none"/>
        </w:rPr>
        <w:t>提供的全部货物由小微企业制造，其合同份额占到合同总金额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autoSpaceDE w:val="0"/>
        <w:autoSpaceDN w:val="0"/>
        <w:jc w:val="center"/>
        <w:rPr>
          <w:rFonts w:hint="eastAsia" w:ascii="宋体" w:hAnsi="宋体" w:eastAsia="宋体" w:cs="宋体"/>
          <w:b/>
          <w:color w:val="auto"/>
          <w:spacing w:val="6"/>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p>
    <w:p>
      <w:pPr>
        <w:snapToGrid w:val="0"/>
        <w:spacing w:line="360" w:lineRule="auto"/>
        <w:jc w:val="center"/>
        <w:outlineLvl w:val="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附件6：分包意向协议</w:t>
      </w:r>
    </w:p>
    <w:p>
      <w:pPr>
        <w:pageBreakBefore w:val="0"/>
        <w:widowControl/>
        <w:kinsoku/>
        <w:wordWrap/>
        <w:overflowPunct/>
        <w:topLinePunct w:val="0"/>
        <w:bidi w:val="0"/>
        <w:spacing w:line="390" w:lineRule="exact"/>
        <w:ind w:firstLine="120" w:firstLineChars="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szCs w:val="24"/>
          <w:highlight w:val="none"/>
        </w:rPr>
        <w:t>）</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若成为</w:t>
      </w:r>
      <w:r>
        <w:rPr>
          <w:rFonts w:hint="eastAsia" w:ascii="宋体" w:hAnsi="宋体" w:cs="宋体"/>
          <w:color w:val="auto"/>
          <w:sz w:val="24"/>
          <w:szCs w:val="24"/>
          <w:highlight w:val="none"/>
          <w:lang w:eastAsia="zh-CN"/>
        </w:rPr>
        <w:t>桥头称重设施采购项目</w:t>
      </w:r>
      <w:r>
        <w:rPr>
          <w:rFonts w:hint="eastAsia" w:ascii="宋体" w:hAnsi="宋体" w:eastAsia="宋体" w:cs="宋体"/>
          <w:color w:val="auto"/>
          <w:sz w:val="24"/>
          <w:szCs w:val="24"/>
          <w:highlight w:val="none"/>
        </w:rPr>
        <w:t>【招标编号：</w:t>
      </w:r>
      <w:r>
        <w:rPr>
          <w:rFonts w:hint="eastAsia" w:ascii="宋体" w:hAnsi="宋体" w:cs="宋体"/>
          <w:color w:val="auto"/>
          <w:sz w:val="24"/>
          <w:szCs w:val="24"/>
          <w:highlight w:val="none"/>
          <w:lang w:eastAsia="zh-CN"/>
        </w:rPr>
        <w:t>JD2023BF-139</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的中标供应商，将依法采取分包方式履行合同。</w:t>
      </w: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rPr>
        <w:t>与</w:t>
      </w:r>
      <w:r>
        <w:rPr>
          <w:rFonts w:hint="eastAsia" w:ascii="宋体" w:hAnsi="宋体" w:eastAsia="宋体" w:cs="宋体"/>
          <w:color w:val="auto"/>
          <w:kern w:val="0"/>
          <w:sz w:val="24"/>
          <w:szCs w:val="24"/>
          <w:highlight w:val="none"/>
          <w:u w:val="single"/>
        </w:rPr>
        <w:t>（所有分包供应商名称）</w:t>
      </w:r>
      <w:r>
        <w:rPr>
          <w:rFonts w:hint="eastAsia" w:ascii="宋体" w:hAnsi="宋体" w:eastAsia="宋体" w:cs="宋体"/>
          <w:color w:val="auto"/>
          <w:kern w:val="0"/>
          <w:sz w:val="24"/>
          <w:szCs w:val="24"/>
          <w:highlight w:val="none"/>
        </w:rPr>
        <w:t>达成分包意向协议</w:t>
      </w:r>
      <w:r>
        <w:rPr>
          <w:rFonts w:hint="eastAsia" w:ascii="宋体" w:hAnsi="宋体" w:eastAsia="宋体" w:cs="宋体"/>
          <w:color w:val="auto"/>
          <w:kern w:val="0"/>
          <w:sz w:val="24"/>
          <w:szCs w:val="24"/>
          <w:highlight w:val="none"/>
          <w:lang w:val="zh-CN"/>
        </w:rPr>
        <w:t xml:space="preserve">。 </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一、分包标的及数量</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XX工作内容   </w:t>
      </w:r>
      <w:r>
        <w:rPr>
          <w:rFonts w:hint="eastAsia" w:ascii="宋体" w:hAnsi="宋体" w:eastAsia="宋体" w:cs="宋体"/>
          <w:color w:val="auto"/>
          <w:sz w:val="24"/>
          <w:szCs w:val="24"/>
          <w:highlight w:val="none"/>
        </w:rPr>
        <w:t>分包给</w:t>
      </w:r>
      <w:r>
        <w:rPr>
          <w:rFonts w:hint="eastAsia" w:ascii="宋体" w:hAnsi="宋体" w:eastAsia="宋体" w:cs="宋体"/>
          <w:color w:val="auto"/>
          <w:kern w:val="0"/>
          <w:sz w:val="24"/>
          <w:szCs w:val="24"/>
          <w:highlight w:val="none"/>
          <w:u w:val="single"/>
        </w:rPr>
        <w:t>（分包供应商1名称）</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（分包供应商1名称），</w:t>
      </w:r>
      <w:r>
        <w:rPr>
          <w:rFonts w:hint="eastAsia" w:ascii="宋体" w:hAnsi="宋体" w:eastAsia="宋体" w:cs="宋体"/>
          <w:color w:val="auto"/>
          <w:kern w:val="0"/>
          <w:sz w:val="24"/>
          <w:szCs w:val="24"/>
          <w:highlight w:val="none"/>
          <w:lang w:val="zh-CN"/>
        </w:rPr>
        <w:t>具备承</w:t>
      </w:r>
      <w:r>
        <w:rPr>
          <w:rFonts w:hint="eastAsia" w:ascii="宋体" w:hAnsi="宋体" w:eastAsia="宋体" w:cs="宋体"/>
          <w:color w:val="auto"/>
          <w:kern w:val="0"/>
          <w:sz w:val="24"/>
          <w:szCs w:val="24"/>
          <w:highlight w:val="none"/>
        </w:rPr>
        <w:t>担</w:t>
      </w:r>
      <w:r>
        <w:rPr>
          <w:rFonts w:hint="eastAsia" w:ascii="宋体" w:hAnsi="宋体" w:eastAsia="宋体" w:cs="宋体"/>
          <w:color w:val="auto"/>
          <w:kern w:val="0"/>
          <w:sz w:val="24"/>
          <w:szCs w:val="24"/>
          <w:highlight w:val="none"/>
          <w:u w:val="single"/>
          <w:lang w:val="zh-CN"/>
        </w:rPr>
        <w:t>XX工作内容</w:t>
      </w:r>
      <w:r>
        <w:rPr>
          <w:rFonts w:hint="eastAsia" w:ascii="宋体" w:hAnsi="宋体" w:eastAsia="宋体" w:cs="宋体"/>
          <w:color w:val="auto"/>
          <w:kern w:val="0"/>
          <w:sz w:val="24"/>
          <w:szCs w:val="24"/>
          <w:highlight w:val="none"/>
          <w:lang w:val="zh-CN"/>
        </w:rPr>
        <w:t>相应资质条件且不得再次分包；</w:t>
      </w:r>
    </w:p>
    <w:p>
      <w:pPr>
        <w:pStyle w:val="2"/>
        <w:pageBreakBefore w:val="0"/>
        <w:kinsoku/>
        <w:wordWrap/>
        <w:overflowPunct/>
        <w:topLinePunct w:val="0"/>
        <w:bidi w:val="0"/>
        <w:spacing w:line="390" w:lineRule="exact"/>
        <w:ind w:left="664" w:leftChars="316" w:firstLine="229" w:firstLineChars="95"/>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二、分包供应商中小企业合同份额</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u w:val="single"/>
        </w:rPr>
        <w:t>（分包供应商X,……）提供的货物全部由小微企业制造，</w:t>
      </w:r>
      <w:r>
        <w:rPr>
          <w:rFonts w:hint="eastAsia" w:ascii="宋体" w:hAnsi="宋体" w:eastAsia="宋体" w:cs="宋体"/>
          <w:color w:val="auto"/>
          <w:kern w:val="0"/>
          <w:sz w:val="24"/>
          <w:szCs w:val="24"/>
          <w:highlight w:val="none"/>
        </w:rPr>
        <w:t>其合同份额占到合同总金额</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%以上</w:t>
      </w:r>
      <w:r>
        <w:rPr>
          <w:rFonts w:hint="eastAsia" w:ascii="宋体" w:hAnsi="宋体" w:eastAsia="宋体" w:cs="宋体"/>
          <w:color w:val="auto"/>
          <w:sz w:val="24"/>
          <w:szCs w:val="24"/>
          <w:highlight w:val="none"/>
        </w:rPr>
        <w:t>。</w:t>
      </w:r>
      <w:r>
        <w:rPr>
          <w:rFonts w:hint="eastAsia" w:ascii="宋体" w:hAnsi="宋体" w:eastAsia="宋体" w:cs="宋体"/>
          <w:b/>
          <w:color w:val="auto"/>
          <w:kern w:val="0"/>
          <w:sz w:val="24"/>
          <w:szCs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szCs w:val="24"/>
          <w:highlight w:val="none"/>
        </w:rPr>
        <w:t>拟享受以上价格扣除政策的，填写有关内容。</w:t>
      </w:r>
      <w:r>
        <w:rPr>
          <w:rFonts w:hint="eastAsia" w:ascii="宋体" w:hAnsi="宋体" w:eastAsia="宋体" w:cs="宋体"/>
          <w:b/>
          <w:color w:val="auto"/>
          <w:kern w:val="0"/>
          <w:sz w:val="24"/>
          <w:szCs w:val="24"/>
          <w:highlight w:val="none"/>
          <w:lang w:val="zh-CN"/>
        </w:rPr>
        <w:t>）</w:t>
      </w:r>
    </w:p>
    <w:p>
      <w:pPr>
        <w:pageBreakBefore w:val="0"/>
        <w:kinsoku/>
        <w:wordWrap/>
        <w:overflowPunct/>
        <w:topLinePunct w:val="0"/>
        <w:bidi w:val="0"/>
        <w:spacing w:line="390" w:lineRule="exact"/>
        <w:ind w:firstLine="480" w:firstLineChars="200"/>
        <w:textAlignment w:val="auto"/>
        <w:rPr>
          <w:rFonts w:hint="eastAsia" w:ascii="宋体" w:hAnsi="宋体" w:eastAsia="宋体" w:cs="宋体"/>
          <w:b/>
          <w:bCs/>
          <w:color w:val="auto"/>
          <w:kern w:val="0"/>
          <w:sz w:val="24"/>
          <w:szCs w:val="24"/>
          <w:highlight w:val="none"/>
          <w:lang w:val="zh-CN"/>
        </w:rPr>
      </w:pPr>
      <w:r>
        <w:rPr>
          <w:rFonts w:hint="eastAsia" w:ascii="宋体" w:hAnsi="宋体" w:eastAsia="宋体" w:cs="宋体"/>
          <w:color w:val="auto"/>
          <w:sz w:val="24"/>
          <w:szCs w:val="24"/>
          <w:highlight w:val="none"/>
        </w:rPr>
        <w:t>2、</w:t>
      </w:r>
      <w:bookmarkStart w:id="515" w:name="_Hlk101133173"/>
      <w:r>
        <w:rPr>
          <w:rFonts w:hint="eastAsia" w:ascii="宋体" w:hAnsi="宋体" w:eastAsia="宋体" w:cs="宋体"/>
          <w:color w:val="auto"/>
          <w:sz w:val="24"/>
          <w:szCs w:val="24"/>
          <w:highlight w:val="none"/>
        </w:rPr>
        <w:t>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%，其中小微企业合同金额达到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r>
        <w:rPr>
          <w:rFonts w:hint="eastAsia" w:ascii="宋体" w:hAnsi="宋体" w:eastAsia="宋体" w:cs="宋体"/>
          <w:b/>
          <w:bCs/>
          <w:color w:val="auto"/>
          <w:kern w:val="0"/>
          <w:sz w:val="24"/>
          <w:szCs w:val="24"/>
          <w:highlight w:val="none"/>
          <w:lang w:val="zh-CN"/>
        </w:rPr>
        <w:t>（</w:t>
      </w:r>
      <w:r>
        <w:rPr>
          <w:rFonts w:hint="eastAsia" w:ascii="宋体" w:hAnsi="宋体" w:eastAsia="宋体" w:cs="宋体"/>
          <w:b/>
          <w:bCs/>
          <w:color w:val="auto"/>
          <w:sz w:val="24"/>
          <w:szCs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szCs w:val="24"/>
          <w:highlight w:val="none"/>
          <w:lang w:val="zh-CN"/>
        </w:rPr>
        <w:t>分包意向协议</w:t>
      </w:r>
      <w:r>
        <w:rPr>
          <w:rFonts w:hint="eastAsia" w:ascii="宋体" w:hAnsi="宋体" w:eastAsia="宋体" w:cs="宋体"/>
          <w:b/>
          <w:bCs/>
          <w:color w:val="auto"/>
          <w:sz w:val="24"/>
          <w:szCs w:val="24"/>
          <w:highlight w:val="none"/>
        </w:rPr>
        <w:t>中中小企业、小微企业合同金额应当达到的比例要求填写。</w:t>
      </w:r>
      <w:r>
        <w:rPr>
          <w:rFonts w:hint="eastAsia" w:ascii="宋体" w:hAnsi="宋体" w:eastAsia="宋体" w:cs="宋体"/>
          <w:b/>
          <w:bCs/>
          <w:color w:val="auto"/>
          <w:kern w:val="0"/>
          <w:sz w:val="24"/>
          <w:szCs w:val="24"/>
          <w:highlight w:val="none"/>
          <w:lang w:val="zh-CN"/>
        </w:rPr>
        <w:t>）</w:t>
      </w:r>
      <w:bookmarkEnd w:id="515"/>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三、分包工作履行期限、地点、方式</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 xml:space="preserve">                                                                                  </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四、质量</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u w:val="single"/>
        </w:rPr>
        <w:t xml:space="preserve">                                                                                       </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五、价款或者报酬</w:t>
      </w:r>
    </w:p>
    <w:p>
      <w:pPr>
        <w:pageBreakBefore w:val="0"/>
        <w:kinsoku/>
        <w:wordWrap/>
        <w:overflowPunct/>
        <w:topLinePunct w:val="0"/>
        <w:bidi w:val="0"/>
        <w:snapToGrid w:val="0"/>
        <w:spacing w:line="390" w:lineRule="exact"/>
        <w:ind w:left="573" w:leftChars="273"/>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u w:val="single"/>
        </w:rPr>
        <w:t xml:space="preserve">                                                                                     </w:t>
      </w:r>
    </w:p>
    <w:p>
      <w:pPr>
        <w:pageBreakBefore w:val="0"/>
        <w:kinsoku/>
        <w:wordWrap/>
        <w:overflowPunct/>
        <w:topLinePunct w:val="0"/>
        <w:bidi w:val="0"/>
        <w:snapToGrid w:val="0"/>
        <w:spacing w:line="390" w:lineRule="exact"/>
        <w:ind w:left="573" w:leftChars="273"/>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六、违约责任</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u w:val="single"/>
        </w:rPr>
        <w:t xml:space="preserve">                                                                                     </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七、争议解决的办法</w:t>
      </w:r>
    </w:p>
    <w:p>
      <w:pPr>
        <w:pageBreakBefore w:val="0"/>
        <w:kinsoku/>
        <w:wordWrap/>
        <w:overflowPunct/>
        <w:topLinePunct w:val="0"/>
        <w:bidi w:val="0"/>
        <w:snapToGrid w:val="0"/>
        <w:spacing w:line="390" w:lineRule="exact"/>
        <w:ind w:firstLine="576"/>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u w:val="single"/>
        </w:rPr>
        <w:t xml:space="preserve">                                                                                  </w:t>
      </w:r>
    </w:p>
    <w:p>
      <w:pPr>
        <w:pageBreakBefore w:val="0"/>
        <w:kinsoku/>
        <w:wordWrap/>
        <w:overflowPunct/>
        <w:topLinePunct w:val="0"/>
        <w:bidi w:val="0"/>
        <w:snapToGrid w:val="0"/>
        <w:spacing w:line="390" w:lineRule="exact"/>
        <w:ind w:left="5758" w:leftChars="342" w:hanging="5040" w:hangingChars="21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投标人名称(电子签名)：</w:t>
      </w:r>
    </w:p>
    <w:p>
      <w:pPr>
        <w:pageBreakBefore w:val="0"/>
        <w:kinsoku/>
        <w:wordWrap/>
        <w:overflowPunct/>
        <w:topLinePunct w:val="0"/>
        <w:bidi w:val="0"/>
        <w:snapToGrid w:val="0"/>
        <w:spacing w:line="390" w:lineRule="exact"/>
        <w:jc w:val="righ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分包供应商名称(电子签名/公章)：</w:t>
      </w:r>
    </w:p>
    <w:p>
      <w:pPr>
        <w:pageBreakBefore w:val="0"/>
        <w:kinsoku/>
        <w:wordWrap/>
        <w:overflowPunct/>
        <w:topLinePunct w:val="0"/>
        <w:bidi w:val="0"/>
        <w:snapToGrid w:val="0"/>
        <w:spacing w:line="390" w:lineRule="exact"/>
        <w:ind w:firstLine="5760" w:firstLineChars="24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w:t>
      </w:r>
    </w:p>
    <w:p>
      <w:pPr>
        <w:pageBreakBefore w:val="0"/>
        <w:kinsoku/>
        <w:wordWrap/>
        <w:overflowPunct/>
        <w:topLinePunct w:val="0"/>
        <w:bidi w:val="0"/>
        <w:spacing w:line="390" w:lineRule="exact"/>
        <w:jc w:val="center"/>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pPr>
        <w:pageBreakBefore w:val="0"/>
        <w:kinsoku/>
        <w:wordWrap/>
        <w:overflowPunct/>
        <w:topLinePunct w:val="0"/>
        <w:bidi w:val="0"/>
        <w:spacing w:line="390" w:lineRule="exact"/>
        <w:ind w:right="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注：按本格式和要求提供。</w:t>
      </w:r>
    </w:p>
    <w:p>
      <w:pPr>
        <w:snapToGrid w:val="0"/>
        <w:spacing w:line="240" w:lineRule="auto"/>
        <w:outlineLvl w:val="0"/>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附件7：中小企业声明函</w:t>
      </w:r>
    </w:p>
    <w:p>
      <w:pPr>
        <w:spacing w:line="240" w:lineRule="auto"/>
        <w:jc w:val="center"/>
        <w:rPr>
          <w:rFonts w:ascii="宋体" w:hAnsi="宋体" w:cs="宋体"/>
          <w:b/>
          <w:sz w:val="32"/>
          <w:szCs w:val="32"/>
        </w:rPr>
      </w:pPr>
      <w:r>
        <w:rPr>
          <w:rFonts w:hint="eastAsia" w:ascii="宋体" w:hAnsi="宋体" w:cs="宋体"/>
          <w:b/>
          <w:sz w:val="32"/>
          <w:szCs w:val="32"/>
        </w:rPr>
        <w:t>中小企业声明函（货物）</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sz w:val="24"/>
          <w:szCs w:val="24"/>
        </w:rPr>
        <w:t>本公司（联合体）郑重声明，根据《政府采购</w:t>
      </w:r>
      <w:r>
        <w:rPr>
          <w:rFonts w:hint="eastAsia" w:ascii="宋体" w:hAnsi="宋体" w:cs="宋体"/>
          <w:color w:val="000000" w:themeColor="text1"/>
          <w:sz w:val="24"/>
          <w:szCs w:val="24"/>
          <w14:textFill>
            <w14:solidFill>
              <w14:schemeClr w14:val="tx1"/>
            </w14:solidFill>
          </w14:textFill>
        </w:rPr>
        <w:t xml:space="preserve">促进中小企业发展管理办法》（财库﹝2020﹞46 号）的规定，本公司（联合体）参加 </w:t>
      </w:r>
      <w:r>
        <w:rPr>
          <w:rFonts w:hint="eastAsia" w:ascii="宋体" w:hAnsi="宋体" w:cs="宋体"/>
          <w:color w:val="000000" w:themeColor="text1"/>
          <w:sz w:val="24"/>
          <w:szCs w:val="24"/>
          <w:u w:val="single"/>
          <w14:textFill>
            <w14:solidFill>
              <w14:schemeClr w14:val="tx1"/>
            </w14:solidFill>
          </w14:textFill>
        </w:rPr>
        <w:t xml:space="preserve">（采购人） </w:t>
      </w:r>
      <w:r>
        <w:rPr>
          <w:rFonts w:hint="eastAsia" w:ascii="宋体" w:hAnsi="宋体" w:cs="宋体"/>
          <w:color w:val="000000" w:themeColor="text1"/>
          <w:sz w:val="24"/>
          <w:szCs w:val="24"/>
          <w14:textFill>
            <w14:solidFill>
              <w14:schemeClr w14:val="tx1"/>
            </w14:solidFill>
          </w14:textFill>
        </w:rPr>
        <w:t xml:space="preserve">的 </w:t>
      </w:r>
      <w:r>
        <w:rPr>
          <w:rFonts w:hint="eastAsia" w:ascii="宋体" w:hAnsi="宋体" w:cs="宋体"/>
          <w:color w:val="000000" w:themeColor="text1"/>
          <w:sz w:val="24"/>
          <w:szCs w:val="24"/>
          <w:u w:val="single"/>
          <w14:textFill>
            <w14:solidFill>
              <w14:schemeClr w14:val="tx1"/>
            </w14:solidFill>
          </w14:textFill>
        </w:rPr>
        <w:t>（项目名称）</w:t>
      </w:r>
      <w:r>
        <w:rPr>
          <w:rFonts w:hint="eastAsia" w:ascii="宋体" w:hAnsi="宋体" w:cs="宋体"/>
          <w:color w:val="000000" w:themeColor="text1"/>
          <w:sz w:val="24"/>
          <w:szCs w:val="24"/>
          <w14:textFill>
            <w14:solidFill>
              <w14:schemeClr w14:val="tx1"/>
            </w14:solidFill>
          </w14:textFill>
        </w:rPr>
        <w:t xml:space="preserve"> 采购活动，提供的货物全部由符合政策要求的中小企业制造。相关企业（含联合体中的中小企业、签订分包意向协议的中小企业）的具体情况如下：</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1. </w:t>
      </w:r>
      <w:r>
        <w:rPr>
          <w:rFonts w:hint="eastAsia" w:ascii="宋体" w:hAnsi="宋体" w:cs="宋体"/>
          <w:color w:val="000000" w:themeColor="text1"/>
          <w:sz w:val="24"/>
          <w:szCs w:val="24"/>
          <w:u w:val="single"/>
          <w14:textFill>
            <w14:solidFill>
              <w14:schemeClr w14:val="tx1"/>
            </w14:solidFill>
          </w14:textFill>
        </w:rPr>
        <w:t>（标的名称）</w:t>
      </w:r>
      <w:r>
        <w:rPr>
          <w:rFonts w:hint="eastAsia" w:ascii="宋体" w:hAnsi="宋体" w:cs="宋体"/>
          <w:color w:val="000000" w:themeColor="text1"/>
          <w:sz w:val="24"/>
          <w:szCs w:val="24"/>
          <w14:textFill>
            <w14:solidFill>
              <w14:schemeClr w14:val="tx1"/>
            </w14:solidFill>
          </w14:textFill>
        </w:rPr>
        <w:t xml:space="preserve"> ，属于 </w:t>
      </w:r>
      <w:r>
        <w:rPr>
          <w:rFonts w:hint="eastAsia" w:ascii="宋体" w:hAnsi="宋体" w:cs="宋体"/>
          <w:color w:val="000000" w:themeColor="text1"/>
          <w:sz w:val="24"/>
          <w:szCs w:val="24"/>
          <w:u w:val="single"/>
          <w14:textFill>
            <w14:solidFill>
              <w14:schemeClr w14:val="tx1"/>
            </w14:solidFill>
          </w14:textFill>
        </w:rPr>
        <w:t>（采购文件中明确的所属行业）</w:t>
      </w:r>
      <w:r>
        <w:rPr>
          <w:rFonts w:hint="eastAsia" w:ascii="宋体" w:hAnsi="宋体" w:cs="宋体"/>
          <w:color w:val="000000" w:themeColor="text1"/>
          <w:sz w:val="24"/>
          <w:szCs w:val="24"/>
          <w14:textFill>
            <w14:solidFill>
              <w14:schemeClr w14:val="tx1"/>
            </w14:solidFill>
          </w14:textFill>
        </w:rPr>
        <w:t>行业 ；制造商为</w:t>
      </w:r>
      <w:r>
        <w:rPr>
          <w:rFonts w:hint="eastAsia" w:ascii="宋体" w:hAnsi="宋体" w:cs="宋体"/>
          <w:color w:val="000000" w:themeColor="text1"/>
          <w:sz w:val="24"/>
          <w:szCs w:val="24"/>
          <w:u w:val="single"/>
          <w14:textFill>
            <w14:solidFill>
              <w14:schemeClr w14:val="tx1"/>
            </w14:solidFill>
          </w14:textFill>
        </w:rPr>
        <w:t xml:space="preserve"> （企业名称）</w:t>
      </w:r>
      <w:r>
        <w:rPr>
          <w:rFonts w:hint="eastAsia" w:ascii="宋体" w:hAnsi="宋体" w:cs="宋体"/>
          <w:color w:val="000000" w:themeColor="text1"/>
          <w:sz w:val="24"/>
          <w:szCs w:val="24"/>
          <w14:textFill>
            <w14:solidFill>
              <w14:schemeClr w14:val="tx1"/>
            </w14:solidFill>
          </w14:textFill>
        </w:rPr>
        <w:t xml:space="preserve"> ，从业人员</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人，营业收入为</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万元，资产总额为</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万元，属于</w:t>
      </w:r>
      <w:r>
        <w:rPr>
          <w:rFonts w:hint="eastAsia" w:ascii="宋体" w:hAnsi="宋体" w:cs="宋体"/>
          <w:color w:val="000000" w:themeColor="text1"/>
          <w:sz w:val="24"/>
          <w:szCs w:val="24"/>
          <w:u w:val="single"/>
          <w14:textFill>
            <w14:solidFill>
              <w14:schemeClr w14:val="tx1"/>
            </w14:solidFill>
          </w14:textFill>
        </w:rPr>
        <w:t xml:space="preserve"> （中型企业、小型企业、微型企业）</w:t>
      </w:r>
      <w:r>
        <w:rPr>
          <w:rFonts w:hint="eastAsia" w:ascii="宋体" w:hAnsi="宋体" w:cs="宋体"/>
          <w:color w:val="000000" w:themeColor="text1"/>
          <w:sz w:val="24"/>
          <w:szCs w:val="24"/>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ascii="宋体" w:hAnsi="宋体" w:cs="宋体"/>
          <w:sz w:val="24"/>
          <w:szCs w:val="24"/>
        </w:rPr>
      </w:pPr>
      <w:r>
        <w:rPr>
          <w:rFonts w:hint="eastAsia" w:ascii="宋体" w:hAnsi="宋体" w:cs="宋体"/>
          <w:color w:val="000000" w:themeColor="text1"/>
          <w:sz w:val="24"/>
          <w:szCs w:val="24"/>
          <w14:textFill>
            <w14:solidFill>
              <w14:schemeClr w14:val="tx1"/>
            </w14:solidFill>
          </w14:textFill>
        </w:rPr>
        <w:t xml:space="preserve">2. </w:t>
      </w:r>
      <w:r>
        <w:rPr>
          <w:rFonts w:hint="eastAsia" w:ascii="宋体" w:hAnsi="宋体" w:cs="宋体"/>
          <w:color w:val="000000" w:themeColor="text1"/>
          <w:sz w:val="24"/>
          <w:szCs w:val="24"/>
          <w:u w:val="single"/>
          <w14:textFill>
            <w14:solidFill>
              <w14:schemeClr w14:val="tx1"/>
            </w14:solidFill>
          </w14:textFill>
        </w:rPr>
        <w:t>（标的名称）</w:t>
      </w:r>
      <w:r>
        <w:rPr>
          <w:rFonts w:hint="eastAsia" w:ascii="宋体" w:hAnsi="宋体" w:cs="宋体"/>
          <w:color w:val="000000" w:themeColor="text1"/>
          <w:sz w:val="24"/>
          <w:szCs w:val="24"/>
          <w14:textFill>
            <w14:solidFill>
              <w14:schemeClr w14:val="tx1"/>
            </w14:solidFill>
          </w14:textFill>
        </w:rPr>
        <w:t xml:space="preserve"> ，属于 </w:t>
      </w:r>
      <w:r>
        <w:rPr>
          <w:rFonts w:hint="eastAsia" w:ascii="宋体" w:hAnsi="宋体" w:cs="宋体"/>
          <w:color w:val="000000" w:themeColor="text1"/>
          <w:sz w:val="24"/>
          <w:szCs w:val="24"/>
          <w:u w:val="single"/>
          <w14:textFill>
            <w14:solidFill>
              <w14:schemeClr w14:val="tx1"/>
            </w14:solidFill>
          </w14:textFill>
        </w:rPr>
        <w:t>（采购文件中明确的所属行业）</w:t>
      </w:r>
      <w:r>
        <w:rPr>
          <w:rFonts w:hint="eastAsia" w:ascii="宋体" w:hAnsi="宋体" w:cs="宋体"/>
          <w:color w:val="000000" w:themeColor="text1"/>
          <w:sz w:val="24"/>
          <w:szCs w:val="24"/>
          <w14:textFill>
            <w14:solidFill>
              <w14:schemeClr w14:val="tx1"/>
            </w14:solidFill>
          </w14:textFill>
        </w:rPr>
        <w:t>行业 ；制造商为</w:t>
      </w:r>
      <w:r>
        <w:rPr>
          <w:rFonts w:hint="eastAsia" w:ascii="宋体" w:hAnsi="宋体" w:cs="宋体"/>
          <w:color w:val="000000" w:themeColor="text1"/>
          <w:sz w:val="24"/>
          <w:szCs w:val="24"/>
          <w:u w:val="single"/>
          <w14:textFill>
            <w14:solidFill>
              <w14:schemeClr w14:val="tx1"/>
            </w14:solidFill>
          </w14:textFill>
        </w:rPr>
        <w:t xml:space="preserve"> （企业名称）</w:t>
      </w:r>
      <w:r>
        <w:rPr>
          <w:rFonts w:hint="eastAsia" w:ascii="宋体" w:hAnsi="宋体" w:cs="宋体"/>
          <w:color w:val="000000" w:themeColor="text1"/>
          <w:sz w:val="24"/>
          <w:szCs w:val="24"/>
          <w14:textFill>
            <w14:solidFill>
              <w14:schemeClr w14:val="tx1"/>
            </w14:solidFill>
          </w14:textFill>
        </w:rPr>
        <w:t xml:space="preserve"> ，从业人员</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人，营业收入为</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万元，资产总额为</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sz w:val="24"/>
          <w:szCs w:val="24"/>
        </w:rPr>
        <w:t>万元，属于</w:t>
      </w:r>
      <w:r>
        <w:rPr>
          <w:rFonts w:hint="eastAsia" w:ascii="宋体" w:hAnsi="宋体" w:cs="宋体"/>
          <w:sz w:val="24"/>
          <w:szCs w:val="24"/>
          <w:u w:val="single"/>
        </w:rPr>
        <w:t xml:space="preserve"> （中型企业、小型企业、微型企业）</w:t>
      </w:r>
      <w:r>
        <w:rPr>
          <w:rFonts w:hint="eastAsia" w:ascii="宋体" w:hAnsi="宋体" w:cs="宋体"/>
          <w:sz w:val="24"/>
          <w:szCs w:val="24"/>
        </w:rPr>
        <w:t xml:space="preserve"> ；</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ascii="宋体" w:hAnsi="宋体" w:cs="宋体"/>
          <w:sz w:val="24"/>
          <w:szCs w:val="24"/>
        </w:rPr>
      </w:pPr>
      <w:r>
        <w:rPr>
          <w:rFonts w:hint="eastAsia" w:ascii="宋体" w:hAnsi="宋体" w:cs="宋体"/>
          <w:sz w:val="24"/>
          <w:szCs w:val="24"/>
        </w:rPr>
        <w:t>……</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ascii="宋体" w:hAnsi="宋体" w:cs="宋体"/>
          <w:sz w:val="24"/>
          <w:szCs w:val="24"/>
        </w:rPr>
      </w:pPr>
      <w:r>
        <w:rPr>
          <w:rFonts w:hint="eastAsia" w:ascii="宋体" w:hAnsi="宋体" w:cs="宋体"/>
          <w:sz w:val="24"/>
          <w:szCs w:val="24"/>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ascii="宋体" w:hAnsi="宋体" w:cs="宋体"/>
          <w:sz w:val="24"/>
          <w:szCs w:val="24"/>
        </w:rPr>
      </w:pPr>
      <w:r>
        <w:rPr>
          <w:rFonts w:hint="eastAsia" w:ascii="宋体" w:hAnsi="宋体" w:cs="宋体"/>
          <w:sz w:val="24"/>
          <w:szCs w:val="24"/>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val="0"/>
        <w:snapToGrid w:val="0"/>
        <w:spacing w:line="400" w:lineRule="exact"/>
        <w:ind w:firstLine="5160" w:firstLineChars="2150"/>
        <w:textAlignment w:val="auto"/>
        <w:rPr>
          <w:rFonts w:ascii="宋体" w:hAnsi="宋体" w:cs="宋体"/>
          <w:kern w:val="0"/>
          <w:sz w:val="24"/>
          <w:szCs w:val="24"/>
        </w:rPr>
      </w:pPr>
      <w:r>
        <w:rPr>
          <w:rFonts w:hint="eastAsia" w:ascii="宋体" w:hAnsi="宋体" w:cs="宋体"/>
          <w:kern w:val="0"/>
          <w:sz w:val="24"/>
          <w:szCs w:val="24"/>
          <w:lang w:val="zh-CN"/>
        </w:rPr>
        <w:t>投标人名称(电子签名)：</w:t>
      </w:r>
    </w:p>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ascii="宋体" w:hAnsi="宋体" w:cs="宋体"/>
          <w:kern w:val="0"/>
          <w:sz w:val="24"/>
          <w:szCs w:val="24"/>
          <w:lang w:val="zh-CN"/>
        </w:rPr>
      </w:pPr>
      <w:r>
        <w:rPr>
          <w:rFonts w:hint="eastAsia" w:ascii="宋体" w:hAnsi="宋体" w:cs="宋体"/>
          <w:kern w:val="0"/>
          <w:sz w:val="24"/>
          <w:szCs w:val="24"/>
          <w:lang w:val="zh-CN"/>
        </w:rPr>
        <w:t xml:space="preserve">                                           日期</w:t>
      </w:r>
      <w:r>
        <w:rPr>
          <w:rFonts w:hint="eastAsia" w:ascii="宋体" w:hAnsi="宋体" w:cs="宋体"/>
          <w:kern w:val="0"/>
          <w:sz w:val="24"/>
          <w:szCs w:val="24"/>
        </w:rPr>
        <w:t xml:space="preserve">：  年  </w:t>
      </w:r>
      <w:r>
        <w:rPr>
          <w:rFonts w:hint="eastAsia" w:ascii="宋体" w:hAnsi="宋体" w:cs="宋体"/>
          <w:kern w:val="0"/>
          <w:sz w:val="24"/>
          <w:szCs w:val="24"/>
          <w:lang w:val="zh-CN"/>
        </w:rPr>
        <w:t>月</w:t>
      </w:r>
      <w:r>
        <w:rPr>
          <w:rFonts w:hint="eastAsia" w:ascii="宋体" w:hAnsi="宋体" w:cs="宋体"/>
          <w:kern w:val="0"/>
          <w:sz w:val="24"/>
          <w:szCs w:val="24"/>
        </w:rPr>
        <w:t xml:space="preserve">   </w:t>
      </w:r>
      <w:r>
        <w:rPr>
          <w:rFonts w:hint="eastAsia" w:ascii="宋体" w:hAnsi="宋体" w:cs="宋体"/>
          <w:kern w:val="0"/>
          <w:sz w:val="24"/>
          <w:szCs w:val="24"/>
          <w:lang w:val="zh-CN"/>
        </w:rPr>
        <w:t>日</w:t>
      </w:r>
    </w:p>
    <w:p>
      <w:pPr>
        <w:keepNext w:val="0"/>
        <w:keepLines w:val="0"/>
        <w:pageBreakBefore w:val="0"/>
        <w:widowControl w:val="0"/>
        <w:kinsoku/>
        <w:wordWrap/>
        <w:overflowPunct/>
        <w:topLinePunct w:val="0"/>
        <w:autoSpaceDE/>
        <w:autoSpaceDN/>
        <w:bidi w:val="0"/>
        <w:adjustRightInd w:val="0"/>
        <w:spacing w:line="400" w:lineRule="exact"/>
        <w:jc w:val="left"/>
        <w:textAlignment w:val="auto"/>
        <w:rPr>
          <w:rFonts w:ascii="宋体" w:hAnsi="宋体" w:cs="宋体"/>
          <w:sz w:val="24"/>
          <w:szCs w:val="24"/>
        </w:rPr>
      </w:pPr>
      <w:r>
        <w:rPr>
          <w:rFonts w:hint="eastAsia" w:ascii="宋体" w:hAnsi="宋体" w:cs="宋体"/>
          <w:sz w:val="24"/>
          <w:szCs w:val="24"/>
        </w:rPr>
        <w:t>从业人员、营业收入、资产总额填报上一年度数据，无上一年度数据的新成立企业可不填报。</w:t>
      </w:r>
    </w:p>
    <w:p>
      <w:pPr>
        <w:keepNext w:val="0"/>
        <w:keepLines w:val="0"/>
        <w:pageBreakBefore w:val="0"/>
        <w:widowControl w:val="0"/>
        <w:kinsoku/>
        <w:wordWrap/>
        <w:overflowPunct/>
        <w:topLinePunct w:val="0"/>
        <w:autoSpaceDE/>
        <w:autoSpaceDN/>
        <w:bidi w:val="0"/>
        <w:adjustRightInd w:val="0"/>
        <w:spacing w:line="400" w:lineRule="exact"/>
        <w:ind w:right="420" w:firstLine="480" w:firstLineChars="200"/>
        <w:textAlignment w:val="auto"/>
        <w:rPr>
          <w:rFonts w:ascii="宋体" w:hAnsi="宋体" w:cs="宋体"/>
          <w:sz w:val="24"/>
          <w:szCs w:val="24"/>
        </w:rPr>
      </w:pPr>
      <w:r>
        <w:rPr>
          <w:rFonts w:hint="eastAsia" w:ascii="宋体" w:hAnsi="宋体" w:cs="宋体"/>
          <w:sz w:val="24"/>
          <w:szCs w:val="24"/>
        </w:rPr>
        <w:t>注：</w:t>
      </w:r>
    </w:p>
    <w:p>
      <w:pPr>
        <w:keepNext w:val="0"/>
        <w:keepLines w:val="0"/>
        <w:pageBreakBefore w:val="0"/>
        <w:widowControl w:val="0"/>
        <w:kinsoku/>
        <w:wordWrap/>
        <w:overflowPunct/>
        <w:topLinePunct w:val="0"/>
        <w:autoSpaceDE/>
        <w:autoSpaceDN/>
        <w:bidi w:val="0"/>
        <w:adjustRightInd w:val="0"/>
        <w:snapToGrid/>
        <w:spacing w:line="400" w:lineRule="exact"/>
        <w:ind w:right="0" w:firstLine="480" w:firstLineChars="200"/>
        <w:textAlignment w:val="auto"/>
        <w:rPr>
          <w:rFonts w:ascii="宋体" w:hAnsi="宋体" w:cs="宋体"/>
          <w:sz w:val="24"/>
          <w:szCs w:val="24"/>
        </w:rPr>
      </w:pPr>
      <w:r>
        <w:rPr>
          <w:rFonts w:hint="eastAsia" w:ascii="宋体" w:hAnsi="宋体" w:cs="宋体"/>
          <w:sz w:val="24"/>
          <w:szCs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keepNext w:val="0"/>
        <w:keepLines w:val="0"/>
        <w:pageBreakBefore w:val="0"/>
        <w:widowControl w:val="0"/>
        <w:kinsoku/>
        <w:wordWrap/>
        <w:overflowPunct/>
        <w:topLinePunct w:val="0"/>
        <w:autoSpaceDE/>
        <w:autoSpaceDN/>
        <w:bidi w:val="0"/>
        <w:adjustRightInd w:val="0"/>
        <w:snapToGrid/>
        <w:spacing w:line="400" w:lineRule="exact"/>
        <w:ind w:right="0" w:firstLine="480" w:firstLineChars="200"/>
        <w:textAlignment w:val="auto"/>
        <w:rPr>
          <w:rFonts w:hint="eastAsia" w:ascii="宋体" w:hAnsi="宋体" w:eastAsia="宋体" w:cs="宋体"/>
          <w:b/>
          <w:color w:val="auto"/>
          <w:sz w:val="24"/>
          <w:szCs w:val="24"/>
          <w:highlight w:val="none"/>
        </w:rPr>
      </w:pPr>
      <w:r>
        <w:rPr>
          <w:rFonts w:hint="eastAsia" w:ascii="宋体" w:hAnsi="宋体" w:cs="宋体"/>
          <w:sz w:val="24"/>
          <w:szCs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pgSz w:w="11905" w:h="16838"/>
      <w:pgMar w:top="1417" w:right="1417" w:bottom="1417" w:left="141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altName w:val="Lucida Sans"/>
    <w:panose1 w:val="020B0602030504020204"/>
    <w:charset w:val="00"/>
    <w:family w:val="auto"/>
    <w:pitch w:val="default"/>
    <w:sig w:usb0="00000000" w:usb1="00000000"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0000012" w:usb3="00000000" w:csb0="4002009F" w:csb1="DFD70000"/>
  </w:font>
  <w:font w:name="Wingdings 2">
    <w:panose1 w:val="05020102010507070707"/>
    <w:charset w:val="00"/>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 w:name="Segoe Print">
    <w:panose1 w:val="02000800000000000000"/>
    <w:charset w:val="00"/>
    <w:family w:val="auto"/>
    <w:pitch w:val="default"/>
    <w:sig w:usb0="0000028F" w:usb1="00000000" w:usb2="00000000" w:usb3="00000000" w:csb0="2000009F" w:csb1="47010000"/>
  </w:font>
  <w:font w:name="Segoe UI Symbol">
    <w:panose1 w:val="020B0502040204020203"/>
    <w:charset w:val="00"/>
    <w:family w:val="auto"/>
    <w:pitch w:val="default"/>
    <w:sig w:usb0="8000006F" w:usb1="1200FBEF" w:usb2="0064C000" w:usb3="00000002"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16" w:name="_Toc91899912"/>
    <w:bookmarkStart w:id="517" w:name="_Toc36110187"/>
    <w:bookmarkStart w:id="518" w:name="_Toc131845147"/>
    <w:bookmarkStart w:id="519" w:name="_Toc164085800"/>
    <w:r>
      <w:rPr>
        <w:rFonts w:hint="eastAsia" w:ascii="仿宋_GB2312" w:eastAsia="仿宋_GB2312"/>
        <w:kern w:val="0"/>
        <w:szCs w:val="21"/>
      </w:rPr>
      <w:t xml:space="preserve"> 页</w:t>
    </w:r>
    <w:bookmarkEnd w:id="516"/>
    <w:bookmarkEnd w:id="517"/>
    <w:bookmarkEnd w:id="518"/>
    <w:bookmarkEnd w:id="5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FAA4B3"/>
    <w:multiLevelType w:val="singleLevel"/>
    <w:tmpl w:val="0FFAA4B3"/>
    <w:lvl w:ilvl="0" w:tentative="0">
      <w:start w:val="6"/>
      <w:numFmt w:val="chineseCounting"/>
      <w:suff w:val="nothing"/>
      <w:lvlText w:val="%1、"/>
      <w:lvlJc w:val="left"/>
      <w:rPr>
        <w:rFonts w:hint="eastAsia"/>
      </w:rPr>
    </w:lvl>
  </w:abstractNum>
  <w:abstractNum w:abstractNumId="1">
    <w:nsid w:val="17CB6BB7"/>
    <w:multiLevelType w:val="singleLevel"/>
    <w:tmpl w:val="17CB6BB7"/>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5YTg3Y2ZjMmU4Mzg1YzU0NzlhM2M5MDlkOTY2NW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2B0A"/>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242"/>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A687D"/>
    <w:rsid w:val="011F6449"/>
    <w:rsid w:val="01236AFB"/>
    <w:rsid w:val="019F7441"/>
    <w:rsid w:val="01B37585"/>
    <w:rsid w:val="01D55165"/>
    <w:rsid w:val="01DF6BF8"/>
    <w:rsid w:val="01EC2C57"/>
    <w:rsid w:val="025F0711"/>
    <w:rsid w:val="026B2E25"/>
    <w:rsid w:val="02824D4D"/>
    <w:rsid w:val="02861529"/>
    <w:rsid w:val="02DC4B10"/>
    <w:rsid w:val="02DD76CE"/>
    <w:rsid w:val="02E72E26"/>
    <w:rsid w:val="02F36323"/>
    <w:rsid w:val="02F41BAB"/>
    <w:rsid w:val="02F5619C"/>
    <w:rsid w:val="0326446A"/>
    <w:rsid w:val="032D5555"/>
    <w:rsid w:val="034D2113"/>
    <w:rsid w:val="036634D2"/>
    <w:rsid w:val="03DD35E4"/>
    <w:rsid w:val="04076900"/>
    <w:rsid w:val="04082AD7"/>
    <w:rsid w:val="041A5A3B"/>
    <w:rsid w:val="042311BA"/>
    <w:rsid w:val="042B157A"/>
    <w:rsid w:val="048F763B"/>
    <w:rsid w:val="049F330E"/>
    <w:rsid w:val="04AA775C"/>
    <w:rsid w:val="04AF1889"/>
    <w:rsid w:val="04F66F48"/>
    <w:rsid w:val="050B287F"/>
    <w:rsid w:val="05251E14"/>
    <w:rsid w:val="05A16594"/>
    <w:rsid w:val="05A7762D"/>
    <w:rsid w:val="05F477B7"/>
    <w:rsid w:val="060E5941"/>
    <w:rsid w:val="060F2983"/>
    <w:rsid w:val="06110FAF"/>
    <w:rsid w:val="06493CA7"/>
    <w:rsid w:val="065A6178"/>
    <w:rsid w:val="066F1CF3"/>
    <w:rsid w:val="06930BB8"/>
    <w:rsid w:val="07155AFD"/>
    <w:rsid w:val="07245D42"/>
    <w:rsid w:val="07264C62"/>
    <w:rsid w:val="0779354C"/>
    <w:rsid w:val="08061376"/>
    <w:rsid w:val="08203FD8"/>
    <w:rsid w:val="08452D77"/>
    <w:rsid w:val="085E2DDB"/>
    <w:rsid w:val="086401F8"/>
    <w:rsid w:val="08751CAA"/>
    <w:rsid w:val="087C3D79"/>
    <w:rsid w:val="087E4C40"/>
    <w:rsid w:val="089F2B90"/>
    <w:rsid w:val="08A871D0"/>
    <w:rsid w:val="08D66AD6"/>
    <w:rsid w:val="08DA33A3"/>
    <w:rsid w:val="08DE4421"/>
    <w:rsid w:val="08E42860"/>
    <w:rsid w:val="08E80F13"/>
    <w:rsid w:val="09335624"/>
    <w:rsid w:val="0944690F"/>
    <w:rsid w:val="09535675"/>
    <w:rsid w:val="095F057D"/>
    <w:rsid w:val="09642282"/>
    <w:rsid w:val="09733572"/>
    <w:rsid w:val="09772C16"/>
    <w:rsid w:val="098353B5"/>
    <w:rsid w:val="09A92330"/>
    <w:rsid w:val="09B06B87"/>
    <w:rsid w:val="09BF1E8A"/>
    <w:rsid w:val="09C13146"/>
    <w:rsid w:val="09E04166"/>
    <w:rsid w:val="09F2225F"/>
    <w:rsid w:val="09FF2EF6"/>
    <w:rsid w:val="0A081A83"/>
    <w:rsid w:val="0A1C0718"/>
    <w:rsid w:val="0A30229D"/>
    <w:rsid w:val="0A3E7710"/>
    <w:rsid w:val="0A5B7E63"/>
    <w:rsid w:val="0A7C5E9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965124"/>
    <w:rsid w:val="0CC007F7"/>
    <w:rsid w:val="0CC617AC"/>
    <w:rsid w:val="0CE618DF"/>
    <w:rsid w:val="0CFE707A"/>
    <w:rsid w:val="0D063BDA"/>
    <w:rsid w:val="0D08375F"/>
    <w:rsid w:val="0D184CFB"/>
    <w:rsid w:val="0D4107C8"/>
    <w:rsid w:val="0D4A7419"/>
    <w:rsid w:val="0D827401"/>
    <w:rsid w:val="0D84094E"/>
    <w:rsid w:val="0D8A00E9"/>
    <w:rsid w:val="0D8D589E"/>
    <w:rsid w:val="0DA01C73"/>
    <w:rsid w:val="0DB8731C"/>
    <w:rsid w:val="0DD63300"/>
    <w:rsid w:val="0DE47459"/>
    <w:rsid w:val="0DF50604"/>
    <w:rsid w:val="0DF702FE"/>
    <w:rsid w:val="0E060E51"/>
    <w:rsid w:val="0E5604B2"/>
    <w:rsid w:val="0E6D5D79"/>
    <w:rsid w:val="0E721817"/>
    <w:rsid w:val="0E9D0089"/>
    <w:rsid w:val="0EB77646"/>
    <w:rsid w:val="0EB803EE"/>
    <w:rsid w:val="0EE16A55"/>
    <w:rsid w:val="0EF94D4B"/>
    <w:rsid w:val="0F331350"/>
    <w:rsid w:val="0F4958DC"/>
    <w:rsid w:val="0F515DF7"/>
    <w:rsid w:val="0F517A28"/>
    <w:rsid w:val="0F596BA8"/>
    <w:rsid w:val="0F6248D2"/>
    <w:rsid w:val="0F693536"/>
    <w:rsid w:val="0F7B0511"/>
    <w:rsid w:val="0F7B76D9"/>
    <w:rsid w:val="0F816ACD"/>
    <w:rsid w:val="0F953DB9"/>
    <w:rsid w:val="0F9832DB"/>
    <w:rsid w:val="0FBF3FD2"/>
    <w:rsid w:val="0FBF7FF3"/>
    <w:rsid w:val="0FE425F6"/>
    <w:rsid w:val="10646583"/>
    <w:rsid w:val="107D4B15"/>
    <w:rsid w:val="108A3C80"/>
    <w:rsid w:val="10B02FC0"/>
    <w:rsid w:val="10C26171"/>
    <w:rsid w:val="10F33360"/>
    <w:rsid w:val="10FC16EA"/>
    <w:rsid w:val="110F1D40"/>
    <w:rsid w:val="11266F33"/>
    <w:rsid w:val="11531A90"/>
    <w:rsid w:val="118963A1"/>
    <w:rsid w:val="11942F90"/>
    <w:rsid w:val="11C6025A"/>
    <w:rsid w:val="11C6522A"/>
    <w:rsid w:val="11E104CC"/>
    <w:rsid w:val="11E20309"/>
    <w:rsid w:val="12255233"/>
    <w:rsid w:val="12530213"/>
    <w:rsid w:val="127723A9"/>
    <w:rsid w:val="12862074"/>
    <w:rsid w:val="12883966"/>
    <w:rsid w:val="129E45B4"/>
    <w:rsid w:val="12D61973"/>
    <w:rsid w:val="12D81596"/>
    <w:rsid w:val="13072A44"/>
    <w:rsid w:val="135F4BE2"/>
    <w:rsid w:val="139B1A0A"/>
    <w:rsid w:val="139D25C7"/>
    <w:rsid w:val="13BF3CE4"/>
    <w:rsid w:val="13C95DDF"/>
    <w:rsid w:val="141008D8"/>
    <w:rsid w:val="14125FE6"/>
    <w:rsid w:val="14484021"/>
    <w:rsid w:val="146D271E"/>
    <w:rsid w:val="14982588"/>
    <w:rsid w:val="149A5AD9"/>
    <w:rsid w:val="14A7619D"/>
    <w:rsid w:val="150536C3"/>
    <w:rsid w:val="150C1963"/>
    <w:rsid w:val="151447A0"/>
    <w:rsid w:val="154A6454"/>
    <w:rsid w:val="15762120"/>
    <w:rsid w:val="15F5110D"/>
    <w:rsid w:val="16536A34"/>
    <w:rsid w:val="166565F0"/>
    <w:rsid w:val="16A8729C"/>
    <w:rsid w:val="16B33777"/>
    <w:rsid w:val="16BC70A7"/>
    <w:rsid w:val="16C6339E"/>
    <w:rsid w:val="171C6A7C"/>
    <w:rsid w:val="172F2D79"/>
    <w:rsid w:val="172F4AF3"/>
    <w:rsid w:val="17557BEF"/>
    <w:rsid w:val="17D349C1"/>
    <w:rsid w:val="18244F26"/>
    <w:rsid w:val="1830729E"/>
    <w:rsid w:val="18393836"/>
    <w:rsid w:val="1870062C"/>
    <w:rsid w:val="187B2A53"/>
    <w:rsid w:val="18817102"/>
    <w:rsid w:val="18830A15"/>
    <w:rsid w:val="18852B28"/>
    <w:rsid w:val="188B5321"/>
    <w:rsid w:val="19932372"/>
    <w:rsid w:val="19946D55"/>
    <w:rsid w:val="199F2432"/>
    <w:rsid w:val="19A20DD5"/>
    <w:rsid w:val="19AE03F1"/>
    <w:rsid w:val="19B4308D"/>
    <w:rsid w:val="1A071A03"/>
    <w:rsid w:val="1A1F16AE"/>
    <w:rsid w:val="1A367F46"/>
    <w:rsid w:val="1A3B5C77"/>
    <w:rsid w:val="1A984BAD"/>
    <w:rsid w:val="1AB8220E"/>
    <w:rsid w:val="1AE4166C"/>
    <w:rsid w:val="1AF06CFB"/>
    <w:rsid w:val="1AF11B8D"/>
    <w:rsid w:val="1B0365A7"/>
    <w:rsid w:val="1B0F74DE"/>
    <w:rsid w:val="1B11359C"/>
    <w:rsid w:val="1B2A271F"/>
    <w:rsid w:val="1B530544"/>
    <w:rsid w:val="1B713184"/>
    <w:rsid w:val="1BA209CF"/>
    <w:rsid w:val="1BB4777D"/>
    <w:rsid w:val="1BCD6688"/>
    <w:rsid w:val="1BD75AB8"/>
    <w:rsid w:val="1BFB4149"/>
    <w:rsid w:val="1C0459C2"/>
    <w:rsid w:val="1C11425A"/>
    <w:rsid w:val="1C1B3B4A"/>
    <w:rsid w:val="1C88086E"/>
    <w:rsid w:val="1CCE7662"/>
    <w:rsid w:val="1D266CE1"/>
    <w:rsid w:val="1D3963AF"/>
    <w:rsid w:val="1D6A673C"/>
    <w:rsid w:val="1D9247AE"/>
    <w:rsid w:val="1DB567EC"/>
    <w:rsid w:val="1DF51A98"/>
    <w:rsid w:val="1E051CD9"/>
    <w:rsid w:val="1E0B7CB9"/>
    <w:rsid w:val="1E382E0D"/>
    <w:rsid w:val="1E3D060F"/>
    <w:rsid w:val="1E3F7D2E"/>
    <w:rsid w:val="1E4134E4"/>
    <w:rsid w:val="1E5062B3"/>
    <w:rsid w:val="1E523514"/>
    <w:rsid w:val="1E57048B"/>
    <w:rsid w:val="1E5A0A86"/>
    <w:rsid w:val="1E714A66"/>
    <w:rsid w:val="1E802593"/>
    <w:rsid w:val="1E8B6156"/>
    <w:rsid w:val="1EA703CC"/>
    <w:rsid w:val="1EB51D82"/>
    <w:rsid w:val="1EB7330C"/>
    <w:rsid w:val="1F0A0FF3"/>
    <w:rsid w:val="1F3F1511"/>
    <w:rsid w:val="1F5771FF"/>
    <w:rsid w:val="1F7A31F0"/>
    <w:rsid w:val="1FD52574"/>
    <w:rsid w:val="1FE868A9"/>
    <w:rsid w:val="20034907"/>
    <w:rsid w:val="20173E4B"/>
    <w:rsid w:val="20227687"/>
    <w:rsid w:val="204E48BC"/>
    <w:rsid w:val="208921B3"/>
    <w:rsid w:val="20973DEB"/>
    <w:rsid w:val="20B26522"/>
    <w:rsid w:val="20B44310"/>
    <w:rsid w:val="20B6593D"/>
    <w:rsid w:val="21020B82"/>
    <w:rsid w:val="211116EB"/>
    <w:rsid w:val="212C3D17"/>
    <w:rsid w:val="21321F54"/>
    <w:rsid w:val="216133FC"/>
    <w:rsid w:val="218B6DCA"/>
    <w:rsid w:val="21AE1E97"/>
    <w:rsid w:val="21D56769"/>
    <w:rsid w:val="21E52EF3"/>
    <w:rsid w:val="21E55FC7"/>
    <w:rsid w:val="21FB5D7B"/>
    <w:rsid w:val="22015E94"/>
    <w:rsid w:val="220B1C3D"/>
    <w:rsid w:val="221D1D20"/>
    <w:rsid w:val="22334A87"/>
    <w:rsid w:val="22477195"/>
    <w:rsid w:val="22BE6801"/>
    <w:rsid w:val="22E42C35"/>
    <w:rsid w:val="233500BF"/>
    <w:rsid w:val="23377FF7"/>
    <w:rsid w:val="234C44CD"/>
    <w:rsid w:val="236B425F"/>
    <w:rsid w:val="236B5E62"/>
    <w:rsid w:val="23836192"/>
    <w:rsid w:val="23901F29"/>
    <w:rsid w:val="23906919"/>
    <w:rsid w:val="239C0061"/>
    <w:rsid w:val="23B908A4"/>
    <w:rsid w:val="23E95BEF"/>
    <w:rsid w:val="23FD0064"/>
    <w:rsid w:val="245375B0"/>
    <w:rsid w:val="245C2C9F"/>
    <w:rsid w:val="24642C0A"/>
    <w:rsid w:val="24B22173"/>
    <w:rsid w:val="24B95AD9"/>
    <w:rsid w:val="24BE24DA"/>
    <w:rsid w:val="24CF5825"/>
    <w:rsid w:val="24D663E6"/>
    <w:rsid w:val="24D77F2B"/>
    <w:rsid w:val="25081468"/>
    <w:rsid w:val="254A2AF8"/>
    <w:rsid w:val="25594E6A"/>
    <w:rsid w:val="258B00E2"/>
    <w:rsid w:val="25A917A6"/>
    <w:rsid w:val="25BE27CC"/>
    <w:rsid w:val="25F74A5C"/>
    <w:rsid w:val="25FA3833"/>
    <w:rsid w:val="26006DD8"/>
    <w:rsid w:val="260333D3"/>
    <w:rsid w:val="2628662C"/>
    <w:rsid w:val="262D45DE"/>
    <w:rsid w:val="26871DC8"/>
    <w:rsid w:val="26A53EF9"/>
    <w:rsid w:val="26A94201"/>
    <w:rsid w:val="26AC274F"/>
    <w:rsid w:val="27044A29"/>
    <w:rsid w:val="271D34C8"/>
    <w:rsid w:val="276142BF"/>
    <w:rsid w:val="27783712"/>
    <w:rsid w:val="27907362"/>
    <w:rsid w:val="27D019DA"/>
    <w:rsid w:val="28310E0A"/>
    <w:rsid w:val="28333E1D"/>
    <w:rsid w:val="28454BD6"/>
    <w:rsid w:val="28455253"/>
    <w:rsid w:val="28551971"/>
    <w:rsid w:val="285B1C53"/>
    <w:rsid w:val="289A4F62"/>
    <w:rsid w:val="289F7086"/>
    <w:rsid w:val="28C32028"/>
    <w:rsid w:val="28CC490F"/>
    <w:rsid w:val="28DE40AA"/>
    <w:rsid w:val="28F11C08"/>
    <w:rsid w:val="292A6EC8"/>
    <w:rsid w:val="29316E30"/>
    <w:rsid w:val="29345E77"/>
    <w:rsid w:val="294C65AD"/>
    <w:rsid w:val="29502E31"/>
    <w:rsid w:val="29626662"/>
    <w:rsid w:val="29806583"/>
    <w:rsid w:val="298B3C4C"/>
    <w:rsid w:val="29B1748D"/>
    <w:rsid w:val="29B93A0C"/>
    <w:rsid w:val="29F26D24"/>
    <w:rsid w:val="2A026833"/>
    <w:rsid w:val="2A15033F"/>
    <w:rsid w:val="2A1662C1"/>
    <w:rsid w:val="2A1C7367"/>
    <w:rsid w:val="2A2815FA"/>
    <w:rsid w:val="2A6D6092"/>
    <w:rsid w:val="2A7D76B4"/>
    <w:rsid w:val="2ACF7D27"/>
    <w:rsid w:val="2ADE7D33"/>
    <w:rsid w:val="2B090316"/>
    <w:rsid w:val="2B437463"/>
    <w:rsid w:val="2B7807EE"/>
    <w:rsid w:val="2B832EB9"/>
    <w:rsid w:val="2B890A6D"/>
    <w:rsid w:val="2BA50BF7"/>
    <w:rsid w:val="2BBF00EC"/>
    <w:rsid w:val="2BC34A9E"/>
    <w:rsid w:val="2BC37CFD"/>
    <w:rsid w:val="2BC70E1E"/>
    <w:rsid w:val="2BD5237F"/>
    <w:rsid w:val="2BE536CE"/>
    <w:rsid w:val="2BE758D9"/>
    <w:rsid w:val="2BF346BB"/>
    <w:rsid w:val="2C09049E"/>
    <w:rsid w:val="2C0A653C"/>
    <w:rsid w:val="2C191F85"/>
    <w:rsid w:val="2C701096"/>
    <w:rsid w:val="2CE82D6F"/>
    <w:rsid w:val="2D343236"/>
    <w:rsid w:val="2D375814"/>
    <w:rsid w:val="2D575011"/>
    <w:rsid w:val="2D8D7A26"/>
    <w:rsid w:val="2DD15014"/>
    <w:rsid w:val="2DF72DE4"/>
    <w:rsid w:val="2E0054CD"/>
    <w:rsid w:val="2E0220AF"/>
    <w:rsid w:val="2E052520"/>
    <w:rsid w:val="2E14000D"/>
    <w:rsid w:val="2E310CF9"/>
    <w:rsid w:val="2E3F7A9E"/>
    <w:rsid w:val="2E4B082A"/>
    <w:rsid w:val="2E5D4E86"/>
    <w:rsid w:val="2E5D790B"/>
    <w:rsid w:val="2E9A3C18"/>
    <w:rsid w:val="2EBB0FEE"/>
    <w:rsid w:val="2EC63002"/>
    <w:rsid w:val="2F0A6B38"/>
    <w:rsid w:val="2F946CCB"/>
    <w:rsid w:val="2FD25781"/>
    <w:rsid w:val="2FDC745C"/>
    <w:rsid w:val="2FFD7934"/>
    <w:rsid w:val="300F2709"/>
    <w:rsid w:val="306C7DC6"/>
    <w:rsid w:val="30733ACD"/>
    <w:rsid w:val="30770D3B"/>
    <w:rsid w:val="308C3862"/>
    <w:rsid w:val="309379D8"/>
    <w:rsid w:val="30A270F7"/>
    <w:rsid w:val="30DF1478"/>
    <w:rsid w:val="30EC586F"/>
    <w:rsid w:val="3141131B"/>
    <w:rsid w:val="31536545"/>
    <w:rsid w:val="319C6071"/>
    <w:rsid w:val="31AC537E"/>
    <w:rsid w:val="31E3679B"/>
    <w:rsid w:val="31E732FD"/>
    <w:rsid w:val="31EB6578"/>
    <w:rsid w:val="32517576"/>
    <w:rsid w:val="32B76361"/>
    <w:rsid w:val="32BE5C2C"/>
    <w:rsid w:val="32F3657D"/>
    <w:rsid w:val="32FB6478"/>
    <w:rsid w:val="33263B3F"/>
    <w:rsid w:val="336963EB"/>
    <w:rsid w:val="33816EEB"/>
    <w:rsid w:val="33C93758"/>
    <w:rsid w:val="33EB55CD"/>
    <w:rsid w:val="33EC4C02"/>
    <w:rsid w:val="340D2360"/>
    <w:rsid w:val="340E65D6"/>
    <w:rsid w:val="3410665D"/>
    <w:rsid w:val="34211214"/>
    <w:rsid w:val="342D1EC6"/>
    <w:rsid w:val="342E63AB"/>
    <w:rsid w:val="348815E6"/>
    <w:rsid w:val="348B7FB5"/>
    <w:rsid w:val="34950E68"/>
    <w:rsid w:val="34984B38"/>
    <w:rsid w:val="34986E94"/>
    <w:rsid w:val="34AF62C9"/>
    <w:rsid w:val="34CB4388"/>
    <w:rsid w:val="34FA6E12"/>
    <w:rsid w:val="354D7158"/>
    <w:rsid w:val="358677E3"/>
    <w:rsid w:val="358D5588"/>
    <w:rsid w:val="35FE7713"/>
    <w:rsid w:val="363A3B40"/>
    <w:rsid w:val="365302AE"/>
    <w:rsid w:val="36607A0A"/>
    <w:rsid w:val="366E227C"/>
    <w:rsid w:val="366F2E0D"/>
    <w:rsid w:val="367B6A5C"/>
    <w:rsid w:val="36A74ADA"/>
    <w:rsid w:val="36AD60D5"/>
    <w:rsid w:val="36B224F9"/>
    <w:rsid w:val="36EC0CC9"/>
    <w:rsid w:val="373F410B"/>
    <w:rsid w:val="37863E63"/>
    <w:rsid w:val="37EE7094"/>
    <w:rsid w:val="37FC4273"/>
    <w:rsid w:val="38296C89"/>
    <w:rsid w:val="383002EB"/>
    <w:rsid w:val="38586797"/>
    <w:rsid w:val="385D15DF"/>
    <w:rsid w:val="38BC0149"/>
    <w:rsid w:val="38D87D1C"/>
    <w:rsid w:val="38EB045F"/>
    <w:rsid w:val="39636459"/>
    <w:rsid w:val="396B7F6C"/>
    <w:rsid w:val="39B263C8"/>
    <w:rsid w:val="39B417A9"/>
    <w:rsid w:val="39E3559D"/>
    <w:rsid w:val="39F14C08"/>
    <w:rsid w:val="39FC5695"/>
    <w:rsid w:val="3A006D8E"/>
    <w:rsid w:val="3A173499"/>
    <w:rsid w:val="3A2E432B"/>
    <w:rsid w:val="3A3651E5"/>
    <w:rsid w:val="3A744481"/>
    <w:rsid w:val="3A8C7BEF"/>
    <w:rsid w:val="3A906246"/>
    <w:rsid w:val="3ADC185C"/>
    <w:rsid w:val="3B2349B7"/>
    <w:rsid w:val="3B616CFF"/>
    <w:rsid w:val="3B6259F6"/>
    <w:rsid w:val="3B7A270B"/>
    <w:rsid w:val="3B976654"/>
    <w:rsid w:val="3BC01EFC"/>
    <w:rsid w:val="3BCA786A"/>
    <w:rsid w:val="3BD31E2F"/>
    <w:rsid w:val="3BE917B8"/>
    <w:rsid w:val="3BF15831"/>
    <w:rsid w:val="3C0E61D6"/>
    <w:rsid w:val="3C105946"/>
    <w:rsid w:val="3C192365"/>
    <w:rsid w:val="3C471448"/>
    <w:rsid w:val="3C5F759A"/>
    <w:rsid w:val="3C6C525A"/>
    <w:rsid w:val="3C97225D"/>
    <w:rsid w:val="3CCE23CB"/>
    <w:rsid w:val="3CD17D17"/>
    <w:rsid w:val="3CEE3F4E"/>
    <w:rsid w:val="3D3C7F39"/>
    <w:rsid w:val="3D440F09"/>
    <w:rsid w:val="3D4504A0"/>
    <w:rsid w:val="3D8734BB"/>
    <w:rsid w:val="3D9A11D4"/>
    <w:rsid w:val="3DA16D89"/>
    <w:rsid w:val="3DA364BE"/>
    <w:rsid w:val="3DAE7C70"/>
    <w:rsid w:val="3DD0386E"/>
    <w:rsid w:val="3DE041CB"/>
    <w:rsid w:val="3E0D48F6"/>
    <w:rsid w:val="3E1868B4"/>
    <w:rsid w:val="3E367B2B"/>
    <w:rsid w:val="3E377251"/>
    <w:rsid w:val="3E42664B"/>
    <w:rsid w:val="3E500B0B"/>
    <w:rsid w:val="3E5A7334"/>
    <w:rsid w:val="3E665081"/>
    <w:rsid w:val="3E7B5D6B"/>
    <w:rsid w:val="3E823046"/>
    <w:rsid w:val="3E843E66"/>
    <w:rsid w:val="3E8F51FE"/>
    <w:rsid w:val="3E926F87"/>
    <w:rsid w:val="3E9A59DE"/>
    <w:rsid w:val="3EAF4836"/>
    <w:rsid w:val="3EBB76E9"/>
    <w:rsid w:val="3EC33DFA"/>
    <w:rsid w:val="3EE946F5"/>
    <w:rsid w:val="3EEB5665"/>
    <w:rsid w:val="3F060E16"/>
    <w:rsid w:val="3F1D1096"/>
    <w:rsid w:val="3F2F0234"/>
    <w:rsid w:val="3F6363FE"/>
    <w:rsid w:val="3F756B8F"/>
    <w:rsid w:val="3F95482B"/>
    <w:rsid w:val="3FB73A4A"/>
    <w:rsid w:val="3FE5436D"/>
    <w:rsid w:val="4019356B"/>
    <w:rsid w:val="402266C5"/>
    <w:rsid w:val="40592157"/>
    <w:rsid w:val="406E1CAE"/>
    <w:rsid w:val="40A0133A"/>
    <w:rsid w:val="40C31A53"/>
    <w:rsid w:val="40FF545D"/>
    <w:rsid w:val="410067C8"/>
    <w:rsid w:val="417C5ABA"/>
    <w:rsid w:val="418F0D2A"/>
    <w:rsid w:val="41D01505"/>
    <w:rsid w:val="42460974"/>
    <w:rsid w:val="42474939"/>
    <w:rsid w:val="424C3C57"/>
    <w:rsid w:val="42613FF3"/>
    <w:rsid w:val="42660D96"/>
    <w:rsid w:val="42843525"/>
    <w:rsid w:val="428667D2"/>
    <w:rsid w:val="42A17DA3"/>
    <w:rsid w:val="42CD1CE0"/>
    <w:rsid w:val="42E1381E"/>
    <w:rsid w:val="42ED6459"/>
    <w:rsid w:val="42FE58DD"/>
    <w:rsid w:val="43174B3D"/>
    <w:rsid w:val="43476B9D"/>
    <w:rsid w:val="434B790E"/>
    <w:rsid w:val="4360274F"/>
    <w:rsid w:val="43977AB6"/>
    <w:rsid w:val="43A3342B"/>
    <w:rsid w:val="43C04259"/>
    <w:rsid w:val="43C77C27"/>
    <w:rsid w:val="43DE09EE"/>
    <w:rsid w:val="44002FAD"/>
    <w:rsid w:val="4427252A"/>
    <w:rsid w:val="449101DD"/>
    <w:rsid w:val="44DE1391"/>
    <w:rsid w:val="451B225C"/>
    <w:rsid w:val="452410C9"/>
    <w:rsid w:val="45284796"/>
    <w:rsid w:val="45317DFB"/>
    <w:rsid w:val="456D3CE4"/>
    <w:rsid w:val="4579042C"/>
    <w:rsid w:val="457F0571"/>
    <w:rsid w:val="45851176"/>
    <w:rsid w:val="459E60A6"/>
    <w:rsid w:val="45C63B94"/>
    <w:rsid w:val="45D22718"/>
    <w:rsid w:val="45FF11DB"/>
    <w:rsid w:val="460C5E7C"/>
    <w:rsid w:val="460E7DA5"/>
    <w:rsid w:val="463902F3"/>
    <w:rsid w:val="46422483"/>
    <w:rsid w:val="4659254A"/>
    <w:rsid w:val="465B0637"/>
    <w:rsid w:val="465E3F0D"/>
    <w:rsid w:val="466A16E6"/>
    <w:rsid w:val="466E6ED7"/>
    <w:rsid w:val="467A7DCA"/>
    <w:rsid w:val="46893F2B"/>
    <w:rsid w:val="46C4686E"/>
    <w:rsid w:val="46F36279"/>
    <w:rsid w:val="471C3BAA"/>
    <w:rsid w:val="477B778F"/>
    <w:rsid w:val="478203EC"/>
    <w:rsid w:val="47B025FA"/>
    <w:rsid w:val="47E0136E"/>
    <w:rsid w:val="4809698F"/>
    <w:rsid w:val="4811697D"/>
    <w:rsid w:val="487A3E25"/>
    <w:rsid w:val="48832204"/>
    <w:rsid w:val="488B5503"/>
    <w:rsid w:val="48920E74"/>
    <w:rsid w:val="48937E21"/>
    <w:rsid w:val="489A0361"/>
    <w:rsid w:val="48B94FF3"/>
    <w:rsid w:val="48DD7331"/>
    <w:rsid w:val="48E37AAB"/>
    <w:rsid w:val="48FD4B4C"/>
    <w:rsid w:val="490A68E0"/>
    <w:rsid w:val="491055FE"/>
    <w:rsid w:val="4917149F"/>
    <w:rsid w:val="495F5B3E"/>
    <w:rsid w:val="496D45F2"/>
    <w:rsid w:val="496F77D7"/>
    <w:rsid w:val="497654FD"/>
    <w:rsid w:val="49B64211"/>
    <w:rsid w:val="49F6167F"/>
    <w:rsid w:val="4A064FA0"/>
    <w:rsid w:val="4A16615C"/>
    <w:rsid w:val="4A4424D7"/>
    <w:rsid w:val="4A7364C9"/>
    <w:rsid w:val="4AB82D0F"/>
    <w:rsid w:val="4AEB7664"/>
    <w:rsid w:val="4AEC1C9E"/>
    <w:rsid w:val="4AFD7C19"/>
    <w:rsid w:val="4B0567D1"/>
    <w:rsid w:val="4B236AAE"/>
    <w:rsid w:val="4B707271"/>
    <w:rsid w:val="4B9739F7"/>
    <w:rsid w:val="4BA16D51"/>
    <w:rsid w:val="4BAB6992"/>
    <w:rsid w:val="4BB81193"/>
    <w:rsid w:val="4BEE2503"/>
    <w:rsid w:val="4BFC2B26"/>
    <w:rsid w:val="4C245A30"/>
    <w:rsid w:val="4C746529"/>
    <w:rsid w:val="4C9E7102"/>
    <w:rsid w:val="4CB6685F"/>
    <w:rsid w:val="4CC367FE"/>
    <w:rsid w:val="4CE46B2E"/>
    <w:rsid w:val="4CF24C77"/>
    <w:rsid w:val="4D077F3C"/>
    <w:rsid w:val="4D123355"/>
    <w:rsid w:val="4D2A3B31"/>
    <w:rsid w:val="4D312C52"/>
    <w:rsid w:val="4D905305"/>
    <w:rsid w:val="4D964A72"/>
    <w:rsid w:val="4D9C1254"/>
    <w:rsid w:val="4DAC19D5"/>
    <w:rsid w:val="4E7626EB"/>
    <w:rsid w:val="4E793892"/>
    <w:rsid w:val="4E800872"/>
    <w:rsid w:val="4EB42276"/>
    <w:rsid w:val="4EC36EBC"/>
    <w:rsid w:val="4EC569ED"/>
    <w:rsid w:val="4ED50EA1"/>
    <w:rsid w:val="4EEC050C"/>
    <w:rsid w:val="4EEF5AAA"/>
    <w:rsid w:val="4EF22651"/>
    <w:rsid w:val="4F104EC3"/>
    <w:rsid w:val="4F47354A"/>
    <w:rsid w:val="4F911C54"/>
    <w:rsid w:val="4FDC5FC3"/>
    <w:rsid w:val="4FE625E0"/>
    <w:rsid w:val="5021480F"/>
    <w:rsid w:val="50962ECB"/>
    <w:rsid w:val="50A42E38"/>
    <w:rsid w:val="50A4577F"/>
    <w:rsid w:val="50B27620"/>
    <w:rsid w:val="50B73D1F"/>
    <w:rsid w:val="50BD5BC9"/>
    <w:rsid w:val="50C11EEE"/>
    <w:rsid w:val="50E97CFC"/>
    <w:rsid w:val="50FA4028"/>
    <w:rsid w:val="510D65B7"/>
    <w:rsid w:val="511157AB"/>
    <w:rsid w:val="5142540C"/>
    <w:rsid w:val="516B4D79"/>
    <w:rsid w:val="518832C8"/>
    <w:rsid w:val="51980BB2"/>
    <w:rsid w:val="519D3C50"/>
    <w:rsid w:val="51A0432A"/>
    <w:rsid w:val="51A86090"/>
    <w:rsid w:val="51B7396D"/>
    <w:rsid w:val="521340EE"/>
    <w:rsid w:val="522E4CC3"/>
    <w:rsid w:val="5244713B"/>
    <w:rsid w:val="525C0C35"/>
    <w:rsid w:val="52615633"/>
    <w:rsid w:val="52675D5E"/>
    <w:rsid w:val="526813F4"/>
    <w:rsid w:val="526F4DE4"/>
    <w:rsid w:val="52977FD4"/>
    <w:rsid w:val="52A25790"/>
    <w:rsid w:val="52A96B6F"/>
    <w:rsid w:val="52B45975"/>
    <w:rsid w:val="52D94AA4"/>
    <w:rsid w:val="52EA3A62"/>
    <w:rsid w:val="52F50BB8"/>
    <w:rsid w:val="53097272"/>
    <w:rsid w:val="53270927"/>
    <w:rsid w:val="534B3E88"/>
    <w:rsid w:val="53544462"/>
    <w:rsid w:val="53654E1D"/>
    <w:rsid w:val="5397158E"/>
    <w:rsid w:val="53AB0A82"/>
    <w:rsid w:val="54013861"/>
    <w:rsid w:val="54422A68"/>
    <w:rsid w:val="54487265"/>
    <w:rsid w:val="544D6070"/>
    <w:rsid w:val="54605E1E"/>
    <w:rsid w:val="54A0435F"/>
    <w:rsid w:val="54B3506A"/>
    <w:rsid w:val="54BC6CBF"/>
    <w:rsid w:val="54CA0D16"/>
    <w:rsid w:val="54DD4057"/>
    <w:rsid w:val="54E7490F"/>
    <w:rsid w:val="55006801"/>
    <w:rsid w:val="550764A4"/>
    <w:rsid w:val="550B2BF6"/>
    <w:rsid w:val="55214EB5"/>
    <w:rsid w:val="55364EFD"/>
    <w:rsid w:val="555D4828"/>
    <w:rsid w:val="557A4C8B"/>
    <w:rsid w:val="558931E1"/>
    <w:rsid w:val="55923347"/>
    <w:rsid w:val="55925180"/>
    <w:rsid w:val="55983B1B"/>
    <w:rsid w:val="55A8376B"/>
    <w:rsid w:val="55AE5E12"/>
    <w:rsid w:val="55DC29B6"/>
    <w:rsid w:val="55DD4241"/>
    <w:rsid w:val="55FF50B5"/>
    <w:rsid w:val="566B6D1E"/>
    <w:rsid w:val="56E73001"/>
    <w:rsid w:val="56FE278F"/>
    <w:rsid w:val="57032A2C"/>
    <w:rsid w:val="570F5219"/>
    <w:rsid w:val="573B5557"/>
    <w:rsid w:val="575D12B5"/>
    <w:rsid w:val="57610A87"/>
    <w:rsid w:val="577B1140"/>
    <w:rsid w:val="577B7F21"/>
    <w:rsid w:val="577F181B"/>
    <w:rsid w:val="57921984"/>
    <w:rsid w:val="579737F0"/>
    <w:rsid w:val="57A35583"/>
    <w:rsid w:val="57AB7B30"/>
    <w:rsid w:val="57AF5251"/>
    <w:rsid w:val="57B26373"/>
    <w:rsid w:val="57B63F04"/>
    <w:rsid w:val="57CD20C2"/>
    <w:rsid w:val="57CF6D09"/>
    <w:rsid w:val="57D675AB"/>
    <w:rsid w:val="57D73717"/>
    <w:rsid w:val="57D85BBE"/>
    <w:rsid w:val="57D95FDD"/>
    <w:rsid w:val="58006C2E"/>
    <w:rsid w:val="58514199"/>
    <w:rsid w:val="58917D2F"/>
    <w:rsid w:val="5894085C"/>
    <w:rsid w:val="58AE4F0C"/>
    <w:rsid w:val="58B85899"/>
    <w:rsid w:val="58E363A9"/>
    <w:rsid w:val="59166304"/>
    <w:rsid w:val="595E1678"/>
    <w:rsid w:val="596D5BD4"/>
    <w:rsid w:val="597E3DD8"/>
    <w:rsid w:val="59CE3944"/>
    <w:rsid w:val="59DC6549"/>
    <w:rsid w:val="59F80043"/>
    <w:rsid w:val="5A09252F"/>
    <w:rsid w:val="5A0B2778"/>
    <w:rsid w:val="5A2A7C7B"/>
    <w:rsid w:val="5A3E2560"/>
    <w:rsid w:val="5A53777D"/>
    <w:rsid w:val="5A5D3B6E"/>
    <w:rsid w:val="5A637A76"/>
    <w:rsid w:val="5A6D33BA"/>
    <w:rsid w:val="5A792B1F"/>
    <w:rsid w:val="5A874767"/>
    <w:rsid w:val="5AA85BE2"/>
    <w:rsid w:val="5AAD6F28"/>
    <w:rsid w:val="5AD63A24"/>
    <w:rsid w:val="5AF06C4D"/>
    <w:rsid w:val="5B2E1A1D"/>
    <w:rsid w:val="5B843A1C"/>
    <w:rsid w:val="5B873E3F"/>
    <w:rsid w:val="5C02690E"/>
    <w:rsid w:val="5C196DA7"/>
    <w:rsid w:val="5C221AFD"/>
    <w:rsid w:val="5C2A048C"/>
    <w:rsid w:val="5C3B671B"/>
    <w:rsid w:val="5C80234E"/>
    <w:rsid w:val="5C8A680C"/>
    <w:rsid w:val="5CE24DE9"/>
    <w:rsid w:val="5CF26D5D"/>
    <w:rsid w:val="5D0C4701"/>
    <w:rsid w:val="5D0F0395"/>
    <w:rsid w:val="5D221076"/>
    <w:rsid w:val="5D397964"/>
    <w:rsid w:val="5D5A391C"/>
    <w:rsid w:val="5D5F10C0"/>
    <w:rsid w:val="5D891B7B"/>
    <w:rsid w:val="5D9559C7"/>
    <w:rsid w:val="5DAA3B58"/>
    <w:rsid w:val="5DAD38EE"/>
    <w:rsid w:val="5E006862"/>
    <w:rsid w:val="5E0207B9"/>
    <w:rsid w:val="5E0B017F"/>
    <w:rsid w:val="5E1834A1"/>
    <w:rsid w:val="5E261785"/>
    <w:rsid w:val="5E4A7017"/>
    <w:rsid w:val="5E552BBA"/>
    <w:rsid w:val="5E611C10"/>
    <w:rsid w:val="5E7A0F3F"/>
    <w:rsid w:val="5E8A72E5"/>
    <w:rsid w:val="5EFC7377"/>
    <w:rsid w:val="5F003B12"/>
    <w:rsid w:val="5F06174D"/>
    <w:rsid w:val="5F247292"/>
    <w:rsid w:val="5F3A3602"/>
    <w:rsid w:val="5F45733B"/>
    <w:rsid w:val="5F6277C6"/>
    <w:rsid w:val="5F6D0B1D"/>
    <w:rsid w:val="5F8D0B82"/>
    <w:rsid w:val="5FA42567"/>
    <w:rsid w:val="5FCC5339"/>
    <w:rsid w:val="5FE34A5B"/>
    <w:rsid w:val="5FFE1E36"/>
    <w:rsid w:val="60114DD6"/>
    <w:rsid w:val="60232584"/>
    <w:rsid w:val="607330CE"/>
    <w:rsid w:val="60825176"/>
    <w:rsid w:val="609F2AC4"/>
    <w:rsid w:val="60D80176"/>
    <w:rsid w:val="60F670B5"/>
    <w:rsid w:val="60FA2EE8"/>
    <w:rsid w:val="61054A27"/>
    <w:rsid w:val="610A52BC"/>
    <w:rsid w:val="611D2366"/>
    <w:rsid w:val="61421856"/>
    <w:rsid w:val="615227C4"/>
    <w:rsid w:val="61654E3F"/>
    <w:rsid w:val="6182292A"/>
    <w:rsid w:val="619F7F92"/>
    <w:rsid w:val="61F94C26"/>
    <w:rsid w:val="62000E56"/>
    <w:rsid w:val="624F3E49"/>
    <w:rsid w:val="62632286"/>
    <w:rsid w:val="62885958"/>
    <w:rsid w:val="629C7850"/>
    <w:rsid w:val="62DB3DBE"/>
    <w:rsid w:val="62F40B65"/>
    <w:rsid w:val="62FC2CFE"/>
    <w:rsid w:val="62FF4946"/>
    <w:rsid w:val="630040E0"/>
    <w:rsid w:val="63024505"/>
    <w:rsid w:val="635600A5"/>
    <w:rsid w:val="635B1DB5"/>
    <w:rsid w:val="635B74DB"/>
    <w:rsid w:val="63711FED"/>
    <w:rsid w:val="63880DDC"/>
    <w:rsid w:val="638D750D"/>
    <w:rsid w:val="63AC6CC0"/>
    <w:rsid w:val="63D1148A"/>
    <w:rsid w:val="63DF06CB"/>
    <w:rsid w:val="64055776"/>
    <w:rsid w:val="64240056"/>
    <w:rsid w:val="642D4F96"/>
    <w:rsid w:val="643E143A"/>
    <w:rsid w:val="64491666"/>
    <w:rsid w:val="64512617"/>
    <w:rsid w:val="64833355"/>
    <w:rsid w:val="648B6EEF"/>
    <w:rsid w:val="648E281E"/>
    <w:rsid w:val="64C158BF"/>
    <w:rsid w:val="64CE2EAA"/>
    <w:rsid w:val="653C3090"/>
    <w:rsid w:val="653F54CE"/>
    <w:rsid w:val="65854376"/>
    <w:rsid w:val="658767BE"/>
    <w:rsid w:val="65892531"/>
    <w:rsid w:val="65AC068A"/>
    <w:rsid w:val="65C616EC"/>
    <w:rsid w:val="65CA6938"/>
    <w:rsid w:val="65DA1314"/>
    <w:rsid w:val="65EF0C7D"/>
    <w:rsid w:val="66195831"/>
    <w:rsid w:val="662E75B1"/>
    <w:rsid w:val="66342C2E"/>
    <w:rsid w:val="663E784C"/>
    <w:rsid w:val="66636F9A"/>
    <w:rsid w:val="666544A3"/>
    <w:rsid w:val="668B6A45"/>
    <w:rsid w:val="66BC4ACB"/>
    <w:rsid w:val="66D24120"/>
    <w:rsid w:val="672F3F24"/>
    <w:rsid w:val="67311C4A"/>
    <w:rsid w:val="673E055F"/>
    <w:rsid w:val="673E6C62"/>
    <w:rsid w:val="67551CE3"/>
    <w:rsid w:val="67A22552"/>
    <w:rsid w:val="67B22DCC"/>
    <w:rsid w:val="67BE71AA"/>
    <w:rsid w:val="67C717AB"/>
    <w:rsid w:val="67D85D3D"/>
    <w:rsid w:val="67D8638F"/>
    <w:rsid w:val="67D90273"/>
    <w:rsid w:val="67DE5875"/>
    <w:rsid w:val="67E55852"/>
    <w:rsid w:val="67E76CD5"/>
    <w:rsid w:val="67EB1AB4"/>
    <w:rsid w:val="67FA1285"/>
    <w:rsid w:val="68551F4F"/>
    <w:rsid w:val="687C10C9"/>
    <w:rsid w:val="68840C16"/>
    <w:rsid w:val="68876EFB"/>
    <w:rsid w:val="68884654"/>
    <w:rsid w:val="689F444F"/>
    <w:rsid w:val="68B96DBB"/>
    <w:rsid w:val="68CA2805"/>
    <w:rsid w:val="68E937A3"/>
    <w:rsid w:val="693E15D3"/>
    <w:rsid w:val="69627681"/>
    <w:rsid w:val="6977531D"/>
    <w:rsid w:val="69B63796"/>
    <w:rsid w:val="69CC2BFF"/>
    <w:rsid w:val="69FD55B8"/>
    <w:rsid w:val="6A0B1C62"/>
    <w:rsid w:val="6A2406C8"/>
    <w:rsid w:val="6AB53CDC"/>
    <w:rsid w:val="6ABE0C43"/>
    <w:rsid w:val="6AD77F57"/>
    <w:rsid w:val="6ADE0BD1"/>
    <w:rsid w:val="6AE96859"/>
    <w:rsid w:val="6B1125AB"/>
    <w:rsid w:val="6B147746"/>
    <w:rsid w:val="6B24787C"/>
    <w:rsid w:val="6B3D3BD5"/>
    <w:rsid w:val="6B573233"/>
    <w:rsid w:val="6B5B6274"/>
    <w:rsid w:val="6B935D53"/>
    <w:rsid w:val="6C196F71"/>
    <w:rsid w:val="6C226FCB"/>
    <w:rsid w:val="6C31226F"/>
    <w:rsid w:val="6C552F0B"/>
    <w:rsid w:val="6C8C67B7"/>
    <w:rsid w:val="6C9D744C"/>
    <w:rsid w:val="6C9F6852"/>
    <w:rsid w:val="6D167928"/>
    <w:rsid w:val="6D26299B"/>
    <w:rsid w:val="6D4772EC"/>
    <w:rsid w:val="6D710E78"/>
    <w:rsid w:val="6D9078AF"/>
    <w:rsid w:val="6D93790B"/>
    <w:rsid w:val="6D9466BA"/>
    <w:rsid w:val="6DAA3FEF"/>
    <w:rsid w:val="6DC0172B"/>
    <w:rsid w:val="6DC1516D"/>
    <w:rsid w:val="6DCB690C"/>
    <w:rsid w:val="6DD41A5B"/>
    <w:rsid w:val="6DF43C2E"/>
    <w:rsid w:val="6DF51CA3"/>
    <w:rsid w:val="6E1B3C31"/>
    <w:rsid w:val="6E4C3ABA"/>
    <w:rsid w:val="6E674BCC"/>
    <w:rsid w:val="6E8335BD"/>
    <w:rsid w:val="6E8E12EF"/>
    <w:rsid w:val="6E8E5D3F"/>
    <w:rsid w:val="6E972936"/>
    <w:rsid w:val="6ED446C5"/>
    <w:rsid w:val="6F2A7D94"/>
    <w:rsid w:val="6F5E79FA"/>
    <w:rsid w:val="6F8331F1"/>
    <w:rsid w:val="6FAE1A09"/>
    <w:rsid w:val="6FD75BF8"/>
    <w:rsid w:val="707723D0"/>
    <w:rsid w:val="70F5661B"/>
    <w:rsid w:val="712D52F5"/>
    <w:rsid w:val="71360107"/>
    <w:rsid w:val="713B688E"/>
    <w:rsid w:val="71D43752"/>
    <w:rsid w:val="71F1796A"/>
    <w:rsid w:val="72154626"/>
    <w:rsid w:val="72262B5D"/>
    <w:rsid w:val="72283FF7"/>
    <w:rsid w:val="722E7212"/>
    <w:rsid w:val="723A0474"/>
    <w:rsid w:val="7257024F"/>
    <w:rsid w:val="725923E4"/>
    <w:rsid w:val="72864BF7"/>
    <w:rsid w:val="729023FC"/>
    <w:rsid w:val="733026F0"/>
    <w:rsid w:val="73836ECE"/>
    <w:rsid w:val="73C0646E"/>
    <w:rsid w:val="7416564C"/>
    <w:rsid w:val="742222F5"/>
    <w:rsid w:val="74476126"/>
    <w:rsid w:val="74706664"/>
    <w:rsid w:val="747F3682"/>
    <w:rsid w:val="748B71CF"/>
    <w:rsid w:val="748F3516"/>
    <w:rsid w:val="749C4185"/>
    <w:rsid w:val="74A53C41"/>
    <w:rsid w:val="74F506C7"/>
    <w:rsid w:val="75067759"/>
    <w:rsid w:val="751752C5"/>
    <w:rsid w:val="752913AF"/>
    <w:rsid w:val="752E6DCD"/>
    <w:rsid w:val="7551380D"/>
    <w:rsid w:val="75600BE5"/>
    <w:rsid w:val="7564475C"/>
    <w:rsid w:val="7583797F"/>
    <w:rsid w:val="758608CE"/>
    <w:rsid w:val="75D20F1D"/>
    <w:rsid w:val="75DA2C18"/>
    <w:rsid w:val="75F54412"/>
    <w:rsid w:val="761D08E0"/>
    <w:rsid w:val="765D347C"/>
    <w:rsid w:val="767D5E56"/>
    <w:rsid w:val="76826699"/>
    <w:rsid w:val="76C87133"/>
    <w:rsid w:val="76CD08D5"/>
    <w:rsid w:val="76DB4B92"/>
    <w:rsid w:val="77052AA4"/>
    <w:rsid w:val="77136511"/>
    <w:rsid w:val="772B1C5E"/>
    <w:rsid w:val="77340A39"/>
    <w:rsid w:val="77351FD0"/>
    <w:rsid w:val="77472422"/>
    <w:rsid w:val="774E63F2"/>
    <w:rsid w:val="777F31F2"/>
    <w:rsid w:val="77B21B30"/>
    <w:rsid w:val="77D1700D"/>
    <w:rsid w:val="77EC04CC"/>
    <w:rsid w:val="784028FD"/>
    <w:rsid w:val="78775729"/>
    <w:rsid w:val="78A42DB0"/>
    <w:rsid w:val="78A656AB"/>
    <w:rsid w:val="78B2245C"/>
    <w:rsid w:val="78CF22B3"/>
    <w:rsid w:val="78E172CC"/>
    <w:rsid w:val="78E73A5B"/>
    <w:rsid w:val="78EA1D1F"/>
    <w:rsid w:val="7904172F"/>
    <w:rsid w:val="790D62C4"/>
    <w:rsid w:val="790F7E27"/>
    <w:rsid w:val="79250DDA"/>
    <w:rsid w:val="792A231A"/>
    <w:rsid w:val="79316829"/>
    <w:rsid w:val="793B7903"/>
    <w:rsid w:val="797E66A9"/>
    <w:rsid w:val="798518A4"/>
    <w:rsid w:val="79A97383"/>
    <w:rsid w:val="79C86838"/>
    <w:rsid w:val="79D023DA"/>
    <w:rsid w:val="79E27E8B"/>
    <w:rsid w:val="79F850CE"/>
    <w:rsid w:val="79FD443C"/>
    <w:rsid w:val="7A001E19"/>
    <w:rsid w:val="7A1D1975"/>
    <w:rsid w:val="7A30625E"/>
    <w:rsid w:val="7A3E5150"/>
    <w:rsid w:val="7A4670D6"/>
    <w:rsid w:val="7A492D7C"/>
    <w:rsid w:val="7A534B63"/>
    <w:rsid w:val="7A613399"/>
    <w:rsid w:val="7A615382"/>
    <w:rsid w:val="7A67303B"/>
    <w:rsid w:val="7A997328"/>
    <w:rsid w:val="7AAB1D04"/>
    <w:rsid w:val="7ABA4368"/>
    <w:rsid w:val="7AD05746"/>
    <w:rsid w:val="7AD73BDD"/>
    <w:rsid w:val="7AD77196"/>
    <w:rsid w:val="7AE87541"/>
    <w:rsid w:val="7B2014A6"/>
    <w:rsid w:val="7B206E52"/>
    <w:rsid w:val="7B257FFD"/>
    <w:rsid w:val="7B343476"/>
    <w:rsid w:val="7B3F7B7E"/>
    <w:rsid w:val="7B4927AB"/>
    <w:rsid w:val="7B5A1B28"/>
    <w:rsid w:val="7B5A2978"/>
    <w:rsid w:val="7B5A7E4C"/>
    <w:rsid w:val="7B667AF9"/>
    <w:rsid w:val="7B7468F8"/>
    <w:rsid w:val="7B9F3C35"/>
    <w:rsid w:val="7BA85004"/>
    <w:rsid w:val="7BEE0103"/>
    <w:rsid w:val="7C0A0FE4"/>
    <w:rsid w:val="7C254906"/>
    <w:rsid w:val="7C590818"/>
    <w:rsid w:val="7C7C10F6"/>
    <w:rsid w:val="7C853BEA"/>
    <w:rsid w:val="7C881368"/>
    <w:rsid w:val="7CB05905"/>
    <w:rsid w:val="7CC34C7A"/>
    <w:rsid w:val="7CD47820"/>
    <w:rsid w:val="7CE27788"/>
    <w:rsid w:val="7D0C32F1"/>
    <w:rsid w:val="7D0F408D"/>
    <w:rsid w:val="7D491C6C"/>
    <w:rsid w:val="7D5429C0"/>
    <w:rsid w:val="7D543EA6"/>
    <w:rsid w:val="7D6E6D43"/>
    <w:rsid w:val="7D937D0D"/>
    <w:rsid w:val="7DB57A34"/>
    <w:rsid w:val="7DE60973"/>
    <w:rsid w:val="7DEF0916"/>
    <w:rsid w:val="7DF509C8"/>
    <w:rsid w:val="7E1E5218"/>
    <w:rsid w:val="7E2F0D1B"/>
    <w:rsid w:val="7E9A4E1F"/>
    <w:rsid w:val="7EA7723A"/>
    <w:rsid w:val="7EF56FBB"/>
    <w:rsid w:val="7F0768EB"/>
    <w:rsid w:val="7F143BEC"/>
    <w:rsid w:val="7F3217A8"/>
    <w:rsid w:val="7F715AF2"/>
    <w:rsid w:val="7F886E69"/>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link w:val="190"/>
    <w:qFormat/>
    <w:uiPriority w:val="0"/>
    <w:pPr>
      <w:widowControl/>
      <w:snapToGrid w:val="0"/>
      <w:spacing w:line="480" w:lineRule="exact"/>
      <w:ind w:firstLine="567"/>
    </w:pPr>
    <w:rPr>
      <w:rFonts w:ascii="宋体"/>
      <w:snapToGrid w:val="0"/>
      <w:color w:val="000000"/>
      <w:kern w:val="28"/>
      <w:sz w:val="28"/>
      <w:szCs w:val="20"/>
    </w:rPr>
  </w:style>
  <w:style w:type="paragraph" w:styleId="6">
    <w:name w:val="Body Text Indent"/>
    <w:basedOn w:val="1"/>
    <w:next w:val="5"/>
    <w:link w:val="262"/>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6"/>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199"/>
    <w:qFormat/>
    <w:uiPriority w:val="0"/>
    <w:pPr>
      <w:shd w:val="clear" w:color="auto" w:fill="000080"/>
    </w:pPr>
  </w:style>
  <w:style w:type="paragraph" w:styleId="20">
    <w:name w:val="annotation text"/>
    <w:basedOn w:val="1"/>
    <w:link w:val="341"/>
    <w:qFormat/>
    <w:uiPriority w:val="99"/>
    <w:pPr>
      <w:jc w:val="left"/>
    </w:pPr>
  </w:style>
  <w:style w:type="paragraph" w:styleId="21">
    <w:name w:val="Salutation"/>
    <w:basedOn w:val="1"/>
    <w:next w:val="1"/>
    <w:link w:val="295"/>
    <w:qFormat/>
    <w:uiPriority w:val="0"/>
    <w:rPr>
      <w:rFonts w:ascii="仿宋_GB2312" w:eastAsia="仿宋_GB2312"/>
      <w:sz w:val="28"/>
      <w:szCs w:val="20"/>
    </w:rPr>
  </w:style>
  <w:style w:type="paragraph" w:styleId="22">
    <w:name w:val="Body Text 3"/>
    <w:basedOn w:val="1"/>
    <w:link w:val="327"/>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18"/>
    <w:qFormat/>
    <w:uiPriority w:val="0"/>
    <w:pPr>
      <w:ind w:firstLine="420"/>
    </w:pPr>
    <w:rPr>
      <w:rFonts w:hAnsi="Calibri" w:cs="Times New Roman"/>
      <w:snapToGrid/>
      <w:szCs w:val="20"/>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3"/>
    <w:qFormat/>
    <w:uiPriority w:val="0"/>
    <w:rPr>
      <w:b/>
      <w:bCs/>
    </w:rPr>
  </w:style>
  <w:style w:type="paragraph" w:styleId="61">
    <w:name w:val="Body Text First Indent 2"/>
    <w:basedOn w:val="6"/>
    <w:next w:val="1"/>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9"/>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6"/>
    <w:qFormat/>
    <w:uiPriority w:val="0"/>
    <w:rPr>
      <w:rFonts w:ascii="宋体"/>
      <w:kern w:val="2"/>
      <w:sz w:val="24"/>
      <w:szCs w:val="21"/>
      <w:lang w:val="zh-CN"/>
    </w:rPr>
  </w:style>
  <w:style w:type="character" w:customStyle="1" w:styleId="179">
    <w:name w:val="标题 9 Char"/>
    <w:link w:val="12"/>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0"/>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9"/>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7"/>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7"/>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6"/>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8"/>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1"/>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7"/>
    <w:qFormat/>
    <w:uiPriority w:val="0"/>
    <w:rPr>
      <w:rFonts w:ascii="黑体" w:hAnsi="Courier New" w:eastAsia="黑体"/>
    </w:rPr>
  </w:style>
  <w:style w:type="character" w:customStyle="1" w:styleId="299">
    <w:name w:val="正文文本 2 Char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10"/>
    <w:qFormat/>
    <w:uiPriority w:val="0"/>
    <w:rPr>
      <w:b/>
      <w:bCs/>
      <w:kern w:val="2"/>
      <w:sz w:val="24"/>
      <w:szCs w:val="24"/>
    </w:rPr>
  </w:style>
  <w:style w:type="character" w:customStyle="1" w:styleId="305">
    <w:name w:val="正文文本缩进 2 Char"/>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25"/>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7"/>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2"/>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20"/>
    <w:qFormat/>
    <w:uiPriority w:val="0"/>
    <w:rPr>
      <w:kern w:val="2"/>
      <w:sz w:val="21"/>
      <w:szCs w:val="24"/>
    </w:rPr>
  </w:style>
  <w:style w:type="character" w:customStyle="1" w:styleId="342">
    <w:name w:val="签名 Char"/>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basedOn w:val="69"/>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1"/>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basedOn w:val="69"/>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387"/>
    <w:link w:val="385"/>
    <w:qFormat/>
    <w:uiPriority w:val="0"/>
    <w:pPr>
      <w:adjustRightInd/>
      <w:spacing w:line="360" w:lineRule="auto"/>
      <w:ind w:firstLine="480" w:firstLineChars="200"/>
    </w:pPr>
    <w:rPr>
      <w:rFonts w:ascii="宋体" w:hAnsi="宋体"/>
      <w:kern w:val="0"/>
      <w:sz w:val="24"/>
      <w:szCs w:val="20"/>
    </w:rPr>
  </w:style>
  <w:style w:type="paragraph" w:customStyle="1" w:styleId="387">
    <w:name w:val="列表段落1"/>
    <w:basedOn w:val="1"/>
    <w:qFormat/>
    <w:uiPriority w:val="34"/>
    <w:pPr>
      <w:adjustRightInd/>
      <w:ind w:right="238" w:firstLine="420"/>
    </w:pPr>
    <w:rPr>
      <w:rFonts w:ascii="Calibri" w:hAnsi="Calibri"/>
      <w:sz w:val="24"/>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0"/>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2"/>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2"/>
    <w:next w:val="232"/>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2"/>
    <w:next w:val="232"/>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next w:val="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9"/>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70"/>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6"/>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7"/>
    <w:qFormat/>
    <w:uiPriority w:val="0"/>
    <w:rPr>
      <w:b w:val="0"/>
      <w:sz w:val="20"/>
    </w:rPr>
  </w:style>
  <w:style w:type="paragraph" w:customStyle="1" w:styleId="891">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1"/>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0"/>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8"/>
    <w:qFormat/>
    <w:uiPriority w:val="0"/>
    <w:rPr>
      <w:kern w:val="2"/>
      <w:sz w:val="21"/>
      <w:szCs w:val="24"/>
      <w:lang w:val="zh-CN"/>
    </w:rPr>
  </w:style>
  <w:style w:type="character" w:customStyle="1" w:styleId="930">
    <w:name w:val="无间隔 Char"/>
    <w:link w:val="481"/>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正文 "/>
    <w:basedOn w:val="1"/>
    <w:qFormat/>
    <w:uiPriority w:val="0"/>
    <w:pPr>
      <w:widowControl w:val="0"/>
      <w:adjustRightInd w:val="0"/>
      <w:spacing w:line="318" w:lineRule="atLeast"/>
      <w:ind w:left="369" w:firstLine="369"/>
      <w:jc w:val="both"/>
      <w:textAlignment w:val="baseline"/>
    </w:pPr>
    <w:rPr>
      <w:rFonts w:ascii="宋体"/>
      <w:sz w:val="21"/>
      <w:szCs w:val="20"/>
    </w:rPr>
  </w:style>
  <w:style w:type="table" w:customStyle="1" w:styleId="963">
    <w:name w:val="Table Normal"/>
    <w:unhideWhenUsed/>
    <w:qFormat/>
    <w:uiPriority w:val="0"/>
    <w:tblPr>
      <w:tblCellMar>
        <w:top w:w="0" w:type="dxa"/>
        <w:left w:w="0" w:type="dxa"/>
        <w:bottom w:w="0" w:type="dxa"/>
        <w:right w:w="0" w:type="dxa"/>
      </w:tblCellMar>
    </w:tblPr>
  </w:style>
  <w:style w:type="paragraph" w:customStyle="1" w:styleId="964">
    <w:name w:val="Basistekst Batenburg"/>
    <w:basedOn w:val="965"/>
    <w:qFormat/>
    <w:uiPriority w:val="0"/>
  </w:style>
  <w:style w:type="paragraph" w:customStyle="1" w:styleId="965">
    <w:name w:val="Zsysbasis Batenburg"/>
    <w:next w:val="964"/>
    <w:qFormat/>
    <w:uiPriority w:val="0"/>
    <w:pPr>
      <w:spacing w:line="300" w:lineRule="atLeast"/>
    </w:pPr>
    <w:rPr>
      <w:rFonts w:ascii="Times New Roman" w:hAnsi="Times New Roman" w:eastAsia="宋体" w:cs="Times New Roman"/>
      <w:sz w:val="22"/>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4.jpeg"/><Relationship Id="rId28" Type="http://schemas.openxmlformats.org/officeDocument/2006/relationships/image" Target="media/image3.png"/><Relationship Id="rId27" Type="http://schemas.openxmlformats.org/officeDocument/2006/relationships/image" Target="media/image2.jpe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42821</Words>
  <Characters>46270</Characters>
  <Lines>279</Lines>
  <Paragraphs>78</Paragraphs>
  <TotalTime>1</TotalTime>
  <ScaleCrop>false</ScaleCrop>
  <LinksUpToDate>false</LinksUpToDate>
  <CharactersWithSpaces>51433</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WPS_1494581394</cp:lastModifiedBy>
  <cp:lastPrinted>2023-03-23T08:34:00Z</cp:lastPrinted>
  <dcterms:modified xsi:type="dcterms:W3CDTF">2023-08-28T03:34:52Z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8EB19E8128D0457DA4EE3882E84C38B4</vt:lpwstr>
  </property>
</Properties>
</file>