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宋体" w:hAnsi="宋体" w:eastAsia="宋体" w:cs="宋体"/>
          <w:b/>
          <w:color w:val="auto"/>
          <w:sz w:val="48"/>
          <w:szCs w:val="48"/>
          <w:highlight w:val="none"/>
        </w:rPr>
      </w:pPr>
    </w:p>
    <w:p>
      <w:pPr>
        <w:adjustRightInd/>
        <w:spacing w:line="360" w:lineRule="auto"/>
        <w:jc w:val="center"/>
        <w:rPr>
          <w:rFonts w:hint="eastAsia" w:ascii="宋体" w:hAnsi="宋体" w:eastAsia="宋体" w:cs="宋体"/>
          <w:b/>
          <w:color w:val="auto"/>
          <w:sz w:val="52"/>
          <w:szCs w:val="52"/>
          <w:highlight w:val="none"/>
        </w:rPr>
      </w:pPr>
      <w:r>
        <w:rPr>
          <w:rFonts w:hint="eastAsia" w:ascii="宋体" w:hAnsi="宋体" w:cs="宋体"/>
          <w:b/>
          <w:color w:val="auto"/>
          <w:sz w:val="52"/>
          <w:szCs w:val="52"/>
          <w:highlight w:val="none"/>
          <w:lang w:eastAsia="zh-CN"/>
        </w:rPr>
        <w:t>建德市水文测报能力提升项目</w:t>
      </w:r>
    </w:p>
    <w:p>
      <w:pPr>
        <w:adjustRightInd/>
        <w:spacing w:line="360" w:lineRule="auto"/>
        <w:jc w:val="center"/>
        <w:rPr>
          <w:rFonts w:hint="eastAsia" w:ascii="宋体" w:hAnsi="宋体" w:eastAsia="宋体" w:cs="宋体"/>
          <w:b/>
          <w:color w:val="auto"/>
          <w:sz w:val="48"/>
          <w:szCs w:val="48"/>
          <w:highlight w:val="none"/>
          <w:lang w:eastAsia="zh-CN"/>
        </w:rPr>
      </w:pPr>
    </w:p>
    <w:p>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b/>
          <w:color w:val="auto"/>
          <w:sz w:val="48"/>
          <w:szCs w:val="48"/>
          <w:highlight w:val="none"/>
          <w:lang w:eastAsia="zh-CN"/>
        </w:rPr>
        <w:t>招标文件</w:t>
      </w:r>
      <w:r>
        <w:rPr>
          <w:rFonts w:hint="eastAsia" w:ascii="宋体" w:hAnsi="宋体" w:eastAsia="宋体" w:cs="宋体"/>
          <w:color w:val="auto"/>
          <w:sz w:val="48"/>
          <w:szCs w:val="48"/>
          <w:highlight w:val="none"/>
        </w:rPr>
        <w:t xml:space="preserve"> </w:t>
      </w:r>
    </w:p>
    <w:p>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b/>
          <w:color w:val="auto"/>
          <w:sz w:val="30"/>
          <w:szCs w:val="30"/>
          <w:highlight w:val="none"/>
          <w:lang w:val="en-US" w:eastAsia="zh-CN"/>
        </w:rPr>
      </w:pPr>
      <w:r>
        <w:rPr>
          <w:rFonts w:hint="eastAsia" w:ascii="宋体" w:hAnsi="宋体" w:eastAsia="宋体" w:cs="宋体"/>
          <w:color w:val="auto"/>
          <w:sz w:val="30"/>
          <w:szCs w:val="30"/>
          <w:highlight w:val="none"/>
        </w:rPr>
        <w:t>编号:</w:t>
      </w:r>
      <w:r>
        <w:rPr>
          <w:rFonts w:hint="eastAsia" w:ascii="宋体" w:hAnsi="宋体" w:cs="宋体"/>
          <w:b/>
          <w:color w:val="auto"/>
          <w:sz w:val="30"/>
          <w:szCs w:val="30"/>
          <w:highlight w:val="none"/>
          <w:lang w:eastAsia="zh-CN"/>
        </w:rPr>
        <w:t>JD2023BF-037</w:t>
      </w:r>
      <w:r>
        <w:rPr>
          <w:rFonts w:hint="eastAsia" w:ascii="宋体" w:hAnsi="宋体" w:eastAsia="宋体" w:cs="宋体"/>
          <w:b/>
          <w:color w:val="auto"/>
          <w:sz w:val="30"/>
          <w:szCs w:val="30"/>
          <w:highlight w:val="none"/>
          <w:lang w:eastAsia="zh-CN"/>
        </w:rPr>
        <w:t xml:space="preserve"> </w:t>
      </w:r>
    </w:p>
    <w:p>
      <w:pPr>
        <w:adjustRightInd/>
        <w:spacing w:line="360" w:lineRule="auto"/>
        <w:rPr>
          <w:rFonts w:hint="eastAsia" w:ascii="宋体" w:hAnsi="宋体" w:eastAsia="宋体" w:cs="宋体"/>
          <w:color w:val="auto"/>
          <w:sz w:val="28"/>
          <w:szCs w:val="20"/>
          <w:highlight w:val="none"/>
        </w:rPr>
      </w:pPr>
    </w:p>
    <w:p>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pPr>
        <w:spacing w:line="360" w:lineRule="auto"/>
        <w:jc w:val="center"/>
        <w:rPr>
          <w:rFonts w:hint="eastAsia" w:ascii="宋体" w:hAnsi="宋体" w:eastAsia="宋体" w:cs="宋体"/>
          <w:b/>
          <w:color w:val="auto"/>
          <w:sz w:val="44"/>
          <w:szCs w:val="44"/>
          <w:highlight w:val="none"/>
        </w:rPr>
      </w:pPr>
    </w:p>
    <w:p>
      <w:pPr>
        <w:spacing w:line="360" w:lineRule="auto"/>
        <w:jc w:val="center"/>
        <w:rPr>
          <w:rFonts w:hint="eastAsia" w:ascii="宋体" w:hAnsi="宋体" w:eastAsia="宋体" w:cs="宋体"/>
          <w:b/>
          <w:color w:val="auto"/>
          <w:sz w:val="44"/>
          <w:szCs w:val="4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32"/>
          <w:szCs w:val="32"/>
          <w:highlight w:val="none"/>
        </w:rPr>
      </w:pPr>
    </w:p>
    <w:p>
      <w:pPr>
        <w:snapToGrid w:val="0"/>
        <w:spacing w:line="360" w:lineRule="auto"/>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采购人：</w:t>
      </w:r>
      <w:r>
        <w:rPr>
          <w:rFonts w:hint="eastAsia" w:ascii="宋体" w:hAnsi="宋体" w:cs="宋体"/>
          <w:b/>
          <w:color w:val="auto"/>
          <w:sz w:val="32"/>
          <w:szCs w:val="32"/>
          <w:highlight w:val="none"/>
          <w:lang w:eastAsia="zh-CN"/>
        </w:rPr>
        <w:t>建德市水文水资源监测站</w:t>
      </w:r>
    </w:p>
    <w:p>
      <w:pPr>
        <w:snapToGrid w:val="0"/>
        <w:spacing w:line="360" w:lineRule="auto"/>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采购代理机构：</w:t>
      </w:r>
      <w:r>
        <w:rPr>
          <w:rFonts w:hint="eastAsia" w:ascii="宋体" w:hAnsi="宋体" w:cs="宋体"/>
          <w:b/>
          <w:color w:val="auto"/>
          <w:sz w:val="32"/>
          <w:szCs w:val="32"/>
          <w:highlight w:val="none"/>
          <w:lang w:eastAsia="zh-CN"/>
        </w:rPr>
        <w:t>杭州天恒投资建设管理有限公司</w:t>
      </w:r>
    </w:p>
    <w:p>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eastAsia="宋体" w:cs="宋体"/>
          <w:bCs/>
          <w:color w:val="auto"/>
          <w:sz w:val="32"/>
          <w:szCs w:val="32"/>
          <w:highlight w:val="none"/>
          <w:lang w:eastAsia="zh-CN"/>
        </w:rPr>
        <w:t>三</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四</w:t>
      </w:r>
      <w:r>
        <w:rPr>
          <w:rFonts w:hint="eastAsia" w:ascii="宋体" w:hAnsi="宋体" w:eastAsia="宋体" w:cs="宋体"/>
          <w:bCs/>
          <w:color w:val="auto"/>
          <w:sz w:val="32"/>
          <w:szCs w:val="32"/>
          <w:highlight w:val="none"/>
        </w:rPr>
        <w:t>月</w:t>
      </w:r>
      <w:r>
        <w:rPr>
          <w:rFonts w:hint="eastAsia" w:ascii="宋体" w:hAnsi="宋体" w:cs="宋体"/>
          <w:bCs/>
          <w:color w:val="auto"/>
          <w:sz w:val="32"/>
          <w:szCs w:val="32"/>
          <w:highlight w:val="none"/>
          <w:lang w:val="en-US" w:eastAsia="zh-CN"/>
        </w:rPr>
        <w:t>十二</w:t>
      </w:r>
      <w:r>
        <w:rPr>
          <w:rFonts w:hint="eastAsia" w:ascii="宋体" w:hAnsi="宋体" w:eastAsia="宋体" w:cs="宋体"/>
          <w:bCs/>
          <w:color w:val="auto"/>
          <w:sz w:val="32"/>
          <w:szCs w:val="32"/>
          <w:highlight w:val="none"/>
        </w:rPr>
        <w:t>日</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pPr>
        <w:spacing w:line="360" w:lineRule="auto"/>
        <w:rPr>
          <w:rFonts w:hint="eastAsia" w:ascii="宋体" w:hAnsi="宋体" w:eastAsia="宋体" w:cs="宋体"/>
          <w:color w:val="auto"/>
          <w:sz w:val="32"/>
          <w:szCs w:val="32"/>
          <w:highlight w:val="none"/>
        </w:rPr>
      </w:pPr>
    </w:p>
    <w:p>
      <w:pPr>
        <w:spacing w:line="360" w:lineRule="auto"/>
        <w:rPr>
          <w:rFonts w:hint="eastAsia" w:ascii="宋体" w:hAnsi="宋体" w:eastAsia="宋体" w:cs="宋体"/>
          <w:color w:val="auto"/>
          <w:sz w:val="32"/>
          <w:szCs w:val="32"/>
          <w:highlight w:val="none"/>
        </w:rPr>
      </w:pP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649545"/>
      <w:bookmarkEnd w:id="4"/>
      <w:bookmarkStart w:id="5" w:name="_Hlt74728647"/>
      <w:bookmarkEnd w:id="5"/>
      <w:bookmarkStart w:id="6" w:name="_Hlt74707423"/>
      <w:bookmarkEnd w:id="6"/>
      <w:bookmarkStart w:id="7" w:name="_Hlt74729822"/>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pPr>
        <w:keepNext w:val="0"/>
        <w:keepLines w:val="0"/>
        <w:pageBreakBefore w:val="0"/>
        <w:widowControl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pPr>
        <w:keepNext w:val="0"/>
        <w:keepLines w:val="0"/>
        <w:pageBreakBefore w:val="0"/>
        <w:widowControl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建德市水文测报能力提升项目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Style w:val="76"/>
          <w:rFonts w:hint="eastAsia" w:ascii="宋体" w:hAnsi="宋体" w:eastAsia="宋体" w:cs="宋体"/>
          <w:snapToGrid/>
          <w:color w:val="auto"/>
          <w:kern w:val="2"/>
          <w:sz w:val="24"/>
          <w:szCs w:val="24"/>
          <w:highlight w:val="none"/>
          <w:lang w:eastAsia="zh-CN"/>
        </w:rPr>
        <w:t>2023年5月4日</w:t>
      </w:r>
      <w:r>
        <w:rPr>
          <w:rStyle w:val="76"/>
          <w:rFonts w:hint="eastAsia" w:ascii="宋体" w:hAnsi="宋体" w:eastAsia="宋体" w:cs="宋体"/>
          <w:snapToGrid/>
          <w:color w:val="auto"/>
          <w:kern w:val="2"/>
          <w:sz w:val="24"/>
          <w:szCs w:val="24"/>
          <w:highlight w:val="none"/>
          <w:lang w:val="en-US" w:eastAsia="zh-CN"/>
        </w:rPr>
        <w:t>9</w:t>
      </w:r>
      <w:r>
        <w:rPr>
          <w:rStyle w:val="76"/>
          <w:rFonts w:hint="eastAsia" w:ascii="宋体" w:hAnsi="宋体" w:eastAsia="宋体" w:cs="宋体"/>
          <w:snapToGrid/>
          <w:color w:val="auto"/>
          <w:kern w:val="2"/>
          <w:sz w:val="24"/>
          <w:szCs w:val="24"/>
          <w:highlight w:val="none"/>
        </w:rPr>
        <w:t>点</w:t>
      </w:r>
      <w:r>
        <w:rPr>
          <w:rStyle w:val="76"/>
          <w:rFonts w:hint="eastAsia" w:ascii="宋体" w:hAnsi="宋体" w:eastAsia="宋体" w:cs="宋体"/>
          <w:snapToGrid/>
          <w:color w:val="auto"/>
          <w:kern w:val="2"/>
          <w:sz w:val="24"/>
          <w:szCs w:val="24"/>
          <w:highlight w:val="none"/>
          <w:lang w:val="en-US" w:eastAsia="zh-CN"/>
        </w:rPr>
        <w:t>30</w:t>
      </w:r>
      <w:r>
        <w:rPr>
          <w:rStyle w:val="76"/>
          <w:rFonts w:hint="eastAsia" w:ascii="宋体" w:hAnsi="宋体" w:eastAsia="宋体" w:cs="宋体"/>
          <w:snapToGrid/>
          <w:color w:val="auto"/>
          <w:kern w:val="2"/>
          <w:sz w:val="24"/>
          <w:szCs w:val="24"/>
          <w:highlight w:val="none"/>
        </w:rPr>
        <w:t>分</w:t>
      </w:r>
      <w:r>
        <w:rPr>
          <w:rStyle w:val="76"/>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项目编号：</w:t>
      </w:r>
      <w:r>
        <w:rPr>
          <w:rFonts w:hint="eastAsia" w:ascii="宋体" w:hAnsi="宋体" w:cs="宋体"/>
          <w:color w:val="auto"/>
          <w:sz w:val="24"/>
          <w:highlight w:val="none"/>
          <w:lang w:eastAsia="zh-CN"/>
        </w:rPr>
        <w:t>JD2023BF-037</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 xml:space="preserve">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项目名称：</w:t>
      </w:r>
      <w:r>
        <w:rPr>
          <w:rFonts w:hint="eastAsia" w:ascii="宋体" w:hAnsi="宋体" w:cs="宋体"/>
          <w:color w:val="auto"/>
          <w:sz w:val="24"/>
          <w:highlight w:val="none"/>
          <w:lang w:eastAsia="zh-CN"/>
        </w:rPr>
        <w:t>建德市水文测报能力提升项目</w:t>
      </w:r>
    </w:p>
    <w:p>
      <w:pPr>
        <w:pageBreakBefore w:val="0"/>
        <w:kinsoku/>
        <w:wordWrap/>
        <w:overflowPunct/>
        <w:topLinePunct w:val="0"/>
        <w:autoSpaceDE/>
        <w:autoSpaceDN/>
        <w:bidi w:val="0"/>
        <w:spacing w:line="440" w:lineRule="exact"/>
        <w:ind w:firstLine="482" w:firstLineChars="200"/>
        <w:textAlignment w:val="auto"/>
        <w:rPr>
          <w:rFonts w:hint="default" w:ascii="宋体" w:hAnsi="宋体" w:eastAsia="宋体" w:cs="宋体"/>
          <w:b w:val="0"/>
          <w:bCs/>
          <w:color w:val="auto"/>
          <w:sz w:val="24"/>
          <w:highlight w:val="none"/>
          <w:lang w:val="en-US" w:eastAsia="zh-CN"/>
        </w:rPr>
      </w:pPr>
      <w:r>
        <w:rPr>
          <w:rFonts w:hint="eastAsia" w:ascii="宋体" w:hAnsi="宋体" w:eastAsia="宋体" w:cs="宋体"/>
          <w:b/>
          <w:color w:val="auto"/>
          <w:sz w:val="24"/>
          <w:highlight w:val="none"/>
        </w:rPr>
        <w:t>预算金额（元）：</w:t>
      </w:r>
      <w:r>
        <w:rPr>
          <w:rFonts w:hint="eastAsia" w:ascii="宋体" w:hAnsi="宋体" w:eastAsia="宋体" w:cs="宋体"/>
          <w:b w:val="0"/>
          <w:bCs/>
          <w:color w:val="auto"/>
          <w:sz w:val="24"/>
          <w:highlight w:val="none"/>
        </w:rPr>
        <w:t>5891900</w:t>
      </w:r>
      <w:r>
        <w:rPr>
          <w:rFonts w:hint="eastAsia" w:ascii="宋体" w:hAnsi="宋体" w:cs="宋体"/>
          <w:b w:val="0"/>
          <w:bCs/>
          <w:color w:val="auto"/>
          <w:sz w:val="24"/>
          <w:highlight w:val="none"/>
          <w:lang w:val="en-US" w:eastAsia="zh-CN"/>
        </w:rPr>
        <w:t>.00</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最高限价（元）：</w:t>
      </w:r>
      <w:r>
        <w:rPr>
          <w:rFonts w:hint="eastAsia" w:ascii="宋体" w:hAnsi="宋体" w:eastAsia="宋体" w:cs="宋体"/>
          <w:b w:val="0"/>
          <w:bCs/>
          <w:color w:val="auto"/>
          <w:sz w:val="24"/>
          <w:highlight w:val="none"/>
        </w:rPr>
        <w:t>5891900</w:t>
      </w:r>
      <w:r>
        <w:rPr>
          <w:rFonts w:hint="eastAsia" w:ascii="宋体" w:hAnsi="宋体" w:cs="宋体"/>
          <w:b w:val="0"/>
          <w:bCs/>
          <w:color w:val="auto"/>
          <w:sz w:val="24"/>
          <w:highlight w:val="none"/>
          <w:lang w:val="en-US" w:eastAsia="zh-CN"/>
        </w:rPr>
        <w:t>.00</w:t>
      </w:r>
    </w:p>
    <w:p>
      <w:pPr>
        <w:pageBreakBefore w:val="0"/>
        <w:kinsoku/>
        <w:wordWrap/>
        <w:overflowPunct/>
        <w:topLinePunct w:val="0"/>
        <w:autoSpaceDE/>
        <w:autoSpaceDN/>
        <w:bidi w:val="0"/>
        <w:adjustRightInd/>
        <w:spacing w:line="440" w:lineRule="exact"/>
        <w:ind w:firstLine="482" w:firstLineChars="200"/>
        <w:jc w:val="both"/>
        <w:textAlignment w:val="auto"/>
        <w:rPr>
          <w:rFonts w:hint="eastAsia" w:ascii="宋体" w:hAnsi="宋体" w:eastAsia="宋体" w:cs="宋体"/>
          <w:b w:val="0"/>
          <w:bCs/>
          <w:snapToGrid/>
          <w:color w:val="auto"/>
          <w:kern w:val="2"/>
          <w:sz w:val="24"/>
          <w:szCs w:val="24"/>
          <w:highlight w:val="none"/>
        </w:rPr>
      </w:pPr>
      <w:r>
        <w:rPr>
          <w:rFonts w:hint="eastAsia" w:ascii="宋体" w:hAnsi="宋体" w:eastAsia="宋体" w:cs="宋体"/>
          <w:b/>
          <w:color w:val="auto"/>
          <w:sz w:val="24"/>
          <w:highlight w:val="none"/>
        </w:rPr>
        <w:t>采购需求：</w:t>
      </w:r>
      <w:r>
        <w:rPr>
          <w:rFonts w:hint="eastAsia" w:ascii="宋体" w:hAnsi="宋体" w:cs="宋体"/>
          <w:b w:val="0"/>
          <w:bCs/>
          <w:color w:val="auto"/>
          <w:sz w:val="24"/>
          <w:highlight w:val="none"/>
          <w:lang w:val="en-US" w:eastAsia="zh-CN"/>
        </w:rPr>
        <w:t>建德市水文测报能力提升项目，主要内容包括新（改）建水位站、雨量站、流量站等。（包括供货、运输装卸、安装调试、备品备件、税金、辅助工作及售后服务等）。</w:t>
      </w:r>
      <w:r>
        <w:rPr>
          <w:rFonts w:hint="eastAsia" w:ascii="宋体" w:hAnsi="宋体" w:eastAsia="宋体" w:cs="宋体"/>
          <w:b w:val="0"/>
          <w:bCs/>
          <w:snapToGrid/>
          <w:color w:val="auto"/>
          <w:kern w:val="2"/>
          <w:sz w:val="24"/>
          <w:szCs w:val="24"/>
          <w:highlight w:val="none"/>
        </w:rPr>
        <w:t>具体以招标文件第三部分采购需求为准，供应商可点击本公告下方“浏览采购文件”查看采购需求。</w:t>
      </w:r>
    </w:p>
    <w:p>
      <w:pPr>
        <w:pStyle w:val="53"/>
        <w:pageBreakBefore w:val="0"/>
        <w:kinsoku/>
        <w:wordWrap/>
        <w:overflowPunct/>
        <w:topLinePunct w:val="0"/>
        <w:autoSpaceDE/>
        <w:autoSpaceDN/>
        <w:bidi w:val="0"/>
        <w:snapToGrid w:val="0"/>
        <w:spacing w:line="440" w:lineRule="exact"/>
        <w:ind w:firstLine="482" w:firstLineChars="200"/>
        <w:textAlignment w:val="auto"/>
        <w:rPr>
          <w:rFonts w:hint="eastAsia" w:ascii="宋体" w:hAnsi="宋体" w:eastAsia="宋体" w:cs="宋体"/>
          <w:b w:val="0"/>
          <w:bCs/>
          <w:color w:val="auto"/>
          <w:highlight w:val="none"/>
        </w:rPr>
      </w:pPr>
      <w:r>
        <w:rPr>
          <w:rFonts w:hint="eastAsia" w:ascii="宋体" w:hAnsi="宋体" w:eastAsia="宋体" w:cs="宋体"/>
          <w:b/>
          <w:color w:val="auto"/>
          <w:highlight w:val="none"/>
        </w:rPr>
        <w:t>合同履约期限：</w:t>
      </w:r>
      <w:r>
        <w:rPr>
          <w:rFonts w:hint="eastAsia" w:ascii="宋体" w:hAnsi="宋体" w:eastAsia="宋体" w:cs="宋体"/>
          <w:b w:val="0"/>
          <w:bCs/>
          <w:color w:val="auto"/>
          <w:highlight w:val="none"/>
        </w:rPr>
        <w:t>签订合同后60日历天内送达并安装完成；</w:t>
      </w:r>
    </w:p>
    <w:p>
      <w:pPr>
        <w:pStyle w:val="8"/>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203545383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ascii="宋体" w:hAnsi="宋体" w:eastAsia="宋体" w:cs="宋体"/>
          <w:b/>
          <w:color w:val="auto"/>
          <w:sz w:val="24"/>
          <w:highlight w:val="none"/>
        </w:rPr>
        <w:t>是</w:t>
      </w:r>
      <w:r>
        <w:rPr>
          <w:rFonts w:hint="eastAsia" w:ascii="宋体" w:hAnsi="宋体" w:eastAsia="宋体" w:cs="宋体"/>
          <w:b/>
          <w:snapToGrid/>
          <w:color w:val="auto"/>
          <w:kern w:val="2"/>
          <w:sz w:val="24"/>
          <w:highlight w:val="none"/>
        </w:rPr>
        <w:t>；</w:t>
      </w:r>
      <w:sdt>
        <w:sdtPr>
          <w:rPr>
            <w:rFonts w:hint="eastAsia" w:ascii="宋体" w:hAnsi="宋体" w:eastAsia="宋体" w:cs="宋体"/>
            <w:color w:val="auto"/>
            <w:kern w:val="0"/>
            <w:sz w:val="24"/>
            <w:highlight w:val="none"/>
          </w:rPr>
          <w:id w:val="-176552672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w:t>
      </w:r>
      <w:bookmarkStart w:id="11" w:name="_Hlk101132948"/>
      <w:r>
        <w:rPr>
          <w:rFonts w:hint="eastAsia" w:ascii="宋体" w:hAnsi="宋体" w:eastAsia="宋体" w:cs="宋体"/>
          <w:b/>
          <w:color w:val="auto"/>
          <w:sz w:val="24"/>
          <w:highlight w:val="none"/>
        </w:rPr>
        <w:t>申请人的资格要求</w:t>
      </w:r>
      <w:bookmarkEnd w:id="11"/>
      <w:r>
        <w:rPr>
          <w:rFonts w:hint="eastAsia" w:ascii="宋体" w:hAnsi="宋体" w:eastAsia="宋体" w:cs="宋体"/>
          <w:b/>
          <w:color w:val="auto"/>
          <w:sz w:val="24"/>
          <w:highlight w:val="none"/>
        </w:rPr>
        <w:t>：</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宋体" w:hAnsi="宋体" w:eastAsia="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pPr>
        <w:pageBreakBefore w:val="0"/>
        <w:kinsoku/>
        <w:wordWrap/>
        <w:overflowPunct/>
        <w:topLinePunct w:val="0"/>
        <w:autoSpaceDE/>
        <w:autoSpaceDN/>
        <w:bidi w:val="0"/>
        <w:spacing w:line="440" w:lineRule="exact"/>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pPr>
        <w:pageBreakBefore w:val="0"/>
        <w:kinsoku/>
        <w:wordWrap/>
        <w:overflowPunct/>
        <w:topLinePunct w:val="0"/>
        <w:autoSpaceDE/>
        <w:autoSpaceDN/>
        <w:bidi w:val="0"/>
        <w:spacing w:line="440" w:lineRule="exact"/>
        <w:ind w:firstLine="897" w:firstLineChars="374"/>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3368540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服务全部由符合政策要求的中小企业承接，提供中小企业声明函；</w:t>
      </w:r>
    </w:p>
    <w:p>
      <w:pPr>
        <w:pageBreakBefore w:val="0"/>
        <w:kinsoku/>
        <w:wordWrap/>
        <w:overflowPunct/>
        <w:topLinePunct w:val="0"/>
        <w:autoSpaceDE/>
        <w:autoSpaceDN/>
        <w:bidi w:val="0"/>
        <w:spacing w:line="440" w:lineRule="exact"/>
        <w:ind w:firstLine="897" w:firstLineChars="374"/>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14102535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服务全部由符合政策要求的小微企业承接，提供中小企业声明函；</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lang w:eastAsia="zh-CN"/>
        </w:rPr>
      </w:pPr>
      <w:sdt>
        <w:sdtPr>
          <w:rPr>
            <w:rFonts w:hint="eastAsia" w:ascii="宋体" w:hAnsi="宋体" w:eastAsia="宋体" w:cs="宋体"/>
            <w:color w:val="auto"/>
            <w:kern w:val="0"/>
            <w:sz w:val="24"/>
            <w:highlight w:val="none"/>
          </w:rPr>
          <w:id w:val="-1985607795"/>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40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70</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；（联合体牵头人必须为中小企业）</w:t>
      </w:r>
      <w:r>
        <w:rPr>
          <w:rFonts w:hint="eastAsia" w:ascii="宋体" w:hAnsi="宋体" w:cs="宋体"/>
          <w:color w:val="auto"/>
          <w:sz w:val="24"/>
          <w:highlight w:val="none"/>
          <w:lang w:eastAsia="zh-CN"/>
        </w:rPr>
        <w:t>。</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4.本项目的特定资格要求：无；</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cs="宋体"/>
          <w:color w:val="auto"/>
          <w:sz w:val="24"/>
          <w:highlight w:val="none"/>
          <w:u w:val="single"/>
          <w:lang w:eastAsia="zh-CN"/>
        </w:rPr>
        <w:t>2023年5月4日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2023年5月4日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分00秒</w:t>
      </w:r>
      <w:r>
        <w:rPr>
          <w:rFonts w:hint="eastAsia" w:ascii="宋体" w:hAnsi="宋体" w:eastAsia="宋体" w:cs="宋体"/>
          <w:color w:val="auto"/>
          <w:sz w:val="24"/>
          <w:highlight w:val="none"/>
        </w:rPr>
        <w:t>（北京时间）</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cs="宋体"/>
          <w:color w:val="auto"/>
          <w:sz w:val="24"/>
          <w:highlight w:val="none"/>
          <w:u w:val="single"/>
          <w:lang w:eastAsia="zh-CN"/>
        </w:rPr>
        <w:t>2023年5月4日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分00秒</w:t>
      </w:r>
    </w:p>
    <w:p>
      <w:pPr>
        <w:pageBreakBefore w:val="0"/>
        <w:kinsoku/>
        <w:wordWrap/>
        <w:overflowPunct/>
        <w:topLinePunct w:val="0"/>
        <w:autoSpaceDE/>
        <w:autoSpaceDN/>
        <w:bidi w:val="0"/>
        <w:spacing w:line="44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kinsoku/>
        <w:wordWrap/>
        <w:overflowPunct/>
        <w:topLinePunct w:val="0"/>
        <w:autoSpaceDE/>
        <w:autoSpaceDN/>
        <w:bidi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w:t>
      </w: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 xml:space="preserve"> </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址：建德市新安东路533号新安商厦4楼  </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 /</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项目联系人（询问）：何艳艳</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项目联系方式（询问）：15967160106</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质疑联系人：黄瓯</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质疑联系方式：13858111179</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w:t>
      </w:r>
      <w:r>
        <w:rPr>
          <w:rFonts w:hint="eastAsia" w:ascii="宋体" w:hAnsi="宋体" w:cs="宋体"/>
          <w:color w:val="auto"/>
          <w:sz w:val="24"/>
          <w:highlight w:val="none"/>
          <w:lang w:eastAsia="zh-CN"/>
        </w:rPr>
        <w:t>杭州天恒投资建设管理有限公司</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地    址：</w:t>
      </w:r>
      <w:r>
        <w:rPr>
          <w:rFonts w:hint="eastAsia" w:ascii="宋体" w:hAnsi="宋体" w:cs="宋体"/>
          <w:color w:val="auto"/>
          <w:sz w:val="24"/>
          <w:szCs w:val="24"/>
          <w:highlight w:val="none"/>
          <w:lang w:eastAsia="zh-CN"/>
        </w:rPr>
        <w:t>建德市严州大道同鑫商厦二幢102室内二楼</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传    真：</w:t>
      </w:r>
      <w:r>
        <w:rPr>
          <w:rFonts w:hint="eastAsia" w:ascii="宋体" w:hAnsi="宋体" w:cs="宋体"/>
          <w:color w:val="auto"/>
          <w:sz w:val="24"/>
          <w:szCs w:val="24"/>
          <w:highlight w:val="none"/>
          <w:lang w:eastAsia="zh-CN"/>
        </w:rPr>
        <w:t>0571-64740666</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lang w:eastAsia="zh-CN"/>
        </w:rPr>
        <w:t>章佳美</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w:t>
      </w:r>
      <w:r>
        <w:rPr>
          <w:rFonts w:hint="eastAsia" w:ascii="宋体" w:hAnsi="宋体" w:cs="宋体"/>
          <w:color w:val="auto"/>
          <w:sz w:val="24"/>
          <w:highlight w:val="none"/>
          <w:lang w:eastAsia="zh-CN"/>
        </w:rPr>
        <w:t>18368192733</w:t>
      </w:r>
      <w:r>
        <w:rPr>
          <w:rFonts w:hint="eastAsia" w:ascii="宋体" w:hAnsi="宋体" w:eastAsia="宋体" w:cs="宋体"/>
          <w:color w:val="auto"/>
          <w:sz w:val="24"/>
          <w:highlight w:val="none"/>
          <w:lang w:val="en-US" w:eastAsia="zh-CN"/>
        </w:rPr>
        <w:t xml:space="preserve"> </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质疑联系人：</w:t>
      </w:r>
      <w:r>
        <w:rPr>
          <w:rFonts w:hint="eastAsia" w:ascii="宋体" w:hAnsi="宋体" w:cs="宋体"/>
          <w:color w:val="auto"/>
          <w:sz w:val="24"/>
          <w:highlight w:val="none"/>
          <w:lang w:eastAsia="zh-CN"/>
        </w:rPr>
        <w:t>周宁</w:t>
      </w:r>
      <w:r>
        <w:rPr>
          <w:rFonts w:hint="eastAsia" w:ascii="宋体" w:hAnsi="宋体" w:eastAsia="宋体" w:cs="宋体"/>
          <w:color w:val="auto"/>
          <w:sz w:val="24"/>
          <w:highlight w:val="none"/>
        </w:rPr>
        <w:t xml:space="preserve"> </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质疑联系方式：</w:t>
      </w:r>
      <w:r>
        <w:rPr>
          <w:rFonts w:hint="eastAsia" w:ascii="宋体" w:hAnsi="宋体" w:cs="宋体"/>
          <w:color w:val="auto"/>
          <w:sz w:val="24"/>
          <w:highlight w:val="none"/>
          <w:lang w:eastAsia="zh-CN"/>
        </w:rPr>
        <w:t>15068104006</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同级政府采购监督管理部门            </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称：建德市人民政府采购办公室</w:t>
      </w:r>
    </w:p>
    <w:p>
      <w:pPr>
        <w:pageBreakBefore w:val="0"/>
        <w:kinsoku/>
        <w:wordWrap/>
        <w:overflowPunct/>
        <w:topLinePunct w:val="0"/>
        <w:autoSpaceDE/>
        <w:autoSpaceDN/>
        <w:bidi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    址：建德市财政局 </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联系人 ：邵</w:t>
      </w:r>
      <w:r>
        <w:rPr>
          <w:rFonts w:hint="eastAsia" w:ascii="宋体" w:hAnsi="宋体" w:eastAsia="宋体" w:cs="宋体"/>
          <w:color w:val="auto"/>
          <w:sz w:val="24"/>
          <w:highlight w:val="none"/>
          <w:lang w:eastAsia="zh-CN"/>
        </w:rPr>
        <w:t>菁</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监督投诉电话：0571-64718168</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政策咨询：</w:t>
      </w:r>
      <w:r>
        <w:rPr>
          <w:rFonts w:hint="eastAsia" w:ascii="宋体" w:hAnsi="宋体" w:eastAsia="宋体" w:cs="宋体"/>
          <w:color w:val="auto"/>
          <w:sz w:val="24"/>
          <w:highlight w:val="none"/>
        </w:rPr>
        <w:t>0571-64718168</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pPr>
        <w:keepNext w:val="0"/>
        <w:keepLines w:val="0"/>
        <w:pageBreakBefore w:val="0"/>
        <w:widowControl w:val="0"/>
        <w:kinsoku/>
        <w:wordWrap/>
        <w:overflowPunct/>
        <w:topLinePunct w:val="0"/>
        <w:autoSpaceDE/>
        <w:autoSpaceDN/>
        <w:bidi w:val="0"/>
        <w:adjustRightInd/>
        <w:snapToGrid/>
        <w:spacing w:line="240" w:lineRule="auto"/>
        <w:ind w:firstLine="3845" w:firstLineChars="1197"/>
        <w:textAlignment w:val="auto"/>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3"/>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785"/>
        <w:gridCol w:w="6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top"/>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序号</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事项</w:t>
            </w:r>
          </w:p>
        </w:tc>
        <w:tc>
          <w:tcPr>
            <w:tcW w:w="657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1</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项目属性</w:t>
            </w:r>
            <w:r>
              <w:rPr>
                <w:rFonts w:hint="eastAsia" w:ascii="宋体" w:hAnsi="宋体" w:eastAsia="宋体" w:cs="宋体"/>
                <w:b/>
                <w:color w:val="auto"/>
                <w:sz w:val="24"/>
                <w:highlight w:val="none"/>
                <w:lang w:val="en-US" w:eastAsia="zh-CN"/>
              </w:rPr>
              <w:t xml:space="preserve"> </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货物类，单一产品或核心产品为：</w:t>
            </w:r>
            <w:r>
              <w:rPr>
                <w:rFonts w:hint="eastAsia" w:ascii="宋体" w:hAnsi="宋体" w:eastAsia="宋体" w:cs="宋体"/>
                <w:color w:val="auto"/>
                <w:sz w:val="24"/>
                <w:highlight w:val="none"/>
                <w:u w:val="single"/>
                <w:lang w:eastAsia="zh-CN"/>
              </w:rPr>
              <w:t xml:space="preserve"> 遥测终端（含安全网关） </w:t>
            </w:r>
            <w:r>
              <w:rPr>
                <w:rFonts w:hint="eastAsia" w:ascii="宋体" w:hAnsi="宋体" w:eastAsia="宋体" w:cs="宋体"/>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2</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采购标的及其对应的中小企业划分标准所属行业</w:t>
            </w:r>
          </w:p>
        </w:tc>
        <w:tc>
          <w:tcPr>
            <w:tcW w:w="657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遥测终端（含安全网关）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太阳能系统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翻斗式雨量计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浮子式水位传感器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雷达式水位传感器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V-ADCP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7</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北斗通信模块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蒸发设备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船篷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10</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标识标牌制作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11</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水文测报管理一体机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12</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雷达流速仪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13</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设备安装套件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14</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配套安装设施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15</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人工水尺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Chars="0"/>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16</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 xml:space="preserve"> 视频监控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工业</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3</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是否允许采购进口产品</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本项目不允许采购进口产品。</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1"/>
                <w:szCs w:val="24"/>
                <w:highlight w:val="none"/>
                <w:lang w:val="en-US" w:eastAsia="zh-CN" w:bidi="ar-SA"/>
              </w:rPr>
            </w:pPr>
            <w:sdt>
              <w:sdtPr>
                <w:rPr>
                  <w:rFonts w:hint="eastAsia" w:ascii="宋体" w:hAnsi="宋体" w:eastAsia="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4</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分包</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sz w:val="24"/>
                <w:highlight w:val="none"/>
                <w:lang w:eastAsia="zh-CN"/>
              </w:rPr>
            </w:pPr>
            <w:sdt>
              <w:sdtPr>
                <w:rPr>
                  <w:rFonts w:hint="eastAsia" w:ascii="宋体" w:hAnsi="宋体" w:eastAsia="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同意将非主体、非关键性的工作分包</w:t>
            </w:r>
            <w:r>
              <w:rPr>
                <w:rFonts w:hint="eastAsia" w:ascii="宋体" w:hAnsi="宋体" w:eastAsia="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4"/>
                <w:highlight w:val="none"/>
                <w:lang w:val="en-US" w:eastAsia="zh-CN" w:bidi="ar-SA"/>
              </w:rPr>
            </w:pPr>
            <w:sdt>
              <w:sdtPr>
                <w:rPr>
                  <w:rFonts w:hint="eastAsia" w:ascii="宋体" w:hAnsi="宋体" w:eastAsia="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5</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开标前答疑会或现场考察</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0"/>
                <w:highlight w:val="none"/>
                <w:lang w:val="en-US" w:eastAsia="zh-CN" w:bidi="ar-SA"/>
              </w:rPr>
            </w:pPr>
            <w:sdt>
              <w:sdtPr>
                <w:rPr>
                  <w:rFonts w:hint="eastAsia" w:ascii="宋体" w:hAnsi="宋体" w:eastAsia="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6</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cs="宋体"/>
                <w:b/>
                <w:sz w:val="24"/>
              </w:rPr>
              <w:t>样品提供</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sz w:val="24"/>
              </w:rPr>
            </w:pPr>
            <w:sdt>
              <w:sdtPr>
                <w:rPr>
                  <w:rFonts w:hint="eastAsia" w:ascii="宋体" w:hAnsi="宋体" w:cs="宋体"/>
                  <w:kern w:val="0"/>
                  <w:sz w:val="24"/>
                </w:rPr>
                <w:id w:val="-163994648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kern w:val="0"/>
                <w:sz w:val="24"/>
              </w:rPr>
              <w:t>A</w:t>
            </w:r>
            <w:r>
              <w:rPr>
                <w:rFonts w:hint="eastAsia" w:ascii="宋体" w:hAnsi="宋体" w:cs="宋体"/>
                <w:sz w:val="24"/>
              </w:rPr>
              <w:t>不要求提供。</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sdt>
              <w:sdtPr>
                <w:rPr>
                  <w:rFonts w:hint="eastAsia" w:ascii="宋体" w:hAnsi="宋体" w:cs="宋体"/>
                  <w:kern w:val="0"/>
                  <w:sz w:val="24"/>
                </w:rPr>
                <w:id w:val="102683198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B要求提供，</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ascii="宋体" w:hAnsi="宋体" w:cs="宋体"/>
                <w:sz w:val="24"/>
              </w:rPr>
            </w:pPr>
            <w:r>
              <w:rPr>
                <w:rFonts w:hint="eastAsia" w:ascii="宋体" w:hAnsi="宋体" w:cs="宋体"/>
                <w:sz w:val="24"/>
              </w:rPr>
              <w:t xml:space="preserve"> (6)采购活动结束后，对于未中标人提供的样品，采购人、</w:t>
            </w:r>
            <w:r>
              <w:rPr>
                <w:rFonts w:hint="eastAsia" w:ascii="宋体" w:hAnsi="宋体" w:cs="宋体"/>
                <w:sz w:val="24"/>
                <w:lang w:eastAsia="zh-CN"/>
              </w:rPr>
              <w:t>采购代理机构</w:t>
            </w:r>
            <w:r>
              <w:rPr>
                <w:rFonts w:hint="eastAsia" w:ascii="宋体" w:hAnsi="宋体" w:cs="宋体"/>
                <w:sz w:val="24"/>
              </w:rPr>
              <w:t>将通知未中标人在规定的时间内取回，逾期未取回的，采购人、</w:t>
            </w:r>
            <w:r>
              <w:rPr>
                <w:rFonts w:hint="eastAsia" w:ascii="宋体" w:hAnsi="宋体" w:cs="宋体"/>
                <w:sz w:val="24"/>
                <w:lang w:eastAsia="zh-CN"/>
              </w:rPr>
              <w:t>采购代理机构</w:t>
            </w:r>
            <w:r>
              <w:rPr>
                <w:rFonts w:hint="eastAsia" w:ascii="宋体" w:hAnsi="宋体" w:cs="宋体"/>
                <w:sz w:val="24"/>
              </w:rPr>
              <w:t>不负保管义务；对于中标人提供的样品，采购人将进行保管、封存，并作为履约验收的参考。</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7</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color w:val="auto"/>
                <w:sz w:val="24"/>
                <w:highlight w:val="none"/>
              </w:rPr>
              <w:t>方案讲解演示</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B组织。</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eastAsia="宋体" w:cs="宋体"/>
                <w:color w:val="auto"/>
                <w:kern w:val="0"/>
                <w:sz w:val="24"/>
                <w:highlight w:val="none"/>
                <w:u w:val="single"/>
              </w:rPr>
              <w:t>20</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分钟，讲解次序以投标文件解密时间先后次序为准，讲解演示人员不超过</w:t>
            </w:r>
            <w:r>
              <w:rPr>
                <w:rFonts w:hint="eastAsia" w:ascii="宋体" w:hAnsi="宋体" w:eastAsia="宋体" w:cs="宋体"/>
                <w:color w:val="auto"/>
                <w:kern w:val="0"/>
                <w:sz w:val="24"/>
                <w:highlight w:val="none"/>
                <w:u w:val="single"/>
              </w:rPr>
              <w:t>3</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人。讲解演示结束后按要求解答评标委员会提问。</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方式二：交易中心现场讲解演示。现场讲解地点为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b/>
                <w:color w:val="auto"/>
                <w:kern w:val="0"/>
                <w:sz w:val="24"/>
                <w:szCs w:val="24"/>
                <w:highlight w:val="none"/>
                <w:lang w:val="zh-CN" w:eastAsia="zh-CN" w:bidi="ar-SA"/>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8</w:t>
            </w:r>
          </w:p>
        </w:tc>
        <w:tc>
          <w:tcPr>
            <w:tcW w:w="17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投标人应当提供的资格、资信证明文件</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35" w:type="dxa"/>
            <w:vMerge w:val="continue"/>
          </w:tcPr>
          <w:p>
            <w:pPr>
              <w:pStyle w:val="6"/>
              <w:pageBreakBefore w:val="0"/>
              <w:widowControl w:val="0"/>
              <w:kinsoku/>
              <w:wordWrap/>
              <w:overflowPunct/>
              <w:topLinePunct w:val="0"/>
              <w:autoSpaceDE/>
              <w:autoSpaceDN/>
              <w:bidi w:val="0"/>
              <w:spacing w:line="400" w:lineRule="exact"/>
              <w:ind w:left="0" w:firstLine="0" w:firstLineChars="0"/>
              <w:textAlignment w:val="auto"/>
              <w:rPr>
                <w:rFonts w:hint="eastAsia"/>
                <w:vertAlign w:val="baseline"/>
              </w:rPr>
            </w:pPr>
          </w:p>
        </w:tc>
        <w:tc>
          <w:tcPr>
            <w:tcW w:w="1785" w:type="dxa"/>
            <w:vMerge w:val="continue"/>
          </w:tcPr>
          <w:p>
            <w:pPr>
              <w:pStyle w:val="6"/>
              <w:pageBreakBefore w:val="0"/>
              <w:widowControl w:val="0"/>
              <w:kinsoku/>
              <w:wordWrap/>
              <w:overflowPunct/>
              <w:topLinePunct w:val="0"/>
              <w:autoSpaceDE/>
              <w:autoSpaceDN/>
              <w:bidi w:val="0"/>
              <w:spacing w:line="400" w:lineRule="exact"/>
              <w:ind w:left="0" w:firstLine="0" w:firstLineChars="0"/>
              <w:textAlignment w:val="auto"/>
              <w:rPr>
                <w:rFonts w:hint="eastAsia"/>
                <w:vertAlign w:val="baseline"/>
              </w:rPr>
            </w:pP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9</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节能产品、环境标志产品</w:t>
            </w:r>
          </w:p>
        </w:tc>
        <w:tc>
          <w:tcPr>
            <w:tcW w:w="657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10</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报价要求</w:t>
            </w:r>
          </w:p>
        </w:tc>
        <w:tc>
          <w:tcPr>
            <w:tcW w:w="657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提醒：验收时检测费用由中标人承担，包含在投标总价中。</w:t>
            </w:r>
          </w:p>
          <w:p>
            <w:pPr>
              <w:keepNext w:val="0"/>
              <w:keepLines w:val="0"/>
              <w:pageBreakBefore w:val="0"/>
              <w:widowControl w:val="0"/>
              <w:kinsoku/>
              <w:wordWrap/>
              <w:overflowPunct/>
              <w:topLinePunct w:val="0"/>
              <w:autoSpaceDE/>
              <w:autoSpaceDN/>
              <w:bidi w:val="0"/>
              <w:adjustRightInd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投标报价出现下列情形的，投标无效：</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投标文件出现不是唯一的、有选择性投标报价的；</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投标报价超过招标文件中规定的预算金额或者最高限价的;</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color w:val="auto"/>
                <w:sz w:val="24"/>
                <w:highlight w:val="none"/>
              </w:rPr>
              <w:t>投标人对根据修正原则修正后的报价不确认的。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11</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中小企业信用融资</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Theme="majorEastAsia" w:hAnsiTheme="majorEastAsia" w:eastAsiaTheme="majorEastAsia" w:cstheme="majorEastAsia"/>
                <w:snapToGrid w:val="0"/>
                <w:color w:val="auto"/>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-【融资服务】，可在热门申请中选择产品直接申请，也可点击云智贷匹配适合产品进行申请，或者在可申请项目中根据该项目进行申请。具体可咨询建德市财政局采购办，联系电话：64718168。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12</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 xml:space="preserve">备份投标文件送达地点和签收人员 </w:t>
            </w:r>
          </w:p>
        </w:tc>
        <w:tc>
          <w:tcPr>
            <w:tcW w:w="6570" w:type="dxa"/>
            <w:vAlign w:val="center"/>
          </w:tcPr>
          <w:p>
            <w:pPr>
              <w:pStyle w:val="34"/>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28"/>
                <w:sz w:val="24"/>
                <w:szCs w:val="21"/>
                <w:highlight w:val="none"/>
                <w:lang w:val="en-US" w:eastAsia="zh-CN" w:bidi="ar-SA"/>
              </w:rPr>
            </w:pPr>
            <w:r>
              <w:rPr>
                <w:rFonts w:hint="eastAsia" w:ascii="宋体" w:hAnsi="宋体" w:eastAsia="宋体" w:cs="宋体"/>
                <w:color w:val="auto"/>
                <w:kern w:val="28"/>
                <w:sz w:val="24"/>
                <w:szCs w:val="24"/>
                <w:highlight w:val="none"/>
              </w:rPr>
              <w:t>备份投标文件送达地点：</w:t>
            </w:r>
            <w:r>
              <w:rPr>
                <w:rFonts w:hint="eastAsia" w:hAnsi="宋体" w:cs="宋体"/>
                <w:color w:val="auto"/>
                <w:sz w:val="24"/>
                <w:szCs w:val="24"/>
                <w:highlight w:val="none"/>
                <w:u w:val="single"/>
                <w:lang w:eastAsia="zh-CN"/>
              </w:rPr>
              <w:t>建德市严州大道同鑫商厦二幢102室内二楼</w:t>
            </w:r>
            <w:r>
              <w:rPr>
                <w:rFonts w:hint="eastAsia" w:ascii="宋体" w:hAnsi="宋体" w:eastAsia="宋体" w:cs="宋体"/>
                <w:color w:val="auto"/>
                <w:kern w:val="28"/>
                <w:sz w:val="24"/>
                <w:szCs w:val="24"/>
                <w:highlight w:val="none"/>
              </w:rPr>
              <w:t>；备份投标文件签收人员联系电话：</w:t>
            </w:r>
            <w:r>
              <w:rPr>
                <w:rFonts w:hint="eastAsia" w:hAnsi="宋体" w:cs="宋体"/>
                <w:color w:val="auto"/>
                <w:sz w:val="24"/>
                <w:szCs w:val="24"/>
                <w:highlight w:val="none"/>
                <w:u w:val="single"/>
                <w:lang w:eastAsia="zh-CN"/>
              </w:rPr>
              <w:t>章佳美</w:t>
            </w:r>
            <w:r>
              <w:rPr>
                <w:rFonts w:hint="eastAsia" w:ascii="宋体" w:hAnsi="宋体" w:eastAsia="宋体" w:cs="宋体"/>
                <w:color w:val="auto"/>
                <w:sz w:val="24"/>
                <w:szCs w:val="24"/>
                <w:highlight w:val="none"/>
                <w:u w:val="single"/>
              </w:rPr>
              <w:t>，</w:t>
            </w:r>
            <w:r>
              <w:rPr>
                <w:rFonts w:hint="eastAsia" w:hAnsi="宋体" w:cs="宋体"/>
                <w:color w:val="auto"/>
                <w:sz w:val="24"/>
                <w:szCs w:val="24"/>
                <w:highlight w:val="none"/>
                <w:u w:val="single"/>
                <w:lang w:val="en-US" w:eastAsia="zh-CN"/>
              </w:rPr>
              <w:t>18368192733</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13</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采购代理机构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代理费用</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jc w:val="left"/>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投标总报价应含采购服务费，采购服务费按照国家发展计划委员会计价格[2002]1980 号文《招标代理服务费管理暂行办法》及发改办价格[2003]857号文的收费标准（</w:t>
            </w:r>
            <w:r>
              <w:rPr>
                <w:rFonts w:hint="eastAsia" w:ascii="宋体" w:hAnsi="宋体" w:eastAsia="宋体" w:cs="宋体"/>
                <w:snapToGrid w:val="0"/>
                <w:color w:val="auto"/>
                <w:kern w:val="28"/>
                <w:sz w:val="24"/>
                <w:highlight w:val="none"/>
                <w:lang w:val="en-US" w:eastAsia="zh-CN"/>
              </w:rPr>
              <w:t>货物</w:t>
            </w:r>
            <w:r>
              <w:rPr>
                <w:rFonts w:hint="eastAsia" w:ascii="宋体" w:hAnsi="宋体" w:eastAsia="宋体" w:cs="宋体"/>
                <w:snapToGrid w:val="0"/>
                <w:color w:val="auto"/>
                <w:kern w:val="28"/>
                <w:sz w:val="24"/>
                <w:highlight w:val="none"/>
                <w:lang w:eastAsia="zh-CN"/>
              </w:rPr>
              <w:t>类</w:t>
            </w:r>
            <w:r>
              <w:rPr>
                <w:rFonts w:hint="eastAsia" w:ascii="宋体" w:hAnsi="宋体" w:eastAsia="宋体" w:cs="宋体"/>
                <w:snapToGrid w:val="0"/>
                <w:color w:val="auto"/>
                <w:kern w:val="28"/>
                <w:sz w:val="24"/>
                <w:highlight w:val="none"/>
              </w:rPr>
              <w:t>）计取，为</w:t>
            </w:r>
            <w:r>
              <w:rPr>
                <w:rFonts w:hint="eastAsia" w:ascii="宋体" w:hAnsi="宋体" w:eastAsia="宋体" w:cs="宋体"/>
                <w:snapToGrid w:val="0"/>
                <w:color w:val="auto"/>
                <w:kern w:val="28"/>
                <w:sz w:val="24"/>
                <w:highlight w:val="none"/>
              </w:rPr>
              <w:fldChar w:fldCharType="begin"/>
            </w:r>
            <w:r>
              <w:rPr>
                <w:rFonts w:hint="eastAsia" w:ascii="宋体" w:hAnsi="宋体" w:eastAsia="宋体" w:cs="宋体"/>
                <w:snapToGrid w:val="0"/>
                <w:color w:val="auto"/>
                <w:kern w:val="28"/>
                <w:sz w:val="24"/>
                <w:highlight w:val="none"/>
              </w:rPr>
              <w:instrText xml:space="preserve"> = 10500 \* CHINESENUM4 \* MERGEFORMAT </w:instrText>
            </w:r>
            <w:r>
              <w:rPr>
                <w:rFonts w:hint="eastAsia" w:ascii="宋体" w:hAnsi="宋体" w:eastAsia="宋体" w:cs="宋体"/>
                <w:snapToGrid w:val="0"/>
                <w:color w:val="auto"/>
                <w:kern w:val="28"/>
                <w:sz w:val="24"/>
                <w:highlight w:val="none"/>
              </w:rPr>
              <w:fldChar w:fldCharType="separate"/>
            </w:r>
            <w:r>
              <w:rPr>
                <w:rFonts w:hint="eastAsia" w:ascii="宋体" w:hAnsi="宋体" w:eastAsia="宋体" w:cs="宋体"/>
                <w:snapToGrid w:val="0"/>
                <w:color w:val="auto"/>
                <w:kern w:val="28"/>
                <w:sz w:val="24"/>
                <w:highlight w:val="none"/>
                <w:lang w:eastAsia="zh-CN"/>
              </w:rPr>
              <w:t>人民币</w:t>
            </w:r>
            <w:r>
              <w:rPr>
                <w:rFonts w:hint="eastAsia" w:ascii="宋体" w:hAnsi="宋体" w:eastAsia="宋体" w:cs="宋体"/>
                <w:snapToGrid w:val="0"/>
                <w:color w:val="auto"/>
                <w:kern w:val="28"/>
                <w:sz w:val="24"/>
                <w:highlight w:val="none"/>
                <w:lang w:val="en-US" w:eastAsia="zh-CN"/>
              </w:rPr>
              <w:fldChar w:fldCharType="begin"/>
            </w:r>
            <w:r>
              <w:rPr>
                <w:rFonts w:hint="eastAsia" w:ascii="宋体" w:hAnsi="宋体" w:eastAsia="宋体" w:cs="宋体"/>
                <w:snapToGrid w:val="0"/>
                <w:color w:val="auto"/>
                <w:kern w:val="28"/>
                <w:sz w:val="24"/>
                <w:highlight w:val="none"/>
                <w:lang w:val="en-US" w:eastAsia="zh-CN"/>
              </w:rPr>
              <w:instrText xml:space="preserve"> = 12900 \* CHINESENUM4 \* MERGEFORMAT </w:instrText>
            </w:r>
            <w:r>
              <w:rPr>
                <w:rFonts w:hint="eastAsia" w:ascii="宋体" w:hAnsi="宋体" w:eastAsia="宋体" w:cs="宋体"/>
                <w:snapToGrid w:val="0"/>
                <w:color w:val="auto"/>
                <w:kern w:val="28"/>
                <w:sz w:val="24"/>
                <w:highlight w:val="none"/>
                <w:lang w:val="en-US" w:eastAsia="zh-CN"/>
              </w:rPr>
              <w:fldChar w:fldCharType="separate"/>
            </w:r>
            <w:r>
              <w:rPr>
                <w:rFonts w:hint="eastAsia" w:ascii="宋体" w:hAnsi="宋体" w:cs="宋体"/>
                <w:snapToGrid w:val="0"/>
                <w:color w:val="auto"/>
                <w:kern w:val="28"/>
                <w:sz w:val="24"/>
                <w:highlight w:val="none"/>
                <w:lang w:val="en-US" w:eastAsia="zh-CN"/>
              </w:rPr>
              <w:t>肆万陆仟贰佰玖拾伍</w:t>
            </w:r>
            <w:r>
              <w:rPr>
                <w:rFonts w:hint="eastAsia" w:ascii="宋体" w:hAnsi="宋体" w:eastAsia="宋体" w:cs="宋体"/>
                <w:snapToGrid w:val="0"/>
                <w:color w:val="auto"/>
                <w:kern w:val="28"/>
                <w:sz w:val="24"/>
                <w:highlight w:val="none"/>
                <w:lang w:eastAsia="zh-CN"/>
              </w:rPr>
              <w:t>元整</w:t>
            </w:r>
            <w:r>
              <w:rPr>
                <w:rFonts w:hint="eastAsia" w:ascii="宋体" w:hAnsi="宋体" w:eastAsia="宋体" w:cs="宋体"/>
                <w:snapToGrid w:val="0"/>
                <w:color w:val="auto"/>
                <w:kern w:val="28"/>
                <w:sz w:val="24"/>
                <w:highlight w:val="none"/>
                <w:lang w:val="en-US" w:eastAsia="zh-CN"/>
              </w:rPr>
              <w:fldChar w:fldCharType="end"/>
            </w:r>
            <w:r>
              <w:rPr>
                <w:rFonts w:hint="eastAsia" w:ascii="宋体" w:hAnsi="宋体" w:eastAsia="宋体" w:cs="宋体"/>
                <w:snapToGrid w:val="0"/>
                <w:color w:val="auto"/>
                <w:kern w:val="28"/>
                <w:sz w:val="24"/>
                <w:highlight w:val="none"/>
                <w:lang w:val="en-US" w:eastAsia="zh-CN"/>
              </w:rPr>
              <w:t>（</w:t>
            </w:r>
            <w:r>
              <w:rPr>
                <w:rFonts w:hint="eastAsia" w:ascii="宋体" w:hAnsi="宋体" w:eastAsia="宋体" w:cs="宋体"/>
                <w:snapToGrid w:val="0"/>
                <w:color w:val="auto"/>
                <w:kern w:val="28"/>
                <w:sz w:val="24"/>
                <w:highlight w:val="none"/>
              </w:rPr>
              <w:t>￥</w:t>
            </w:r>
            <w:r>
              <w:rPr>
                <w:rFonts w:hint="eastAsia" w:ascii="宋体" w:hAnsi="宋体" w:cs="宋体"/>
                <w:snapToGrid w:val="0"/>
                <w:color w:val="auto"/>
                <w:kern w:val="28"/>
                <w:sz w:val="24"/>
                <w:highlight w:val="none"/>
                <w:lang w:eastAsia="zh-CN"/>
              </w:rPr>
              <w:t>46295</w:t>
            </w:r>
            <w:r>
              <w:rPr>
                <w:rFonts w:hint="eastAsia" w:ascii="宋体" w:hAnsi="宋体" w:eastAsia="宋体" w:cs="宋体"/>
                <w:snapToGrid w:val="0"/>
                <w:color w:val="auto"/>
                <w:kern w:val="28"/>
                <w:sz w:val="24"/>
                <w:highlight w:val="none"/>
                <w:lang w:val="en-US" w:eastAsia="zh-CN"/>
              </w:rPr>
              <w:t xml:space="preserve">.00 </w:t>
            </w:r>
            <w:r>
              <w:rPr>
                <w:rFonts w:hint="eastAsia" w:ascii="宋体" w:hAnsi="宋体" w:eastAsia="宋体" w:cs="宋体"/>
                <w:snapToGrid w:val="0"/>
                <w:color w:val="auto"/>
                <w:kern w:val="28"/>
                <w:sz w:val="24"/>
                <w:highlight w:val="none"/>
              </w:rPr>
              <w:t>元）</w:t>
            </w:r>
            <w:r>
              <w:rPr>
                <w:rFonts w:hint="eastAsia" w:ascii="宋体" w:hAnsi="宋体" w:eastAsia="宋体" w:cs="宋体"/>
                <w:snapToGrid w:val="0"/>
                <w:color w:val="auto"/>
                <w:kern w:val="28"/>
                <w:sz w:val="24"/>
                <w:highlight w:val="none"/>
              </w:rPr>
              <w:fldChar w:fldCharType="end"/>
            </w:r>
            <w:r>
              <w:rPr>
                <w:rFonts w:hint="eastAsia" w:ascii="宋体" w:hAnsi="宋体" w:eastAsia="宋体" w:cs="宋体"/>
                <w:snapToGrid w:val="0"/>
                <w:color w:val="auto"/>
                <w:kern w:val="28"/>
                <w:sz w:val="24"/>
                <w:highlight w:val="none"/>
              </w:rPr>
              <w:t>。由中标单位在领取中标通知书时支付给采购代理公司。</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jc w:val="left"/>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snapToGrid w:val="0"/>
                <w:color w:val="auto"/>
                <w:kern w:val="28"/>
                <w:sz w:val="24"/>
                <w:highlight w:val="none"/>
                <w:lang w:val="en-US" w:eastAsia="zh-CN"/>
              </w:rPr>
              <w:t>供应商在政府采购活动中违反政府采购相关规定放弃中标（成交）资格的，采购组织机构有权要求其承担采购服务费和专家评审费等费用。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14</w:t>
            </w:r>
          </w:p>
        </w:tc>
        <w:tc>
          <w:tcPr>
            <w:tcW w:w="178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highlight w:val="none"/>
              </w:rPr>
              <w:t>特别说明</w:t>
            </w: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cs="宋体"/>
                <w:color w:val="auto"/>
                <w:sz w:val="24"/>
                <w:highlight w:val="none"/>
                <w:lang w:val="en-US" w:eastAsia="zh-CN"/>
              </w:rPr>
            </w:pPr>
            <w:bookmarkStart w:id="12" w:name="_Toc164416483"/>
            <w:bookmarkStart w:id="13" w:name="第三部分"/>
          </w:p>
        </w:tc>
        <w:tc>
          <w:tcPr>
            <w:tcW w:w="178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center"/>
              <w:textAlignment w:val="auto"/>
              <w:rPr>
                <w:rFonts w:hint="eastAsia" w:ascii="宋体" w:hAnsi="宋体" w:eastAsia="宋体" w:cs="宋体"/>
                <w:b/>
                <w:color w:val="auto"/>
                <w:sz w:val="24"/>
                <w:highlight w:val="none"/>
              </w:rPr>
            </w:pPr>
          </w:p>
        </w:tc>
        <w:tc>
          <w:tcPr>
            <w:tcW w:w="6570" w:type="dxa"/>
            <w:vAlign w:val="center"/>
          </w:tcPr>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28"/>
                <w:sz w:val="24"/>
                <w:szCs w:val="24"/>
                <w:highlight w:val="none"/>
                <w:lang w:val="en-US" w:eastAsia="zh-CN" w:bidi="ar-SA"/>
              </w:rPr>
            </w:pPr>
            <w:sdt>
              <w:sdtPr>
                <w:rPr>
                  <w:rFonts w:hint="eastAsia" w:ascii="宋体" w:hAnsi="宋体" w:eastAsia="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snapToGrid w:val="0"/>
                <w:color w:val="auto"/>
                <w:kern w:val="28"/>
                <w:sz w:val="24"/>
                <w:szCs w:val="24"/>
                <w:highlight w:val="none"/>
                <w:lang w:val="en-US" w:eastAsia="zh-CN" w:bidi="ar-SA"/>
              </w:rPr>
              <w:t>联合体投标的，联合体各方均需按招标文件第四部分评标标准要求提供资信证明文件，否则视为不符合相关要求。</w:t>
            </w:r>
          </w:p>
          <w:p>
            <w:pPr>
              <w:keepNext w:val="0"/>
              <w:keepLines w:val="0"/>
              <w:pageBreakBefore w:val="0"/>
              <w:widowControl w:val="0"/>
              <w:kinsoku/>
              <w:wordWrap/>
              <w:overflowPunct/>
              <w:topLinePunct w:val="0"/>
              <w:autoSpaceDE/>
              <w:autoSpaceDN/>
              <w:bidi w:val="0"/>
              <w:adjustRightInd w:val="0"/>
              <w:spacing w:line="400" w:lineRule="exact"/>
              <w:ind w:left="0" w:firstLine="0" w:firstLineChars="0"/>
              <w:textAlignment w:val="auto"/>
              <w:rPr>
                <w:rFonts w:hint="eastAsia" w:ascii="宋体" w:hAnsi="宋体" w:eastAsia="宋体" w:cs="宋体"/>
                <w:snapToGrid w:val="0"/>
                <w:color w:val="auto"/>
                <w:kern w:val="28"/>
                <w:sz w:val="24"/>
                <w:szCs w:val="24"/>
                <w:highlight w:val="none"/>
                <w:lang w:val="en-US" w:eastAsia="zh-CN" w:bidi="ar-SA"/>
              </w:rPr>
            </w:pPr>
            <w:sdt>
              <w:sdtPr>
                <w:rPr>
                  <w:rFonts w:hint="eastAsia" w:ascii="宋体" w:hAnsi="宋体" w:eastAsia="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snapToGrid w:val="0"/>
                <w:color w:val="auto"/>
                <w:kern w:val="28"/>
                <w:sz w:val="24"/>
                <w:szCs w:val="24"/>
                <w:highlight w:val="none"/>
                <w:lang w:val="en-US" w:eastAsia="zh-CN" w:bidi="ar-SA"/>
              </w:rPr>
              <w:t>联合体投标的，联合体中有一方或者联合体成员根据分工按招标文件第四部分评标标准要求提供资信证明文件的，视为符合了相关要求。</w:t>
            </w:r>
          </w:p>
        </w:tc>
      </w:tr>
      <w:bookmarkEnd w:id="10"/>
    </w:tbl>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adjustRightInd/>
        <w:spacing w:line="360" w:lineRule="auto"/>
        <w:jc w:val="center"/>
        <w:outlineLvl w:val="0"/>
        <w:rPr>
          <w:rFonts w:hint="eastAsia" w:ascii="宋体" w:hAnsi="宋体" w:eastAsia="宋体" w:cs="宋体"/>
          <w:b/>
          <w:color w:val="auto"/>
          <w:sz w:val="32"/>
          <w:szCs w:val="20"/>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pPr>
        <w:keepNext w:val="0"/>
        <w:keepLines w:val="0"/>
        <w:pageBreakBefore w:val="0"/>
        <w:kinsoku/>
        <w:wordWrap/>
        <w:overflowPunct/>
        <w:topLinePunct w:val="0"/>
        <w:bidi w:val="0"/>
        <w:snapToGrid w:val="0"/>
        <w:spacing w:beforeAutospacing="0" w:line="440" w:lineRule="exact"/>
        <w:ind w:left="0" w:leftChars="0" w:firstLine="482" w:firstLineChars="200"/>
        <w:jc w:val="left"/>
        <w:textAlignment w:val="auto"/>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 适用范围</w:t>
      </w:r>
    </w:p>
    <w:p>
      <w:pPr>
        <w:keepNext w:val="0"/>
        <w:keepLines w:val="0"/>
        <w:pageBreakBefore w:val="0"/>
        <w:kinsoku/>
        <w:wordWrap/>
        <w:overflowPunct/>
        <w:topLinePunct w:val="0"/>
        <w:bidi w:val="0"/>
        <w:snapToGrid w:val="0"/>
        <w:spacing w:beforeAutospacing="0" w:line="44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adjustRightInd/>
        <w:spacing w:beforeAutospacing="0" w:line="440" w:lineRule="exact"/>
        <w:ind w:left="0" w:leftChars="0" w:firstLine="482" w:firstLineChars="20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2.定义</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“采购人”系指招标公告中载明的本项目的采购人。</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”系指招标公告中载明的本项目的</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“投标人”系指是指响应招标、参加投标竞争的法人、其他组织或者自然人。</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2.6“电子交易平台”</w:t>
      </w:r>
      <w:r>
        <w:rPr>
          <w:rFonts w:hint="eastAsia" w:ascii="宋体" w:hAnsi="宋体" w:eastAsia="宋体" w:cs="宋体"/>
          <w:color w:val="auto"/>
          <w:sz w:val="24"/>
          <w:szCs w:val="24"/>
          <w:highlight w:val="none"/>
          <w:lang w:val="en-US" w:eastAsia="zh-CN"/>
        </w:rPr>
        <w:t>系</w:t>
      </w:r>
      <w:r>
        <w:rPr>
          <w:rFonts w:hint="eastAsia" w:ascii="宋体" w:hAnsi="宋体" w:eastAsia="宋体" w:cs="宋体"/>
          <w:color w:val="auto"/>
          <w:sz w:val="24"/>
          <w:szCs w:val="24"/>
          <w:highlight w:val="none"/>
        </w:rPr>
        <w:t>指本项目政府采购活动所依托的政府采购云平台（https://www.zcygov.cn/）。</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 系指实质性要求条款，“</w:t>
      </w:r>
      <w:sdt>
        <w:sdtPr>
          <w:rPr>
            <w:rFonts w:hint="eastAsia" w:ascii="宋体" w:hAnsi="宋体" w:eastAsia="宋体" w:cs="宋体"/>
            <w:color w:val="auto"/>
            <w:kern w:val="0"/>
            <w:sz w:val="24"/>
            <w:szCs w:val="24"/>
            <w:highlight w:val="none"/>
          </w:rPr>
          <w:id w:val="-1477286927"/>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系指适用本项目的要求，“</w:t>
      </w:r>
      <w:r>
        <w:rPr>
          <w:rFonts w:hint="eastAsia" w:ascii="宋体" w:hAnsi="宋体" w:eastAsia="宋体" w:cs="宋体"/>
          <w:color w:val="auto"/>
          <w:sz w:val="24"/>
          <w:szCs w:val="24"/>
          <w:highlight w:val="none"/>
        </w:rPr>
        <w:sym w:font="Wingdings 2" w:char="00A3"/>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系指不适用本项目的要求。</w:t>
      </w:r>
    </w:p>
    <w:p>
      <w:pPr>
        <w:keepNext w:val="0"/>
        <w:keepLines w:val="0"/>
        <w:pageBreakBefore w:val="0"/>
        <w:kinsoku/>
        <w:wordWrap/>
        <w:overflowPunct/>
        <w:topLinePunct w:val="0"/>
        <w:bidi w:val="0"/>
        <w:spacing w:beforeAutospacing="0" w:line="440" w:lineRule="exact"/>
        <w:ind w:left="0" w:lef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采购项目需要落实的政府采购政策</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不会对其加以限制，仍将按照公平竞争原则实施采购）；</w:t>
      </w:r>
      <w:r>
        <w:rPr>
          <w:rFonts w:hint="eastAsia" w:ascii="宋体" w:hAnsi="宋体" w:eastAsia="宋体" w:cs="宋体"/>
          <w:color w:val="auto"/>
          <w:kern w:val="0"/>
          <w:sz w:val="24"/>
          <w:szCs w:val="24"/>
          <w:highlight w:val="none"/>
        </w:rPr>
        <w:t>优先采购向我国企业转让技术、与我国企业签订消化吸收再创新方案的供应商的进口产品</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支持绿色发展</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szCs w:val="24"/>
          <w:highlight w:val="none"/>
        </w:rPr>
        <w:t>▲采购人拟采购的产品属于政府强制采购的节能产品品目清单范围的，投标人相应的投标产品未获得国家确定的认证机构出具的、处于有效期之内的节能产品认证证书的，投标无效。</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u w:val="none"/>
          <w:lang w:val="en-US" w:eastAsia="zh-CN"/>
        </w:rPr>
      </w:pPr>
      <w:r>
        <w:rPr>
          <w:rFonts w:hint="eastAsia" w:ascii="宋体" w:hAnsi="宋体" w:eastAsia="宋体" w:cs="宋体"/>
          <w:color w:val="auto"/>
          <w:sz w:val="24"/>
          <w:szCs w:val="24"/>
          <w:highlight w:val="none"/>
        </w:rPr>
        <w:t xml:space="preserve">3.2.2 </w:t>
      </w:r>
      <w:r>
        <w:rPr>
          <w:rFonts w:hint="eastAsia" w:ascii="宋体" w:hAnsi="宋体" w:eastAsia="宋体" w:cs="宋体"/>
          <w:color w:val="auto"/>
          <w:kern w:val="0"/>
          <w:sz w:val="24"/>
          <w:szCs w:val="24"/>
          <w:highlight w:val="none"/>
          <w:u w:val="none"/>
          <w:lang w:val="en-US" w:eastAsia="zh-CN"/>
        </w:rPr>
        <w:t>纳入政府采购管理的修缮、装修类项目采购建材的，鼓励采购单位将绿色建材性能、指标等作为实质性条件纳入采购文件和合同，具体性能指标要求参考相关绿色建材政府采购需求标准。</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4" w:name="_Hlk107568539"/>
      <w:r>
        <w:rPr>
          <w:rFonts w:hint="eastAsia" w:ascii="宋体" w:hAnsi="宋体" w:eastAsia="宋体" w:cs="宋体"/>
          <w:color w:val="auto"/>
          <w:sz w:val="24"/>
          <w:szCs w:val="24"/>
          <w:highlight w:val="none"/>
        </w:rPr>
        <w:t>鼓励采购单位优先采购秸秆环保板材等资源综合利用产品。鼓励采购单位优先采购绿色物流配送服务、提供新能源交通工具的租赁服务。</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lang w:val="en-US" w:eastAsia="zh-CN"/>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4"/>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3.3支持中小企业发展</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符合中小企业划分标准的个体工商户，在政府采购活动中视同中小企业。</w:t>
      </w:r>
    </w:p>
    <w:p>
      <w:pPr>
        <w:keepNext w:val="0"/>
        <w:keepLines w:val="0"/>
        <w:pageBreakBefore w:val="0"/>
        <w:widowControl/>
        <w:kinsoku/>
        <w:wordWrap/>
        <w:overflowPunct/>
        <w:topLinePunct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bCs/>
          <w:color w:val="auto"/>
          <w:sz w:val="24"/>
          <w:szCs w:val="24"/>
          <w:highlight w:val="none"/>
        </w:rPr>
        <w:t>3.3.2</w:t>
      </w:r>
      <w:r>
        <w:rPr>
          <w:rFonts w:hint="eastAsia" w:ascii="宋体" w:hAnsi="宋体" w:eastAsia="宋体" w:cs="宋体"/>
          <w:color w:val="auto"/>
          <w:kern w:val="0"/>
          <w:sz w:val="24"/>
          <w:szCs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eastAsia="宋体" w:cs="宋体"/>
          <w:color w:val="auto"/>
          <w:sz w:val="24"/>
          <w:szCs w:val="24"/>
          <w:highlight w:val="none"/>
        </w:rPr>
        <w:t>联合协议或者分包意向协议约定小微企业的合同份额占到合同总金额30%以上的</w:t>
      </w:r>
      <w:bookmarkEnd w:id="15"/>
      <w:r>
        <w:rPr>
          <w:rFonts w:hint="eastAsia" w:ascii="宋体" w:hAnsi="宋体" w:eastAsia="宋体" w:cs="宋体"/>
          <w:color w:val="auto"/>
          <w:sz w:val="24"/>
          <w:szCs w:val="24"/>
          <w:highlight w:val="none"/>
        </w:rPr>
        <w:t>，对联合体或者大中型企业的报价给予6%的扣除，用扣除后的价格参加评审。组成联合体或者接受分包的小微企业与联合体内其他企业、分包企业之间存在直接控股、管理关系的，不享受价格扣除优惠政策。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3.3.4符合《关于促进残疾人就业政府采购政策的通知》（财库〔2017〕141号）规定的条件并提供《残疾人福利性单位声明函》（附件1）的残疾人福利性单位视同小型、微型企业；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3.3.7中小企业享受扶持政策获得政府采购合同的，小微企业不得将合同分包给大中型企业，中型企业不得将合同分包给大型企业。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r>
        <w:rPr>
          <w:rFonts w:hint="eastAsia" w:ascii="宋体" w:hAnsi="宋体" w:eastAsia="宋体" w:cs="宋体"/>
          <w:bCs/>
          <w:color w:val="auto"/>
          <w:sz w:val="24"/>
          <w:szCs w:val="24"/>
          <w:highlight w:val="none"/>
        </w:rPr>
        <w:t>支持创新发展</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 采购人优先采购被认定为首台套产品和“制造精品”的自主创新产品。</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3.5平等对待内外资企业和符合条件的破产重整企业</w:t>
      </w:r>
    </w:p>
    <w:p>
      <w:pPr>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平等对待内外资企业和符合条件的破产重整企业，切实保障企业公平竞争，平等维护企业的合法利益。</w:t>
      </w:r>
    </w:p>
    <w:p>
      <w:pPr>
        <w:keepNext w:val="0"/>
        <w:keepLines w:val="0"/>
        <w:pageBreakBefore w:val="0"/>
        <w:kinsoku/>
        <w:wordWrap/>
        <w:overflowPunct/>
        <w:topLinePunct w:val="0"/>
        <w:bidi w:val="0"/>
        <w:spacing w:beforeAutospacing="0" w:line="440" w:lineRule="exact"/>
        <w:ind w:left="0" w:lef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 询问、质疑、投诉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4.1在线询问、质疑、投诉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autoSpaceDE w:val="0"/>
        <w:autoSpaceDN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4.2供应商询问</w:t>
      </w:r>
    </w:p>
    <w:p>
      <w:pPr>
        <w:keepNext w:val="0"/>
        <w:keepLines w:val="0"/>
        <w:pageBreakBefore w:val="0"/>
        <w:kinsoku/>
        <w:wordWrap/>
        <w:overflowPunct/>
        <w:topLinePunct w:val="0"/>
        <w:autoSpaceDE w:val="0"/>
        <w:autoSpaceDN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spacing w:beforeAutospacing="0" w:line="440" w:lineRule="exact"/>
        <w:ind w:left="0" w:leftChars="0"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4.3供应商质疑</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4.3</w:t>
      </w:r>
      <w:r>
        <w:rPr>
          <w:rFonts w:hint="eastAsia" w:ascii="宋体" w:hAnsi="宋体" w:eastAsia="宋体" w:cs="宋体"/>
          <w:color w:val="auto"/>
          <w:sz w:val="24"/>
          <w:szCs w:val="24"/>
          <w:highlight w:val="none"/>
        </w:rPr>
        <w:t>.1提出质疑的供应商应当是参与所质疑项目采购活动的供应商。潜在供应商已依法获取其可质疑的招标文件的，可以对该文件提出质疑。</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4.3</w:t>
      </w:r>
      <w:r>
        <w:rPr>
          <w:rFonts w:hint="eastAsia" w:ascii="宋体" w:hAnsi="宋体" w:eastAsia="宋体" w:cs="宋体"/>
          <w:color w:val="auto"/>
          <w:sz w:val="24"/>
          <w:szCs w:val="24"/>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提出质疑，否则，采购人或者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不予受理：</w:t>
      </w:r>
    </w:p>
    <w:p>
      <w:pPr>
        <w:pStyle w:val="8"/>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snapToGrid/>
          <w:color w:val="auto"/>
          <w:kern w:val="2"/>
          <w:sz w:val="24"/>
          <w:szCs w:val="24"/>
          <w:highlight w:val="none"/>
        </w:rPr>
      </w:pPr>
      <w:r>
        <w:rPr>
          <w:rFonts w:hint="eastAsia" w:ascii="宋体" w:hAnsi="宋体" w:eastAsia="宋体" w:cs="宋体"/>
          <w:snapToGrid/>
          <w:color w:val="auto"/>
          <w:kern w:val="2"/>
          <w:sz w:val="24"/>
          <w:szCs w:val="24"/>
          <w:highlight w:val="none"/>
        </w:rPr>
        <w:t>4.3.2.1对招标文件提出质疑的，质疑期限为供应商获得招标文件之日或者招标文件公告期限届满之日起计算。</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4.3.2.2对采购过程提出质疑的，质疑期限为各采购程序环节结束之日起计算。4.3.2.3对采购结果提出质疑的，质疑期限自采购结果公告期限届满之日起计算。</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w:t>
      </w:r>
      <w:r>
        <w:rPr>
          <w:rFonts w:hint="eastAsia" w:ascii="宋体" w:hAnsi="宋体" w:eastAsia="宋体" w:cs="宋体"/>
          <w:color w:val="auto"/>
          <w:sz w:val="24"/>
          <w:szCs w:val="24"/>
          <w:highlight w:val="none"/>
        </w:rPr>
        <w:t>供应商提出质疑应当提交质疑函和必要的证明材料。质疑函应当包括下列内容：</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4.3.3.1供应商的姓名或者名称、地址、邮编、联系人及联系电话；</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4.3.3.2质疑项目的名称、编号；</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4.3.3.3具体、明确的质疑事项和与质疑事项相关的请求；</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4.3.3.4事实依据；</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4.3.3.5必要的法律依据；</w:t>
      </w:r>
    </w:p>
    <w:p>
      <w:pPr>
        <w:pStyle w:val="34"/>
        <w:keepNext w:val="0"/>
        <w:keepLines w:val="0"/>
        <w:pageBreakBefore w:val="0"/>
        <w:kinsoku/>
        <w:wordWrap/>
        <w:overflowPunct/>
        <w:topLinePunct w:val="0"/>
        <w:bidi w:val="0"/>
        <w:spacing w:beforeAutospacing="0" w:line="440" w:lineRule="exact"/>
        <w:ind w:left="0" w:leftChars="0"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4.3.3.6提出质疑的日期。</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质疑函范本及制作说明详见附件2。</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4.3.4对同一采购程序环节的质疑，供应商须在法定质疑期内一次性提出。</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4.3</w:t>
      </w:r>
      <w:r>
        <w:rPr>
          <w:rFonts w:hint="eastAsia" w:ascii="宋体" w:hAnsi="宋体" w:eastAsia="宋体" w:cs="宋体"/>
          <w:color w:val="auto"/>
          <w:sz w:val="24"/>
          <w:szCs w:val="24"/>
          <w:highlight w:val="none"/>
        </w:rPr>
        <w:t>.5采购人或者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在质疑回复后5个工作日内，在浙江政府采购网的“其他公告”栏目公开质疑答复，答复内容应当完整。质疑函作为附件上传。</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4.3</w:t>
      </w:r>
      <w:r>
        <w:rPr>
          <w:rFonts w:hint="eastAsia" w:ascii="宋体" w:hAnsi="宋体" w:eastAsia="宋体" w:cs="宋体"/>
          <w:color w:val="auto"/>
          <w:sz w:val="24"/>
          <w:szCs w:val="24"/>
          <w:highlight w:val="none"/>
        </w:rPr>
        <w:t>.6询问或者质疑事项可能影响采购结果的，采购人应当暂停签订合同，已经签订合同的，应当中止履行合同。</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4.4供应商投诉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4.4.1质疑供应商对采购人、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的答复不满意或者采购人、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未在规定的时间内作出答复的，可以在答复期满后十五个工作日内向同级政府采购监督管理部门提出投诉。</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供应商投诉的事项不得超出已质疑事项的范围，基于质疑答复内容提出的投诉事项除外。</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4.4.3供应商投诉应当有明确的请求和必要的证明材料。</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4.4.4 以联合体形式参加政府采购活动的，其投诉应当由组成联合体的所有供应商共同提出。</w:t>
      </w:r>
    </w:p>
    <w:p>
      <w:pPr>
        <w:pStyle w:val="886"/>
        <w:keepNext w:val="0"/>
        <w:keepLines w:val="0"/>
        <w:pageBreakBefore w:val="0"/>
        <w:shd w:val="clear" w:color="auto" w:fill="FFFFFF"/>
        <w:kinsoku/>
        <w:wordWrap/>
        <w:overflowPunct/>
        <w:topLinePunct w:val="0"/>
        <w:bidi w:val="0"/>
        <w:snapToGrid w:val="0"/>
        <w:spacing w:before="0" w:beforeAutospacing="0" w:after="0" w:afterAutospacing="0" w:line="440" w:lineRule="exact"/>
        <w:ind w:left="0" w:leftChars="0"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投诉书范本及制作说明详见附件3。</w:t>
      </w:r>
    </w:p>
    <w:p>
      <w:pPr>
        <w:pStyle w:val="128"/>
        <w:keepNext w:val="0"/>
        <w:keepLines w:val="0"/>
        <w:pageBreakBefore w:val="0"/>
        <w:kinsoku/>
        <w:wordWrap/>
        <w:overflowPunct/>
        <w:topLinePunct w:val="0"/>
        <w:bidi w:val="0"/>
        <w:snapToGrid w:val="0"/>
        <w:spacing w:before="0" w:beforeAutospacing="0" w:line="440" w:lineRule="exact"/>
        <w:ind w:left="0" w:leftChars="0" w:firstLine="480" w:firstLineChars="200"/>
        <w:textAlignment w:val="auto"/>
        <w:rPr>
          <w:rFonts w:hint="eastAsia" w:ascii="宋体" w:hAnsi="宋体" w:eastAsia="宋体" w:cs="宋体"/>
          <w:color w:val="auto"/>
          <w:sz w:val="24"/>
          <w:szCs w:val="24"/>
          <w:highlight w:val="none"/>
        </w:rPr>
      </w:pPr>
    </w:p>
    <w:p>
      <w:pPr>
        <w:adjustRightInd/>
        <w:spacing w:line="24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 xml:space="preserve">      二、招标文件的构成、澄清、修改</w:t>
      </w:r>
    </w:p>
    <w:p>
      <w:pPr>
        <w:pStyle w:val="34"/>
        <w:keepNext w:val="0"/>
        <w:keepLines w:val="0"/>
        <w:pageBreakBefore w:val="0"/>
        <w:widowControl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pPr>
        <w:pStyle w:val="34"/>
        <w:keepNext w:val="0"/>
        <w:keepLines w:val="0"/>
        <w:pageBreakBefore w:val="0"/>
        <w:widowControl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pPr>
        <w:pStyle w:val="34"/>
        <w:keepNext w:val="0"/>
        <w:keepLines w:val="0"/>
        <w:pageBreakBefore w:val="0"/>
        <w:widowControl w:val="0"/>
        <w:tabs>
          <w:tab w:val="left" w:pos="840"/>
        </w:tabs>
        <w:kinsoku/>
        <w:wordWrap/>
        <w:overflowPunct/>
        <w:topLinePunct w:val="0"/>
        <w:bidi w:val="0"/>
        <w:adjustRightIn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5.1.6应提交的有关格式范例。</w:t>
      </w:r>
    </w:p>
    <w:p>
      <w:pPr>
        <w:keepNext w:val="0"/>
        <w:keepLines w:val="0"/>
        <w:pageBreakBefore w:val="0"/>
        <w:widowControl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5.2与本项目有关的</w:t>
      </w:r>
      <w:r>
        <w:rPr>
          <w:rFonts w:hint="eastAsia" w:ascii="宋体" w:hAnsi="宋体" w:eastAsia="宋体" w:cs="宋体"/>
          <w:bCs/>
          <w:color w:val="auto"/>
          <w:sz w:val="24"/>
          <w:szCs w:val="24"/>
          <w:highlight w:val="none"/>
        </w:rPr>
        <w:t>澄清或者修改的内容为招标文件的组成部分</w:t>
      </w:r>
      <w:r>
        <w:rPr>
          <w:rFonts w:hint="eastAsia" w:ascii="宋体" w:hAnsi="宋体" w:eastAsia="宋体" w:cs="宋体"/>
          <w:color w:val="auto"/>
          <w:sz w:val="24"/>
          <w:szCs w:val="24"/>
          <w:highlight w:val="none"/>
        </w:rPr>
        <w:t>。</w:t>
      </w:r>
    </w:p>
    <w:p>
      <w:pPr>
        <w:pStyle w:val="34"/>
        <w:keepNext w:val="0"/>
        <w:keepLines w:val="0"/>
        <w:pageBreakBefore w:val="0"/>
        <w:widowControl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pPr>
        <w:pStyle w:val="128"/>
        <w:keepNext w:val="0"/>
        <w:keepLines w:val="0"/>
        <w:pageBreakBefore w:val="0"/>
        <w:widowControl w:val="0"/>
        <w:kinsoku/>
        <w:wordWrap/>
        <w:overflowPunct/>
        <w:topLinePunct w:val="0"/>
        <w:bidi w:val="0"/>
        <w:adjustRightInd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6.1已获取招标文件的潜在投标人，若有问题需要澄清，应于投标截止时间前，以书面形式向</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提出。</w:t>
      </w:r>
    </w:p>
    <w:p>
      <w:pPr>
        <w:pStyle w:val="128"/>
        <w:keepNext w:val="0"/>
        <w:keepLines w:val="0"/>
        <w:pageBreakBefore w:val="0"/>
        <w:widowControl w:val="0"/>
        <w:kinsoku/>
        <w:wordWrap/>
        <w:overflowPunct/>
        <w:topLinePunct w:val="0"/>
        <w:bidi w:val="0"/>
        <w:adjustRightInd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6.2 </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3"/>
        <w:keepNext w:val="0"/>
        <w:keepLines w:val="0"/>
        <w:pageBreakBefore w:val="0"/>
        <w:widowControl w:val="0"/>
        <w:kinsoku/>
        <w:wordWrap/>
        <w:overflowPunct/>
        <w:topLinePunct w:val="0"/>
        <w:bidi w:val="0"/>
        <w:adjustRightInd w:val="0"/>
        <w:spacing w:line="440" w:lineRule="exact"/>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 xml:space="preserve">    </w:t>
      </w:r>
    </w:p>
    <w:p>
      <w:pPr>
        <w:adjustRightInd/>
        <w:spacing w:line="240" w:lineRule="auto"/>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三、投标</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详见招标公告中获取招标文件的时间期限、地点、方式及招标文件售价。</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pPr>
        <w:pStyle w:val="34"/>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28"/>
          <w:sz w:val="24"/>
          <w:szCs w:val="24"/>
          <w:highlight w:val="none"/>
        </w:rPr>
        <w:t>9.投标保证金</w:t>
      </w:r>
    </w:p>
    <w:p>
      <w:pPr>
        <w:pStyle w:val="8"/>
        <w:keepNext w:val="0"/>
        <w:keepLines w:val="0"/>
        <w:pageBreakBefore w:val="0"/>
        <w:kinsoku/>
        <w:wordWrap/>
        <w:overflowPunct/>
        <w:topLinePunct w:val="0"/>
        <w:bidi w:val="0"/>
        <w:adjustRightInd w:val="0"/>
        <w:spacing w:line="44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本项目不需缴纳投标保证金。</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pPr>
        <w:keepNext w:val="0"/>
        <w:keepLines w:val="0"/>
        <w:pageBreakBefore w:val="0"/>
        <w:kinsoku/>
        <w:wordWrap/>
        <w:overflowPunct/>
        <w:topLinePunct w:val="0"/>
        <w:autoSpaceDE w:val="0"/>
        <w:autoSpaceDN w:val="0"/>
        <w:bidi w:val="0"/>
        <w:adjustRightInd w:val="0"/>
        <w:spacing w:line="44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投标文件及投标人与采购有关的来往通知、函件和文件均应使用中文。</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b/>
          <w:color w:val="auto"/>
          <w:sz w:val="24"/>
          <w:szCs w:val="24"/>
          <w:highlight w:val="none"/>
        </w:rPr>
        <w:t>资格文件</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11.1.1符合参加政府采购活动应当具备的一般条件的承诺函；</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w:t>
      </w:r>
      <w:bookmarkStart w:id="16" w:name="_Hlk101259339"/>
      <w:r>
        <w:rPr>
          <w:rFonts w:hint="eastAsia" w:ascii="宋体" w:hAnsi="宋体" w:eastAsia="宋体" w:cs="宋体"/>
          <w:snapToGrid w:val="0"/>
          <w:color w:val="auto"/>
          <w:kern w:val="28"/>
          <w:sz w:val="24"/>
          <w:szCs w:val="24"/>
          <w:highlight w:val="none"/>
        </w:rPr>
        <w:t>联合协议</w:t>
      </w:r>
      <w:bookmarkEnd w:id="16"/>
      <w:r>
        <w:rPr>
          <w:rFonts w:hint="eastAsia" w:ascii="宋体" w:hAnsi="宋体" w:eastAsia="宋体" w:cs="宋体"/>
          <w:snapToGrid w:val="0"/>
          <w:color w:val="auto"/>
          <w:kern w:val="28"/>
          <w:sz w:val="24"/>
          <w:szCs w:val="24"/>
          <w:highlight w:val="none"/>
        </w:rPr>
        <w:t>（如果有)；</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11.1.3落实政府采购政策需满足的资格要求</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bidi="ar-SA"/>
        </w:rPr>
        <w:t>中小企业声明函</w:t>
      </w:r>
      <w:r>
        <w:rPr>
          <w:rFonts w:hint="eastAsia" w:ascii="宋体" w:hAnsi="宋体" w:eastAsia="宋体" w:cs="宋体"/>
          <w:color w:val="auto"/>
          <w:sz w:val="24"/>
          <w:szCs w:val="24"/>
          <w:highlight w:val="none"/>
        </w:rPr>
        <w:t>；（如果有)</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11.1.4本项目的特定资格要求</w:t>
      </w:r>
      <w:r>
        <w:rPr>
          <w:rFonts w:hint="eastAsia" w:ascii="宋体" w:hAnsi="宋体" w:eastAsia="宋体" w:cs="宋体"/>
          <w:snapToGrid w:val="0"/>
          <w:color w:val="auto"/>
          <w:kern w:val="28"/>
          <w:sz w:val="24"/>
          <w:szCs w:val="24"/>
          <w:highlight w:val="none"/>
        </w:rPr>
        <w:t>（如果有)</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商务技术</w:t>
      </w:r>
      <w:r>
        <w:rPr>
          <w:rFonts w:hint="eastAsia" w:ascii="宋体" w:hAnsi="宋体" w:eastAsia="宋体" w:cs="宋体"/>
          <w:color w:val="auto"/>
          <w:sz w:val="24"/>
          <w:szCs w:val="24"/>
          <w:highlight w:val="none"/>
          <w:lang w:val="zh-CN"/>
        </w:rPr>
        <w:t>文件：</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11.2.1投标函；</w:t>
      </w:r>
      <w:r>
        <w:rPr>
          <w:rFonts w:hint="eastAsia" w:ascii="宋体" w:hAnsi="宋体" w:eastAsia="宋体" w:cs="宋体"/>
          <w:color w:val="auto"/>
          <w:sz w:val="24"/>
          <w:szCs w:val="24"/>
          <w:highlight w:val="none"/>
          <w:lang w:val="zh-CN"/>
        </w:rPr>
        <w:t xml:space="preserve"> </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11.2.2授权委托书或法定代表人（单位负责人、自然人本人）身份证明；</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11.2.3分包意向协议（如果有)；</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11.2.4符合性审查资料；</w:t>
      </w:r>
    </w:p>
    <w:p>
      <w:pPr>
        <w:keepNext w:val="0"/>
        <w:keepLines w:val="0"/>
        <w:pageBreakBefore w:val="0"/>
        <w:kinsoku/>
        <w:wordWrap/>
        <w:overflowPunct/>
        <w:topLinePunct w:val="0"/>
        <w:bidi w:val="0"/>
        <w:adjustRightInd w:val="0"/>
        <w:snapToGrid w:val="0"/>
        <w:spacing w:line="44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评标标准相应的商务技术资料；</w:t>
      </w:r>
    </w:p>
    <w:p>
      <w:pPr>
        <w:keepNext w:val="0"/>
        <w:keepLines w:val="0"/>
        <w:pageBreakBefore w:val="0"/>
        <w:kinsoku/>
        <w:wordWrap/>
        <w:overflowPunct/>
        <w:topLinePunct w:val="0"/>
        <w:bidi w:val="0"/>
        <w:adjustRightInd w:val="0"/>
        <w:snapToGrid w:val="0"/>
        <w:spacing w:line="44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投标标的清单；</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商务技术偏离表；</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zh-CN"/>
        </w:rPr>
        <w:t>政府采购供应商廉洁自律承诺书；</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u w:val="single"/>
          <w:lang w:val="zh-CN"/>
        </w:rPr>
      </w:pPr>
      <w:r>
        <w:rPr>
          <w:rFonts w:hint="eastAsia" w:ascii="宋体" w:hAnsi="宋体" w:eastAsia="宋体" w:cs="宋体"/>
          <w:color w:val="auto"/>
          <w:kern w:val="0"/>
          <w:sz w:val="24"/>
          <w:szCs w:val="24"/>
          <w:highlight w:val="none"/>
          <w:lang w:val="zh-CN"/>
        </w:rPr>
        <w:t>11.</w:t>
      </w:r>
      <w:r>
        <w:rPr>
          <w:rFonts w:hint="eastAsia" w:ascii="宋体" w:hAnsi="宋体" w:eastAsia="宋体" w:cs="宋体"/>
          <w:color w:val="auto"/>
          <w:kern w:val="0"/>
          <w:sz w:val="24"/>
          <w:szCs w:val="24"/>
          <w:highlight w:val="none"/>
        </w:rPr>
        <w:t>3</w:t>
      </w:r>
      <w:r>
        <w:rPr>
          <w:rFonts w:hint="eastAsia" w:ascii="宋体" w:hAnsi="宋体" w:eastAsia="宋体" w:cs="宋体"/>
          <w:b/>
          <w:color w:val="auto"/>
          <w:sz w:val="24"/>
          <w:szCs w:val="24"/>
          <w:highlight w:val="none"/>
        </w:rPr>
        <w:t>报价文件：</w:t>
      </w:r>
      <w:r>
        <w:rPr>
          <w:rFonts w:hint="eastAsia" w:ascii="宋体" w:hAnsi="宋体" w:eastAsia="宋体" w:cs="宋体"/>
          <w:color w:val="auto"/>
          <w:sz w:val="24"/>
          <w:szCs w:val="24"/>
          <w:highlight w:val="none"/>
        </w:rPr>
        <w:t xml:space="preserve"> </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11.3.1开标一览表（报价表）；</w:t>
      </w:r>
    </w:p>
    <w:p>
      <w:pPr>
        <w:keepNext w:val="0"/>
        <w:keepLines w:val="0"/>
        <w:pageBreakBefore w:val="0"/>
        <w:kinsoku/>
        <w:wordWrap/>
        <w:overflowPunct/>
        <w:topLinePunct w:val="0"/>
        <w:bidi w:val="0"/>
        <w:adjustRightInd w:val="0"/>
        <w:snapToGrid w:val="0"/>
        <w:spacing w:line="440" w:lineRule="exact"/>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11.3.2中小企业声明函。（如果有)</w:t>
      </w:r>
    </w:p>
    <w:p>
      <w:pPr>
        <w:keepNext w:val="0"/>
        <w:keepLines w:val="0"/>
        <w:pageBreakBefore w:val="0"/>
        <w:kinsoku/>
        <w:wordWrap/>
        <w:overflowPunct/>
        <w:topLinePunct w:val="0"/>
        <w:bidi w:val="0"/>
        <w:adjustRightInd w:val="0"/>
        <w:spacing w:line="440" w:lineRule="exact"/>
        <w:ind w:firstLine="723" w:firstLineChars="3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投标文件含有采购人不能接受的附加条件的，投标无效；</w:t>
      </w:r>
    </w:p>
    <w:p>
      <w:pPr>
        <w:keepNext w:val="0"/>
        <w:keepLines w:val="0"/>
        <w:pageBreakBefore w:val="0"/>
        <w:kinsoku/>
        <w:wordWrap/>
        <w:overflowPunct/>
        <w:topLinePunct w:val="0"/>
        <w:bidi w:val="0"/>
        <w:adjustRightInd w:val="0"/>
        <w:spacing w:line="440" w:lineRule="exact"/>
        <w:ind w:firstLine="723" w:firstLineChars="3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投标人提供虚假材料投标的，投标无效。</w:t>
      </w:r>
    </w:p>
    <w:p>
      <w:pPr>
        <w:pStyle w:val="128"/>
        <w:keepNext w:val="0"/>
        <w:keepLines w:val="0"/>
        <w:pageBreakBefore w:val="0"/>
        <w:kinsoku/>
        <w:wordWrap/>
        <w:overflowPunct/>
        <w:topLinePunct w:val="0"/>
        <w:bidi w:val="0"/>
        <w:adjustRightInd w:val="0"/>
        <w:snapToGrid w:val="0"/>
        <w:spacing w:before="0" w:line="440" w:lineRule="exact"/>
        <w:ind w:firstLine="0" w:firstLine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w:t>
      </w:r>
      <w:r>
        <w:rPr>
          <w:rFonts w:hint="eastAsia" w:ascii="宋体" w:hAnsi="宋体" w:eastAsia="宋体" w:cs="宋体"/>
          <w:b/>
          <w:color w:val="auto"/>
          <w:kern w:val="0"/>
          <w:sz w:val="24"/>
          <w:szCs w:val="24"/>
          <w:highlight w:val="none"/>
          <w:lang w:val="zh-CN"/>
        </w:rPr>
        <w:t xml:space="preserve">. </w:t>
      </w:r>
      <w:r>
        <w:rPr>
          <w:rFonts w:hint="eastAsia" w:ascii="宋体" w:hAnsi="宋体" w:eastAsia="宋体" w:cs="宋体"/>
          <w:b/>
          <w:color w:val="auto"/>
          <w:sz w:val="24"/>
          <w:szCs w:val="24"/>
          <w:highlight w:val="none"/>
        </w:rPr>
        <w:t>投标文件的编制</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12.3使用“政采云电子交易客户端”需要提前申领CA数字证书，申领流程请自行前往“浙江政府采购网-下载专区-电子交易客户端-CA驱动和申领流程”进行查阅。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adjustRightInd w:val="0"/>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13.投标文件的签署、盖章</w:t>
      </w:r>
    </w:p>
    <w:p>
      <w:pPr>
        <w:pStyle w:val="128"/>
        <w:keepNext w:val="0"/>
        <w:keepLines w:val="0"/>
        <w:pageBreakBefore w:val="0"/>
        <w:kinsoku/>
        <w:wordWrap/>
        <w:overflowPunct/>
        <w:topLinePunct w:val="0"/>
        <w:bidi w:val="0"/>
        <w:adjustRightInd w:val="0"/>
        <w:snapToGrid w:val="0"/>
        <w:spacing w:before="0" w:line="440" w:lineRule="exact"/>
        <w:ind w:firstLine="48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13.1投标文件按照招标文件第六部分格式要求进行签署、盖章。</w:t>
      </w:r>
      <w:r>
        <w:rPr>
          <w:rFonts w:hint="eastAsia" w:ascii="宋体" w:hAnsi="宋体" w:eastAsia="宋体" w:cs="宋体"/>
          <w:b/>
          <w:color w:val="auto"/>
          <w:sz w:val="24"/>
          <w:szCs w:val="24"/>
          <w:highlight w:val="none"/>
        </w:rPr>
        <w:t>▲投标人的投标文件未按照招标文件要求签署、盖章的，其投标无效</w:t>
      </w:r>
      <w:r>
        <w:rPr>
          <w:rFonts w:hint="eastAsia" w:ascii="宋体" w:hAnsi="宋体" w:eastAsia="宋体" w:cs="宋体"/>
          <w:color w:val="auto"/>
          <w:sz w:val="24"/>
          <w:szCs w:val="24"/>
          <w:highlight w:val="none"/>
        </w:rPr>
        <w:t>。</w:t>
      </w:r>
    </w:p>
    <w:p>
      <w:pPr>
        <w:pStyle w:val="128"/>
        <w:keepNext w:val="0"/>
        <w:keepLines w:val="0"/>
        <w:pageBreakBefore w:val="0"/>
        <w:kinsoku/>
        <w:wordWrap/>
        <w:overflowPunct/>
        <w:topLinePunct w:val="0"/>
        <w:bidi w:val="0"/>
        <w:adjustRightInd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13.2为确保网上操作合法、有效和安全，投标人应当在投标截止时间前完成在“政府采购云平台”的身份认证，确保在电子投标过程中能够对相关数据电文进行加密和使用电子签名。</w:t>
      </w:r>
    </w:p>
    <w:p>
      <w:pPr>
        <w:pStyle w:val="128"/>
        <w:keepNext w:val="0"/>
        <w:keepLines w:val="0"/>
        <w:pageBreakBefore w:val="0"/>
        <w:kinsoku/>
        <w:wordWrap/>
        <w:overflowPunct/>
        <w:topLinePunct w:val="0"/>
        <w:bidi w:val="0"/>
        <w:adjustRightInd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13.3招标文件对投标文件签署、盖章的要求适用于电子签名。</w:t>
      </w:r>
    </w:p>
    <w:p>
      <w:pPr>
        <w:pStyle w:val="128"/>
        <w:keepNext w:val="0"/>
        <w:keepLines w:val="0"/>
        <w:pageBreakBefore w:val="0"/>
        <w:kinsoku/>
        <w:wordWrap/>
        <w:overflowPunct/>
        <w:topLinePunct w:val="0"/>
        <w:bidi w:val="0"/>
        <w:adjustRightInd w:val="0"/>
        <w:spacing w:before="0"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14. 投标文件的提交、补充、修改、撤回</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可以视情况延长投标文件提交的截止时间。在上述情况下，</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与投标人以前在投标截止期方面的全部权利、责任和义务，将适用于延长至新的投标截止期。</w:t>
      </w:r>
    </w:p>
    <w:p>
      <w:pPr>
        <w:pStyle w:val="34"/>
        <w:keepNext w:val="0"/>
        <w:keepLines w:val="0"/>
        <w:pageBreakBefore w:val="0"/>
        <w:kinsoku/>
        <w:wordWrap/>
        <w:overflowPunct/>
        <w:topLinePunct w:val="0"/>
        <w:bidi w:val="0"/>
        <w:adjustRightIn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pPr>
        <w:pStyle w:val="34"/>
        <w:keepNext w:val="0"/>
        <w:keepLines w:val="0"/>
        <w:pageBreakBefore w:val="0"/>
        <w:kinsoku/>
        <w:wordWrap/>
        <w:overflowPunct/>
        <w:topLinePunct w:val="0"/>
        <w:bidi w:val="0"/>
        <w:adjustRightInd w:val="0"/>
        <w:spacing w:line="440" w:lineRule="exact"/>
        <w:ind w:firstLine="360" w:firstLineChars="15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p>
      <w:pPr>
        <w:pStyle w:val="34"/>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15.2备份投标文件须在“政采云投标客户端”制作生成，并储存在DVD光盘</w:t>
      </w:r>
      <w:r>
        <w:rPr>
          <w:rFonts w:hint="eastAsia" w:ascii="宋体" w:hAnsi="宋体" w:eastAsia="宋体" w:cs="宋体"/>
          <w:color w:val="auto"/>
          <w:sz w:val="24"/>
          <w:szCs w:val="24"/>
          <w:highlight w:val="none"/>
          <w:lang w:val="en-US" w:eastAsia="zh-CN"/>
        </w:rPr>
        <w:t>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szCs w:val="24"/>
          <w:highlight w:val="none"/>
        </w:rPr>
        <w:t>不符合上述制作、存储、密封规定的备份投标文件将被视为无效或者被拒绝接收。</w:t>
      </w:r>
    </w:p>
    <w:p>
      <w:pPr>
        <w:pStyle w:val="34"/>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w:t>
      </w:r>
    </w:p>
    <w:p>
      <w:pPr>
        <w:pStyle w:val="34"/>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将拒绝接受逾期送达的备份投标文件。邮寄过程中，电子备份投标文件发生泄露、遗失、损坏或延期送达等情况的，由投标人自行负责。</w:t>
      </w:r>
    </w:p>
    <w:p>
      <w:pPr>
        <w:pStyle w:val="34"/>
        <w:keepNext w:val="0"/>
        <w:keepLines w:val="0"/>
        <w:pageBreakBefore w:val="0"/>
        <w:kinsoku/>
        <w:wordWrap/>
        <w:overflowPunct/>
        <w:topLinePunct w:val="0"/>
        <w:bidi w:val="0"/>
        <w:adjustRightInd w:val="0"/>
        <w:spacing w:line="440" w:lineRule="exact"/>
        <w:ind w:firstLine="479" w:firstLine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pPr>
        <w:pStyle w:val="128"/>
        <w:keepNext w:val="0"/>
        <w:keepLines w:val="0"/>
        <w:pageBreakBefore w:val="0"/>
        <w:kinsoku/>
        <w:wordWrap/>
        <w:overflowPunct/>
        <w:topLinePunct w:val="0"/>
        <w:bidi w:val="0"/>
        <w:adjustRightInd w:val="0"/>
        <w:spacing w:before="0"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16.投标文件的无效处理</w:t>
      </w:r>
    </w:p>
    <w:p>
      <w:pPr>
        <w:pStyle w:val="9"/>
        <w:keepNext w:val="0"/>
        <w:keepLines w:val="0"/>
        <w:pageBreakBefore w:val="0"/>
        <w:kinsoku/>
        <w:wordWrap/>
        <w:overflowPunct/>
        <w:topLinePunct w:val="0"/>
        <w:bidi w:val="0"/>
        <w:adjustRightInd w:val="0"/>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有招标文件第四部分</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4.2规定的情形之一的，投标无效：</w:t>
      </w:r>
    </w:p>
    <w:p>
      <w:pPr>
        <w:pStyle w:val="128"/>
        <w:keepNext w:val="0"/>
        <w:keepLines w:val="0"/>
        <w:pageBreakBefore w:val="0"/>
        <w:kinsoku/>
        <w:wordWrap/>
        <w:overflowPunct/>
        <w:topLinePunct w:val="0"/>
        <w:bidi w:val="0"/>
        <w:adjustRightInd w:val="0"/>
        <w:spacing w:before="0"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17.投标有效期</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17.1投标有效期为从提交投标文件的截止之日起90天。▲</w:t>
      </w:r>
      <w:r>
        <w:rPr>
          <w:rFonts w:hint="eastAsia" w:ascii="宋体" w:hAnsi="宋体" w:eastAsia="宋体" w:cs="宋体"/>
          <w:b/>
          <w:color w:val="auto"/>
          <w:sz w:val="24"/>
          <w:szCs w:val="24"/>
          <w:highlight w:val="none"/>
        </w:rPr>
        <w:t>投标人的投标文件中承诺的投标有效期少于招标文件中载明的投标有效期的，投标无效。</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17.2投标文件合格投递后，自投标截止日期起，在投标有效期内有效。</w:t>
      </w:r>
    </w:p>
    <w:p>
      <w:pPr>
        <w:pStyle w:val="128"/>
        <w:keepNext w:val="0"/>
        <w:keepLines w:val="0"/>
        <w:pageBreakBefore w:val="0"/>
        <w:kinsoku/>
        <w:wordWrap/>
        <w:overflowPunct/>
        <w:topLinePunct w:val="0"/>
        <w:bidi w:val="0"/>
        <w:adjustRightIn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17.3在原定投标有效期满之前，如果出现特殊情况，</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可以以书面形式通知投标人延长投标有效期。投标人同意延长的，不得要求或被允许修改其投标文件，投标人拒绝延长的，其投标无效。</w:t>
      </w:r>
    </w:p>
    <w:p>
      <w:pPr>
        <w:pStyle w:val="128"/>
        <w:keepNext w:val="0"/>
        <w:keepLines w:val="0"/>
        <w:pageBreakBefore w:val="0"/>
        <w:kinsoku/>
        <w:wordWrap/>
        <w:overflowPunct/>
        <w:topLinePunct w:val="0"/>
        <w:bidi w:val="0"/>
        <w:adjustRightInd w:val="0"/>
        <w:spacing w:before="0" w:line="440" w:lineRule="exact"/>
        <w:ind w:firstLine="643"/>
        <w:textAlignment w:val="auto"/>
        <w:rPr>
          <w:rFonts w:hint="eastAsia" w:ascii="宋体" w:hAnsi="宋体" w:eastAsia="宋体" w:cs="宋体"/>
          <w:b/>
          <w:color w:val="auto"/>
          <w:sz w:val="24"/>
          <w:szCs w:val="24"/>
          <w:highlight w:val="none"/>
        </w:rPr>
      </w:pPr>
    </w:p>
    <w:p>
      <w:pPr>
        <w:pStyle w:val="128"/>
        <w:spacing w:before="0" w:line="240" w:lineRule="auto"/>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pPr>
        <w:pStyle w:val="554"/>
        <w:keepNext w:val="0"/>
        <w:keepLines w:val="0"/>
        <w:pageBreakBefore w:val="0"/>
        <w:kinsoku/>
        <w:wordWrap/>
        <w:overflowPunct/>
        <w:topLinePunct w:val="0"/>
        <w:bidi w:val="0"/>
        <w:adjustRightInd w:val="0"/>
        <w:spacing w:before="0" w:beforeAutospacing="0" w:line="440" w:lineRule="exact"/>
        <w:ind w:left="0" w:firstLine="241" w:firstLineChars="100"/>
        <w:contextualSpacing/>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pPr>
        <w:pStyle w:val="554"/>
        <w:keepNext w:val="0"/>
        <w:keepLines w:val="0"/>
        <w:pageBreakBefore w:val="0"/>
        <w:kinsoku/>
        <w:wordWrap/>
        <w:overflowPunct/>
        <w:topLinePunct w:val="0"/>
        <w:bidi w:val="0"/>
        <w:adjustRightInd w:val="0"/>
        <w:spacing w:before="0" w:beforeAutospacing="0" w:line="440" w:lineRule="exact"/>
        <w:ind w:left="0"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按照招标文件规定的时间通过电子交易平台组织开标，所有投标人均应当准时在线参加。投标人不足3家的，不得开标。</w:t>
      </w:r>
    </w:p>
    <w:p>
      <w:pPr>
        <w:pStyle w:val="554"/>
        <w:keepNext w:val="0"/>
        <w:keepLines w:val="0"/>
        <w:pageBreakBefore w:val="0"/>
        <w:kinsoku/>
        <w:wordWrap/>
        <w:overflowPunct/>
        <w:topLinePunct w:val="0"/>
        <w:bidi w:val="0"/>
        <w:adjustRightInd w:val="0"/>
        <w:spacing w:before="0" w:beforeAutospacing="0" w:line="440" w:lineRule="exact"/>
        <w:ind w:left="0" w:firstLine="240" w:firstLineChars="1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依托电子交易平台发起开始解密指令，投标人按照平台提示和招标文件的规定在半小时内完成在线解密。</w:t>
      </w:r>
    </w:p>
    <w:p>
      <w:pPr>
        <w:pStyle w:val="554"/>
        <w:keepNext w:val="0"/>
        <w:keepLines w:val="0"/>
        <w:pageBreakBefore w:val="0"/>
        <w:kinsoku/>
        <w:wordWrap/>
        <w:overflowPunct/>
        <w:topLinePunct w:val="0"/>
        <w:bidi w:val="0"/>
        <w:adjustRightInd w:val="0"/>
        <w:spacing w:before="0" w:beforeAutospacing="0" w:line="440" w:lineRule="exact"/>
        <w:ind w:left="0" w:firstLine="240" w:firstLineChars="100"/>
        <w:contextualSpacing/>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bidi w:val="0"/>
        <w:adjustRightInd w:val="0"/>
        <w:spacing w:beforeAutospacing="0" w:line="440" w:lineRule="exact"/>
        <w:jc w:val="left"/>
        <w:textAlignment w:val="auto"/>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19、资格审查</w:t>
      </w:r>
    </w:p>
    <w:p>
      <w:pPr>
        <w:keepNext w:val="0"/>
        <w:keepLines w:val="0"/>
        <w:pageBreakBefore w:val="0"/>
        <w:kinsoku/>
        <w:wordWrap/>
        <w:overflowPunct/>
        <w:topLinePunct w:val="0"/>
        <w:bidi w:val="0"/>
        <w:adjustRightInd w:val="0"/>
        <w:snapToGrid w:val="0"/>
        <w:spacing w:beforeAutospacing="0"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sz w:val="24"/>
          <w:highlight w:val="none"/>
        </w:rPr>
        <w:t>采购人或</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依据法律法规和招标文件的规定，对投标人的资格进行审查。</w:t>
      </w:r>
    </w:p>
    <w:p>
      <w:pPr>
        <w:pStyle w:val="128"/>
        <w:keepNext w:val="0"/>
        <w:keepLines w:val="0"/>
        <w:pageBreakBefore w:val="0"/>
        <w:kinsoku/>
        <w:wordWrap/>
        <w:overflowPunct/>
        <w:topLinePunct w:val="0"/>
        <w:bidi w:val="0"/>
        <w:adjustRightInd w:val="0"/>
        <w:spacing w:before="0" w:beforeAutospacing="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kern w:val="0"/>
          <w:szCs w:val="24"/>
          <w:highlight w:val="none"/>
          <w:lang w:val="en-US" w:eastAsia="zh-CN"/>
        </w:rPr>
        <w:t>2</w:t>
      </w:r>
      <w:r>
        <w:rPr>
          <w:rFonts w:hint="eastAsia" w:ascii="宋体" w:hAnsi="宋体" w:eastAsia="宋体" w:cs="宋体"/>
          <w:color w:val="auto"/>
          <w:kern w:val="0"/>
          <w:szCs w:val="24"/>
          <w:highlight w:val="none"/>
        </w:rPr>
        <w:t>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pPr>
        <w:pStyle w:val="128"/>
        <w:keepNext w:val="0"/>
        <w:keepLines w:val="0"/>
        <w:pageBreakBefore w:val="0"/>
        <w:kinsoku/>
        <w:wordWrap/>
        <w:overflowPunct/>
        <w:topLinePunct w:val="0"/>
        <w:bidi w:val="0"/>
        <w:adjustRightInd w:val="0"/>
        <w:spacing w:before="0" w:beforeAutospacing="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对未通过资格审查的投标人，采购人或</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告知其未通过的原因。</w:t>
      </w:r>
    </w:p>
    <w:p>
      <w:pPr>
        <w:pStyle w:val="128"/>
        <w:keepNext w:val="0"/>
        <w:keepLines w:val="0"/>
        <w:pageBreakBefore w:val="0"/>
        <w:kinsoku/>
        <w:wordWrap/>
        <w:overflowPunct/>
        <w:topLinePunct w:val="0"/>
        <w:bidi w:val="0"/>
        <w:adjustRightInd w:val="0"/>
        <w:spacing w:before="0" w:beforeAutospacing="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合格投标人不足3家的，不再评标。</w:t>
      </w:r>
    </w:p>
    <w:p>
      <w:pPr>
        <w:pStyle w:val="128"/>
        <w:keepNext w:val="0"/>
        <w:keepLines w:val="0"/>
        <w:pageBreakBefore w:val="0"/>
        <w:kinsoku/>
        <w:wordWrap/>
        <w:overflowPunct/>
        <w:topLinePunct w:val="0"/>
        <w:bidi w:val="0"/>
        <w:adjustRightInd w:val="0"/>
        <w:spacing w:before="0" w:beforeAutospacing="0" w:line="440" w:lineRule="exact"/>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pPr>
        <w:pStyle w:val="128"/>
        <w:keepNext w:val="0"/>
        <w:keepLines w:val="0"/>
        <w:pageBreakBefore w:val="0"/>
        <w:kinsoku/>
        <w:wordWrap/>
        <w:overflowPunct/>
        <w:topLinePunct w:val="0"/>
        <w:bidi w:val="0"/>
        <w:adjustRightInd w:val="0"/>
        <w:spacing w:before="0" w:beforeAutospacing="0" w:line="440" w:lineRule="exact"/>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将在资格审查时通过“信用中国”网站(www.creditchina.gov.cn)、中国政府采购网(www.ccgp.gov.cn)渠道查询投标人接受资格审查时的信用记录。</w:t>
      </w:r>
    </w:p>
    <w:p>
      <w:pPr>
        <w:pStyle w:val="128"/>
        <w:keepNext w:val="0"/>
        <w:keepLines w:val="0"/>
        <w:pageBreakBefore w:val="0"/>
        <w:kinsoku/>
        <w:wordWrap/>
        <w:overflowPunct/>
        <w:topLinePunct w:val="0"/>
        <w:bidi w:val="0"/>
        <w:adjustRightInd w:val="0"/>
        <w:spacing w:before="0" w:beforeAutospacing="0" w:line="440" w:lineRule="exact"/>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pPr>
        <w:pStyle w:val="128"/>
        <w:keepNext w:val="0"/>
        <w:keepLines w:val="0"/>
        <w:pageBreakBefore w:val="0"/>
        <w:kinsoku/>
        <w:wordWrap/>
        <w:overflowPunct/>
        <w:topLinePunct w:val="0"/>
        <w:bidi w:val="0"/>
        <w:adjustRightInd w:val="0"/>
        <w:spacing w:before="0" w:beforeAutospacing="0" w:line="440" w:lineRule="exact"/>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w:t>
      </w:r>
      <w:r>
        <w:rPr>
          <w:rFonts w:hint="eastAsia" w:ascii="宋体" w:hAnsi="宋体" w:eastAsia="宋体" w:cs="宋体"/>
          <w:color w:val="auto"/>
          <w:kern w:val="0"/>
          <w:szCs w:val="24"/>
          <w:highlight w:val="none"/>
          <w:lang w:eastAsia="zh-CN"/>
        </w:rPr>
        <w:t>重大税收违法失信主体</w:t>
      </w:r>
      <w:r>
        <w:rPr>
          <w:rFonts w:hint="eastAsia" w:ascii="宋体" w:hAnsi="宋体" w:eastAsia="宋体" w:cs="宋体"/>
          <w:color w:val="auto"/>
          <w:kern w:val="0"/>
          <w:szCs w:val="24"/>
          <w:highlight w:val="none"/>
        </w:rPr>
        <w:t>、政府采购严重违法失信行为记录名单的投标人将被拒绝参与政府采购活动。</w:t>
      </w:r>
    </w:p>
    <w:p>
      <w:pPr>
        <w:pStyle w:val="128"/>
        <w:keepNext w:val="0"/>
        <w:keepLines w:val="0"/>
        <w:pageBreakBefore w:val="0"/>
        <w:kinsoku/>
        <w:wordWrap/>
        <w:overflowPunct/>
        <w:topLinePunct w:val="0"/>
        <w:bidi w:val="0"/>
        <w:adjustRightInd w:val="0"/>
        <w:spacing w:before="0" w:beforeAutospacing="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pPr>
        <w:pStyle w:val="128"/>
        <w:keepNext w:val="0"/>
        <w:keepLines w:val="0"/>
        <w:pageBreakBefore w:val="0"/>
        <w:kinsoku/>
        <w:wordWrap/>
        <w:overflowPunct/>
        <w:topLinePunct w:val="0"/>
        <w:bidi w:val="0"/>
        <w:adjustRightInd w:val="0"/>
        <w:spacing w:before="0" w:beforeAutospacing="0" w:line="440" w:lineRule="exact"/>
        <w:ind w:firstLine="0" w:firstLineChars="0"/>
        <w:textAlignment w:val="auto"/>
        <w:rPr>
          <w:rFonts w:hint="eastAsia" w:ascii="宋体" w:hAnsi="宋体" w:eastAsia="宋体" w:cs="宋体"/>
          <w:color w:val="auto"/>
          <w:kern w:val="0"/>
          <w:szCs w:val="24"/>
          <w:highlight w:val="none"/>
        </w:rPr>
      </w:pPr>
    </w:p>
    <w:p>
      <w:pPr>
        <w:snapToGrid w:val="0"/>
        <w:spacing w:line="24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五、评标</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b/>
          <w:color w:val="auto"/>
          <w:sz w:val="24"/>
          <w:szCs w:val="24"/>
          <w:highlight w:val="none"/>
        </w:rPr>
      </w:pPr>
      <w:bookmarkStart w:id="17" w:name="_Toc91899903"/>
      <w:r>
        <w:rPr>
          <w:rFonts w:hint="eastAsia" w:ascii="宋体" w:hAnsi="宋体" w:eastAsia="宋体" w:cs="宋体"/>
          <w:b/>
          <w:color w:val="auto"/>
          <w:sz w:val="24"/>
          <w:szCs w:val="24"/>
          <w:highlight w:val="none"/>
        </w:rPr>
        <w:t>21.</w:t>
      </w:r>
      <w:r>
        <w:rPr>
          <w:rFonts w:hint="eastAsia" w:ascii="宋体" w:hAnsi="宋体" w:eastAsia="宋体" w:cs="宋体"/>
          <w:color w:val="auto"/>
          <w:sz w:val="24"/>
          <w:szCs w:val="24"/>
          <w:highlight w:val="none"/>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szCs w:val="24"/>
          <w:highlight w:val="none"/>
        </w:rPr>
        <w:t>详见招标文件第四部分评标办法。</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b/>
          <w:color w:val="auto"/>
          <w:sz w:val="24"/>
          <w:szCs w:val="24"/>
          <w:highlight w:val="none"/>
        </w:rPr>
      </w:pPr>
    </w:p>
    <w:p>
      <w:pPr>
        <w:snapToGrid w:val="0"/>
        <w:spacing w:line="24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 标</w:t>
      </w:r>
    </w:p>
    <w:p>
      <w:pPr>
        <w:pStyle w:val="9"/>
        <w:keepNext w:val="0"/>
        <w:keepLines w:val="0"/>
        <w:pageBreakBefore w:val="0"/>
        <w:kinsoku/>
        <w:wordWrap/>
        <w:overflowPunct/>
        <w:topLinePunct w:val="0"/>
        <w:autoSpaceDE/>
        <w:autoSpaceDN/>
        <w:bidi w:val="0"/>
        <w:adjustRightInd w:val="0"/>
        <w:spacing w:line="440" w:lineRule="exact"/>
        <w:ind w:left="479" w:hanging="479"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 确定中标供应商</w:t>
      </w:r>
    </w:p>
    <w:p>
      <w:pPr>
        <w:pStyle w:val="128"/>
        <w:keepNext w:val="0"/>
        <w:keepLines w:val="0"/>
        <w:pageBreakBefore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keepNext w:val="0"/>
        <w:keepLines w:val="0"/>
        <w:pageBreakBefore w:val="0"/>
        <w:kinsoku/>
        <w:wordWrap/>
        <w:overflowPunct/>
        <w:topLinePunct w:val="0"/>
        <w:autoSpaceDE/>
        <w:autoSpaceDN/>
        <w:bidi w:val="0"/>
        <w:adjustRightInd w:val="0"/>
        <w:snapToGrid w:val="0"/>
        <w:spacing w:before="0"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23. 中标通知与中标结果公告</w:t>
      </w:r>
    </w:p>
    <w:p>
      <w:pPr>
        <w:keepNext w:val="0"/>
        <w:keepLines w:val="0"/>
        <w:pageBreakBefore w:val="0"/>
        <w:widowControl/>
        <w:shd w:val="clear" w:color="auto" w:fill="FFFFFF"/>
        <w:kinsoku/>
        <w:wordWrap/>
        <w:overflowPunct/>
        <w:topLinePunct w:val="0"/>
        <w:autoSpaceDE/>
        <w:autoSpaceDN/>
        <w:bidi w:val="0"/>
        <w:adjustRightInd w:val="0"/>
        <w:spacing w:line="44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23.1自中标人确定之日起2个工作日内，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通过电子交易平台向中标人发出中标通知书，同时编制发布采购结果公告。</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也可以以纸质形式进行中标通知。</w:t>
      </w:r>
    </w:p>
    <w:p>
      <w:pPr>
        <w:keepNext w:val="0"/>
        <w:keepLines w:val="0"/>
        <w:pageBreakBefore w:val="0"/>
        <w:widowControl/>
        <w:shd w:val="clear" w:color="auto" w:fill="FFFFFF"/>
        <w:kinsoku/>
        <w:wordWrap/>
        <w:overflowPunct/>
        <w:topLinePunct w:val="0"/>
        <w:autoSpaceDE/>
        <w:autoSpaceDN/>
        <w:bidi w:val="0"/>
        <w:adjustRightInd w:val="0"/>
        <w:spacing w:line="44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23.2中标结果公告内容包括采购人及其委托的</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keepNext w:val="0"/>
        <w:keepLines w:val="0"/>
        <w:pageBreakBefore w:val="0"/>
        <w:widowControl/>
        <w:shd w:val="clear" w:color="auto" w:fill="FFFFFF"/>
        <w:kinsoku/>
        <w:wordWrap/>
        <w:overflowPunct/>
        <w:topLinePunct w:val="0"/>
        <w:autoSpaceDE/>
        <w:autoSpaceDN/>
        <w:bidi w:val="0"/>
        <w:adjustRightInd w:val="0"/>
        <w:spacing w:line="44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23.3公告期限为1个工作日。</w:t>
      </w:r>
    </w:p>
    <w:p>
      <w:pPr>
        <w:keepNext w:val="0"/>
        <w:keepLines w:val="0"/>
        <w:pageBreakBefore w:val="0"/>
        <w:kinsoku/>
        <w:wordWrap/>
        <w:overflowPunct/>
        <w:topLinePunct w:val="0"/>
        <w:autoSpaceDE/>
        <w:autoSpaceDN/>
        <w:bidi w:val="0"/>
        <w:adjustRightInd w:val="0"/>
        <w:snapToGrid w:val="0"/>
        <w:spacing w:line="440" w:lineRule="exact"/>
        <w:ind w:left="120" w:leftChars="57" w:firstLine="361" w:firstLineChars="150"/>
        <w:jc w:val="center"/>
        <w:textAlignment w:val="auto"/>
        <w:rPr>
          <w:rFonts w:hint="eastAsia" w:ascii="宋体" w:hAnsi="宋体" w:eastAsia="宋体" w:cs="宋体"/>
          <w:b/>
          <w:color w:val="auto"/>
          <w:sz w:val="24"/>
          <w:szCs w:val="24"/>
          <w:highlight w:val="none"/>
        </w:rPr>
      </w:pPr>
    </w:p>
    <w:p>
      <w:pPr>
        <w:snapToGrid w:val="0"/>
        <w:spacing w:line="24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pPr>
        <w:pStyle w:val="9"/>
        <w:pageBreakBefore w:val="0"/>
        <w:kinsoku/>
        <w:wordWrap/>
        <w:overflowPunct/>
        <w:topLinePunct w:val="0"/>
        <w:autoSpaceDE/>
        <w:autoSpaceDN/>
        <w:bidi w:val="0"/>
        <w:spacing w:line="440" w:lineRule="exact"/>
        <w:ind w:left="479" w:hanging="479"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24. </w:t>
      </w:r>
      <w:r>
        <w:rPr>
          <w:rFonts w:hint="eastAsia" w:ascii="宋体" w:hAnsi="宋体" w:eastAsia="宋体" w:cs="宋体"/>
          <w:color w:val="auto"/>
          <w:sz w:val="24"/>
          <w:szCs w:val="24"/>
          <w:highlight w:val="none"/>
        </w:rPr>
        <w:t>合同主要条款详见第五部分拟签订的合同文本。</w:t>
      </w:r>
    </w:p>
    <w:p>
      <w:pPr>
        <w:pStyle w:val="9"/>
        <w:pageBreakBefore w:val="0"/>
        <w:kinsoku/>
        <w:wordWrap/>
        <w:overflowPunct/>
        <w:topLinePunct w:val="0"/>
        <w:autoSpaceDE/>
        <w:autoSpaceDN/>
        <w:bidi w:val="0"/>
        <w:spacing w:line="440" w:lineRule="exact"/>
        <w:ind w:left="479" w:hanging="479"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25. 合同的签订</w:t>
      </w:r>
    </w:p>
    <w:p>
      <w:pPr>
        <w:pageBreakBefore w:val="0"/>
        <w:widowControl/>
        <w:shd w:val="clear" w:color="auto" w:fill="FFFFFF"/>
        <w:kinsoku/>
        <w:wordWrap/>
        <w:overflowPunct/>
        <w:topLinePunct w:val="0"/>
        <w:autoSpaceDE/>
        <w:autoSpaceDN/>
        <w:bidi w:val="0"/>
        <w:spacing w:line="440" w:lineRule="exact"/>
        <w:ind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25.1</w:t>
      </w:r>
      <w:r>
        <w:rPr>
          <w:rFonts w:hint="eastAsia" w:ascii="宋体" w:hAnsi="宋体" w:eastAsia="宋体" w:cs="宋体"/>
          <w:color w:val="auto"/>
          <w:kern w:val="0"/>
          <w:sz w:val="24"/>
          <w:szCs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8"/>
        <w:pageBreakBefore w:val="0"/>
        <w:kinsoku/>
        <w:wordWrap/>
        <w:overflowPunct/>
        <w:topLinePunct w:val="0"/>
        <w:autoSpaceDE/>
        <w:autoSpaceDN/>
        <w:bidi w:val="0"/>
        <w:snapToGrid w:val="0"/>
        <w:spacing w:before="0" w:line="440" w:lineRule="exact"/>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8"/>
        <w:pageBreakBefore w:val="0"/>
        <w:kinsoku/>
        <w:wordWrap/>
        <w:overflowPunct/>
        <w:topLinePunct w:val="0"/>
        <w:autoSpaceDE/>
        <w:autoSpaceDN/>
        <w:bidi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25.3如签订合同并生效后，供应商无故拒绝或延期，除按照合同条款处理外，列入不良行为记录一次，并给予通报。</w:t>
      </w:r>
    </w:p>
    <w:p>
      <w:pPr>
        <w:pStyle w:val="128"/>
        <w:pageBreakBefore w:val="0"/>
        <w:kinsoku/>
        <w:wordWrap/>
        <w:overflowPunct/>
        <w:topLinePunct w:val="0"/>
        <w:autoSpaceDE/>
        <w:autoSpaceDN/>
        <w:bidi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25.4中标供应商拒绝与采购人签订合同的，采购人可以按照评审报告推荐的中标或者成交候选人名单排序，确定下一候选人为中标供应商，也可以重新开展政府采购活动。</w:t>
      </w:r>
    </w:p>
    <w:p>
      <w:pPr>
        <w:pStyle w:val="128"/>
        <w:pageBreakBefore w:val="0"/>
        <w:kinsoku/>
        <w:wordWrap/>
        <w:overflowPunct/>
        <w:topLinePunct w:val="0"/>
        <w:autoSpaceDE/>
        <w:autoSpaceDN/>
        <w:bidi w:val="0"/>
        <w:snapToGrid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25.5采购合同由采购人与中标供应商根据招标文件、投标文件等内容通过政府采购电子交易平台在线签订，自动备案。</w:t>
      </w:r>
    </w:p>
    <w:p>
      <w:pPr>
        <w:pStyle w:val="9"/>
        <w:pageBreakBefore w:val="0"/>
        <w:kinsoku/>
        <w:wordWrap/>
        <w:overflowPunct/>
        <w:topLinePunct w:val="0"/>
        <w:autoSpaceDE/>
        <w:autoSpaceDN/>
        <w:bidi w:val="0"/>
        <w:spacing w:line="440" w:lineRule="exact"/>
        <w:ind w:left="479" w:hanging="479" w:hanging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26. 履约保证金</w:t>
      </w:r>
    </w:p>
    <w:p>
      <w:pPr>
        <w:pageBreakBefore w:val="0"/>
        <w:tabs>
          <w:tab w:val="left" w:pos="0"/>
        </w:tabs>
        <w:kinsoku/>
        <w:wordWrap/>
        <w:overflowPunct/>
        <w:topLinePunct w:val="0"/>
        <w:autoSpaceDE/>
        <w:autoSpaceDN/>
        <w:bidi w:val="0"/>
        <w:spacing w:line="44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szCs w:val="24"/>
          <w:highlight w:val="none"/>
        </w:rPr>
        <w:t>。履约保证金的数额不得超过政府采购合同金额的1%，</w:t>
      </w:r>
      <w:r>
        <w:rPr>
          <w:rFonts w:hint="eastAsia" w:ascii="宋体" w:hAnsi="宋体" w:eastAsia="宋体" w:cs="宋体"/>
          <w:color w:val="auto"/>
          <w:kern w:val="2"/>
          <w:sz w:val="24"/>
          <w:szCs w:val="24"/>
          <w:highlight w:val="none"/>
        </w:rPr>
        <w:t>鼓励根据项目特点、供应商诚信等因素免收履约保证金或降低缴纳比例。</w:t>
      </w:r>
      <w:r>
        <w:rPr>
          <w:rFonts w:hint="eastAsia" w:ascii="宋体" w:hAnsi="宋体" w:eastAsia="宋体" w:cs="宋体"/>
          <w:color w:val="auto"/>
          <w:sz w:val="24"/>
          <w:szCs w:val="24"/>
          <w:highlight w:val="none"/>
        </w:rPr>
        <w:t>鼓励和支持供应商以银行、保险公司出具的保函形式提供履约保证金。采购人不得拒收履约保函，项目验收结束后应及时退还，延迟退还的，应当按照合同约定和法律规定承担相应的赔偿责任。</w:t>
      </w:r>
    </w:p>
    <w:p>
      <w:pPr>
        <w:pStyle w:val="6"/>
        <w:pageBreakBefore w:val="0"/>
        <w:kinsoku/>
        <w:wordWrap/>
        <w:overflowPunct/>
        <w:topLinePunct w:val="0"/>
        <w:autoSpaceDE/>
        <w:autoSpaceDN/>
        <w:bidi w:val="0"/>
        <w:spacing w:line="440" w:lineRule="exact"/>
        <w:ind w:left="0" w:firstLine="480" w:firstLineChars="200"/>
        <w:textAlignment w:val="auto"/>
        <w:rPr>
          <w:rFonts w:hint="eastAsia" w:ascii="宋体" w:hAnsi="宋体" w:eastAsia="宋体" w:cs="宋体"/>
          <w:b w:val="0"/>
          <w:bCs w:val="0"/>
          <w:snapToGrid w:val="0"/>
          <w:color w:val="auto"/>
          <w:kern w:val="28"/>
          <w:sz w:val="24"/>
          <w:szCs w:val="24"/>
          <w:highlight w:val="none"/>
        </w:rPr>
      </w:pPr>
      <w:r>
        <w:rPr>
          <w:rFonts w:hint="eastAsia" w:ascii="宋体" w:hAnsi="宋体" w:eastAsia="宋体" w:cs="宋体"/>
          <w:b w:val="0"/>
          <w:bCs w:val="0"/>
          <w:snapToGrid w:val="0"/>
          <w:color w:val="auto"/>
          <w:kern w:val="28"/>
          <w:sz w:val="24"/>
          <w:szCs w:val="24"/>
          <w:highlight w:val="none"/>
        </w:rPr>
        <w:t>供应商</w:t>
      </w:r>
      <w:r>
        <w:rPr>
          <w:rFonts w:hint="eastAsia" w:ascii="宋体" w:hAnsi="宋体" w:eastAsia="宋体" w:cs="宋体"/>
          <w:b w:val="0"/>
          <w:bCs w:val="0"/>
          <w:snapToGrid w:val="0"/>
          <w:color w:val="auto"/>
          <w:kern w:val="28"/>
          <w:sz w:val="24"/>
          <w:szCs w:val="24"/>
          <w:highlight w:val="none"/>
          <w:lang w:val="en-US"/>
        </w:rPr>
        <w:t>可</w:t>
      </w:r>
      <w:r>
        <w:rPr>
          <w:rFonts w:hint="eastAsia" w:ascii="宋体" w:hAnsi="宋体" w:eastAsia="宋体" w:cs="宋体"/>
          <w:b w:val="0"/>
          <w:bCs w:val="0"/>
          <w:snapToGrid w:val="0"/>
          <w:color w:val="auto"/>
          <w:kern w:val="28"/>
          <w:sz w:val="24"/>
          <w:szCs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6"/>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rPr>
        <w:t>27.预付款</w:t>
      </w:r>
    </w:p>
    <w:p>
      <w:pPr>
        <w:pageBreakBefore w:val="0"/>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采购单位应当在政府采购合同中约定预付款，对中小企业合同预付款比例原则上不低于合同金额的</w:t>
      </w:r>
      <w:r>
        <w:rPr>
          <w:rFonts w:hint="eastAsia" w:ascii="宋体" w:hAnsi="宋体" w:eastAsia="宋体" w:cs="宋体"/>
          <w:color w:val="auto"/>
          <w:kern w:val="2"/>
          <w:sz w:val="24"/>
          <w:szCs w:val="24"/>
          <w:highlight w:val="none"/>
          <w:lang w:val="en-US" w:eastAsia="zh-CN"/>
        </w:rPr>
        <w:t>50</w:t>
      </w:r>
      <w:r>
        <w:rPr>
          <w:rFonts w:hint="eastAsia" w:ascii="宋体" w:hAnsi="宋体" w:eastAsia="宋体" w:cs="宋体"/>
          <w:color w:val="auto"/>
          <w:kern w:val="2"/>
          <w:sz w:val="24"/>
          <w:szCs w:val="24"/>
          <w:highlight w:val="none"/>
        </w:rPr>
        <w:t>％，不高于合同金额的70%；项目分年安排预算的，每年预付款比例</w:t>
      </w:r>
      <w:r>
        <w:rPr>
          <w:rFonts w:hint="eastAsia" w:ascii="宋体" w:hAnsi="宋体" w:eastAsia="宋体" w:cs="宋体"/>
          <w:color w:val="auto"/>
          <w:sz w:val="24"/>
          <w:szCs w:val="24"/>
          <w:highlight w:val="none"/>
        </w:rPr>
        <w:t>不低于</w:t>
      </w:r>
      <w:r>
        <w:rPr>
          <w:rFonts w:hint="eastAsia" w:ascii="宋体" w:hAnsi="宋体" w:eastAsia="宋体" w:cs="宋体"/>
          <w:color w:val="auto"/>
          <w:kern w:val="2"/>
          <w:sz w:val="24"/>
          <w:szCs w:val="24"/>
          <w:highlight w:val="none"/>
        </w:rPr>
        <w:t>项目年度计划支付资金额的</w:t>
      </w:r>
      <w:r>
        <w:rPr>
          <w:rFonts w:hint="eastAsia" w:ascii="宋体" w:hAnsi="宋体" w:eastAsia="宋体" w:cs="宋体"/>
          <w:color w:val="auto"/>
          <w:kern w:val="2"/>
          <w:sz w:val="24"/>
          <w:szCs w:val="24"/>
          <w:highlight w:val="none"/>
          <w:lang w:val="en-US" w:eastAsia="zh-CN"/>
        </w:rPr>
        <w:t>50</w:t>
      </w:r>
      <w:r>
        <w:rPr>
          <w:rFonts w:hint="eastAsia" w:ascii="宋体" w:hAnsi="宋体" w:eastAsia="宋体" w:cs="宋体"/>
          <w:color w:val="auto"/>
          <w:kern w:val="2"/>
          <w:sz w:val="24"/>
          <w:szCs w:val="24"/>
          <w:highlight w:val="none"/>
        </w:rPr>
        <w:t>％，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szCs w:val="24"/>
          <w:highlight w:val="none"/>
        </w:rPr>
      </w:pPr>
    </w:p>
    <w:p>
      <w:pPr>
        <w:snapToGrid w:val="0"/>
        <w:spacing w:line="24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0" w:firstLineChars="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0"/>
          <w:highlight w:val="none"/>
        </w:rPr>
        <w:t>2</w:t>
      </w:r>
      <w:r>
        <w:rPr>
          <w:rFonts w:hint="eastAsia" w:ascii="宋体" w:hAnsi="宋体" w:eastAsia="宋体" w:cs="宋体"/>
          <w:b/>
          <w:bCs/>
          <w:color w:val="auto"/>
          <w:kern w:val="2"/>
          <w:sz w:val="24"/>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可中止电子交易活动：</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pPr>
        <w:pStyle w:val="128"/>
        <w:keepNext w:val="0"/>
        <w:keepLines w:val="0"/>
        <w:pageBreakBefore w:val="0"/>
        <w:widowControl w:val="0"/>
        <w:kinsoku/>
        <w:wordWrap/>
        <w:overflowPunct/>
        <w:topLinePunct w:val="0"/>
        <w:autoSpaceDE/>
        <w:autoSpaceDN/>
        <w:bidi w:val="0"/>
        <w:adjustRightInd w:val="0"/>
        <w:snapToGrid w:val="0"/>
        <w:spacing w:before="0" w:line="440" w:lineRule="exact"/>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widowControl w:val="0"/>
        <w:tabs>
          <w:tab w:val="left" w:pos="0"/>
        </w:tabs>
        <w:kinsoku/>
        <w:wordWrap/>
        <w:overflowPunct/>
        <w:topLinePunct w:val="0"/>
        <w:autoSpaceDE/>
        <w:autoSpaceDN/>
        <w:bidi w:val="0"/>
        <w:adjustRightInd w:val="0"/>
        <w:spacing w:line="440" w:lineRule="exact"/>
        <w:ind w:firstLine="480"/>
        <w:textAlignment w:val="auto"/>
        <w:rPr>
          <w:rFonts w:hint="eastAsia" w:ascii="宋体" w:hAnsi="宋体" w:eastAsia="宋体" w:cs="宋体"/>
          <w:color w:val="auto"/>
          <w:sz w:val="24"/>
          <w:highlight w:val="none"/>
        </w:rPr>
      </w:pPr>
    </w:p>
    <w:p>
      <w:pPr>
        <w:snapToGrid w:val="0"/>
        <w:spacing w:line="24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pPr>
        <w:pStyle w:val="9"/>
        <w:keepNext w:val="0"/>
        <w:keepLines w:val="0"/>
        <w:pageBreakBefore w:val="0"/>
        <w:widowControl w:val="0"/>
        <w:kinsoku/>
        <w:wordWrap/>
        <w:overflowPunct/>
        <w:topLinePunct w:val="0"/>
        <w:autoSpaceDE/>
        <w:autoSpaceDN/>
        <w:bidi w:val="0"/>
        <w:adjustRightInd w:val="0"/>
        <w:snapToGrid/>
        <w:spacing w:line="44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30.验收</w:t>
      </w:r>
    </w:p>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30.2采购人可以邀请参加本项目的其他投标人或者第三方机构参与验收。参与验收的投标人或者第三方机构的意见作为验收书的参考资料一并存档。</w:t>
      </w:r>
    </w:p>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7"/>
    <w:p>
      <w:pPr>
        <w:keepNext w:val="0"/>
        <w:keepLines w:val="0"/>
        <w:pageBreakBefore w:val="0"/>
        <w:widowControl w:val="0"/>
        <w:tabs>
          <w:tab w:val="left" w:pos="0"/>
        </w:tabs>
        <w:kinsoku/>
        <w:wordWrap/>
        <w:overflowPunct/>
        <w:topLinePunct w:val="0"/>
        <w:autoSpaceDE/>
        <w:autoSpaceDN/>
        <w:bidi w:val="0"/>
        <w:adjustRightInd w:val="0"/>
        <w:snapToGrid/>
        <w:spacing w:line="440" w:lineRule="exact"/>
        <w:ind w:firstLine="480"/>
        <w:textAlignment w:val="auto"/>
        <w:rPr>
          <w:rFonts w:hint="eastAsia" w:ascii="宋体" w:hAnsi="宋体" w:eastAsia="宋体" w:cs="宋体"/>
          <w:color w:val="auto"/>
          <w:kern w:val="0"/>
          <w:sz w:val="24"/>
          <w:szCs w:val="24"/>
          <w:highlight w:val="none"/>
        </w:rPr>
        <w:sectPr>
          <w:headerReference r:id="rId4" w:type="first"/>
          <w:footerReference r:id="rId7" w:type="first"/>
          <w:headerReference r:id="rId3" w:type="default"/>
          <w:footerReference r:id="rId5" w:type="default"/>
          <w:footerReference r:id="rId6" w:type="even"/>
          <w:pgSz w:w="11905" w:h="16838"/>
          <w:pgMar w:top="1417" w:right="1417" w:bottom="1417" w:left="1417" w:header="851" w:footer="992" w:gutter="0"/>
          <w:cols w:space="0" w:num="1"/>
          <w:titlePg/>
          <w:rtlGutter w:val="0"/>
          <w:docGrid w:linePitch="312" w:charSpace="0"/>
        </w:sectPr>
      </w:pPr>
      <w:bookmarkStart w:id="18" w:name="_Hlt74729768"/>
      <w:bookmarkEnd w:id="18"/>
      <w:bookmarkStart w:id="19" w:name="_Hlt68072998"/>
      <w:bookmarkEnd w:id="19"/>
      <w:bookmarkStart w:id="20" w:name="_Hlt68057669"/>
      <w:bookmarkEnd w:id="20"/>
      <w:bookmarkStart w:id="21" w:name="_Hlt68403820"/>
      <w:bookmarkEnd w:id="21"/>
      <w:bookmarkStart w:id="22" w:name="_Hlt75236101"/>
      <w:bookmarkEnd w:id="22"/>
      <w:bookmarkStart w:id="23" w:name="_Hlt75236011"/>
      <w:bookmarkEnd w:id="23"/>
      <w:bookmarkStart w:id="24" w:name="_Hlt75236290"/>
      <w:bookmarkEnd w:id="24"/>
      <w:bookmarkStart w:id="25" w:name="_Hlt74714665"/>
      <w:bookmarkEnd w:id="25"/>
      <w:bookmarkStart w:id="26" w:name="_Hlt68072990"/>
      <w:bookmarkEnd w:id="26"/>
      <w:bookmarkStart w:id="27" w:name="_Hlt68073093"/>
      <w:bookmarkEnd w:id="27"/>
      <w:bookmarkStart w:id="28" w:name="_Hlt74730295"/>
      <w:bookmarkEnd w:id="28"/>
      <w:bookmarkStart w:id="29" w:name="_Hlt74707468"/>
      <w:bookmarkEnd w:id="29"/>
    </w:p>
    <w:bookmarkEnd w:id="12"/>
    <w:bookmarkEnd w:id="13"/>
    <w:p>
      <w:pPr>
        <w:numPr>
          <w:ilvl w:val="0"/>
          <w:numId w:val="0"/>
        </w:numPr>
        <w:spacing w:line="480" w:lineRule="exact"/>
        <w:ind w:right="-178" w:rightChars="-85"/>
        <w:jc w:val="center"/>
        <w:rPr>
          <w:rFonts w:hint="eastAsia" w:ascii="宋体" w:hAnsi="宋体" w:eastAsia="宋体" w:cs="宋体"/>
          <w:b/>
          <w:color w:val="auto"/>
          <w:sz w:val="36"/>
          <w:szCs w:val="36"/>
          <w:highlight w:val="none"/>
        </w:rPr>
      </w:pPr>
      <w:bookmarkStart w:id="30" w:name="第四部分"/>
      <w:r>
        <w:rPr>
          <w:rFonts w:hint="eastAsia" w:ascii="宋体" w:hAnsi="宋体" w:cs="宋体"/>
          <w:b/>
          <w:color w:val="auto"/>
          <w:sz w:val="36"/>
          <w:szCs w:val="36"/>
          <w:highlight w:val="none"/>
          <w:lang w:val="en-US" w:eastAsia="zh-CN"/>
        </w:rPr>
        <w:t xml:space="preserve">第三部分 </w:t>
      </w:r>
      <w:r>
        <w:rPr>
          <w:rFonts w:hint="eastAsia" w:ascii="宋体" w:hAnsi="宋体" w:eastAsia="宋体" w:cs="宋体"/>
          <w:b/>
          <w:color w:val="auto"/>
          <w:sz w:val="36"/>
          <w:szCs w:val="36"/>
          <w:highlight w:val="none"/>
        </w:rPr>
        <w:t>采购需求</w:t>
      </w:r>
    </w:p>
    <w:p>
      <w:pPr>
        <w:adjustRightInd w:val="0"/>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（一）项目背景</w:t>
      </w:r>
    </w:p>
    <w:p>
      <w:pPr>
        <w:adjustRightInd w:val="0"/>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根据浙江省水文管理中心2019年9月发布的《浙江省水文管理中心关于印发〈浙江省行政交接断面水文监测站建设指导方案〉的通知》（浙水文[2019]46号），2019年12月发布的《浙江水文补短板实施方案》（2020-2022年）的要求。根据《中共浙江省委办公厅 浙江省人民政府办公厅 关于印发&lt;浙江省高水平全面建成小康社会补短板工作清单&gt;的通知》（浙委办发[2019]66号）的要求，结合我市的实际情况，建德市“水文测报能力提升”项目建设内容包括五大工程建设，水文补短板建设。本次采购内容的相关技术要求应满足《浙江省水文管理中心关于印发水文补短板建设技术指导意见的通知》浙水文 2020【6 号】和《建德市水文五大工程建设实施方案（2020-2022年度）》要求。</w:t>
      </w:r>
    </w:p>
    <w:p>
      <w:pPr>
        <w:pStyle w:val="2"/>
        <w:adjustRightInd w:val="0"/>
        <w:spacing w:line="240" w:lineRule="auto"/>
        <w:ind w:left="420" w:leftChars="200" w:firstLine="0" w:firstLineChars="0"/>
        <w:rPr>
          <w:rFonts w:hint="eastAsia" w:ascii="宋体" w:hAnsi="宋体" w:eastAsia="宋体" w:cs="宋体"/>
          <w:b/>
          <w:sz w:val="28"/>
          <w:szCs w:val="28"/>
          <w:highlight w:val="none"/>
        </w:rPr>
      </w:pPr>
      <w:r>
        <w:rPr>
          <w:rFonts w:hint="eastAsia" w:ascii="宋体" w:hAnsi="宋体" w:eastAsia="宋体" w:cs="宋体"/>
          <w:b/>
          <w:sz w:val="28"/>
          <w:szCs w:val="28"/>
          <w:highlight w:val="none"/>
        </w:rPr>
        <w:t>（二）采购内容</w:t>
      </w:r>
    </w:p>
    <w:p>
      <w:pPr>
        <w:pStyle w:val="2"/>
        <w:adjustRightInd w:val="0"/>
        <w:spacing w:line="240" w:lineRule="auto"/>
        <w:ind w:left="420" w:leftChars="200" w:firstLine="0" w:firstLineChars="0"/>
        <w:rPr>
          <w:rFonts w:hint="eastAsia" w:ascii="宋体" w:hAnsi="宋体" w:eastAsia="宋体" w:cs="宋体"/>
          <w:b/>
          <w:sz w:val="28"/>
          <w:szCs w:val="28"/>
          <w:highlight w:val="none"/>
        </w:rPr>
      </w:pPr>
      <w:r>
        <w:rPr>
          <w:rFonts w:hint="eastAsia" w:ascii="宋体" w:hAnsi="宋体" w:eastAsia="宋体" w:cs="宋体"/>
          <w:b/>
          <w:sz w:val="28"/>
          <w:szCs w:val="28"/>
          <w:highlight w:val="none"/>
        </w:rPr>
        <w:t>2.1采购汇总表</w:t>
      </w:r>
    </w:p>
    <w:tbl>
      <w:tblPr>
        <w:tblStyle w:val="63"/>
        <w:tblW w:w="9765"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190"/>
        <w:gridCol w:w="2475"/>
        <w:gridCol w:w="525"/>
        <w:gridCol w:w="525"/>
        <w:gridCol w:w="1230"/>
        <w:gridCol w:w="141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70"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2190"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名称</w:t>
            </w:r>
          </w:p>
        </w:tc>
        <w:tc>
          <w:tcPr>
            <w:tcW w:w="2475"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型号及规格</w:t>
            </w:r>
          </w:p>
        </w:tc>
        <w:tc>
          <w:tcPr>
            <w:tcW w:w="525"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单位</w:t>
            </w:r>
          </w:p>
        </w:tc>
        <w:tc>
          <w:tcPr>
            <w:tcW w:w="525"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数量</w:t>
            </w:r>
          </w:p>
        </w:tc>
        <w:tc>
          <w:tcPr>
            <w:tcW w:w="1230" w:type="dxa"/>
            <w:vAlign w:val="center"/>
          </w:tcPr>
          <w:p>
            <w:pPr>
              <w:adjustRightInd w:val="0"/>
              <w:jc w:val="center"/>
              <w:rPr>
                <w:rFonts w:hint="eastAsia" w:ascii="宋体" w:hAnsi="宋体" w:eastAsia="宋体" w:cs="宋体"/>
                <w:b/>
                <w:bCs/>
                <w:sz w:val="24"/>
                <w:highlight w:val="none"/>
                <w:lang w:val="en-US" w:eastAsia="zh-CN"/>
              </w:rPr>
            </w:pPr>
            <w:r>
              <w:rPr>
                <w:rFonts w:hint="eastAsia" w:ascii="宋体" w:hAnsi="宋体" w:cs="宋体"/>
                <w:b/>
                <w:bCs/>
                <w:sz w:val="24"/>
                <w:highlight w:val="none"/>
                <w:lang w:val="en-US" w:eastAsia="zh-CN"/>
              </w:rPr>
              <w:t>单价（元）</w:t>
            </w:r>
          </w:p>
        </w:tc>
        <w:tc>
          <w:tcPr>
            <w:tcW w:w="1410" w:type="dxa"/>
            <w:vAlign w:val="center"/>
          </w:tcPr>
          <w:p>
            <w:pPr>
              <w:adjustRightInd w:val="0"/>
              <w:jc w:val="center"/>
              <w:rPr>
                <w:rFonts w:hint="eastAsia" w:ascii="宋体" w:hAnsi="宋体" w:eastAsia="宋体" w:cs="宋体"/>
                <w:b/>
                <w:bCs/>
                <w:sz w:val="24"/>
                <w:highlight w:val="none"/>
              </w:rPr>
            </w:pPr>
            <w:r>
              <w:rPr>
                <w:rFonts w:hint="eastAsia" w:ascii="宋体" w:hAnsi="宋体" w:cs="宋体"/>
                <w:b/>
                <w:bCs/>
                <w:sz w:val="24"/>
                <w:highlight w:val="none"/>
                <w:lang w:val="en-US" w:eastAsia="zh-CN"/>
              </w:rPr>
              <w:t>总价（元）</w:t>
            </w:r>
          </w:p>
        </w:tc>
        <w:tc>
          <w:tcPr>
            <w:tcW w:w="540" w:type="dxa"/>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一、浮子水位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14000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112000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5000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40000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浮子式水位传感器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10000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80000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3000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3000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24500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196000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3000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24000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5000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40000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含质保期内4G通讯费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123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500</w:t>
            </w:r>
          </w:p>
        </w:tc>
        <w:tc>
          <w:tcPr>
            <w:tcW w:w="141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lang w:val="en-US" w:eastAsia="zh-CN"/>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70000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560000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二、水位雷达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雷达式水位传感器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详见2.3.16</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49000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含质保期内4G通讯费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70000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140000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三、生态流量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V-ADCP</w:t>
            </w:r>
          </w:p>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w:t>
            </w:r>
            <w:r>
              <w:rPr>
                <w:rFonts w:hint="eastAsia" w:ascii="宋体" w:hAnsi="宋体" w:cs="宋体"/>
                <w:kern w:val="0"/>
                <w:sz w:val="24"/>
                <w:highlight w:val="none"/>
                <w:lang w:val="en-US" w:eastAsia="zh-CN"/>
              </w:rPr>
              <w:t>2年</w:t>
            </w:r>
            <w:r>
              <w:rPr>
                <w:rFonts w:hint="eastAsia" w:ascii="宋体" w:hAnsi="宋体" w:eastAsia="宋体" w:cs="宋体"/>
                <w:kern w:val="0"/>
                <w:sz w:val="24"/>
                <w:highlight w:val="none"/>
              </w:rPr>
              <w:t>率定）</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详见2.3.7</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150000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150000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太阳能系统</w:t>
            </w:r>
          </w:p>
        </w:tc>
        <w:tc>
          <w:tcPr>
            <w:tcW w:w="2475" w:type="dxa"/>
            <w:vAlign w:val="center"/>
          </w:tcPr>
          <w:p>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支架、线缆及附件</w:t>
            </w:r>
          </w:p>
        </w:tc>
        <w:tc>
          <w:tcPr>
            <w:tcW w:w="2475"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设备安装套件</w:t>
            </w:r>
          </w:p>
        </w:tc>
        <w:tc>
          <w:tcPr>
            <w:tcW w:w="2475"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配套安装设施</w:t>
            </w:r>
          </w:p>
        </w:tc>
        <w:tc>
          <w:tcPr>
            <w:tcW w:w="2475"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详见2.3.18</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textAlignment w:val="center"/>
              <w:rPr>
                <w:rFonts w:hint="eastAsia" w:ascii="宋体" w:hAnsi="宋体" w:eastAsia="宋体" w:cs="宋体"/>
                <w:kern w:val="0"/>
                <w:sz w:val="24"/>
                <w:highlight w:val="none"/>
                <w:lang w:eastAsia="zh-CN"/>
              </w:rPr>
            </w:pPr>
            <w:r>
              <w:rPr>
                <w:rFonts w:hint="eastAsia" w:ascii="宋体" w:hAnsi="宋体" w:cs="宋体"/>
                <w:color w:val="000000"/>
                <w:kern w:val="0"/>
                <w:sz w:val="24"/>
                <w:highlight w:val="none"/>
                <w:lang w:eastAsia="zh-CN" w:bidi="ar"/>
              </w:rPr>
              <w:t>标识标牌制作</w:t>
            </w:r>
          </w:p>
        </w:tc>
        <w:tc>
          <w:tcPr>
            <w:tcW w:w="2475" w:type="dxa"/>
            <w:vAlign w:val="center"/>
          </w:tcPr>
          <w:p>
            <w:pPr>
              <w:widowControl/>
              <w:jc w:val="center"/>
              <w:textAlignment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lang w:bidi="ar"/>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含质保期内4G通讯费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200000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200000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四、雨量站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87000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支架：镀锌材质，线缆：2芯铜线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87000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雨量基础，详见2.3.19</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7500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217500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87000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含质保期内4G通讯费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围栏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1米*1米*1.2米高塑钢材质（按需）</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40000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1160000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五、水库站测井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（一）</w:t>
            </w:r>
          </w:p>
        </w:tc>
        <w:tc>
          <w:tcPr>
            <w:tcW w:w="2190" w:type="dxa"/>
            <w:vAlign w:val="center"/>
          </w:tcPr>
          <w:p>
            <w:pPr>
              <w:widowControl/>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压力水位站</w:t>
            </w:r>
          </w:p>
        </w:tc>
        <w:tc>
          <w:tcPr>
            <w:tcW w:w="247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1230" w:type="dxa"/>
            <w:vAlign w:val="center"/>
          </w:tcPr>
          <w:p>
            <w:pPr>
              <w:widowControl/>
              <w:jc w:val="center"/>
              <w:rPr>
                <w:rFonts w:hint="eastAsia" w:ascii="宋体" w:hAnsi="宋体" w:eastAsia="宋体" w:cs="宋体"/>
                <w:kern w:val="0"/>
                <w:sz w:val="24"/>
                <w:highlight w:val="none"/>
              </w:rPr>
            </w:pPr>
          </w:p>
        </w:tc>
        <w:tc>
          <w:tcPr>
            <w:tcW w:w="1410" w:type="dxa"/>
            <w:vAlign w:val="center"/>
          </w:tcPr>
          <w:p>
            <w:pPr>
              <w:widowControl/>
              <w:jc w:val="center"/>
              <w:rPr>
                <w:rFonts w:hint="eastAsia" w:ascii="宋体" w:hAnsi="宋体" w:eastAsia="宋体" w:cs="宋体"/>
                <w:kern w:val="0"/>
                <w:sz w:val="24"/>
                <w:highlight w:val="none"/>
              </w:rPr>
            </w:pP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68000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压力式水位传感器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详见2.3.6</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3700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125800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102000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支架：DN100镀锌管加长定制，</w:t>
            </w:r>
          </w:p>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线缆：4芯铜线，油漆：防锈涂层</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1800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61200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详见2.3.17</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1800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61200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szCs w:val="24"/>
                <w:lang w:val="en-US" w:eastAsia="zh-CN"/>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lang w:val="en-US" w:eastAsia="zh-CN"/>
              </w:rPr>
            </w:pPr>
            <w:r>
              <w:rPr>
                <w:rFonts w:hint="eastAsia" w:ascii="宋体" w:hAnsi="宋体" w:eastAsia="宋体" w:cs="宋体"/>
                <w:b/>
                <w:bCs/>
                <w:i w:val="0"/>
                <w:iCs w:val="0"/>
                <w:color w:val="auto"/>
                <w:kern w:val="0"/>
                <w:sz w:val="24"/>
                <w:szCs w:val="24"/>
                <w:u w:val="none"/>
                <w:lang w:val="en-US" w:eastAsia="zh-CN" w:bidi="ar"/>
              </w:rPr>
              <w:t>12300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lang w:val="en-US" w:eastAsia="zh-CN"/>
              </w:rPr>
            </w:pPr>
            <w:r>
              <w:rPr>
                <w:rFonts w:hint="eastAsia" w:ascii="宋体" w:hAnsi="宋体" w:eastAsia="宋体" w:cs="宋体"/>
                <w:b/>
                <w:bCs/>
                <w:i w:val="0"/>
                <w:iCs w:val="0"/>
                <w:color w:val="auto"/>
                <w:kern w:val="0"/>
                <w:sz w:val="24"/>
                <w:szCs w:val="24"/>
                <w:u w:val="none"/>
                <w:lang w:val="en-US" w:eastAsia="zh-CN" w:bidi="ar"/>
              </w:rPr>
              <w:t>418200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（二）</w:t>
            </w:r>
          </w:p>
        </w:tc>
        <w:tc>
          <w:tcPr>
            <w:tcW w:w="2190" w:type="dxa"/>
            <w:vAlign w:val="center"/>
          </w:tcPr>
          <w:p>
            <w:pPr>
              <w:widowControl/>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浮子水位站</w:t>
            </w:r>
          </w:p>
        </w:tc>
        <w:tc>
          <w:tcPr>
            <w:tcW w:w="247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1230" w:type="dxa"/>
            <w:vAlign w:val="center"/>
          </w:tcPr>
          <w:p>
            <w:pPr>
              <w:widowControl/>
              <w:jc w:val="center"/>
              <w:rPr>
                <w:rFonts w:hint="eastAsia" w:ascii="宋体" w:hAnsi="宋体" w:eastAsia="宋体" w:cs="宋体"/>
                <w:kern w:val="0"/>
                <w:sz w:val="24"/>
                <w:highlight w:val="none"/>
              </w:rPr>
            </w:pPr>
          </w:p>
        </w:tc>
        <w:tc>
          <w:tcPr>
            <w:tcW w:w="1410" w:type="dxa"/>
            <w:vAlign w:val="center"/>
          </w:tcPr>
          <w:p>
            <w:pPr>
              <w:widowControl/>
              <w:jc w:val="center"/>
              <w:rPr>
                <w:rFonts w:hint="eastAsia" w:ascii="宋体" w:hAnsi="宋体" w:eastAsia="宋体" w:cs="宋体"/>
                <w:kern w:val="0"/>
                <w:sz w:val="24"/>
                <w:highlight w:val="none"/>
              </w:rPr>
            </w:pP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30000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lang w:val="en-US" w:eastAsia="zh-CN"/>
              </w:rPr>
            </w:pPr>
            <w:r>
              <w:rPr>
                <w:rFonts w:hint="eastAsia" w:ascii="宋体" w:hAnsi="宋体" w:eastAsia="宋体" w:cs="宋体"/>
                <w:i w:val="0"/>
                <w:iCs w:val="0"/>
                <w:color w:val="auto"/>
                <w:kern w:val="0"/>
                <w:sz w:val="24"/>
                <w:szCs w:val="24"/>
                <w:u w:val="none"/>
                <w:lang w:val="en-US" w:eastAsia="zh-CN" w:bidi="ar"/>
              </w:rPr>
              <w:t>30000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245000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szCs w:val="24"/>
                <w:highlight w:val="none"/>
                <w:lang w:val="en-US" w:eastAsia="zh-CN"/>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i w:val="0"/>
                <w:iCs w:val="0"/>
                <w:color w:val="auto"/>
                <w:kern w:val="0"/>
                <w:sz w:val="24"/>
                <w:szCs w:val="24"/>
                <w:u w:val="none"/>
                <w:lang w:val="en-US" w:eastAsia="zh-CN" w:bidi="ar"/>
              </w:rPr>
              <w:t>32500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i w:val="0"/>
                <w:iCs w:val="0"/>
                <w:color w:val="auto"/>
                <w:kern w:val="0"/>
                <w:sz w:val="24"/>
                <w:szCs w:val="24"/>
                <w:u w:val="none"/>
                <w:lang w:val="en-US" w:eastAsia="zh-CN" w:bidi="ar"/>
              </w:rPr>
              <w:t>325000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六、</w:t>
            </w:r>
            <w:r>
              <w:rPr>
                <w:rFonts w:hint="eastAsia" w:ascii="宋体" w:hAnsi="宋体" w:eastAsia="宋体" w:cs="宋体"/>
                <w:b/>
                <w:bCs/>
                <w:kern w:val="0"/>
                <w:sz w:val="24"/>
                <w:highlight w:val="none"/>
                <w:lang w:eastAsia="zh-CN"/>
              </w:rPr>
              <w:t>雨量站移位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包含设备箱、充放电控制器、立杆支架等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3150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12600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val="en-US" w:eastAsia="zh-CN"/>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雨量基础，详见2.3.19</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7500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i w:val="0"/>
                <w:iCs w:val="0"/>
                <w:color w:val="auto"/>
                <w:kern w:val="0"/>
                <w:sz w:val="24"/>
                <w:szCs w:val="24"/>
                <w:u w:val="none"/>
                <w:lang w:val="en-US" w:eastAsia="zh-CN" w:bidi="ar"/>
              </w:rPr>
              <w:t>30000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szCs w:val="24"/>
                <w:highlight w:val="none"/>
                <w:lang w:val="en-US" w:eastAsia="zh-CN"/>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i w:val="0"/>
                <w:iCs w:val="0"/>
                <w:color w:val="auto"/>
                <w:kern w:val="0"/>
                <w:sz w:val="24"/>
                <w:szCs w:val="24"/>
                <w:u w:val="none"/>
                <w:lang w:val="en-US" w:eastAsia="zh-CN" w:bidi="ar"/>
              </w:rPr>
              <w:t>10650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i w:val="0"/>
                <w:iCs w:val="0"/>
                <w:color w:val="auto"/>
                <w:kern w:val="0"/>
                <w:sz w:val="24"/>
                <w:szCs w:val="24"/>
                <w:u w:val="none"/>
                <w:lang w:val="en-US" w:eastAsia="zh-CN" w:bidi="ar"/>
              </w:rPr>
              <w:t>42600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kern w:val="0"/>
                <w:sz w:val="24"/>
                <w:highlight w:val="none"/>
              </w:rPr>
            </w:pPr>
            <w:r>
              <w:rPr>
                <w:rFonts w:hint="eastAsia" w:ascii="宋体" w:hAnsi="宋体" w:eastAsia="宋体" w:cs="宋体"/>
                <w:b/>
                <w:bCs/>
                <w:kern w:val="0"/>
                <w:sz w:val="24"/>
                <w:highlight w:val="none"/>
              </w:rPr>
              <w:t>七、水库水位站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支架：镀锌材质，线缆：2芯铜线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安装新设备箱及原测量设备。根据现场实际情况做相应调整。</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配套基础设施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原设备拆除及安装，新建水泥支墩及管路</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21000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30000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60000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八、于合水位站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val="en-US" w:eastAsia="zh-CN"/>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原设备拆除</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原设备拆除及现场清理</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kern w:val="0"/>
                <w:sz w:val="24"/>
                <w:highlight w:val="none"/>
              </w:rPr>
            </w:pPr>
          </w:p>
        </w:tc>
        <w:tc>
          <w:tcPr>
            <w:tcW w:w="247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525" w:type="dxa"/>
            <w:vAlign w:val="center"/>
          </w:tcPr>
          <w:p>
            <w:pPr>
              <w:widowControl/>
              <w:jc w:val="center"/>
              <w:rPr>
                <w:rFonts w:hint="eastAsia" w:ascii="宋体" w:hAnsi="宋体" w:eastAsia="宋体" w:cs="宋体"/>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bidi="ar-SA"/>
              </w:rPr>
            </w:pPr>
            <w:r>
              <w:rPr>
                <w:rFonts w:hint="eastAsia" w:ascii="宋体" w:hAnsi="宋体" w:eastAsia="宋体" w:cs="宋体"/>
                <w:b/>
                <w:bCs/>
                <w:i w:val="0"/>
                <w:iCs w:val="0"/>
                <w:color w:val="000000"/>
                <w:kern w:val="0"/>
                <w:sz w:val="24"/>
                <w:szCs w:val="24"/>
                <w:u w:val="none"/>
                <w:lang w:val="en-US" w:eastAsia="zh-CN" w:bidi="ar"/>
              </w:rPr>
              <w:t>40000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bidi="ar-SA"/>
              </w:rPr>
            </w:pPr>
            <w:r>
              <w:rPr>
                <w:rFonts w:hint="eastAsia" w:ascii="宋体" w:hAnsi="宋体" w:eastAsia="宋体" w:cs="宋体"/>
                <w:b/>
                <w:bCs/>
                <w:i w:val="0"/>
                <w:iCs w:val="0"/>
                <w:color w:val="000000"/>
                <w:kern w:val="0"/>
                <w:sz w:val="24"/>
                <w:szCs w:val="24"/>
                <w:u w:val="none"/>
                <w:lang w:val="en-US" w:eastAsia="zh-CN" w:bidi="ar"/>
              </w:rPr>
              <w:t>40000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九、源口浮子水位站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spacing w:line="240" w:lineRule="auto"/>
              <w:ind w:firstLine="0" w:firstLineChars="0"/>
              <w:jc w:val="center"/>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浮子式水位传感器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北斗通信模块</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详见2.3.8</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台</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26000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52000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49000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含质保期内北斗4G通讯费和北斗通讯费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8000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配套基础设施</w:t>
            </w:r>
          </w:p>
        </w:tc>
        <w:tc>
          <w:tcPr>
            <w:tcW w:w="2475"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详见2.3.2</w:t>
            </w:r>
            <w:r>
              <w:rPr>
                <w:rFonts w:hint="eastAsia" w:ascii="宋体" w:hAnsi="宋体" w:cs="宋体"/>
                <w:kern w:val="0"/>
                <w:sz w:val="24"/>
                <w:highlight w:val="none"/>
                <w:lang w:val="en-US" w:eastAsia="zh-CN"/>
              </w:rPr>
              <w:t>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150500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sz w:val="24"/>
                <w:highlight w:val="none"/>
              </w:rPr>
            </w:pPr>
            <w:r>
              <w:rPr>
                <w:rFonts w:hint="eastAsia" w:ascii="宋体" w:hAnsi="宋体" w:eastAsia="宋体" w:cs="宋体"/>
                <w:i w:val="0"/>
                <w:iCs w:val="0"/>
                <w:color w:val="000000"/>
                <w:kern w:val="0"/>
                <w:sz w:val="24"/>
                <w:szCs w:val="24"/>
                <w:u w:val="none"/>
                <w:lang w:val="en-US" w:eastAsia="zh-CN" w:bidi="ar"/>
              </w:rPr>
              <w:t>301000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jc w:val="center"/>
              <w:rPr>
                <w:rFonts w:hint="eastAsia" w:ascii="宋体" w:hAnsi="宋体" w:eastAsia="宋体" w:cs="宋体"/>
                <w:b/>
                <w:bCs/>
                <w:color w:val="00000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sz w:val="24"/>
                <w:highlight w:val="none"/>
              </w:rPr>
            </w:pPr>
            <w:r>
              <w:rPr>
                <w:rFonts w:hint="eastAsia" w:ascii="宋体" w:hAnsi="宋体" w:eastAsia="宋体" w:cs="宋体"/>
                <w:b/>
                <w:bCs/>
                <w:i w:val="0"/>
                <w:iCs w:val="0"/>
                <w:color w:val="000000"/>
                <w:kern w:val="0"/>
                <w:sz w:val="24"/>
                <w:szCs w:val="24"/>
                <w:u w:val="none"/>
                <w:lang w:val="en-US" w:eastAsia="zh-CN" w:bidi="ar"/>
              </w:rPr>
              <w:t>250000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sz w:val="24"/>
                <w:highlight w:val="none"/>
              </w:rPr>
            </w:pPr>
            <w:r>
              <w:rPr>
                <w:rFonts w:hint="eastAsia" w:ascii="宋体" w:hAnsi="宋体" w:eastAsia="宋体" w:cs="宋体"/>
                <w:b/>
                <w:bCs/>
                <w:i w:val="0"/>
                <w:iCs w:val="0"/>
                <w:color w:val="000000"/>
                <w:kern w:val="0"/>
                <w:sz w:val="24"/>
                <w:szCs w:val="24"/>
                <w:u w:val="none"/>
                <w:lang w:val="en-US" w:eastAsia="zh-CN" w:bidi="ar"/>
              </w:rPr>
              <w:t>500000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十、人工水尺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人工水尺</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3米预制混凝土标准水文水尺</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14</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2500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35000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水尺零高测量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三等水准接测</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2500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szCs w:val="24"/>
                <w:lang w:val="en-US" w:eastAsia="zh-CN"/>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szCs w:val="24"/>
                <w:lang w:val="en-US" w:eastAsia="zh-CN"/>
              </w:rPr>
            </w:pPr>
            <w:r>
              <w:rPr>
                <w:rFonts w:hint="eastAsia" w:ascii="宋体" w:hAnsi="宋体" w:eastAsia="宋体" w:cs="宋体"/>
                <w:b/>
                <w:bCs/>
                <w:i w:val="0"/>
                <w:iCs w:val="0"/>
                <w:color w:val="000000"/>
                <w:kern w:val="0"/>
                <w:sz w:val="24"/>
                <w:szCs w:val="24"/>
                <w:u w:val="none"/>
                <w:lang w:val="en-US" w:eastAsia="zh-CN" w:bidi="ar"/>
              </w:rPr>
              <w:t>40000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十一、源口水文站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蒸发设备改造</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详见2.3.9</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门窗更换</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铝合金断桥铝移窗约40平方米、金刚网纱窗约20平方米、防盗门2扇、铝合金铝焊门约12平方米等</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70000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70000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源口站房美化</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含450㎡墙面粉刷，130㎡楼顶SBS防漏</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50000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130000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130000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十二、梅城水文站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船篷</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详见2.3.10</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130000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130000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站内美化</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党建文化墙需设计约20平方米党建宣传展板，楼顶安装党旗式样宣传灯，安装铝合金防盗窗，外立面破损修复、美化提升。梅城雨量站木质围栏刷漆，围栏周长40米，高度1米。</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120000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250000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250000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十三、梅城水文站水尺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换水尺桩</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更换6米高铝合金水尺桩，含不锈钢水位高程贴片</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石刻洪痕</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人工石刻历史洪痕水位标记</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水尺零高测量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三等水准接测</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十四、龙源水库水位站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遥测终端</w:t>
            </w:r>
          </w:p>
        </w:tc>
        <w:tc>
          <w:tcPr>
            <w:tcW w:w="2475"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val="0"/>
                <w:kern w:val="0"/>
                <w:highlight w:val="none"/>
                <w:lang w:val="zh-CN"/>
              </w:rPr>
            </w:pPr>
            <w:r>
              <w:rPr>
                <w:rFonts w:hint="eastAsia" w:ascii="宋体" w:hAnsi="宋体" w:eastAsia="宋体" w:cs="宋体"/>
                <w:bCs w:val="0"/>
                <w:kern w:val="0"/>
                <w:highlight w:val="none"/>
              </w:rPr>
              <w:t>详见2.3.1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太阳能系统</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3</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翻斗式雨量计</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4</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雷达式水位传感器</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详见2.3.5</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5</w:t>
            </w:r>
          </w:p>
        </w:tc>
        <w:tc>
          <w:tcPr>
            <w:tcW w:w="2190"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北斗通信模块</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详见2.3.8</w:t>
            </w:r>
          </w:p>
        </w:tc>
        <w:tc>
          <w:tcPr>
            <w:tcW w:w="525" w:type="dxa"/>
            <w:vAlign w:val="center"/>
          </w:tcPr>
          <w:p>
            <w:pPr>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台</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26000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26000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6</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7</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8</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配套安装设施</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详见2.3.16</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24500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9</w:t>
            </w:r>
          </w:p>
        </w:tc>
        <w:tc>
          <w:tcPr>
            <w:tcW w:w="2190" w:type="dxa"/>
            <w:vAlign w:val="center"/>
          </w:tcPr>
          <w:p>
            <w:pPr>
              <w:widowControl/>
              <w:jc w:val="center"/>
              <w:rPr>
                <w:rFonts w:hint="eastAsia" w:ascii="宋体" w:hAnsi="宋体" w:eastAsia="宋体" w:cs="宋体"/>
                <w:kern w:val="0"/>
                <w:sz w:val="24"/>
                <w:highlight w:val="none"/>
                <w:lang w:eastAsia="zh-CN"/>
              </w:rPr>
            </w:pPr>
            <w:r>
              <w:rPr>
                <w:rFonts w:hint="eastAsia" w:ascii="宋体" w:hAnsi="宋体" w:cs="宋体"/>
                <w:kern w:val="0"/>
                <w:sz w:val="24"/>
                <w:highlight w:val="none"/>
                <w:lang w:eastAsia="zh-CN"/>
              </w:rPr>
              <w:t>标识标牌制作</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详见2.3.14</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栅格天线</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详见2.3.20</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高程测量</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三等引测</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次</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通道使用费</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含质保期内北斗4G通讯费和北斗通讯费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4000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100000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000000"/>
                <w:kern w:val="0"/>
                <w:sz w:val="24"/>
                <w:highlight w:val="none"/>
              </w:rPr>
            </w:pPr>
            <w:r>
              <w:rPr>
                <w:rFonts w:hint="eastAsia" w:ascii="宋体" w:hAnsi="宋体" w:eastAsia="宋体" w:cs="宋体"/>
                <w:b/>
                <w:bCs/>
                <w:i w:val="0"/>
                <w:iCs w:val="0"/>
                <w:color w:val="000000"/>
                <w:kern w:val="0"/>
                <w:sz w:val="24"/>
                <w:szCs w:val="24"/>
                <w:u w:val="none"/>
                <w:lang w:val="en-US" w:eastAsia="zh-CN" w:bidi="ar"/>
              </w:rPr>
              <w:t>100000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十五、流量站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1</w:t>
            </w:r>
          </w:p>
        </w:tc>
        <w:tc>
          <w:tcPr>
            <w:tcW w:w="2190" w:type="dxa"/>
            <w:vAlign w:val="center"/>
          </w:tcPr>
          <w:p>
            <w:pPr>
              <w:widowControl/>
              <w:jc w:val="center"/>
              <w:rPr>
                <w:rFonts w:hint="eastAsia" w:ascii="宋体" w:hAnsi="宋体" w:eastAsia="宋体" w:cs="宋体"/>
                <w:b w:val="0"/>
                <w:bCs w:val="0"/>
                <w:kern w:val="0"/>
                <w:sz w:val="24"/>
                <w:highlight w:val="none"/>
              </w:rPr>
            </w:pPr>
            <w:r>
              <w:rPr>
                <w:rFonts w:hint="eastAsia" w:ascii="宋体" w:hAnsi="宋体" w:eastAsia="宋体" w:cs="宋体"/>
                <w:b w:val="0"/>
                <w:bCs w:val="0"/>
                <w:kern w:val="0"/>
                <w:sz w:val="24"/>
                <w:highlight w:val="none"/>
              </w:rPr>
              <w:t>雷达流速仪</w:t>
            </w:r>
          </w:p>
        </w:tc>
        <w:tc>
          <w:tcPr>
            <w:tcW w:w="2475" w:type="dxa"/>
            <w:vAlign w:val="center"/>
          </w:tcPr>
          <w:p>
            <w:pPr>
              <w:widowControl/>
              <w:jc w:val="center"/>
              <w:rPr>
                <w:rFonts w:hint="eastAsia" w:ascii="宋体" w:hAnsi="宋体" w:eastAsia="宋体" w:cs="宋体"/>
                <w:b w:val="0"/>
                <w:bCs w:val="0"/>
                <w:kern w:val="0"/>
                <w:sz w:val="24"/>
                <w:highlight w:val="yellow"/>
              </w:rPr>
            </w:pPr>
            <w:r>
              <w:rPr>
                <w:rFonts w:hint="eastAsia" w:ascii="宋体" w:hAnsi="宋体" w:eastAsia="宋体" w:cs="宋体"/>
                <w:b w:val="0"/>
                <w:bCs w:val="0"/>
                <w:kern w:val="0"/>
                <w:sz w:val="24"/>
                <w:highlight w:val="none"/>
              </w:rPr>
              <w:t>详见2.3.22</w:t>
            </w:r>
          </w:p>
        </w:tc>
        <w:tc>
          <w:tcPr>
            <w:tcW w:w="525" w:type="dxa"/>
            <w:vAlign w:val="center"/>
          </w:tcPr>
          <w:p>
            <w:pPr>
              <w:widowControl/>
              <w:jc w:val="center"/>
              <w:rPr>
                <w:rFonts w:hint="eastAsia" w:ascii="宋体" w:hAnsi="宋体" w:eastAsia="宋体" w:cs="宋体"/>
                <w:b w:val="0"/>
                <w:bCs w:val="0"/>
                <w:kern w:val="0"/>
                <w:sz w:val="24"/>
                <w:highlight w:val="none"/>
              </w:rPr>
            </w:pPr>
            <w:r>
              <w:rPr>
                <w:rFonts w:hint="eastAsia" w:ascii="宋体" w:hAnsi="宋体" w:eastAsia="宋体" w:cs="宋体"/>
                <w:b w:val="0"/>
                <w:bCs w:val="0"/>
                <w:kern w:val="0"/>
                <w:sz w:val="24"/>
                <w:highlight w:val="none"/>
              </w:rPr>
              <w:t>套</w:t>
            </w:r>
          </w:p>
        </w:tc>
        <w:tc>
          <w:tcPr>
            <w:tcW w:w="525" w:type="dxa"/>
            <w:vAlign w:val="center"/>
          </w:tcPr>
          <w:p>
            <w:pPr>
              <w:widowControl/>
              <w:jc w:val="center"/>
              <w:rPr>
                <w:rFonts w:hint="eastAsia" w:ascii="宋体" w:hAnsi="宋体" w:eastAsia="宋体" w:cs="宋体"/>
                <w:b w:val="0"/>
                <w:bCs w:val="0"/>
                <w:color w:val="000000"/>
                <w:kern w:val="0"/>
                <w:sz w:val="24"/>
                <w:highlight w:val="none"/>
                <w:lang w:val="en-US" w:eastAsia="zh-CN"/>
              </w:rPr>
            </w:pPr>
            <w:r>
              <w:rPr>
                <w:rFonts w:hint="eastAsia" w:ascii="宋体" w:hAnsi="宋体" w:cs="宋体"/>
                <w:b w:val="0"/>
                <w:bCs w:val="0"/>
                <w:color w:val="000000"/>
                <w:kern w:val="0"/>
                <w:sz w:val="24"/>
                <w:highlight w:val="none"/>
                <w:lang w:val="en-US" w:eastAsia="zh-CN"/>
              </w:rPr>
              <w:t>6</w:t>
            </w:r>
          </w:p>
        </w:tc>
        <w:tc>
          <w:tcPr>
            <w:tcW w:w="123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90000</w:t>
            </w:r>
          </w:p>
        </w:tc>
        <w:tc>
          <w:tcPr>
            <w:tcW w:w="141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540000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2</w:t>
            </w:r>
          </w:p>
        </w:tc>
        <w:tc>
          <w:tcPr>
            <w:tcW w:w="2190"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遥测终端</w:t>
            </w:r>
          </w:p>
        </w:tc>
        <w:tc>
          <w:tcPr>
            <w:tcW w:w="2475"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val="0"/>
                <w:kern w:val="0"/>
                <w:sz w:val="24"/>
                <w:szCs w:val="24"/>
                <w:highlight w:val="none"/>
                <w:lang w:val="zh-CN" w:eastAsia="zh-CN" w:bidi="ar-SA"/>
              </w:rPr>
            </w:pPr>
            <w:r>
              <w:rPr>
                <w:rFonts w:hint="eastAsia" w:ascii="宋体" w:hAnsi="宋体" w:eastAsia="宋体" w:cs="宋体"/>
                <w:b w:val="0"/>
                <w:bCs w:val="0"/>
                <w:kern w:val="0"/>
                <w:sz w:val="24"/>
                <w:szCs w:val="24"/>
                <w:highlight w:val="none"/>
                <w:lang w:val="en-US" w:eastAsia="zh-CN" w:bidi="ar-SA"/>
              </w:rPr>
              <w:t>详见2.3.1</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b w:val="0"/>
                <w:bCs w:val="0"/>
                <w:color w:val="000000"/>
                <w:kern w:val="0"/>
                <w:sz w:val="24"/>
                <w:highlight w:val="none"/>
                <w:lang w:val="en-US" w:eastAsia="zh-CN"/>
              </w:rPr>
            </w:pPr>
            <w:r>
              <w:rPr>
                <w:rFonts w:hint="eastAsia" w:ascii="宋体" w:hAnsi="宋体" w:cs="宋体"/>
                <w:b w:val="0"/>
                <w:bCs w:val="0"/>
                <w:color w:val="000000"/>
                <w:kern w:val="0"/>
                <w:sz w:val="24"/>
                <w:highlight w:val="none"/>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14000</w:t>
            </w:r>
          </w:p>
        </w:tc>
        <w:tc>
          <w:tcPr>
            <w:tcW w:w="141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28000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3</w:t>
            </w:r>
          </w:p>
        </w:tc>
        <w:tc>
          <w:tcPr>
            <w:tcW w:w="2190"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雷达式水位传感器</w:t>
            </w:r>
          </w:p>
        </w:tc>
        <w:tc>
          <w:tcPr>
            <w:tcW w:w="247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详见2.3.5</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highlight w:val="none"/>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4</w:t>
            </w:r>
          </w:p>
        </w:tc>
        <w:tc>
          <w:tcPr>
            <w:tcW w:w="2190"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设备安装套件</w:t>
            </w:r>
          </w:p>
        </w:tc>
        <w:tc>
          <w:tcPr>
            <w:tcW w:w="247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包含设备箱、充放电控制器等</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highlight w:val="none"/>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default"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5</w:t>
            </w:r>
          </w:p>
        </w:tc>
        <w:tc>
          <w:tcPr>
            <w:tcW w:w="2190"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支架、线缆及附件</w:t>
            </w:r>
          </w:p>
        </w:tc>
        <w:tc>
          <w:tcPr>
            <w:tcW w:w="247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支架：镀锌材质，线缆：4芯铜线</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highlight w:val="none"/>
                <w:lang w:val="en-US" w:eastAsia="zh-CN"/>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3000</w:t>
            </w:r>
          </w:p>
        </w:tc>
        <w:tc>
          <w:tcPr>
            <w:tcW w:w="1410" w:type="dxa"/>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6000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cs="宋体"/>
                <w:b/>
                <w:bCs/>
                <w:kern w:val="0"/>
                <w:sz w:val="24"/>
                <w:highlight w:val="none"/>
                <w:lang w:val="en-US" w:eastAsia="zh-CN"/>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color w:val="000000"/>
                <w:kern w:val="0"/>
                <w:sz w:val="24"/>
                <w:highlight w:val="none"/>
              </w:rPr>
            </w:pPr>
          </w:p>
        </w:tc>
        <w:tc>
          <w:tcPr>
            <w:tcW w:w="1230" w:type="dxa"/>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120000</w:t>
            </w:r>
          </w:p>
        </w:tc>
        <w:tc>
          <w:tcPr>
            <w:tcW w:w="1410" w:type="dxa"/>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600000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w:t>
            </w:r>
            <w:r>
              <w:rPr>
                <w:rFonts w:hint="eastAsia" w:ascii="宋体" w:hAnsi="宋体" w:cs="宋体"/>
                <w:b/>
                <w:bCs/>
                <w:sz w:val="24"/>
                <w:highlight w:val="none"/>
                <w:lang w:val="en-US" w:eastAsia="zh-CN"/>
              </w:rPr>
              <w:t>六</w:t>
            </w:r>
            <w:r>
              <w:rPr>
                <w:rFonts w:hint="eastAsia" w:ascii="宋体" w:hAnsi="宋体" w:eastAsia="宋体" w:cs="宋体"/>
                <w:b/>
                <w:bCs/>
                <w:sz w:val="24"/>
                <w:highlight w:val="none"/>
              </w:rPr>
              <w:t>、缆道拉线移位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混凝土基础</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做混凝土基础2*2*2米，地上需有2*2*2米（根据现场实际情况做相应调整）</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60000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缆道钢丝</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更换240米20mm缆道钢丝绳（按需）</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kern w:val="0"/>
                <w:sz w:val="24"/>
                <w:highlight w:val="none"/>
              </w:rPr>
            </w:pPr>
          </w:p>
        </w:tc>
        <w:tc>
          <w:tcPr>
            <w:tcW w:w="247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525" w:type="dxa"/>
            <w:vAlign w:val="center"/>
          </w:tcPr>
          <w:p>
            <w:pPr>
              <w:widowControl/>
              <w:jc w:val="center"/>
              <w:rPr>
                <w:rFonts w:hint="eastAsia" w:ascii="宋体" w:hAnsi="宋体" w:eastAsia="宋体" w:cs="宋体"/>
                <w:b/>
                <w:bCs/>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70000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kern w:val="0"/>
                <w:sz w:val="24"/>
                <w:highlight w:val="none"/>
              </w:rPr>
            </w:pPr>
            <w:r>
              <w:rPr>
                <w:rFonts w:hint="eastAsia" w:ascii="宋体" w:hAnsi="宋体" w:eastAsia="宋体" w:cs="宋体"/>
                <w:b/>
                <w:bCs/>
                <w:i w:val="0"/>
                <w:iCs w:val="0"/>
                <w:color w:val="000000"/>
                <w:kern w:val="0"/>
                <w:sz w:val="24"/>
                <w:szCs w:val="24"/>
                <w:u w:val="none"/>
                <w:lang w:val="en-US" w:eastAsia="zh-CN" w:bidi="ar"/>
              </w:rPr>
              <w:t>70000</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十七、遥测站点设备升级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rPr>
              <w:t>遥测终端</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详见2.3.1（部分设备箱更换，具体数量根据实际要求）</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台</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45</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15000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675000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adjustRightInd w:val="0"/>
              <w:jc w:val="center"/>
              <w:rPr>
                <w:rFonts w:hint="eastAsia" w:ascii="宋体" w:hAnsi="宋体" w:eastAsia="宋体" w:cs="宋体"/>
                <w:b/>
                <w:bCs/>
                <w:sz w:val="24"/>
                <w:highlight w:val="none"/>
              </w:rPr>
            </w:pPr>
          </w:p>
        </w:tc>
        <w:tc>
          <w:tcPr>
            <w:tcW w:w="8355" w:type="dxa"/>
            <w:gridSpan w:val="6"/>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十八、视频监控</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视频监控</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详见2.3.11</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套</w:t>
            </w:r>
          </w:p>
        </w:tc>
        <w:tc>
          <w:tcPr>
            <w:tcW w:w="52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3</w:t>
            </w:r>
          </w:p>
        </w:tc>
        <w:tc>
          <w:tcPr>
            <w:tcW w:w="123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30000</w:t>
            </w:r>
          </w:p>
        </w:tc>
        <w:tc>
          <w:tcPr>
            <w:tcW w:w="1410" w:type="dxa"/>
            <w:vAlign w:val="center"/>
          </w:tcPr>
          <w:p>
            <w:pPr>
              <w:keepNext w:val="0"/>
              <w:keepLines w:val="0"/>
              <w:widowControl/>
              <w:suppressLineNumbers w:val="0"/>
              <w:jc w:val="center"/>
              <w:textAlignment w:val="center"/>
              <w:rPr>
                <w:rFonts w:hint="eastAsia" w:ascii="宋体" w:hAnsi="宋体" w:eastAsia="宋体" w:cs="宋体"/>
                <w:color w:val="000000"/>
                <w:kern w:val="0"/>
                <w:sz w:val="24"/>
                <w:highlight w:val="none"/>
              </w:rPr>
            </w:pPr>
            <w:r>
              <w:rPr>
                <w:rFonts w:hint="eastAsia" w:ascii="宋体" w:hAnsi="宋体" w:eastAsia="宋体" w:cs="宋体"/>
                <w:i w:val="0"/>
                <w:iCs w:val="0"/>
                <w:color w:val="000000"/>
                <w:kern w:val="0"/>
                <w:sz w:val="24"/>
                <w:szCs w:val="24"/>
                <w:u w:val="none"/>
                <w:lang w:val="en-US" w:eastAsia="zh-CN" w:bidi="ar"/>
              </w:rPr>
              <w:t>90000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十九、视频监控维修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视频监控维修</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梅城水文站视频监控维修</w:t>
            </w:r>
          </w:p>
        </w:tc>
        <w:tc>
          <w:tcPr>
            <w:tcW w:w="525" w:type="dxa"/>
            <w:vAlign w:val="center"/>
          </w:tcPr>
          <w:p>
            <w:pPr>
              <w:widowControl/>
              <w:jc w:val="center"/>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项</w:t>
            </w:r>
          </w:p>
        </w:tc>
        <w:tc>
          <w:tcPr>
            <w:tcW w:w="525" w:type="dxa"/>
            <w:vAlign w:val="center"/>
          </w:tcPr>
          <w:p>
            <w:pPr>
              <w:widowControl/>
              <w:jc w:val="center"/>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10000</w:t>
            </w:r>
          </w:p>
        </w:tc>
        <w:tc>
          <w:tcPr>
            <w:tcW w:w="141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adjustRightInd w:val="0"/>
              <w:jc w:val="center"/>
              <w:rPr>
                <w:rFonts w:hint="eastAsia" w:ascii="宋体" w:hAnsi="宋体" w:eastAsia="宋体" w:cs="宋体"/>
                <w:b/>
                <w:bCs/>
                <w:sz w:val="24"/>
                <w:highlight w:val="none"/>
              </w:rPr>
            </w:pPr>
          </w:p>
        </w:tc>
        <w:tc>
          <w:tcPr>
            <w:tcW w:w="8355" w:type="dxa"/>
            <w:gridSpan w:val="6"/>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二十、无人机</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sz w:val="24"/>
                <w:highlight w:val="none"/>
              </w:rPr>
              <w:t>无人机</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rPr>
              <w:t>详见2.3.12</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15000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15000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adjustRightInd w:val="0"/>
              <w:jc w:val="center"/>
              <w:rPr>
                <w:rFonts w:hint="eastAsia" w:ascii="宋体" w:hAnsi="宋体" w:eastAsia="宋体" w:cs="宋体"/>
                <w:b/>
                <w:bCs/>
                <w:sz w:val="24"/>
                <w:highlight w:val="none"/>
              </w:rPr>
            </w:pPr>
          </w:p>
        </w:tc>
        <w:tc>
          <w:tcPr>
            <w:tcW w:w="8355" w:type="dxa"/>
            <w:gridSpan w:val="6"/>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二十</w:t>
            </w:r>
            <w:r>
              <w:rPr>
                <w:rFonts w:hint="eastAsia" w:ascii="宋体" w:hAnsi="宋体" w:cs="宋体"/>
                <w:b/>
                <w:bCs/>
                <w:sz w:val="24"/>
                <w:highlight w:val="none"/>
                <w:lang w:val="en-US" w:eastAsia="zh-CN"/>
              </w:rPr>
              <w:t>一</w:t>
            </w:r>
            <w:r>
              <w:rPr>
                <w:rFonts w:hint="eastAsia" w:ascii="宋体" w:hAnsi="宋体" w:eastAsia="宋体" w:cs="宋体"/>
                <w:b/>
                <w:bCs/>
                <w:sz w:val="24"/>
                <w:highlight w:val="none"/>
              </w:rPr>
              <w:t>、手电筒</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sz w:val="24"/>
                <w:highlight w:val="none"/>
              </w:rPr>
              <w:t>手电筒</w:t>
            </w:r>
          </w:p>
        </w:tc>
        <w:tc>
          <w:tcPr>
            <w:tcW w:w="247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color w:val="000000"/>
                <w:kern w:val="0"/>
                <w:sz w:val="24"/>
                <w:highlight w:val="none"/>
              </w:rPr>
              <w:t>详见2.3.13</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个</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二十</w:t>
            </w:r>
            <w:r>
              <w:rPr>
                <w:rFonts w:hint="eastAsia" w:ascii="宋体" w:hAnsi="宋体" w:cs="宋体"/>
                <w:b/>
                <w:bCs/>
                <w:sz w:val="24"/>
                <w:highlight w:val="none"/>
                <w:lang w:val="en-US" w:eastAsia="zh-CN"/>
              </w:rPr>
              <w:t>二</w:t>
            </w:r>
            <w:r>
              <w:rPr>
                <w:rFonts w:hint="eastAsia" w:ascii="宋体" w:hAnsi="宋体" w:eastAsia="宋体" w:cs="宋体"/>
                <w:b/>
                <w:bCs/>
                <w:sz w:val="24"/>
                <w:highlight w:val="none"/>
              </w:rPr>
              <w:t>、卫星电话通讯费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219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卫星电话通讯费</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卫星电话通讯费</w:t>
            </w:r>
          </w:p>
        </w:tc>
        <w:tc>
          <w:tcPr>
            <w:tcW w:w="525" w:type="dxa"/>
            <w:vAlign w:val="center"/>
          </w:tcPr>
          <w:p>
            <w:pPr>
              <w:widowControl/>
              <w:jc w:val="center"/>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个</w:t>
            </w:r>
          </w:p>
        </w:tc>
        <w:tc>
          <w:tcPr>
            <w:tcW w:w="525" w:type="dxa"/>
            <w:vAlign w:val="center"/>
          </w:tcPr>
          <w:p>
            <w:pPr>
              <w:widowControl/>
              <w:jc w:val="center"/>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7</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1500</w:t>
            </w:r>
          </w:p>
        </w:tc>
        <w:tc>
          <w:tcPr>
            <w:tcW w:w="141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0</w:t>
            </w:r>
            <w:r>
              <w:rPr>
                <w:rFonts w:hint="eastAsia" w:ascii="宋体" w:hAnsi="宋体" w:eastAsia="宋体" w:cs="宋体"/>
                <w:i w:val="0"/>
                <w:iCs w:val="0"/>
                <w:color w:val="000000"/>
                <w:kern w:val="0"/>
                <w:sz w:val="24"/>
                <w:szCs w:val="24"/>
                <w:u w:val="none"/>
                <w:lang w:val="en-US" w:eastAsia="zh-CN" w:bidi="ar"/>
              </w:rPr>
              <w:t>500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5" w:type="dxa"/>
            <w:gridSpan w:val="8"/>
            <w:vAlign w:val="center"/>
          </w:tcPr>
          <w:p>
            <w:pPr>
              <w:adjustRightInd w:val="0"/>
              <w:jc w:val="center"/>
              <w:rPr>
                <w:rFonts w:hint="eastAsia" w:ascii="宋体" w:hAnsi="宋体" w:eastAsia="宋体" w:cs="宋体"/>
                <w:sz w:val="24"/>
                <w:highlight w:val="none"/>
              </w:rPr>
            </w:pPr>
            <w:r>
              <w:rPr>
                <w:rFonts w:hint="eastAsia" w:ascii="宋体" w:hAnsi="宋体" w:eastAsia="宋体" w:cs="宋体"/>
                <w:b/>
                <w:bCs/>
                <w:sz w:val="24"/>
                <w:highlight w:val="none"/>
              </w:rPr>
              <w:t>二十</w:t>
            </w:r>
            <w:r>
              <w:rPr>
                <w:rFonts w:hint="eastAsia" w:ascii="宋体" w:hAnsi="宋体" w:cs="宋体"/>
                <w:b/>
                <w:bCs/>
                <w:sz w:val="24"/>
                <w:highlight w:val="none"/>
                <w:lang w:val="en-US" w:eastAsia="zh-CN"/>
              </w:rPr>
              <w:t>三</w:t>
            </w:r>
            <w:r>
              <w:rPr>
                <w:rFonts w:hint="eastAsia" w:ascii="宋体" w:hAnsi="宋体" w:eastAsia="宋体" w:cs="宋体"/>
                <w:b/>
                <w:bCs/>
                <w:sz w:val="24"/>
                <w:highlight w:val="none"/>
              </w:rPr>
              <w:t>、卫星电话电池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219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卫星电话电池</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XT Lite电池</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highlight w:val="none"/>
                <w:lang w:val="en-US" w:eastAsia="zh-CN"/>
              </w:rPr>
              <w:t>个</w:t>
            </w:r>
          </w:p>
        </w:tc>
        <w:tc>
          <w:tcPr>
            <w:tcW w:w="525" w:type="dxa"/>
            <w:vAlign w:val="center"/>
          </w:tcPr>
          <w:p>
            <w:pPr>
              <w:widowControl/>
              <w:jc w:val="center"/>
              <w:rPr>
                <w:rFonts w:hint="eastAsia" w:ascii="宋体" w:hAnsi="宋体" w:eastAsia="宋体" w:cs="宋体"/>
                <w:kern w:val="0"/>
                <w:sz w:val="24"/>
                <w:szCs w:val="24"/>
                <w:highlight w:val="none"/>
                <w:lang w:val="en-US" w:eastAsia="zh-CN" w:bidi="ar-SA"/>
              </w:rPr>
            </w:pPr>
            <w:r>
              <w:rPr>
                <w:rFonts w:hint="eastAsia" w:ascii="宋体" w:hAnsi="宋体" w:cs="宋体"/>
                <w:kern w:val="0"/>
                <w:sz w:val="24"/>
                <w:highlight w:val="none"/>
                <w:lang w:val="en-US" w:eastAsia="zh-CN"/>
              </w:rPr>
              <w:t>7</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800</w:t>
            </w:r>
          </w:p>
        </w:tc>
        <w:tc>
          <w:tcPr>
            <w:tcW w:w="1410"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5600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adjustRightInd w:val="0"/>
              <w:jc w:val="center"/>
              <w:rPr>
                <w:rFonts w:hint="eastAsia" w:ascii="宋体" w:hAnsi="宋体" w:eastAsia="宋体" w:cs="宋体"/>
                <w:b/>
                <w:bCs/>
                <w:sz w:val="24"/>
                <w:highlight w:val="none"/>
              </w:rPr>
            </w:pPr>
          </w:p>
        </w:tc>
        <w:tc>
          <w:tcPr>
            <w:tcW w:w="8355" w:type="dxa"/>
            <w:gridSpan w:val="6"/>
            <w:vAlign w:val="center"/>
          </w:tcPr>
          <w:p>
            <w:pPr>
              <w:adjustRightInd w:val="0"/>
              <w:jc w:val="center"/>
              <w:rPr>
                <w:rFonts w:hint="eastAsia" w:ascii="宋体" w:hAnsi="宋体" w:eastAsia="宋体" w:cs="宋体"/>
                <w:b/>
                <w:bCs/>
                <w:sz w:val="24"/>
                <w:highlight w:val="none"/>
              </w:rPr>
            </w:pPr>
            <w:r>
              <w:rPr>
                <w:rFonts w:hint="eastAsia" w:ascii="宋体" w:hAnsi="宋体" w:eastAsia="宋体" w:cs="宋体"/>
                <w:b/>
                <w:bCs/>
                <w:sz w:val="24"/>
                <w:highlight w:val="none"/>
              </w:rPr>
              <w:t>二十</w:t>
            </w:r>
            <w:r>
              <w:rPr>
                <w:rFonts w:hint="eastAsia" w:ascii="宋体" w:hAnsi="宋体" w:cs="宋体"/>
                <w:b/>
                <w:bCs/>
                <w:sz w:val="24"/>
                <w:highlight w:val="none"/>
                <w:lang w:val="en-US" w:eastAsia="zh-CN"/>
              </w:rPr>
              <w:t>四</w:t>
            </w:r>
            <w:r>
              <w:rPr>
                <w:rFonts w:hint="eastAsia" w:ascii="宋体" w:hAnsi="宋体" w:eastAsia="宋体" w:cs="宋体"/>
                <w:b/>
                <w:bCs/>
                <w:sz w:val="24"/>
                <w:highlight w:val="none"/>
              </w:rPr>
              <w:t>、水文测报管理一体机</w:t>
            </w:r>
          </w:p>
        </w:tc>
        <w:tc>
          <w:tcPr>
            <w:tcW w:w="540" w:type="dxa"/>
            <w:vAlign w:val="center"/>
          </w:tcPr>
          <w:p>
            <w:pPr>
              <w:adjustRightInd w:val="0"/>
              <w:jc w:val="center"/>
              <w:rPr>
                <w:rFonts w:hint="eastAsia" w:ascii="宋体" w:hAnsi="宋体" w:eastAsia="宋体" w:cs="宋体"/>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9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水文测报管理一体机</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详见2.3.21</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台</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400000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2190" w:type="dxa"/>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短信通信费</w:t>
            </w:r>
          </w:p>
        </w:tc>
        <w:tc>
          <w:tcPr>
            <w:tcW w:w="2475" w:type="dxa"/>
            <w:vAlign w:val="center"/>
          </w:tcPr>
          <w:p>
            <w:pPr>
              <w:widowControl/>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含质保期内一体机短信通信费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项</w:t>
            </w:r>
          </w:p>
        </w:tc>
        <w:tc>
          <w:tcPr>
            <w:tcW w:w="525" w:type="dxa"/>
            <w:vAlign w:val="center"/>
          </w:tcPr>
          <w:p>
            <w:pPr>
              <w:widowControl/>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1410" w:type="dxa"/>
            <w:vAlign w:val="center"/>
          </w:tcPr>
          <w:p>
            <w:pPr>
              <w:keepNext w:val="0"/>
              <w:keepLines w:val="0"/>
              <w:widowControl/>
              <w:suppressLineNumbers w:val="0"/>
              <w:jc w:val="center"/>
              <w:textAlignment w:val="center"/>
              <w:rPr>
                <w:rFonts w:hint="eastAsia" w:ascii="宋体" w:hAnsi="宋体" w:eastAsia="宋体" w:cs="宋体"/>
                <w:kern w:val="0"/>
                <w:sz w:val="24"/>
                <w:highlight w:val="none"/>
              </w:rPr>
            </w:pPr>
            <w:r>
              <w:rPr>
                <w:rFonts w:hint="eastAsia" w:ascii="宋体" w:hAnsi="宋体" w:eastAsia="宋体" w:cs="宋体"/>
                <w:i w:val="0"/>
                <w:iCs w:val="0"/>
                <w:color w:val="000000"/>
                <w:kern w:val="0"/>
                <w:sz w:val="24"/>
                <w:szCs w:val="24"/>
                <w:u w:val="none"/>
                <w:lang w:val="en-US" w:eastAsia="zh-CN" w:bidi="ar"/>
              </w:rPr>
              <w:t>20000</w:t>
            </w:r>
          </w:p>
        </w:tc>
        <w:tc>
          <w:tcPr>
            <w:tcW w:w="540" w:type="dxa"/>
            <w:vAlign w:val="center"/>
          </w:tcPr>
          <w:p>
            <w:pPr>
              <w:adjustRightIn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vAlign w:val="center"/>
          </w:tcPr>
          <w:p>
            <w:pPr>
              <w:widowControl/>
              <w:jc w:val="center"/>
              <w:rPr>
                <w:rFonts w:hint="eastAsia" w:ascii="宋体" w:hAnsi="宋体" w:eastAsia="宋体" w:cs="宋体"/>
                <w:b/>
                <w:bCs/>
                <w:color w:val="auto"/>
                <w:sz w:val="24"/>
                <w:highlight w:val="none"/>
              </w:rPr>
            </w:pPr>
            <w:r>
              <w:rPr>
                <w:rFonts w:hint="eastAsia" w:ascii="宋体" w:hAnsi="宋体" w:cs="宋体"/>
                <w:b/>
                <w:bCs/>
                <w:color w:val="auto"/>
                <w:kern w:val="0"/>
                <w:sz w:val="24"/>
                <w:highlight w:val="none"/>
                <w:lang w:val="en-US" w:eastAsia="zh-CN"/>
              </w:rPr>
              <w:t>小计</w:t>
            </w:r>
          </w:p>
        </w:tc>
        <w:tc>
          <w:tcPr>
            <w:tcW w:w="2190" w:type="dxa"/>
            <w:vAlign w:val="center"/>
          </w:tcPr>
          <w:p>
            <w:pPr>
              <w:widowControl/>
              <w:jc w:val="center"/>
              <w:rPr>
                <w:rFonts w:hint="eastAsia" w:ascii="宋体" w:hAnsi="宋体" w:eastAsia="宋体" w:cs="宋体"/>
                <w:b/>
                <w:bCs/>
                <w:color w:val="auto"/>
                <w:sz w:val="24"/>
                <w:highlight w:val="none"/>
              </w:rPr>
            </w:pPr>
          </w:p>
        </w:tc>
        <w:tc>
          <w:tcPr>
            <w:tcW w:w="2475" w:type="dxa"/>
            <w:vAlign w:val="center"/>
          </w:tcPr>
          <w:p>
            <w:pPr>
              <w:widowControl/>
              <w:jc w:val="center"/>
              <w:rPr>
                <w:rFonts w:hint="eastAsia" w:ascii="宋体" w:hAnsi="宋体" w:eastAsia="宋体" w:cs="宋体"/>
                <w:b/>
                <w:bCs/>
                <w:color w:val="auto"/>
                <w:kern w:val="0"/>
                <w:sz w:val="24"/>
                <w:highlight w:val="none"/>
              </w:rPr>
            </w:pPr>
          </w:p>
        </w:tc>
        <w:tc>
          <w:tcPr>
            <w:tcW w:w="525" w:type="dxa"/>
            <w:vAlign w:val="center"/>
          </w:tcPr>
          <w:p>
            <w:pPr>
              <w:widowControl/>
              <w:jc w:val="center"/>
              <w:rPr>
                <w:rFonts w:hint="eastAsia" w:ascii="宋体" w:hAnsi="宋体" w:eastAsia="宋体" w:cs="宋体"/>
                <w:b/>
                <w:bCs/>
                <w:color w:val="auto"/>
                <w:kern w:val="0"/>
                <w:sz w:val="24"/>
                <w:highlight w:val="none"/>
              </w:rPr>
            </w:pPr>
          </w:p>
        </w:tc>
        <w:tc>
          <w:tcPr>
            <w:tcW w:w="525" w:type="dxa"/>
            <w:vAlign w:val="center"/>
          </w:tcPr>
          <w:p>
            <w:pPr>
              <w:widowControl/>
              <w:jc w:val="center"/>
              <w:rPr>
                <w:rFonts w:hint="eastAsia" w:ascii="宋体" w:hAnsi="宋体" w:eastAsia="宋体" w:cs="宋体"/>
                <w:b/>
                <w:bCs/>
                <w:color w:val="auto"/>
                <w:kern w:val="0"/>
                <w:sz w:val="24"/>
                <w:highlight w:val="none"/>
              </w:rPr>
            </w:pPr>
          </w:p>
        </w:tc>
        <w:tc>
          <w:tcPr>
            <w:tcW w:w="123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highlight w:val="none"/>
              </w:rPr>
            </w:pPr>
            <w:r>
              <w:rPr>
                <w:rFonts w:hint="eastAsia" w:ascii="宋体" w:hAnsi="宋体" w:eastAsia="宋体" w:cs="宋体"/>
                <w:b/>
                <w:bCs/>
                <w:i w:val="0"/>
                <w:iCs w:val="0"/>
                <w:color w:val="auto"/>
                <w:kern w:val="0"/>
                <w:sz w:val="24"/>
                <w:szCs w:val="24"/>
                <w:u w:val="none"/>
                <w:lang w:val="en-US" w:eastAsia="zh-CN" w:bidi="ar"/>
              </w:rPr>
              <w:t>420000</w:t>
            </w:r>
          </w:p>
        </w:tc>
        <w:tc>
          <w:tcPr>
            <w:tcW w:w="1410" w:type="dxa"/>
            <w:vAlign w:val="center"/>
          </w:tcPr>
          <w:p>
            <w:pPr>
              <w:keepNext w:val="0"/>
              <w:keepLines w:val="0"/>
              <w:widowControl/>
              <w:suppressLineNumbers w:val="0"/>
              <w:jc w:val="center"/>
              <w:textAlignment w:val="center"/>
              <w:rPr>
                <w:rFonts w:hint="eastAsia" w:ascii="宋体" w:hAnsi="宋体" w:eastAsia="宋体" w:cs="宋体"/>
                <w:b/>
                <w:bCs/>
                <w:color w:val="auto"/>
                <w:kern w:val="0"/>
                <w:sz w:val="24"/>
                <w:highlight w:val="none"/>
              </w:rPr>
            </w:pPr>
            <w:r>
              <w:rPr>
                <w:rFonts w:hint="eastAsia" w:ascii="宋体" w:hAnsi="宋体" w:eastAsia="宋体" w:cs="宋体"/>
                <w:b/>
                <w:bCs/>
                <w:i w:val="0"/>
                <w:iCs w:val="0"/>
                <w:color w:val="auto"/>
                <w:kern w:val="0"/>
                <w:sz w:val="24"/>
                <w:szCs w:val="24"/>
                <w:u w:val="none"/>
                <w:lang w:val="en-US" w:eastAsia="zh-CN" w:bidi="ar"/>
              </w:rPr>
              <w:t>420000</w:t>
            </w:r>
          </w:p>
        </w:tc>
        <w:tc>
          <w:tcPr>
            <w:tcW w:w="540" w:type="dxa"/>
            <w:vAlign w:val="center"/>
          </w:tcPr>
          <w:p>
            <w:pPr>
              <w:adjustRightInd w:val="0"/>
              <w:jc w:val="center"/>
              <w:rPr>
                <w:rFonts w:hint="eastAsia" w:ascii="宋体" w:hAnsi="宋体" w:eastAsia="宋体" w:cs="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5" w:type="dxa"/>
            <w:gridSpan w:val="6"/>
            <w:vAlign w:val="center"/>
          </w:tcPr>
          <w:p>
            <w:pPr>
              <w:widowControl/>
              <w:jc w:val="center"/>
              <w:rPr>
                <w:rFonts w:hint="eastAsia" w:ascii="宋体" w:hAnsi="宋体" w:eastAsia="宋体" w:cs="宋体"/>
                <w:b/>
                <w:bCs/>
                <w:color w:val="auto"/>
                <w:kern w:val="0"/>
                <w:sz w:val="24"/>
                <w:highlight w:val="none"/>
              </w:rPr>
            </w:pPr>
            <w:r>
              <w:rPr>
                <w:rFonts w:hint="eastAsia" w:ascii="宋体" w:hAnsi="宋体" w:cs="宋体"/>
                <w:b/>
                <w:bCs/>
                <w:color w:val="auto"/>
                <w:sz w:val="24"/>
                <w:highlight w:val="none"/>
                <w:lang w:val="en-US" w:eastAsia="zh-CN"/>
              </w:rPr>
              <w:t>合计</w:t>
            </w:r>
          </w:p>
        </w:tc>
        <w:tc>
          <w:tcPr>
            <w:tcW w:w="1410" w:type="dxa"/>
            <w:vAlign w:val="center"/>
          </w:tcPr>
          <w:p>
            <w:pPr>
              <w:widowControl/>
              <w:jc w:val="center"/>
              <w:rPr>
                <w:rFonts w:hint="eastAsia" w:ascii="宋体" w:hAnsi="宋体" w:eastAsia="宋体" w:cs="宋体"/>
                <w:b/>
                <w:bCs/>
                <w:color w:val="auto"/>
                <w:kern w:val="0"/>
                <w:sz w:val="24"/>
                <w:highlight w:val="none"/>
                <w:lang w:eastAsia="zh-CN"/>
              </w:rPr>
            </w:pPr>
            <w:r>
              <w:rPr>
                <w:rFonts w:hint="eastAsia" w:ascii="宋体" w:hAnsi="宋体" w:cs="宋体"/>
                <w:b/>
                <w:bCs/>
                <w:color w:val="auto"/>
                <w:kern w:val="0"/>
                <w:sz w:val="24"/>
                <w:highlight w:val="none"/>
                <w:lang w:eastAsia="zh-CN"/>
              </w:rPr>
              <w:t>5891900</w:t>
            </w:r>
          </w:p>
        </w:tc>
        <w:tc>
          <w:tcPr>
            <w:tcW w:w="540" w:type="dxa"/>
            <w:vAlign w:val="center"/>
          </w:tcPr>
          <w:p>
            <w:pPr>
              <w:adjustRightInd w:val="0"/>
              <w:jc w:val="center"/>
              <w:rPr>
                <w:rFonts w:hint="eastAsia" w:ascii="宋体" w:hAnsi="宋体" w:eastAsia="宋体" w:cs="宋体"/>
                <w:b/>
                <w:bCs/>
                <w:color w:val="auto"/>
                <w:sz w:val="24"/>
                <w:highlight w:val="none"/>
              </w:rPr>
            </w:pPr>
          </w:p>
        </w:tc>
      </w:tr>
    </w:tbl>
    <w:p>
      <w:pPr>
        <w:rPr>
          <w:rFonts w:hint="eastAsia" w:ascii="宋体" w:hAnsi="宋体" w:eastAsia="宋体" w:cs="宋体"/>
        </w:rPr>
      </w:pPr>
    </w:p>
    <w:p>
      <w:pPr>
        <w:adjustRightInd w:val="0"/>
        <w:spacing w:line="400" w:lineRule="exact"/>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2.2采购</w:t>
      </w:r>
      <w:r>
        <w:rPr>
          <w:rFonts w:hint="eastAsia" w:ascii="宋体" w:hAnsi="宋体" w:eastAsia="宋体" w:cs="宋体"/>
          <w:b/>
          <w:bCs/>
          <w:sz w:val="28"/>
          <w:szCs w:val="28"/>
          <w:highlight w:val="none"/>
          <w:lang w:eastAsia="zh-CN"/>
        </w:rPr>
        <w:t>点位分布</w:t>
      </w:r>
      <w:r>
        <w:rPr>
          <w:rFonts w:hint="eastAsia" w:ascii="宋体" w:hAnsi="宋体" w:eastAsia="宋体" w:cs="宋体"/>
          <w:b/>
          <w:bCs/>
          <w:sz w:val="28"/>
          <w:szCs w:val="28"/>
          <w:highlight w:val="none"/>
        </w:rPr>
        <w:t>表</w:t>
      </w:r>
    </w:p>
    <w:tbl>
      <w:tblPr>
        <w:tblStyle w:val="63"/>
        <w:tblW w:w="9705"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75"/>
        <w:gridCol w:w="2415"/>
        <w:gridCol w:w="795"/>
        <w:gridCol w:w="1020"/>
        <w:gridCol w:w="115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3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27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类别</w:t>
            </w:r>
          </w:p>
        </w:tc>
        <w:tc>
          <w:tcPr>
            <w:tcW w:w="241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建设内容/站名</w:t>
            </w:r>
          </w:p>
        </w:tc>
        <w:tc>
          <w:tcPr>
            <w:tcW w:w="79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tc>
        <w:tc>
          <w:tcPr>
            <w:tcW w:w="1020"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预算单价（元）</w:t>
            </w:r>
          </w:p>
        </w:tc>
        <w:tc>
          <w:tcPr>
            <w:tcW w:w="1155"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预算总价（元）</w:t>
            </w:r>
          </w:p>
        </w:tc>
        <w:tc>
          <w:tcPr>
            <w:tcW w:w="2310" w:type="dxa"/>
            <w:vAlign w:val="center"/>
          </w:tcPr>
          <w:p>
            <w:pPr>
              <w:pStyle w:val="4"/>
              <w:adjustRightInd w:val="0"/>
              <w:ind w:left="0" w:lef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浮子水位</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寿昌江1</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详见采购明细表“浮子水位”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寿昌江3</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钱塘江16</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钱塘江17</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新安江6</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钦堂上村桥</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胜利水库坝下</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三条岭水库</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水位雷达</w:t>
            </w: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钱塘江15</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详见采购明细表“水位雷达”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寿昌江汇合口（支流）</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生态流量</w:t>
            </w:r>
          </w:p>
        </w:tc>
        <w:tc>
          <w:tcPr>
            <w:tcW w:w="241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堰下</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详见采购明细表“生态流量”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雨量</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白山后</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详见采购明细表“雨量站”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毛家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溪边</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坟坞垄</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陈村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下徐</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西坞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方家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杨家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肖家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和溪</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外方</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红山坞口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靛青舍</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唐家</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落坞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里中垄</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胡村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庄畈</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坎坑坞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林村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山河</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清溪坞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塘坞口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金家埂</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绪塘坞</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山下</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洪秋塘</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朱家埠水库</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41</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水库站测井</w:t>
            </w:r>
          </w:p>
        </w:tc>
        <w:tc>
          <w:tcPr>
            <w:tcW w:w="2415" w:type="dxa"/>
            <w:vMerge w:val="restart"/>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站名详见“水库站测井站名表”</w:t>
            </w:r>
          </w:p>
        </w:tc>
        <w:tc>
          <w:tcPr>
            <w:tcW w:w="795" w:type="dxa"/>
            <w:vAlign w:val="center"/>
          </w:tcPr>
          <w:p>
            <w:pPr>
              <w:pStyle w:val="4"/>
              <w:adjustRightInd w:val="0"/>
              <w:ind w:left="0" w:left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34</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cs="宋体"/>
                <w:kern w:val="2"/>
                <w:sz w:val="24"/>
                <w:szCs w:val="24"/>
                <w:vertAlign w:val="baseline"/>
                <w:lang w:val="en-US" w:eastAsia="zh-CN" w:bidi="ar-SA"/>
              </w:rPr>
              <w:t>12300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cs="宋体"/>
                <w:sz w:val="24"/>
                <w:szCs w:val="24"/>
                <w:vertAlign w:val="baseline"/>
                <w:lang w:val="en-US" w:eastAsia="zh-CN"/>
              </w:rPr>
              <w:t>418200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详见采购明细表“水库站测井”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Merge w:val="continue"/>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cs="宋体"/>
                <w:kern w:val="2"/>
                <w:sz w:val="24"/>
                <w:szCs w:val="24"/>
                <w:vertAlign w:val="baseline"/>
                <w:lang w:val="en-US" w:eastAsia="zh-CN" w:bidi="ar-SA"/>
              </w:rPr>
              <w:t>32500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325000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w:t>
            </w:r>
          </w:p>
        </w:tc>
        <w:tc>
          <w:tcPr>
            <w:tcW w:w="1275" w:type="dxa"/>
            <w:vMerge w:val="restart"/>
            <w:vAlign w:val="center"/>
          </w:tcPr>
          <w:p>
            <w:pPr>
              <w:adjustRightInd w:val="0"/>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雨量站移位</w:t>
            </w: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rPr>
              <w:t>柳村</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w:t>
            </w:r>
            <w:r>
              <w:rPr>
                <w:rFonts w:hint="eastAsia" w:ascii="宋体" w:hAnsi="宋体" w:eastAsia="宋体" w:cs="宋体"/>
                <w:sz w:val="24"/>
                <w:szCs w:val="24"/>
                <w:highlight w:val="none"/>
                <w:lang w:eastAsia="zh-CN"/>
              </w:rPr>
              <w:t>雨量站移位</w:t>
            </w:r>
            <w:r>
              <w:rPr>
                <w:rFonts w:hint="eastAsia" w:ascii="宋体" w:hAnsi="宋体" w:eastAsia="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狮峰</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浪源</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早午岭</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w:t>
            </w:r>
            <w:r>
              <w:rPr>
                <w:rFonts w:hint="eastAsia" w:ascii="宋体" w:hAnsi="宋体" w:eastAsia="宋体" w:cs="宋体"/>
                <w:sz w:val="24"/>
                <w:szCs w:val="24"/>
                <w:vertAlign w:val="baseline"/>
                <w:lang w:val="en-US" w:eastAsia="zh-CN"/>
              </w:rPr>
              <w:t>0</w:t>
            </w:r>
            <w:r>
              <w:rPr>
                <w:rFonts w:hint="eastAsia" w:ascii="宋体" w:hAnsi="宋体" w:cs="宋体"/>
                <w:sz w:val="24"/>
                <w:szCs w:val="24"/>
                <w:vertAlign w:val="baseline"/>
                <w:lang w:val="en-US" w:eastAsia="zh-CN"/>
              </w:rPr>
              <w:t>650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46</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水库水位站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杨家口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详见采购明细表“水库水位站”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月塘</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48</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于合水位站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于合</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详见采购明细表“于合水位站”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49</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浮子水位站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500000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详见采购明细表“源口浮子水位站”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50</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人工水尺</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详见采购明细表“人工水尺”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小源里</w:t>
            </w:r>
          </w:p>
        </w:tc>
        <w:tc>
          <w:tcPr>
            <w:tcW w:w="79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1</w:t>
            </w:r>
          </w:p>
        </w:tc>
        <w:tc>
          <w:tcPr>
            <w:tcW w:w="1020"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w:t>
            </w:r>
            <w:r>
              <w:rPr>
                <w:rFonts w:hint="eastAsia" w:ascii="宋体" w:hAnsi="宋体" w:eastAsia="宋体" w:cs="宋体"/>
                <w:sz w:val="24"/>
                <w:szCs w:val="24"/>
                <w:vertAlign w:val="baseline"/>
                <w:lang w:val="en-US" w:eastAsia="zh-CN"/>
              </w:rPr>
              <w:t>0000</w:t>
            </w:r>
          </w:p>
        </w:tc>
        <w:tc>
          <w:tcPr>
            <w:tcW w:w="1155" w:type="dxa"/>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w:t>
            </w:r>
            <w:r>
              <w:rPr>
                <w:rFonts w:hint="eastAsia" w:ascii="宋体" w:hAnsi="宋体" w:eastAsia="宋体" w:cs="宋体"/>
                <w:sz w:val="24"/>
                <w:szCs w:val="24"/>
                <w:vertAlign w:val="baseline"/>
                <w:lang w:val="en-US" w:eastAsia="zh-CN"/>
              </w:rPr>
              <w:t>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52</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源口水文站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详见采购明细表“源口水文站”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53</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梅城水文站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梅城</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详见采购明细表“梅城水文站”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54</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水文站水尺</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梅城</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详见采购明细表“梅城水文站水尺”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55</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龙源水库水位站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龙源</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详见采购明细表“龙源水库水位站”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56</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流量站</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双溪口</w:t>
            </w:r>
          </w:p>
        </w:tc>
        <w:tc>
          <w:tcPr>
            <w:tcW w:w="795"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1</w:t>
            </w:r>
          </w:p>
        </w:tc>
        <w:tc>
          <w:tcPr>
            <w:tcW w:w="1020"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300000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300000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详见采购明细表“流量站”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汪家站</w:t>
            </w:r>
          </w:p>
        </w:tc>
        <w:tc>
          <w:tcPr>
            <w:tcW w:w="795"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1</w:t>
            </w:r>
          </w:p>
        </w:tc>
        <w:tc>
          <w:tcPr>
            <w:tcW w:w="1020"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300000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300000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58</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缆道拉线移位</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详见采购明细表“缆道拉线移位”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59</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遥测站点设备升级</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大同</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详见采购明细表“遥测站点设备升级”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大坑源</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寿昌</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曲斗</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洪岭</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大洲</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三河</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三河雷达站</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柳村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里诸电站</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69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里陈</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姚村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梅城水位站</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建德市梅城新雨量站</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源口水位</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源口雨量</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甘溪</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五沙畈</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罗村水库雨量</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建德水利局大楼</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79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联和村</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狮峰</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浪源</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大洋镇</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三岩村</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里黄</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和村</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界头</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新安江街道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早胡岭</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89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富春江南</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下塘码头</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马目大桥下游</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刘坞水库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大坞山（雷达水位）</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94</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罗桐埠</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乾里水库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96</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小源里水库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97</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寿昌水位站</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98</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横路岭脚</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99</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里林山</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100</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邵家村</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101</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界头</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102</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罗村三级电站</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103</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邓家河道</w:t>
            </w:r>
          </w:p>
        </w:tc>
        <w:tc>
          <w:tcPr>
            <w:tcW w:w="79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15000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104</w:t>
            </w:r>
          </w:p>
        </w:tc>
        <w:tc>
          <w:tcPr>
            <w:tcW w:w="1275" w:type="dxa"/>
            <w:vMerge w:val="restart"/>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水文站视频监控</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源口</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60000</w:t>
            </w:r>
          </w:p>
        </w:tc>
        <w:tc>
          <w:tcPr>
            <w:tcW w:w="2310" w:type="dxa"/>
            <w:vMerge w:val="restart"/>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详见采购明细表“水文站视频监控”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105</w:t>
            </w:r>
          </w:p>
        </w:tc>
        <w:tc>
          <w:tcPr>
            <w:tcW w:w="1275" w:type="dxa"/>
            <w:vMerge w:val="continue"/>
            <w:vAlign w:val="center"/>
          </w:tcPr>
          <w:p>
            <w:pPr>
              <w:adjustRightInd w:val="0"/>
              <w:jc w:val="center"/>
              <w:rPr>
                <w:rFonts w:hint="eastAsia" w:ascii="宋体" w:hAnsi="宋体" w:eastAsia="宋体" w:cs="宋体"/>
                <w:sz w:val="24"/>
                <w:highlight w:val="none"/>
              </w:rPr>
            </w:pP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三河</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30000</w:t>
            </w:r>
          </w:p>
        </w:tc>
        <w:tc>
          <w:tcPr>
            <w:tcW w:w="2310" w:type="dxa"/>
            <w:vMerge w:val="continue"/>
            <w:vAlign w:val="center"/>
          </w:tcPr>
          <w:p>
            <w:pPr>
              <w:pStyle w:val="4"/>
              <w:adjustRightInd w:val="0"/>
              <w:ind w:left="0" w:leftChars="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106</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视频监控维修</w:t>
            </w:r>
          </w:p>
        </w:tc>
        <w:tc>
          <w:tcPr>
            <w:tcW w:w="2415" w:type="dxa"/>
            <w:vAlign w:val="center"/>
          </w:tcPr>
          <w:p>
            <w:pPr>
              <w:widowControl/>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梅城</w:t>
            </w: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梅城水文站视频监控维修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107</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无人机</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详见采购明细表“无人机”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108</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手电筒</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详见采购明细表“手电筒”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109</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卫星电话通讯费</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10500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卫星电话通讯费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default" w:ascii="宋体" w:hAnsi="宋体" w:eastAsia="宋体" w:cs="宋体"/>
                <w:sz w:val="24"/>
                <w:szCs w:val="24"/>
                <w:highlight w:val="none"/>
              </w:rPr>
            </w:pPr>
            <w:r>
              <w:rPr>
                <w:rFonts w:hint="default" w:ascii="宋体" w:hAnsi="宋体" w:cs="宋体"/>
                <w:sz w:val="24"/>
                <w:szCs w:val="24"/>
                <w:highlight w:val="none"/>
              </w:rPr>
              <w:t>110</w:t>
            </w:r>
          </w:p>
        </w:tc>
        <w:tc>
          <w:tcPr>
            <w:tcW w:w="1275" w:type="dxa"/>
            <w:vAlign w:val="center"/>
          </w:tcPr>
          <w:p>
            <w:pPr>
              <w:adjustRightInd w:val="0"/>
              <w:jc w:val="center"/>
              <w:rPr>
                <w:rFonts w:hint="eastAsia" w:ascii="宋体" w:hAnsi="宋体" w:eastAsia="宋体" w:cs="宋体"/>
                <w:sz w:val="24"/>
                <w:highlight w:val="none"/>
                <w:lang w:val="en-US" w:eastAsia="zh-CN"/>
              </w:rPr>
            </w:pPr>
            <w:r>
              <w:rPr>
                <w:rFonts w:hint="eastAsia" w:ascii="宋体" w:hAnsi="宋体" w:eastAsia="宋体" w:cs="宋体"/>
                <w:sz w:val="24"/>
                <w:highlight w:val="none"/>
              </w:rPr>
              <w:t>卫星电话</w:t>
            </w:r>
            <w:r>
              <w:rPr>
                <w:rFonts w:hint="eastAsia" w:ascii="宋体" w:hAnsi="宋体" w:eastAsia="宋体" w:cs="宋体"/>
                <w:sz w:val="24"/>
                <w:highlight w:val="none"/>
                <w:lang w:val="en-US" w:eastAsia="zh-CN"/>
              </w:rPr>
              <w:t>电池</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020" w:type="dxa"/>
            <w:vAlign w:val="center"/>
          </w:tcPr>
          <w:p>
            <w:pPr>
              <w:pStyle w:val="4"/>
              <w:adjustRightInd w:val="0"/>
              <w:ind w:left="0" w:left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800</w:t>
            </w:r>
          </w:p>
        </w:tc>
        <w:tc>
          <w:tcPr>
            <w:tcW w:w="1155" w:type="dxa"/>
            <w:vAlign w:val="center"/>
          </w:tcPr>
          <w:p>
            <w:pPr>
              <w:pStyle w:val="4"/>
              <w:adjustRightInd w:val="0"/>
              <w:ind w:left="0" w:left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5600</w:t>
            </w:r>
          </w:p>
        </w:tc>
        <w:tc>
          <w:tcPr>
            <w:tcW w:w="2310" w:type="dxa"/>
            <w:vAlign w:val="center"/>
          </w:tcPr>
          <w:p>
            <w:pPr>
              <w:pStyle w:val="4"/>
              <w:adjustRightInd w:val="0"/>
              <w:ind w:left="0" w:left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XT Lite电池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5" w:type="dxa"/>
            <w:vAlign w:val="center"/>
          </w:tcPr>
          <w:p>
            <w:pPr>
              <w:pStyle w:val="4"/>
              <w:adjustRightInd w:val="0"/>
              <w:ind w:left="0" w:leftChars="0"/>
              <w:jc w:val="center"/>
              <w:rPr>
                <w:rFonts w:hint="default" w:ascii="宋体" w:hAnsi="宋体" w:eastAsia="宋体" w:cs="宋体"/>
                <w:kern w:val="2"/>
                <w:sz w:val="24"/>
                <w:szCs w:val="24"/>
                <w:highlight w:val="none"/>
                <w:lang w:eastAsia="zh-CN" w:bidi="ar-SA"/>
              </w:rPr>
            </w:pPr>
            <w:r>
              <w:rPr>
                <w:rFonts w:hint="default" w:ascii="宋体" w:hAnsi="宋体" w:cs="宋体"/>
                <w:kern w:val="2"/>
                <w:sz w:val="24"/>
                <w:szCs w:val="24"/>
                <w:highlight w:val="none"/>
                <w:lang w:eastAsia="zh-CN" w:bidi="ar-SA"/>
              </w:rPr>
              <w:t>111</w:t>
            </w:r>
          </w:p>
        </w:tc>
        <w:tc>
          <w:tcPr>
            <w:tcW w:w="1275" w:type="dxa"/>
            <w:vAlign w:val="center"/>
          </w:tcPr>
          <w:p>
            <w:pPr>
              <w:adjustRightInd w:val="0"/>
              <w:jc w:val="center"/>
              <w:rPr>
                <w:rFonts w:hint="eastAsia" w:ascii="宋体" w:hAnsi="宋体" w:eastAsia="宋体" w:cs="宋体"/>
                <w:sz w:val="24"/>
                <w:highlight w:val="none"/>
              </w:rPr>
            </w:pPr>
            <w:r>
              <w:rPr>
                <w:rFonts w:hint="eastAsia" w:ascii="宋体" w:hAnsi="宋体" w:eastAsia="宋体" w:cs="宋体"/>
                <w:sz w:val="24"/>
                <w:highlight w:val="none"/>
              </w:rPr>
              <w:t>水文报管理一体机</w:t>
            </w:r>
          </w:p>
        </w:tc>
        <w:tc>
          <w:tcPr>
            <w:tcW w:w="2415" w:type="dxa"/>
            <w:vAlign w:val="center"/>
          </w:tcPr>
          <w:p>
            <w:pPr>
              <w:widowControl/>
              <w:jc w:val="center"/>
              <w:textAlignment w:val="center"/>
              <w:rPr>
                <w:rFonts w:hint="eastAsia" w:ascii="宋体" w:hAnsi="宋体" w:eastAsia="宋体" w:cs="宋体"/>
                <w:sz w:val="24"/>
                <w:highlight w:val="none"/>
              </w:rPr>
            </w:pPr>
          </w:p>
        </w:tc>
        <w:tc>
          <w:tcPr>
            <w:tcW w:w="79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420000</w:t>
            </w:r>
          </w:p>
        </w:tc>
        <w:tc>
          <w:tcPr>
            <w:tcW w:w="1155"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420000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详见采购明细表“水文测报管理一体机”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40" w:type="dxa"/>
            <w:gridSpan w:val="5"/>
            <w:vAlign w:val="center"/>
          </w:tcPr>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合计</w:t>
            </w:r>
          </w:p>
        </w:tc>
        <w:tc>
          <w:tcPr>
            <w:tcW w:w="1155" w:type="dxa"/>
            <w:vAlign w:val="center"/>
          </w:tcPr>
          <w:p>
            <w:pPr>
              <w:pStyle w:val="4"/>
              <w:adjustRightInd w:val="0"/>
              <w:ind w:left="0" w:left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5891900</w:t>
            </w:r>
          </w:p>
        </w:tc>
        <w:tc>
          <w:tcPr>
            <w:tcW w:w="2310" w:type="dxa"/>
            <w:vAlign w:val="center"/>
          </w:tcPr>
          <w:p>
            <w:pPr>
              <w:pStyle w:val="4"/>
              <w:adjustRightInd w:val="0"/>
              <w:ind w:left="0" w:leftChars="0"/>
              <w:jc w:val="center"/>
              <w:rPr>
                <w:rFonts w:hint="eastAsia" w:ascii="宋体" w:hAnsi="宋体" w:eastAsia="宋体" w:cs="宋体"/>
                <w:sz w:val="24"/>
                <w:szCs w:val="24"/>
                <w:highlight w:val="none"/>
              </w:rPr>
            </w:pPr>
          </w:p>
        </w:tc>
      </w:tr>
    </w:tbl>
    <w:p>
      <w:pPr>
        <w:rPr>
          <w:rFonts w:hint="eastAsia" w:ascii="宋体" w:hAnsi="宋体" w:eastAsia="宋体" w:cs="宋体"/>
        </w:rPr>
      </w:pPr>
    </w:p>
    <w:tbl>
      <w:tblPr>
        <w:tblStyle w:val="63"/>
        <w:tblW w:w="0" w:type="auto"/>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230"/>
        <w:gridCol w:w="1020"/>
        <w:gridCol w:w="780"/>
        <w:gridCol w:w="705"/>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9075" w:type="dxa"/>
            <w:gridSpan w:val="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4"/>
                <w:highlight w:val="none"/>
              </w:rPr>
            </w:pPr>
            <w:r>
              <w:rPr>
                <w:rFonts w:hint="eastAsia" w:ascii="宋体" w:hAnsi="宋体" w:eastAsia="宋体" w:cs="宋体"/>
                <w:b/>
                <w:bCs/>
                <w:sz w:val="28"/>
                <w:szCs w:val="28"/>
                <w:highlight w:val="none"/>
              </w:rPr>
              <w:t>水库站测井站名表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25" w:type="dxa"/>
            <w:vAlign w:val="center"/>
          </w:tcPr>
          <w:p>
            <w:pPr>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1230"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名称</w:t>
            </w:r>
          </w:p>
        </w:tc>
        <w:tc>
          <w:tcPr>
            <w:tcW w:w="1020"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乡镇</w:t>
            </w:r>
          </w:p>
        </w:tc>
        <w:tc>
          <w:tcPr>
            <w:tcW w:w="780"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类型</w:t>
            </w:r>
          </w:p>
        </w:tc>
        <w:tc>
          <w:tcPr>
            <w:tcW w:w="705"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加长（m）</w:t>
            </w:r>
          </w:p>
        </w:tc>
        <w:tc>
          <w:tcPr>
            <w:tcW w:w="4815" w:type="dxa"/>
            <w:vAlign w:val="center"/>
          </w:tcPr>
          <w:p>
            <w:pPr>
              <w:widowControl/>
              <w:jc w:val="center"/>
              <w:textAlignment w:val="center"/>
              <w:rPr>
                <w:rFonts w:hint="eastAsia" w:ascii="宋体" w:hAnsi="宋体" w:eastAsia="宋体" w:cs="宋体"/>
                <w:b/>
                <w:bCs/>
                <w:sz w:val="24"/>
                <w:highlight w:val="none"/>
              </w:rPr>
            </w:pPr>
            <w:r>
              <w:rPr>
                <w:rFonts w:hint="eastAsia" w:ascii="宋体" w:hAnsi="宋体" w:eastAsia="宋体" w:cs="宋体"/>
                <w:b/>
                <w:bCs/>
                <w:color w:val="000000"/>
                <w:kern w:val="0"/>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工农团结</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更楼</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赤岭</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梅城</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南山</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梅城</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金宅</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下坞底</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jc w:val="center"/>
              <w:rPr>
                <w:rFonts w:hint="eastAsia" w:ascii="宋体" w:hAnsi="宋体" w:eastAsia="宋体" w:cs="宋体"/>
                <w:kern w:val="2"/>
                <w:sz w:val="24"/>
                <w:szCs w:val="24"/>
                <w:vertAlign w:val="baseline"/>
                <w:lang w:val="en-US" w:eastAsia="zh-CN" w:bidi="ar-SA"/>
              </w:rPr>
            </w:pPr>
          </w:p>
        </w:tc>
        <w:tc>
          <w:tcPr>
            <w:tcW w:w="48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阳光差，无法延伸，移位至坝面，更换探头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前进</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红旗</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更楼</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朱塘坑</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jc w:val="center"/>
              <w:rPr>
                <w:rFonts w:hint="eastAsia" w:ascii="宋体" w:hAnsi="宋体" w:eastAsia="宋体" w:cs="宋体"/>
                <w:kern w:val="2"/>
                <w:sz w:val="24"/>
                <w:szCs w:val="24"/>
                <w:vertAlign w:val="baseline"/>
                <w:lang w:val="en-US" w:eastAsia="zh-CN" w:bidi="ar-SA"/>
              </w:rPr>
            </w:pPr>
          </w:p>
        </w:tc>
        <w:tc>
          <w:tcPr>
            <w:tcW w:w="48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阳光差，无法延伸，移位至坝面，更换探头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红塘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后山</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林塘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大塘坞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黄子坑</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石堂</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吴山坑</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小源口</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李家</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岩塘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考坑坞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绿荷塘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解放</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jc w:val="center"/>
              <w:rPr>
                <w:rFonts w:hint="eastAsia" w:ascii="宋体" w:hAnsi="宋体" w:eastAsia="宋体" w:cs="宋体"/>
                <w:kern w:val="2"/>
                <w:sz w:val="24"/>
                <w:szCs w:val="24"/>
                <w:vertAlign w:val="baseline"/>
                <w:lang w:val="en-US" w:eastAsia="zh-CN" w:bidi="ar-SA"/>
              </w:rPr>
            </w:pPr>
          </w:p>
        </w:tc>
        <w:tc>
          <w:tcPr>
            <w:tcW w:w="48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无法延伸，移位至坝面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月岭</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jc w:val="center"/>
              <w:rPr>
                <w:rFonts w:hint="eastAsia" w:ascii="宋体" w:hAnsi="宋体" w:eastAsia="宋体" w:cs="宋体"/>
                <w:kern w:val="2"/>
                <w:sz w:val="24"/>
                <w:szCs w:val="24"/>
                <w:vertAlign w:val="baseline"/>
                <w:lang w:val="en-US" w:eastAsia="zh-CN" w:bidi="ar-SA"/>
              </w:rPr>
            </w:pPr>
          </w:p>
        </w:tc>
        <w:tc>
          <w:tcPr>
            <w:tcW w:w="481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阳光差，移位至坝面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清水塘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狮山</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洋溪</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杨家</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杨村桥</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岔坞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乾潭</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27</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大有塘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乾潭</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28</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施家垅</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乾潭</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黄山</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镇头</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三都</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31</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泉塘</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32</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反修</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更楼</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33</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工农</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梅城</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34</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白岭</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航头</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35</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石柱源</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大慈岩</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36</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石郭源</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37</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小源里</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李家</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38</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青藤湾</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三都</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39</w:t>
            </w:r>
          </w:p>
        </w:tc>
        <w:tc>
          <w:tcPr>
            <w:tcW w:w="123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刘坞</w:t>
            </w:r>
          </w:p>
        </w:tc>
        <w:tc>
          <w:tcPr>
            <w:tcW w:w="102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横山坞</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梅城</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黄山</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大洋</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乌石</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郑塘</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压力型线长不足，需更换压力探头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12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考坑坞</w:t>
            </w:r>
          </w:p>
        </w:tc>
        <w:tc>
          <w:tcPr>
            <w:tcW w:w="102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寿昌</w:t>
            </w:r>
          </w:p>
        </w:tc>
        <w:tc>
          <w:tcPr>
            <w:tcW w:w="780" w:type="dxa"/>
            <w:vAlign w:val="center"/>
          </w:tcPr>
          <w:p>
            <w:pPr>
              <w:keepNext w:val="0"/>
              <w:keepLines w:val="0"/>
              <w:widowControl/>
              <w:suppressLineNumbers w:val="0"/>
              <w:jc w:val="center"/>
              <w:textAlignment w:val="center"/>
              <w:rPr>
                <w:rFonts w:hint="eastAsia" w:ascii="宋体" w:hAnsi="宋体" w:eastAsia="宋体" w:cs="宋体"/>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浮子</w:t>
            </w:r>
          </w:p>
        </w:tc>
        <w:tc>
          <w:tcPr>
            <w:tcW w:w="705"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4815" w:type="dxa"/>
            <w:vAlign w:val="center"/>
          </w:tcPr>
          <w:p>
            <w:pPr>
              <w:jc w:val="center"/>
              <w:rPr>
                <w:rFonts w:hint="eastAsia" w:ascii="宋体" w:hAnsi="宋体" w:eastAsia="宋体" w:cs="宋体"/>
                <w:kern w:val="2"/>
                <w:sz w:val="24"/>
                <w:szCs w:val="24"/>
                <w:vertAlign w:val="baseline"/>
                <w:lang w:val="en-US" w:eastAsia="zh-CN" w:bidi="ar-SA"/>
              </w:rPr>
            </w:pPr>
          </w:p>
        </w:tc>
      </w:tr>
    </w:tbl>
    <w:p>
      <w:pPr>
        <w:rPr>
          <w:rFonts w:hint="eastAsia" w:ascii="宋体" w:hAnsi="宋体" w:eastAsia="宋体" w:cs="宋体"/>
          <w:highlight w:val="none"/>
        </w:rPr>
      </w:pPr>
    </w:p>
    <w:p>
      <w:pPr>
        <w:pStyle w:val="4"/>
        <w:adjustRightInd w:val="0"/>
        <w:ind w:left="0" w:leftChars="0"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2.3主要设备技术要求</w:t>
      </w:r>
    </w:p>
    <w:p>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2.3.1遥测终端（含安全网关）</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数据自动上报。遥测站可定时自报或按设定的条件主动上传数据。自动响应中心站召测指令。遥测站响应中心站要求或指令，上传数据。现场全中文显示水雨情数据，包括当前数据、历史数据、系统信息。具有记录功能，可按设定的要求，记录各类数据。大容量数据固态存储，可由中心站远端调用或现场读取。</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2)现场手动设置各种运行模式和参数。</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3)接受中心站远程设置和控制指令。支持4G全网通通信功能，向下兼容3G/2G通信模式，支持三大运营商。同时根据现场的网络情况，提供灵活的频段锁定功能，保证现场网络通信的可靠。</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4)实时时钟自动校对和调整功能。</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5)可连接多种传感器，包括水位计、雨量计、风向风速仪等各种水文、气象传感器。</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6)支持多种通信方式，如GSM短信、GPRS/CDMA、北斗卫星等。</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7)太阳能供电，保证在无人值守条件下的长期稳定运行。</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8)符合SL651-2014《水文监测数据通信规约》。</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highlight w:val="none"/>
        </w:rPr>
      </w:pPr>
      <w:r>
        <w:rPr>
          <w:rFonts w:hint="eastAsia" w:ascii="宋体" w:hAnsi="宋体" w:eastAsia="宋体" w:cs="宋体"/>
          <w:b/>
          <w:bCs w:val="0"/>
          <w:highlight w:val="none"/>
        </w:rPr>
        <w:t>9)全密封设计，360度无死角防护，防水等级可达IP67，降低环境湿度对设备的影响。</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10)须支持浙江省水文通信平台，支持水利内网，投标人需提供相关承诺。</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11)电源输入：9-24V DC；</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12)电源输出：24V 100mA，5V 20mA，3路可控电源输出，除满足传感器电源控制外，可灵活实现下行控制功能。</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13)信号采集：2路RS485，1路RS232，可接入各种类型的外部传感器，并可扩展北斗等外部通信模块；2路模拟量采集，可接入标准4-20mA变送器，可配置为各种传感器类型；2路脉冲/开关输入，除接入雨量桶外，还可实现报警监测，用于开箱报警等功能。</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14)为保证遥测站长时间稳定工作采用低功耗设计，静态值守电流≤0.2mA。</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15)设备内置GPS模块，系统定期获取设备的位置信息，并上传平台，从而实现设备位置信息和数据的自动绑定，设备位置的交换将不会影响测站的数据统计。</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16)数据补发：遇到信号问题，基站问题，SIM卡问题等情况，系统将暂存采集数据并待网络恢复后自前至后进行逐条补发</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 xml:space="preserve">17)SD卡：支持MicroSD卡，可选配置；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18)看门狗：内部硬件看门狗，外部硬件看门狗</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19)工作温度：-40℃至+70℃</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20)工作湿度：0-95%，不结露</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21)平均无故障工作时间：≥50000h</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2.3.2太阳能系统</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电源系统的设计要求是：</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电池类别：密封免维护电池或固体、胶体电池；</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容量：全部由电池供电时，应能保证设备连续工作 30 天以上，用太阳能浮充蓄电池供电，保证设备能长期可靠工作，采用不小于100AH 蓄电池。</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硅太阳能电池是将光能直接转换成电能的半导体器件，具有体积小、可靠性高、寿命长、无环境污染、使用维护方便等特点。它可以单独使用，也可以多个连接起来组成方阵使用，与蓄电池配合可作为直流电源连续使用。</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遥测站太阳能供电系统的设计，由于无人看守，且要求连续不间断供电，考虑计算负载的日用电量、太阳能电池修正系数（考虑灰尘、气候、蓄电池特性）等方面的影响，采用不小于30W的太阳能电池板。</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1、太阳能板技术参数</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1）单晶，功率不小于30W;</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2）充电电压不低于18V;</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2、蓄电池技术参数</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自动遥测站采用12V蓄电池供电，对电源的设计要求是：</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1）12V/≥100AH，电源控制器。</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2）自动遥测站采用 12V 蓄电池供电。</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3）电池类别：密封免维护电池或固体、胶体电池。</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4）电压：允许变幅－10％~＋20％。</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5）电流：发射机功率 5W（GSM）时，应能瞬间提供 3A 电流；</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6）容量：全部由电池供电时，应能保证设备连续工作 30 天以上，用太阳能浮充蓄电池供电，保证设备能长期可靠工作，采用不小于100AH 蓄电池。</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硅太阳能电池是将光能直接转换成电能的半导体器件，具有体积小、可靠性高、寿命长、无环境污染、使用维护方便等特点。它可以单独使用，也可以多个连接起来组成方阵使用，与蓄电池配合可作为直流电源连续使用。</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8）遥测站太阳能电源系统的设计，由于无人看守，且要求连续不间断供电，考虑计算负载的日用电量、太阳能电池修正系数（考虑灰尘、气候、蓄电池特性）等方面的影响，采用不小于 30W 的太阳能电池板。</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2.3.3翻斗式雨量计</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1）承雨口内径：Φ200+0.6mm；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2）仪器分辨力：0.5mm；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3）降雨强度测量范围：0.01～4mm/min（允许通过最大雨强8mm/min）；</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4）测量精度：0.5mm；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5）翻斗计量误差：≤±4% ；</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6）输出信号方式：磁钢—干簧管式接点开关通断信号；</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7）开关接点容量：DC U≤24V，I≤120mA ；</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8）接点工作次数：1×107次；</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9）工作环境温度：-10℃～+50℃；</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10）工作环境湿度：&lt;95%（40℃）；</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11）平均无故障工作时间：≥16000h。</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2.3.4浮子式水位传感器</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1）浮子直径： Φ150mm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2）水位轮工作周长： 320mm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3）平衡锤直径： Φ20mm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4）测量范围： 0～40m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5）分辨力： 1cm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6）水位变率： ≤100cm/min</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7）测量精度： 量程≤10m时，不超出±2cm  量程＞10m时，不超出±0.2%</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8）输出形式： 12bit格雷码</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9）显示方式： 5位机械数字显示</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10）工作环境： 温度－10℃～＋50℃（水体不结冰）  湿度≤95%RH（40℃无凝露）</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11）贮存环境： 温度－40℃～＋60℃  湿度≤90%RH</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2.3.5雷达式水位传感器</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1)测量范围：0-30m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2)盲区：无盲区</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3)测量精度：±1mm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4)分辨率：1mm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5)工作频率：60GHz</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6)工作原理：调频连续波（FMCW）</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7)发射功率（EIRP）：5-10dBm（根据水体变化规律智能调节）</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8)响应时间：最快100ms，10s输出平均测量值</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9)波束角：4</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10)天线：透镜天线</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11)自带万向水平仪</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12)姿态角智能感知及补偿：水平角、横滚角精度± 1°；分辨率±0.1°</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13)智能水位跟踪识别算法：自学习、自识别、自过滤、自适应保证水位监测数据稳定可靠</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14)供电范围：DC 6-30V，典型12V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15)功耗：≤5mA @DC 12V</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16)通讯接口：标配RS485接口，可定制RS232/4-20mA</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17)通讯协议：Modbus协议；可自定义协议</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18)配置方式：可采用蓝牙和有线方式配置参数</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19)防护等级：IP68</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20)工作温度：-40℃~+85℃</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21)配置软件：提供配套专用软件，可以在电脑上实现参数设置、校准调整、数据保存等操作，同时也能显示水位、俯仰角、水平角、空高、时钟等实时数据</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22)符合GB15966-2017标准《水文仪器基本参数及通用技术条件》。</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23)符合SL/T 243-1999 《水位计通用技术条件》。</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24）产品具有防爆合格证。（提供经检测机构认证的防爆合格证）</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25）具备《中国绿色节能环保产品》证书（提供相关证明材料）</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2.3.6压力式水位传感器</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1)量程：0~10m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2）综合精度：±0.075%FS（最小值） ±0.1%FS（典型值） ±0.25%FS（最大值）</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3)4mA～20mA DC两线制电流输出；</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4)采用数字温度补偿及非线性修正技术；</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5)具备RS485通讯接口（自定义协议）或HARTâ通讯协议；</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6)支持组网应用；</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7)全不锈钢结构设计，体积小，重量轻；</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2.3.7 V-ADCP</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1）测速范围：-6~6m/s。</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2）测速精度：±0.005m/s；±1%FS。</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3）流速最大单元层数：128层</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4）流速单元层大小 ：≥1cm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5）稳定数据时间：小于10s</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6）最大测量水深：10m。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7）水位测量精度：±3mm。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8）工作电压：DC6~30V。</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9）功耗：工作电流≤80mA@DC12V。</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10）工作温度：-35℃~+60℃。</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11）外形尺寸：208*53*20mm。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12）通讯接口及协议：标配RS485接口，Modbus协议；</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13）水流方向：支持判断水流方向。</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14）内置温度传感器进行水深校准：温度精度±0.3°；分辨率0.1°。</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15）流量计算：必须有水力模型，可以进行流速分布模拟和流量计算；流量计算在超声波剖面流量计内部完成，流量计可以直接输出流速、水位、瞬时流量和累计水量。</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16）配置软件：提供配套专用软件，可在电脑上显示监测数据和配置参数，可以显示流速、水位、瞬时流量、温度、累计水量和设备倾角等实时数据。</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17）防护等级：IP68。</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18）超声波流量计符合GB/T 15966-2017 《水文仪器基本参数及通用技术条件》和GB/T 9359-2016 《水文仪器基本环境试验条件及方法》。</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19）具备《中国绿色节能环保产品》证书。（需提供相关证明材料）</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流量比测（</w:t>
      </w:r>
      <w:r>
        <w:rPr>
          <w:rFonts w:hint="eastAsia" w:ascii="宋体" w:hAnsi="宋体" w:cs="宋体"/>
          <w:b/>
          <w:highlight w:val="none"/>
          <w:lang w:val="en-US" w:eastAsia="zh-CN"/>
        </w:rPr>
        <w:t>含</w:t>
      </w:r>
      <w:r>
        <w:rPr>
          <w:rFonts w:hint="eastAsia" w:ascii="宋体" w:hAnsi="宋体" w:eastAsia="宋体" w:cs="宋体"/>
          <w:b/>
          <w:highlight w:val="none"/>
        </w:rPr>
        <w:t>ADCP</w:t>
      </w:r>
      <w:r>
        <w:rPr>
          <w:rFonts w:hint="eastAsia" w:ascii="宋体" w:hAnsi="宋体" w:cs="宋体"/>
          <w:b/>
          <w:highlight w:val="none"/>
          <w:lang w:val="en-US" w:eastAsia="zh-CN"/>
        </w:rPr>
        <w:t xml:space="preserve"> 2年</w:t>
      </w:r>
      <w:r>
        <w:rPr>
          <w:rFonts w:hint="eastAsia" w:ascii="宋体" w:hAnsi="宋体" w:eastAsia="宋体" w:cs="宋体"/>
          <w:b/>
          <w:highlight w:val="none"/>
        </w:rPr>
        <w:t>率定）</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流量自动在线监测设备比测可采用走航式ADCP中低水率定关系线，高水延长、经验表面流速系数、水库水工建筑推算流量比测率定等，比测率定工作可根据来水情况在 2-3 年时间完成。首次比测率定成果质量可暂时按照样本总数不少于 15 个（水位级或流量级分布相对均匀）、随机误差≤15 %、相对误差≤20%样本数不少于90%控制，并在运行期内持续开展校测工作，完善比测率定分析，逐步提升监测数据精度。</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lang w:eastAsia="zh-CN"/>
        </w:rPr>
      </w:pPr>
      <w:r>
        <w:rPr>
          <w:rFonts w:hint="eastAsia" w:ascii="宋体" w:hAnsi="宋体" w:eastAsia="宋体" w:cs="宋体"/>
          <w:b/>
          <w:highlight w:val="none"/>
        </w:rPr>
        <w:t>为保障ADCP测流准确度，由具备水文观测资质的第三方权威机构出具比测报告</w:t>
      </w:r>
      <w:r>
        <w:rPr>
          <w:rFonts w:hint="eastAsia" w:ascii="宋体" w:hAnsi="宋体" w:cs="宋体"/>
          <w:b/>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2.3.8北斗通信模块</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1、主要技术参数</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1）接收信号类型：S2C_d、S2C_p、B1I、B1C;</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2）发射信号类型：Lf1，Lf2;</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3）接收灵敏度：信号电平≤-123dBW时，误码率≤1×10-5。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4）同时接收波束个数：≥14;</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5）发射功率EIRP值：≤13dBW;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6）首次捕获时间：≤2s;</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7）失锁重捕时间：≤ls;</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bCs w:val="0"/>
          <w:highlight w:val="none"/>
        </w:rPr>
      </w:pPr>
      <w:r>
        <w:rPr>
          <w:rFonts w:hint="eastAsia" w:ascii="宋体" w:hAnsi="宋体" w:eastAsia="宋体" w:cs="宋体"/>
          <w:b/>
          <w:bCs w:val="0"/>
          <w:highlight w:val="none"/>
        </w:rPr>
        <w:t>8）通过北斗三号区域短报文民用终端入网检测</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2、RNSS性能指标</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1）定位频点：B1C</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2）定位精度：≤2.5M CEP；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3）速度：≤0.1m/s CEP ;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4）1pps精度：≤20ns ；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5）热启动：≤1s；</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6）灵敏度：冷启动： ≥-148dBm；热启动：≥-155dBm；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7）速度：≤515m/s</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3、整机性能指标</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1）一体机尺寸：≤Φ136mm±1mm×93mm±1mm （不含支脚、接插座）</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2）三防：IP67防护等级；</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3）供电要求：9-36V。</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4、环境适应性</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1）工作温度：-20℃~+70℃</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2）存储温度：-40℃~+85℃</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0"/>
        <w:textAlignment w:val="auto"/>
        <w:rPr>
          <w:rFonts w:hint="eastAsia" w:ascii="宋体" w:hAnsi="宋体" w:eastAsia="宋体" w:cs="宋体"/>
          <w:bCs w:val="0"/>
          <w:highlight w:val="none"/>
        </w:rPr>
      </w:pPr>
      <w:r>
        <w:rPr>
          <w:rFonts w:hint="eastAsia" w:ascii="宋体" w:hAnsi="宋体" w:eastAsia="宋体" w:cs="宋体"/>
          <w:bCs w:val="0"/>
          <w:highlight w:val="none"/>
        </w:rPr>
        <w:t xml:space="preserve">3）防水防尘等级：IP67 </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2.3.9蒸发设备</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1、主要材质：玻璃钢</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2、蒸发桶</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1）口径：618±2mm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2）高度：600mm，锥体高度：87mm，整个器高：687mm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3）器口厚度：10mm，刃口呈40-45里直外斜形</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4）标志线：水面标志线距器口距离75±2mm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5）溢流孔：溢流孔内径15mm，溢流孔底距离口60mm</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3、水圈</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1）槽宽：200mm，内壁深：137mm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4、溢流桶</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1）内径：196±1mm（横截面面积300cm</w:t>
      </w:r>
      <w:r>
        <w:rPr>
          <w:rFonts w:hint="eastAsia" w:ascii="宋体" w:hAnsi="宋体" w:eastAsia="宋体" w:cs="宋体"/>
          <w:sz w:val="24"/>
          <w:szCs w:val="24"/>
          <w:highlight w:val="none"/>
          <w:vertAlign w:val="superscript"/>
        </w:rPr>
        <w:t>2</w:t>
      </w:r>
      <w:r>
        <w:rPr>
          <w:rFonts w:hint="eastAsia" w:ascii="宋体" w:hAnsi="宋体" w:eastAsia="宋体" w:cs="宋体"/>
          <w:sz w:val="24"/>
          <w:szCs w:val="24"/>
          <w:highlight w:val="none"/>
        </w:rPr>
        <w:t>）</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2）器深：400mm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5、量测装置</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1）音响器电源：DC3V</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2）测杆最小刻度：1mm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3）量程：70mm或100mm</w:t>
      </w:r>
      <w:r>
        <w:rPr>
          <w:rFonts w:hint="eastAsia" w:ascii="宋体" w:hAnsi="宋体" w:eastAsia="宋体" w:cs="宋体"/>
          <w:sz w:val="24"/>
          <w:szCs w:val="24"/>
          <w:highlight w:val="none"/>
        </w:rPr>
        <w:tab/>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4）分辨率：0.1mm</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2.3.10船篷</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停船坞主尺度:总长:8.60m，总宽:0.80m，型深:0.79m 干舷:0.50m，肋距:0.50m 航区:B级，最大高度:3.0m。示意图如下</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0" distR="0" simplePos="0" relativeHeight="251664384" behindDoc="0" locked="0" layoutInCell="1" allowOverlap="1">
            <wp:simplePos x="0" y="0"/>
            <wp:positionH relativeFrom="column">
              <wp:posOffset>9525</wp:posOffset>
            </wp:positionH>
            <wp:positionV relativeFrom="paragraph">
              <wp:posOffset>107950</wp:posOffset>
            </wp:positionV>
            <wp:extent cx="5761355" cy="3286125"/>
            <wp:effectExtent l="0" t="0" r="0" b="952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61355" cy="3286125"/>
                    </a:xfrm>
                    <a:prstGeom prst="rect">
                      <a:avLst/>
                    </a:prstGeom>
                    <a:noFill/>
                  </pic:spPr>
                </pic:pic>
              </a:graphicData>
            </a:graphic>
          </wp:anchor>
        </w:drawing>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1、船体外构</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本船采用横骨架式全电焊结构。其骨架间距为0.5m，外板材料采用船用钢板 CCSB 武汉钢铁公司生产。外板厚度4mm、甲板厚度4mm、肋骨 L56*40*4、上层材料为镀锌管、镀锌矩形管、顶篷采用环氧树脂瓦。</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2、栖装设备</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1)系缆桩:按《内河小型船舶建造规范》配置。</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2)人孔、透气孔:人孔5只(其中二只设于横舱壁)</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3、锚泊设备</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船首与岸基由缆绳系泊，船艉采用锚泊成八字型抛设。</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4、油漆</w:t>
      </w:r>
    </w:p>
    <w:p>
      <w:pPr>
        <w:pStyle w:val="4"/>
        <w:keepNext w:val="0"/>
        <w:keepLines w:val="0"/>
        <w:pageBreakBefore w:val="0"/>
        <w:widowControl w:val="0"/>
        <w:kinsoku/>
        <w:wordWrap/>
        <w:overflowPunct/>
        <w:topLinePunct w:val="0"/>
        <w:autoSpaceDE/>
        <w:autoSpaceDN/>
        <w:bidi w:val="0"/>
        <w:adjustRightInd w:val="0"/>
        <w:snapToGrid/>
        <w:spacing w:line="40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油漆采用船用油漆。</w:t>
      </w:r>
    </w:p>
    <w:p>
      <w:pPr>
        <w:pStyle w:val="2"/>
        <w:keepNext w:val="0"/>
        <w:keepLines w:val="0"/>
        <w:pageBreakBefore w:val="0"/>
        <w:widowControl w:val="0"/>
        <w:kinsoku/>
        <w:wordWrap/>
        <w:overflowPunct/>
        <w:topLinePunct w:val="0"/>
        <w:autoSpaceDE/>
        <w:autoSpaceDN/>
        <w:bidi w:val="0"/>
        <w:adjustRightInd w:val="0"/>
        <w:snapToGrid/>
        <w:spacing w:after="0" w:line="400" w:lineRule="exact"/>
        <w:ind w:firstLine="482"/>
        <w:textAlignment w:val="auto"/>
        <w:rPr>
          <w:rFonts w:hint="eastAsia" w:ascii="宋体" w:hAnsi="宋体" w:eastAsia="宋体" w:cs="宋体"/>
          <w:b/>
          <w:highlight w:val="none"/>
        </w:rPr>
      </w:pPr>
      <w:r>
        <w:rPr>
          <w:rFonts w:hint="eastAsia" w:ascii="宋体" w:hAnsi="宋体" w:eastAsia="宋体" w:cs="宋体"/>
          <w:b/>
          <w:highlight w:val="none"/>
        </w:rPr>
        <w:t>2.3.11视频监控配置表</w:t>
      </w:r>
    </w:p>
    <w:tbl>
      <w:tblPr>
        <w:tblStyle w:val="62"/>
        <w:tblW w:w="50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9"/>
        <w:gridCol w:w="1500"/>
        <w:gridCol w:w="7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名称</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规格参数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21" w:type="pct"/>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红外网络球机</w:t>
            </w:r>
          </w:p>
        </w:tc>
        <w:tc>
          <w:tcPr>
            <w:tcW w:w="3834" w:type="pct"/>
            <w:vAlign w:val="center"/>
          </w:tcPr>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【400万23倍红外网络球机】</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1）支持区域入侵侦测，越界侦测，进入区域侦测和离开区域侦等智能侦测并联动跟踪</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2）传感器类型: 1/2.8＂progressive scan CMOS 最低照度: 彩色：0.005 Lux @（F1.6，AGC ON）；黑白：0.001 Lux @（F1.6，AGC ON）；0 Lux with IR</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3）宽动态: 120 dB超宽动态</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4）焦距: 4.8 mm~110 mm，23倍光学变倍</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5）视场角: 55°~2.7°（广角~望远） 水平范围: 360°垂直范围: -15°~90°（自动翻转）</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6）水平速度: 水平键控速度：0.1°~160°/s，速度可设；水平预置点速度：240°/s</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7）垂直速度: 垂直键控速度：0.1°~120°/s，速度可设；垂直预置点速度：200°/s</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8）主码流帧率分辨率: 50 Hz：25 fps（2560 × 1440）; 60 Hz：30 fps（2560 × 1440）</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9）视频压缩标准: H.265，H.264，MJPEG</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10）网络存储: NAS（NFS，SMB/CIFS）</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11）支持互联网通信协议接入</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12）网络接口: RJ45网口，自适应10 M/100 M网络数据</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13）SD卡扩展: 支持MicroSD(即TF卡)/MicroSDHC/MicroSDXC卡，最大支持256 GB</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14）报警输入: 2路报警输入</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15）报警输出: 1路报警输出</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16）音频输入: 1路音频输入</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17）音频输出: 1路音频输出</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18）补光: 红外照射距离 150 m</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19）供电方式: AC24 V</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20）电源接口类型: 两线式</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21）电流及功耗: 最大功耗：24 W（其中除雾加热1.6 W，补光灯12 W）</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22）工作温湿度: -30℃~65℃，湿度小于90%</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除雾: 加热玻璃除雾</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23）防护: IP66</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具备较强的网络自适应能力，在丢包率为20%的网络环境下，仍可正常显示监视画面。（以公安部检验报告为准）</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球机应具备本机存储功能，支持SD卡热插拔，最大支持512GB（以公安部检验报告为准）</w:t>
            </w:r>
          </w:p>
          <w:p>
            <w:pPr>
              <w:pStyle w:val="4"/>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具备较好的电源适应性，电压在AC24V±30%或DC24V±30%范围内变化时，设备可正常工作（以公安部检验报告为准）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室外防水箱</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300*400*180</w:t>
            </w:r>
            <w:r>
              <w:rPr>
                <w:rFonts w:hint="eastAsia" w:ascii="宋体" w:hAnsi="宋体" w:eastAsia="宋体" w:cs="宋体"/>
                <w:sz w:val="24"/>
                <w:szCs w:val="24"/>
                <w:highlight w:val="none"/>
                <w:lang w:val="en-US"/>
              </w:rPr>
              <w:t>mm</w:t>
            </w:r>
            <w:r>
              <w:rPr>
                <w:rFonts w:hint="eastAsia" w:ascii="宋体" w:hAnsi="宋体" w:eastAsia="宋体" w:cs="宋体"/>
                <w:sz w:val="24"/>
                <w:szCs w:val="24"/>
                <w:highlight w:val="none"/>
              </w:rPr>
              <w:t>不锈钢监控防水箱，定制含空开、插座等设备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监控杆</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不低于4米钢杆，壁厚大于3mm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球机</w:t>
            </w:r>
            <w:r>
              <w:rPr>
                <w:rFonts w:hint="eastAsia" w:ascii="宋体" w:hAnsi="宋体" w:eastAsia="宋体" w:cs="宋体"/>
                <w:sz w:val="24"/>
                <w:szCs w:val="24"/>
                <w:highlight w:val="none"/>
              </w:rPr>
              <w:t>支架</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摄像机配套安装支架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5</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立杆基础</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混凝土浇固基础，含预埋件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线缆及辅材</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含设备箱到球机的</w:t>
            </w:r>
            <w:r>
              <w:rPr>
                <w:rFonts w:hint="eastAsia" w:ascii="宋体" w:hAnsi="宋体" w:eastAsia="宋体" w:cs="宋体"/>
                <w:spacing w:val="-8"/>
                <w:sz w:val="24"/>
                <w:szCs w:val="24"/>
                <w:highlight w:val="none"/>
                <w:lang w:val="en-US"/>
              </w:rPr>
              <w:t>电源线</w:t>
            </w:r>
            <w:r>
              <w:rPr>
                <w:rFonts w:hint="eastAsia" w:ascii="宋体" w:hAnsi="宋体" w:eastAsia="宋体" w:cs="宋体"/>
                <w:spacing w:val="-8"/>
                <w:sz w:val="24"/>
                <w:szCs w:val="24"/>
                <w:highlight w:val="none"/>
              </w:rPr>
              <w:t>、</w:t>
            </w:r>
            <w:r>
              <w:rPr>
                <w:rFonts w:hint="eastAsia" w:ascii="宋体" w:hAnsi="宋体" w:eastAsia="宋体" w:cs="宋体"/>
                <w:spacing w:val="-8"/>
                <w:sz w:val="24"/>
                <w:szCs w:val="24"/>
                <w:highlight w:val="none"/>
                <w:lang w:val="en-US"/>
              </w:rPr>
              <w:t>超五类网线</w:t>
            </w:r>
            <w:r>
              <w:rPr>
                <w:rFonts w:hint="eastAsia" w:ascii="宋体" w:hAnsi="宋体" w:eastAsia="宋体" w:cs="宋体"/>
                <w:spacing w:val="-8"/>
                <w:sz w:val="24"/>
                <w:szCs w:val="24"/>
                <w:highlight w:val="none"/>
              </w:rPr>
              <w:t>、</w:t>
            </w:r>
            <w:r>
              <w:rPr>
                <w:rFonts w:hint="eastAsia" w:ascii="宋体" w:hAnsi="宋体" w:eastAsia="宋体" w:cs="宋体"/>
                <w:spacing w:val="-8"/>
                <w:sz w:val="24"/>
                <w:szCs w:val="24"/>
                <w:highlight w:val="none"/>
                <w:lang w:val="en-US"/>
              </w:rPr>
              <w:t>4芯光缆、</w:t>
            </w:r>
            <w:r>
              <w:rPr>
                <w:rFonts w:hint="eastAsia" w:ascii="宋体" w:hAnsi="宋体" w:eastAsia="宋体" w:cs="宋体"/>
                <w:sz w:val="24"/>
                <w:szCs w:val="24"/>
                <w:highlight w:val="none"/>
              </w:rPr>
              <w:t>保护管、</w:t>
            </w:r>
            <w:r>
              <w:rPr>
                <w:rFonts w:hint="eastAsia" w:ascii="宋体" w:hAnsi="宋体" w:eastAsia="宋体" w:cs="宋体"/>
                <w:sz w:val="24"/>
                <w:szCs w:val="24"/>
                <w:highlight w:val="none"/>
                <w:lang w:val="en-US"/>
              </w:rPr>
              <w:t>万向头、地笼、光缆终端盒</w:t>
            </w:r>
            <w:r>
              <w:rPr>
                <w:rFonts w:hint="eastAsia" w:ascii="宋体" w:hAnsi="宋体" w:eastAsia="宋体" w:cs="宋体"/>
                <w:sz w:val="24"/>
                <w:szCs w:val="24"/>
                <w:highlight w:val="none"/>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监控安装费</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安装辅料，管道破路施工，监控杆基础浇筑，平台推送等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8</w:t>
            </w:r>
          </w:p>
        </w:tc>
        <w:tc>
          <w:tcPr>
            <w:tcW w:w="821"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center"/>
              <w:textAlignment w:val="auto"/>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维护及宽带费</w:t>
            </w:r>
          </w:p>
        </w:tc>
        <w:tc>
          <w:tcPr>
            <w:tcW w:w="3834" w:type="pct"/>
            <w:vAlign w:val="center"/>
          </w:tcPr>
          <w:p>
            <w:pPr>
              <w:pStyle w:val="954"/>
              <w:keepNext w:val="0"/>
              <w:keepLines w:val="0"/>
              <w:pageBreakBefore w:val="0"/>
              <w:widowControl w:val="0"/>
              <w:kinsoku/>
              <w:wordWrap/>
              <w:overflowPunct/>
              <w:topLinePunct w:val="0"/>
              <w:autoSpaceDE/>
              <w:autoSpaceDN/>
              <w:bidi w:val="0"/>
              <w:snapToGrid/>
              <w:spacing w:before="0" w:line="240" w:lineRule="auto"/>
              <w:ind w:left="0"/>
              <w:jc w:val="both"/>
              <w:textAlignment w:val="auto"/>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5年维护及5年VPN链路费50兆</w:t>
            </w:r>
          </w:p>
        </w:tc>
      </w:tr>
    </w:tbl>
    <w:p>
      <w:pPr>
        <w:pStyle w:val="4"/>
        <w:adjustRightInd w:val="0"/>
        <w:spacing w:line="400" w:lineRule="exact"/>
        <w:ind w:left="0" w:leftChars="0" w:firstLine="480" w:firstLineChars="200"/>
        <w:rPr>
          <w:rFonts w:hint="eastAsia" w:ascii="宋体" w:hAnsi="宋体" w:eastAsia="宋体" w:cs="宋体"/>
          <w:sz w:val="24"/>
          <w:szCs w:val="24"/>
          <w:highlight w:val="none"/>
        </w:rPr>
      </w:pPr>
    </w:p>
    <w:p>
      <w:pPr>
        <w:pStyle w:val="2"/>
        <w:adjustRightInd w:val="0"/>
        <w:spacing w:after="0" w:line="400" w:lineRule="exact"/>
        <w:ind w:firstLine="482"/>
        <w:rPr>
          <w:rFonts w:hint="eastAsia" w:ascii="宋体" w:hAnsi="宋体" w:eastAsia="宋体" w:cs="宋体"/>
          <w:b/>
          <w:highlight w:val="none"/>
        </w:rPr>
      </w:pPr>
      <w:r>
        <w:rPr>
          <w:rFonts w:hint="eastAsia" w:ascii="宋体" w:hAnsi="宋体" w:eastAsia="宋体" w:cs="宋体"/>
          <w:b/>
          <w:highlight w:val="none"/>
        </w:rPr>
        <w:t>2.3.12无人机（带屏遥控版）</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1）重量：低于249克</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2）1/1.3英寸影像传感器 f /1.7光圈</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3）最高4K/60fps视频</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4）≥4800万像素照片</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5）≥30分钟飞行时间</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6）12公里1080p/30fps图传＊</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7）三向双目视觉避障系统</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 APAS 4.0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9）焦点跟随：智能跟随4.0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10）焦点跟随：兴趣点环绕3.0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11）焦点跟随：聚焦2.0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12）大师镜头</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13）延时摄影</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14）无损竖拍。</w:t>
      </w:r>
    </w:p>
    <w:p>
      <w:pPr>
        <w:pStyle w:val="2"/>
        <w:adjustRightInd w:val="0"/>
        <w:spacing w:after="0" w:line="400" w:lineRule="exact"/>
        <w:ind w:firstLine="482"/>
        <w:rPr>
          <w:rFonts w:hint="eastAsia" w:ascii="宋体" w:hAnsi="宋体" w:eastAsia="宋体" w:cs="宋体"/>
          <w:b/>
          <w:highlight w:val="none"/>
        </w:rPr>
      </w:pPr>
      <w:r>
        <w:rPr>
          <w:rFonts w:hint="eastAsia" w:ascii="宋体" w:hAnsi="宋体" w:eastAsia="宋体" w:cs="宋体"/>
          <w:b/>
          <w:highlight w:val="none"/>
        </w:rPr>
        <w:t>2.3.13手电筒</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1）亮度：极亮档1000流明，高亮档3000流明，中亮档1200流明，低亮档450流明，节能档50流明，爆闪10000流明。</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2）续航时间：极亮档1小时25分钟，高亮档1小时35分钟，中亮档3小时15分钟，低亮档8小时20分钟，节能档80小时。</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3）射程：极亮档500米，高亮档270米，中亮档170米，低亮档105米，节能档30米。</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4）光强：极亮档63200坎德拉，高亮档18020坎德拉，中亮档7078坎德拉，低亮档2686坎德拉，节能档256坎德拉。</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5）防跌落高度：1米。</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6）防水等级：IP68，水下2米。</w:t>
      </w:r>
    </w:p>
    <w:p>
      <w:pPr>
        <w:pStyle w:val="2"/>
        <w:adjustRightInd w:val="0"/>
        <w:spacing w:after="0" w:line="400" w:lineRule="exact"/>
        <w:ind w:firstLine="482"/>
        <w:rPr>
          <w:rFonts w:hint="eastAsia" w:ascii="宋体" w:hAnsi="宋体" w:eastAsia="宋体" w:cs="宋体"/>
          <w:b/>
          <w:highlight w:val="none"/>
          <w:lang w:eastAsia="zh-CN"/>
        </w:rPr>
      </w:pPr>
      <w:r>
        <w:rPr>
          <w:rFonts w:hint="eastAsia" w:ascii="宋体" w:hAnsi="宋体" w:eastAsia="宋体" w:cs="宋体"/>
          <w:b/>
          <w:highlight w:val="none"/>
        </w:rPr>
        <w:t>2.3.14</w:t>
      </w:r>
      <w:r>
        <w:rPr>
          <w:rFonts w:hint="eastAsia" w:ascii="宋体" w:hAnsi="宋体" w:cs="宋体"/>
          <w:b/>
          <w:highlight w:val="none"/>
          <w:lang w:eastAsia="zh-CN"/>
        </w:rPr>
        <w:t>标识标牌制作</w:t>
      </w:r>
    </w:p>
    <w:p>
      <w:pPr>
        <w:pStyle w:val="2"/>
        <w:adjustRightInd w:val="0"/>
        <w:spacing w:after="0" w:line="400" w:lineRule="exact"/>
        <w:ind w:firstLine="480"/>
        <w:rPr>
          <w:rFonts w:hint="eastAsia" w:ascii="宋体" w:hAnsi="宋体" w:eastAsia="宋体" w:cs="宋体"/>
          <w:highlight w:val="none"/>
        </w:rPr>
      </w:pPr>
      <w:r>
        <w:rPr>
          <w:rFonts w:hint="eastAsia" w:ascii="宋体" w:hAnsi="宋体" w:eastAsia="宋体" w:cs="宋体"/>
          <w:highlight w:val="none"/>
        </w:rPr>
        <w:t>（一）浙江水文行业标识</w:t>
      </w:r>
    </w:p>
    <w:p>
      <w:pPr>
        <w:pStyle w:val="2"/>
        <w:adjustRightInd w:val="0"/>
        <w:spacing w:after="0" w:line="400" w:lineRule="exact"/>
        <w:ind w:firstLine="480"/>
        <w:rPr>
          <w:rFonts w:hint="eastAsia" w:ascii="宋体" w:hAnsi="宋体" w:eastAsia="宋体" w:cs="宋体"/>
          <w:highlight w:val="none"/>
        </w:rPr>
      </w:pPr>
      <w:r>
        <w:rPr>
          <w:rFonts w:hint="eastAsia" w:ascii="宋体" w:hAnsi="宋体" w:eastAsia="宋体" w:cs="宋体"/>
          <w:highlight w:val="none"/>
        </w:rPr>
        <w:t>（1）水文标志、中文标准字横式（左右）组合</w:t>
      </w:r>
    </w:p>
    <w:p>
      <w:pPr>
        <w:pStyle w:val="4"/>
        <w:adjustRightInd w:val="0"/>
        <w:ind w:left="0" w:leftChars="0"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4218940" cy="18897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18940" cy="1889760"/>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注：a为一个基本计量单位。中文：浙江水文字体：华文行楷</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（2）水文标志、中文标准字横式竖式组合</w:t>
      </w:r>
    </w:p>
    <w:p>
      <w:pPr>
        <w:pStyle w:val="2"/>
        <w:adjustRightInd w:val="0"/>
        <w:spacing w:after="0" w:line="240" w:lineRule="auto"/>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2590800" cy="36455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590800" cy="3645535"/>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注：a为一个基本计量单位。中文：浙江水文字体：华文行楷</w:t>
      </w:r>
    </w:p>
    <w:p>
      <w:pPr>
        <w:pStyle w:val="2"/>
        <w:adjustRightInd w:val="0"/>
        <w:spacing w:after="0" w:line="400" w:lineRule="exact"/>
        <w:ind w:left="420" w:leftChars="200" w:firstLine="0" w:firstLineChars="0"/>
        <w:rPr>
          <w:rFonts w:hint="eastAsia" w:ascii="宋体" w:hAnsi="宋体" w:eastAsia="宋体" w:cs="宋体"/>
          <w:highlight w:val="none"/>
        </w:rPr>
      </w:pPr>
      <w:r>
        <w:rPr>
          <w:rFonts w:hint="eastAsia" w:ascii="宋体" w:hAnsi="宋体" w:eastAsia="宋体" w:cs="宋体"/>
          <w:highlight w:val="none"/>
        </w:rPr>
        <w:t>（二）自动监测站站牌设计</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（1）浙江省水文专用站站牌设计一：</w:t>
      </w:r>
    </w:p>
    <w:p>
      <w:pPr>
        <w:pStyle w:val="4"/>
        <w:adjustRightInd w:val="0"/>
        <w:ind w:left="0" w:leftChars="0"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3222625" cy="2759075"/>
            <wp:effectExtent l="0" t="0" r="1587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222625" cy="2759075"/>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1、此图用CAD软件制作，文字高度和标准色为CAD格式。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2、尺寸630mm*450mm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3、文字：“浙江水文”，字体：华文行楷。文字高度: 43;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文字：“站名: 流量自动监测站”，字体：黑体，文字高度：30；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文字：“市水利局”，“二0年月”：黑体，文字高度：17；</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4、标准色：蓝色三色数值:R：0  G：114  B：183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5、背景色：渐变  R：O   G：114   B：183； R：0   G：0   B：0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6、材质：采用1cm厚不锈钢板或铜板。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制作工艺：文字及水文L0G0腐蚀刻入 (凹进)钢板内，按标准色填漆。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烤漆：不锈钢板平面拉丝，四周留27cm宽亮边。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7、安装方式：用于站房的标示牌镶嵌于醒目位置，例如门上方或两侧。</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（2）浙江省水文专用站站牌设计二：</w:t>
      </w:r>
    </w:p>
    <w:p>
      <w:pPr>
        <w:pStyle w:val="2"/>
        <w:adjustRightInd w:val="0"/>
        <w:spacing w:line="240" w:lineRule="auto"/>
        <w:ind w:firstLine="480"/>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3383915" cy="2880995"/>
            <wp:effectExtent l="0" t="0" r="698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83915" cy="2880995"/>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1、此图用CAD软件制作，文字高度和标准色为CAD格式。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2、尺寸630mm*450mm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3、文字：“浙江水文”，字体：华文行楷。文字高度: 43;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文字：“站名：水位自动监测站”，字体：黑体，文字高度：30；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文字：“市水利局”，“二0年月”：黑体，文字高度：17；</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4、标准色：蓝色三色数值：R：0  G：114  B：183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5、背景色：渐变  R：O   G：114   B：183； R：0   G：0   B：0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6、材质：采用1cm厚不锈钢板或铜板。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制作工艺：文字及水文L0G0腐蚀刻入 (凹进)钢板内，按标准色填漆。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烤漆：不锈钢板平面拉丝，四周留27cm宽亮边。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7、安装方式：用于站房的标示牌镶嵌于醒目位置，例如门上方或两侧。</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（3）浙江省水文专用站站牌设计三：</w:t>
      </w:r>
    </w:p>
    <w:p>
      <w:pPr>
        <w:pStyle w:val="2"/>
        <w:adjustRightInd w:val="0"/>
        <w:spacing w:line="240" w:lineRule="auto"/>
        <w:ind w:firstLine="480"/>
        <w:jc w:val="center"/>
        <w:rPr>
          <w:rFonts w:hint="eastAsia" w:ascii="宋体" w:hAnsi="宋体" w:eastAsia="宋体" w:cs="宋体"/>
          <w:highlight w:val="none"/>
        </w:rPr>
      </w:pPr>
      <w:r>
        <w:rPr>
          <w:rFonts w:hint="eastAsia" w:ascii="宋体" w:hAnsi="宋体" w:eastAsia="宋体" w:cs="宋体"/>
          <w:color w:val="000000"/>
          <w:highlight w:val="none"/>
        </w:rPr>
        <w:drawing>
          <wp:inline distT="0" distB="0" distL="0" distR="0">
            <wp:extent cx="3377565" cy="2903855"/>
            <wp:effectExtent l="0" t="0" r="13335" b="1079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377565" cy="2903855"/>
                    </a:xfrm>
                    <a:prstGeom prst="rect">
                      <a:avLst/>
                    </a:prstGeom>
                    <a:noFill/>
                    <a:ln>
                      <a:noFill/>
                    </a:ln>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1、此图用CAD软件制作，文字高度和标准色为CAD格式。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2、尺寸630mm*450mm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3、文字：“浙江水文”，字体：华文行楷。文字高度：43;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文字：“站名：雨量自动监测站”，字体：黑体，文字高度：30；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文字：“市水利局”，“二0年月”：黑体，文字高度：17；</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4、标准色：蓝色三色数值：R：0  G：114  B：183</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5、背景色：渐变  R：O   G：114   B：183； R：0   G：0   B：0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6、材质：采用1cm厚不锈钢板或铜板。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制作工艺：文字及水文L0G0腐蚀刻入 (凹进)钢板内，按标准色填漆。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烤漆：不锈钢板平面拉丝，四周留27cm宽亮边。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7、安装方式：用于站房的标示牌镶嵌于醒目位置，例如门上方或两侧。</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（4）浙江省水文专用站站牌设计四：</w:t>
      </w:r>
    </w:p>
    <w:p>
      <w:pPr>
        <w:pStyle w:val="2"/>
        <w:adjustRightInd w:val="0"/>
        <w:spacing w:line="240" w:lineRule="auto"/>
        <w:ind w:firstLine="480"/>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3780155" cy="287147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780155" cy="2871470"/>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标识牌制作说明:</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1、此图用CAD软件制作，文字高度和标准色为CAD格式。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2、尺寸630mm*450mm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3、文字：“安全警示牌”，字体：黑体。</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4、标准色：蓝色三色数值：R:：0  G：93  B：160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白色三色数值：R：0   G：0   B：0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5、材质：采用1cm厚不锈钢板或铜板。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制作工艺：文字及水文LOGO腐蚀刻入(凹进)钢板内，按标准色填漆。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3360" behindDoc="0" locked="0" layoutInCell="1" allowOverlap="1">
            <wp:simplePos x="0" y="0"/>
            <wp:positionH relativeFrom="column">
              <wp:posOffset>3288665</wp:posOffset>
            </wp:positionH>
            <wp:positionV relativeFrom="paragraph">
              <wp:posOffset>46990</wp:posOffset>
            </wp:positionV>
            <wp:extent cx="2468880" cy="2944495"/>
            <wp:effectExtent l="0" t="0" r="7620" b="825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468880" cy="2944495"/>
                    </a:xfrm>
                    <a:prstGeom prst="rect">
                      <a:avLst/>
                    </a:prstGeom>
                    <a:noFill/>
                  </pic:spPr>
                </pic:pic>
              </a:graphicData>
            </a:graphic>
          </wp:anchor>
        </w:drawing>
      </w:r>
      <w:r>
        <w:rPr>
          <w:rFonts w:hint="eastAsia" w:ascii="宋体" w:hAnsi="宋体" w:eastAsia="宋体" w:cs="宋体"/>
          <w:sz w:val="24"/>
          <w:szCs w:val="24"/>
          <w:highlight w:val="none"/>
        </w:rPr>
        <w:t>烤漆：不锈钢板平面拉丝，四周留27cm宽亮边。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6、安装方式：用于站房的标示牌镶嵌于醒目位置，例如门上方或两侧。</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（三）测站外观标识参考图</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（1）水文标志横式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中文：浙江水文字体：华文行楷</w:t>
      </w:r>
    </w:p>
    <w:p>
      <w:pPr>
        <w:pStyle w:val="4"/>
        <w:adjustRightInd w:val="0"/>
        <w:ind w:left="0" w:leftChars="0" w:firstLine="480" w:firstLineChars="200"/>
        <w:rPr>
          <w:rFonts w:hint="eastAsia" w:ascii="宋体" w:hAnsi="宋体" w:eastAsia="宋体" w:cs="宋体"/>
          <w:sz w:val="24"/>
          <w:szCs w:val="24"/>
          <w:highlight w:val="none"/>
        </w:rPr>
      </w:pPr>
    </w:p>
    <w:p>
      <w:pPr>
        <w:rPr>
          <w:rFonts w:hint="eastAsia" w:ascii="宋体" w:hAnsi="宋体" w:eastAsia="宋体" w:cs="宋体"/>
          <w:highlight w:val="none"/>
        </w:rPr>
      </w:pPr>
    </w:p>
    <w:p>
      <w:pPr>
        <w:pStyle w:val="2"/>
        <w:ind w:firstLine="480"/>
        <w:rPr>
          <w:rFonts w:hint="eastAsia" w:ascii="宋体" w:hAnsi="宋体" w:eastAsia="宋体" w:cs="宋体"/>
          <w:highlight w:val="none"/>
        </w:rPr>
      </w:pPr>
    </w:p>
    <w:p>
      <w:pPr>
        <w:rPr>
          <w:rFonts w:hint="eastAsia" w:ascii="宋体" w:hAnsi="宋体" w:eastAsia="宋体" w:cs="宋体"/>
          <w:highlight w:val="none"/>
        </w:rPr>
      </w:pPr>
    </w:p>
    <w:p>
      <w:pPr>
        <w:pStyle w:val="2"/>
        <w:ind w:firstLine="480"/>
        <w:rPr>
          <w:rFonts w:hint="eastAsia" w:ascii="宋体" w:hAnsi="宋体" w:eastAsia="宋体" w:cs="宋体"/>
          <w:highlight w:val="none"/>
        </w:rPr>
      </w:pP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（2）水文标志竖式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中文：浙江水文字体：华文行楷</w:t>
      </w:r>
    </w:p>
    <w:p>
      <w:pPr>
        <w:pStyle w:val="4"/>
        <w:adjustRightInd w:val="0"/>
        <w:ind w:left="0" w:leftChars="0" w:firstLine="440" w:firstLineChars="200"/>
        <w:rPr>
          <w:rFonts w:hint="eastAsia" w:ascii="宋体" w:hAnsi="宋体" w:eastAsia="宋体" w:cs="宋体"/>
          <w:sz w:val="24"/>
          <w:szCs w:val="24"/>
          <w:highlight w:val="none"/>
        </w:rPr>
      </w:pPr>
      <w:r>
        <w:rPr>
          <w:rFonts w:hint="eastAsia" w:ascii="宋体" w:hAnsi="宋体" w:eastAsia="宋体" w:cs="宋体"/>
          <w:color w:val="000000"/>
          <w:sz w:val="22"/>
          <w:highlight w:val="none"/>
        </w:rPr>
        <w:drawing>
          <wp:inline distT="0" distB="0" distL="0" distR="0">
            <wp:extent cx="3267075" cy="2609215"/>
            <wp:effectExtent l="0" t="0" r="0" b="63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4" cstate="print">
                      <a:extLst>
                        <a:ext uri="{28A0092B-C50C-407E-A947-70E740481C1C}">
                          <a14:useLocalDpi xmlns:a14="http://schemas.microsoft.com/office/drawing/2010/main" val="0"/>
                        </a:ext>
                      </a:extLst>
                    </a:blip>
                    <a:srcRect l="5192" r="5307"/>
                    <a:stretch>
                      <a:fillRect/>
                    </a:stretch>
                  </pic:blipFill>
                  <pic:spPr>
                    <a:xfrm>
                      <a:off x="0" y="0"/>
                      <a:ext cx="3270477" cy="2612165"/>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0" distR="0">
            <wp:extent cx="2066925" cy="30302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5">
                      <a:extLst>
                        <a:ext uri="{28A0092B-C50C-407E-A947-70E740481C1C}">
                          <a14:useLocalDpi xmlns:a14="http://schemas.microsoft.com/office/drawing/2010/main" val="0"/>
                        </a:ext>
                      </a:extLst>
                    </a:blip>
                    <a:srcRect l="13249" r="10679"/>
                    <a:stretch>
                      <a:fillRect/>
                    </a:stretch>
                  </pic:blipFill>
                  <pic:spPr>
                    <a:xfrm>
                      <a:off x="0" y="0"/>
                      <a:ext cx="2073555" cy="3040438"/>
                    </a:xfrm>
                    <a:prstGeom prst="rect">
                      <a:avLst/>
                    </a:prstGeom>
                    <a:noFill/>
                    <a:ln>
                      <a:noFill/>
                    </a:ln>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（3）水位自记台标识设计</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中文字：浙江水文字体：华文行楷</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材料：铜或钛金</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字的大小可根据水位自记台的大小而定。</w:t>
      </w:r>
    </w:p>
    <w:p>
      <w:pPr>
        <w:pStyle w:val="4"/>
        <w:adjustRightInd w:val="0"/>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4552950" cy="29000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567579" cy="2909561"/>
                    </a:xfrm>
                    <a:prstGeom prst="rect">
                      <a:avLst/>
                    </a:prstGeom>
                    <a:noFill/>
                  </pic:spPr>
                </pic:pic>
              </a:graphicData>
            </a:graphic>
          </wp:inline>
        </w:drawing>
      </w:r>
    </w:p>
    <w:p>
      <w:pPr>
        <w:pStyle w:val="4"/>
        <w:adjustRightInd w:val="0"/>
        <w:spacing w:line="400" w:lineRule="exact"/>
        <w:ind w:left="0" w:leftChars="0" w:firstLine="480" w:firstLineChars="200"/>
        <w:rPr>
          <w:rFonts w:hint="eastAsia" w:ascii="宋体" w:hAnsi="宋体" w:eastAsia="宋体" w:cs="宋体"/>
          <w:sz w:val="24"/>
          <w:szCs w:val="24"/>
          <w:highlight w:val="none"/>
        </w:rPr>
      </w:pP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（4）新建站房应用</w:t>
      </w:r>
    </w:p>
    <w:p>
      <w:pPr>
        <w:pStyle w:val="4"/>
        <w:adjustRightInd w:val="0"/>
        <w:ind w:left="0" w:left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5526405" cy="3543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559630" cy="3564266"/>
                    </a:xfrm>
                    <a:prstGeom prst="rect">
                      <a:avLst/>
                    </a:prstGeom>
                    <a:noFill/>
                  </pic:spPr>
                </pic:pic>
              </a:graphicData>
            </a:graphic>
          </wp:inline>
        </w:drawing>
      </w:r>
      <w:r>
        <w:rPr>
          <w:rFonts w:hint="eastAsia" w:ascii="宋体" w:hAnsi="宋体" w:eastAsia="宋体" w:cs="宋体"/>
          <w:sz w:val="24"/>
          <w:szCs w:val="24"/>
          <w:highlight w:val="none"/>
        </w:rPr>
        <w:drawing>
          <wp:inline distT="0" distB="0" distL="0" distR="0">
            <wp:extent cx="2737485" cy="14020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37485" cy="1402080"/>
                    </a:xfrm>
                    <a:prstGeom prst="rect">
                      <a:avLst/>
                    </a:prstGeom>
                    <a:noFill/>
                  </pic:spPr>
                </pic:pic>
              </a:graphicData>
            </a:graphic>
          </wp:inline>
        </w:drawing>
      </w:r>
      <w:r>
        <w:rPr>
          <w:rFonts w:hint="eastAsia" w:ascii="宋体" w:hAnsi="宋体" w:eastAsia="宋体" w:cs="宋体"/>
          <w:sz w:val="24"/>
          <w:szCs w:val="24"/>
          <w:highlight w:val="none"/>
        </w:rPr>
        <w:drawing>
          <wp:inline distT="0" distB="0" distL="0" distR="0">
            <wp:extent cx="2743200" cy="14020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43200" cy="1402080"/>
                    </a:xfrm>
                    <a:prstGeom prst="rect">
                      <a:avLst/>
                    </a:prstGeom>
                    <a:noFill/>
                  </pic:spPr>
                </pic:pic>
              </a:graphicData>
            </a:graphic>
          </wp:inline>
        </w:drawing>
      </w:r>
    </w:p>
    <w:p>
      <w:pPr>
        <w:rPr>
          <w:rFonts w:hint="eastAsia" w:ascii="宋体" w:hAnsi="宋体" w:eastAsia="宋体" w:cs="宋体"/>
          <w:highlight w:val="none"/>
        </w:rPr>
      </w:pPr>
    </w:p>
    <w:p>
      <w:pPr>
        <w:pStyle w:val="4"/>
        <w:adjustRightInd w:val="0"/>
        <w:spacing w:line="400" w:lineRule="exact"/>
        <w:ind w:left="0" w:leftChars="0"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drawing>
          <wp:anchor distT="0" distB="0" distL="114300" distR="114300" simplePos="0" relativeHeight="251662336" behindDoc="0" locked="0" layoutInCell="1" allowOverlap="1">
            <wp:simplePos x="0" y="0"/>
            <wp:positionH relativeFrom="column">
              <wp:posOffset>2195830</wp:posOffset>
            </wp:positionH>
            <wp:positionV relativeFrom="paragraph">
              <wp:posOffset>111125</wp:posOffset>
            </wp:positionV>
            <wp:extent cx="3634105" cy="3188970"/>
            <wp:effectExtent l="0" t="0" r="4445" b="1143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634105" cy="3188970"/>
                    </a:xfrm>
                    <a:prstGeom prst="rect">
                      <a:avLst/>
                    </a:prstGeom>
                    <a:noFill/>
                  </pic:spPr>
                </pic:pic>
              </a:graphicData>
            </a:graphic>
          </wp:anchor>
        </w:drawing>
      </w:r>
      <w:r>
        <w:rPr>
          <w:rFonts w:hint="eastAsia" w:ascii="宋体" w:hAnsi="宋体" w:eastAsia="宋体" w:cs="宋体"/>
          <w:b/>
          <w:bCs/>
          <w:sz w:val="24"/>
          <w:szCs w:val="24"/>
          <w:highlight w:val="none"/>
        </w:rPr>
        <w:t>2.3.15浮子式水位计直井</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水位测井采用DN300PVC管制作，间隔3m使用抱箍固定并涂刷防腐漆，管底部安装堵头，防止淤泥沉积，管壁上开直径0.5cm渗水孔。（根据现场实际情况调整）</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注：源口浮子水位站采用DN300-DN500镀锌钢管，测井外围使用金属配件锚固，岸边另建廊桥至水位站平台。（根据现场实际情况定制）</w:t>
      </w:r>
    </w:p>
    <w:p>
      <w:pPr>
        <w:pStyle w:val="4"/>
        <w:adjustRightInd w:val="0"/>
        <w:ind w:left="0" w:leftChars="0" w:firstLine="480" w:firstLineChars="200"/>
        <w:rPr>
          <w:rFonts w:hint="eastAsia" w:ascii="宋体" w:hAnsi="宋体" w:eastAsia="宋体" w:cs="宋体"/>
          <w:sz w:val="24"/>
          <w:szCs w:val="24"/>
          <w:highlight w:val="none"/>
        </w:rPr>
      </w:pPr>
    </w:p>
    <w:p>
      <w:pPr>
        <w:rPr>
          <w:rFonts w:hint="eastAsia" w:ascii="宋体" w:hAnsi="宋体" w:eastAsia="宋体" w:cs="宋体"/>
          <w:highlight w:val="none"/>
        </w:rPr>
      </w:pPr>
    </w:p>
    <w:p>
      <w:pPr>
        <w:pStyle w:val="4"/>
        <w:adjustRightInd w:val="0"/>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1312" behindDoc="0" locked="0" layoutInCell="1" allowOverlap="1">
            <wp:simplePos x="0" y="0"/>
            <wp:positionH relativeFrom="column">
              <wp:posOffset>2926715</wp:posOffset>
            </wp:positionH>
            <wp:positionV relativeFrom="paragraph">
              <wp:posOffset>78105</wp:posOffset>
            </wp:positionV>
            <wp:extent cx="3230880" cy="3785870"/>
            <wp:effectExtent l="0" t="0" r="7620" b="508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30880" cy="3785870"/>
                    </a:xfrm>
                    <a:prstGeom prst="rect">
                      <a:avLst/>
                    </a:prstGeom>
                    <a:noFill/>
                  </pic:spPr>
                </pic:pic>
              </a:graphicData>
            </a:graphic>
          </wp:anchor>
        </w:drawing>
      </w:r>
    </w:p>
    <w:p>
      <w:pPr>
        <w:rPr>
          <w:rFonts w:hint="eastAsia" w:ascii="宋体" w:hAnsi="宋体" w:eastAsia="宋体" w:cs="宋体"/>
          <w:highlight w:val="none"/>
        </w:rPr>
      </w:pPr>
    </w:p>
    <w:p>
      <w:pPr>
        <w:pStyle w:val="4"/>
        <w:adjustRightInd w:val="0"/>
        <w:ind w:left="0" w:leftChars="0" w:firstLine="480" w:firstLineChars="200"/>
        <w:rPr>
          <w:rFonts w:hint="eastAsia" w:ascii="宋体" w:hAnsi="宋体" w:eastAsia="宋体" w:cs="宋体"/>
          <w:sz w:val="24"/>
          <w:szCs w:val="24"/>
          <w:highlight w:val="none"/>
        </w:rPr>
      </w:pPr>
    </w:p>
    <w:p>
      <w:pPr>
        <w:rPr>
          <w:rFonts w:hint="eastAsia" w:ascii="宋体" w:hAnsi="宋体" w:eastAsia="宋体" w:cs="宋体"/>
          <w:highlight w:val="none"/>
        </w:rPr>
      </w:pP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2.3.16雷达立杆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雷达支架立杆高3m，横杆2m（龙源水库水位站横杆需5m），横杆可360废旋转，带自锁装置，立杆采用直径12㎝热镀锌管制作，横杆采用8㎝热镀锌管制作，主杆顶部安装雨量筒支架和太阳能板支架。基础部分地面开挖1.2m*1.2m*深1.5m，碎石打底厚50㎝，混泥土基础（配钢筋笼）0.8*0.8*深1m，根据现场实际情况做相应调整。</w:t>
      </w:r>
    </w:p>
    <w:p>
      <w:pPr>
        <w:pStyle w:val="4"/>
        <w:adjustRightInd w:val="0"/>
        <w:ind w:left="0" w:leftChars="0" w:firstLine="480" w:firstLineChars="200"/>
        <w:rPr>
          <w:rFonts w:hint="eastAsia" w:ascii="宋体" w:hAnsi="宋体" w:eastAsia="宋体" w:cs="宋体"/>
          <w:sz w:val="24"/>
          <w:szCs w:val="24"/>
          <w:highlight w:val="none"/>
        </w:rPr>
      </w:pPr>
    </w:p>
    <w:p>
      <w:pPr>
        <w:pStyle w:val="4"/>
        <w:adjustRightInd w:val="0"/>
        <w:ind w:left="0" w:leftChars="0" w:firstLine="480" w:firstLineChars="200"/>
        <w:rPr>
          <w:rFonts w:hint="eastAsia" w:ascii="宋体" w:hAnsi="宋体" w:eastAsia="宋体" w:cs="宋体"/>
          <w:sz w:val="24"/>
          <w:szCs w:val="24"/>
          <w:highlight w:val="none"/>
        </w:rPr>
      </w:pP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2.3.17压力式水位斜井</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压力式水位斜井，主体采用热镀锌管进行制作，配合混泥土浇筑加固等进行制作。水位计测井基础：砼基础底部为400 mm×400 mm×600mm基础，C20混凝土浇注。预埋200mm*200mm钢筋地笼，斜井采用直径为100mm，厚6mm热镀锌钢管，由设备箱引到水库的死水位位置，镀锌管按照实际要求采用直埋、抱箍固定、打孔、并每间隔10米，或弯角处制作不锈钢检修井，便于后期维护。钢管表面涂刷防锈漆两遍后整体喷塑，整体浇筑混泥土加固；泵房处安装仪器箱，用于放置遥测终端，蓄电池等，泵房顶部放置太阳能板，下端焊接500×500×15mm钢基板。</w:t>
      </w:r>
    </w:p>
    <w:p>
      <w:pPr>
        <w:pStyle w:val="4"/>
        <w:adjustRightInd w:val="0"/>
        <w:ind w:left="0" w:leftChars="0" w:firstLine="420" w:firstLineChars="200"/>
        <w:rPr>
          <w:rFonts w:hint="eastAsia" w:ascii="宋体" w:hAnsi="宋体" w:eastAsia="宋体" w:cs="宋体"/>
          <w:sz w:val="24"/>
          <w:szCs w:val="24"/>
          <w:highlight w:val="none"/>
        </w:rPr>
      </w:pPr>
      <w:r>
        <w:rPr>
          <w:rFonts w:hint="eastAsia" w:ascii="宋体" w:hAnsi="宋体" w:eastAsia="宋体" w:cs="宋体"/>
          <w:highlight w:val="none"/>
        </w:rPr>
        <w:drawing>
          <wp:inline distT="0" distB="0" distL="0" distR="0">
            <wp:extent cx="4201795" cy="3126740"/>
            <wp:effectExtent l="0" t="0" r="8255" b="1651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201795" cy="3126740"/>
                    </a:xfrm>
                    <a:prstGeom prst="rect">
                      <a:avLst/>
                    </a:prstGeom>
                    <a:noFill/>
                    <a:ln>
                      <a:noFill/>
                    </a:ln>
                  </pic:spPr>
                </pic:pic>
              </a:graphicData>
            </a:graphic>
          </wp:inline>
        </w:drawing>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2.3.18生态流量基础</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生态流量基座0.6m*0.6m*深0.8m，固定立杆及设备箱，顶上安装太阳能系统及终端。根据现场实际情况做相应调整。</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2.3.19雨量基础</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标准雨量基座1m*1m*深0.8m，固定立杆及设备箱，顶上安装雨量筒。根据现场实际情况做相应调整。</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2.3.20栅格天线</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1、电性能参数</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1）频率范围：2400-2500MHz</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2）增益：24dBi</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3）带宽：100MHz</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4）驻波比：≤1.5</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5）水平功率角：10°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6）垂直功率角：14°</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7）前后比：≥31dBm</w:t>
      </w:r>
    </w:p>
    <w:p>
      <w:pPr>
        <w:pStyle w:val="4"/>
        <w:adjustRightInd w:val="0"/>
        <w:spacing w:line="400" w:lineRule="exact"/>
        <w:ind w:left="0" w:leftChars="0"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t>8）最大承受功率：50W</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9）输入阻抗：50Ω</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10）接头类型：N - K</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2、机械性能参数</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1）天线规格：600x900cm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2）引出线缆：300mm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3）天线净重：2.5KG</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4）振子材料：铜</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5）天线材料：铝合金</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6）抗风能力：60m/s</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7）适应温度：-40—+60</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8）雷电保护：直接电流</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9）支撑杆径：Ф30~Ф60mm</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10）安装类型：U型抱杆</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2.3.21水文测报管理一体机</w:t>
      </w:r>
    </w:p>
    <w:tbl>
      <w:tblPr>
        <w:tblStyle w:val="62"/>
        <w:tblW w:w="4893" w:type="pct"/>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956"/>
        <w:gridCol w:w="6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trPr>
        <w:tc>
          <w:tcPr>
            <w:tcW w:w="1591" w:type="pct"/>
            <w:gridSpan w:val="2"/>
            <w:vAlign w:val="center"/>
          </w:tcPr>
          <w:p>
            <w:pPr>
              <w:widowControl/>
              <w:jc w:val="center"/>
              <w:rPr>
                <w:rFonts w:hint="eastAsia" w:ascii="宋体" w:hAnsi="宋体" w:eastAsia="宋体" w:cs="宋体"/>
                <w:b/>
                <w:bCs/>
                <w:sz w:val="24"/>
                <w:highlight w:val="none"/>
              </w:rPr>
            </w:pPr>
            <w:r>
              <w:rPr>
                <w:rFonts w:hint="eastAsia" w:ascii="宋体" w:hAnsi="宋体" w:eastAsia="宋体" w:cs="宋体"/>
                <w:b/>
                <w:bCs/>
                <w:sz w:val="24"/>
                <w:highlight w:val="none"/>
              </w:rPr>
              <w:t>功能</w:t>
            </w:r>
          </w:p>
        </w:tc>
        <w:tc>
          <w:tcPr>
            <w:tcW w:w="3408" w:type="pct"/>
            <w:vAlign w:val="center"/>
          </w:tcPr>
          <w:p>
            <w:pPr>
              <w:widowControl/>
              <w:jc w:val="center"/>
              <w:rPr>
                <w:rFonts w:hint="eastAsia" w:ascii="宋体" w:hAnsi="宋体" w:eastAsia="宋体" w:cs="宋体"/>
                <w:b/>
                <w:bCs/>
                <w:sz w:val="24"/>
                <w:highlight w:val="none"/>
              </w:rPr>
            </w:pPr>
            <w:r>
              <w:rPr>
                <w:rFonts w:hint="eastAsia" w:ascii="宋体" w:hAnsi="宋体" w:eastAsia="宋体" w:cs="宋体"/>
                <w:b/>
                <w:bCs/>
                <w:sz w:val="24"/>
                <w:highlight w:val="none"/>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处理器</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CPU型号</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Intel 4310(2.1GHz/12核/18MB/120W)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restar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内存</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内存功能</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Advanced ECC、内存在线热备，具备内存主动式检测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内存实配规格</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64GB DDR4 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内存可扩展数量</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可扩展≥32个内存插槽，官方支持最大容量3T。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5" w:type="pct"/>
            <w:vMerge w:val="restar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存储</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实配硬盘及托架</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1*3.84T SSD硬盘+5*4T 7.2K SATA-HDD硬盘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硬盘槽位</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配置≥8个3.5寸热插拔硬盘槽位。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阵列控制器</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1个标配SAS RAID阵列卡（不占用PCIe扩展槽），支持RAID0/1/10/5/6/50/60；</w:t>
            </w:r>
            <w:r>
              <w:rPr>
                <w:rFonts w:hint="eastAsia" w:ascii="宋体" w:hAnsi="宋体" w:eastAsia="宋体" w:cs="宋体"/>
                <w:sz w:val="24"/>
                <w:highlight w:val="none"/>
              </w:rPr>
              <w:br w:type="textWrapping"/>
            </w:r>
            <w:r>
              <w:rPr>
                <w:rFonts w:hint="eastAsia" w:ascii="宋体" w:hAnsi="宋体" w:eastAsia="宋体" w:cs="宋体"/>
                <w:sz w:val="24"/>
                <w:highlight w:val="none"/>
              </w:rPr>
              <w:t>4GB缓存，支持缓存数据保护，且后备保护时间不受限制；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启动盘可选项</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支持双MicroSD和双M.2 SSD配置RAID1，作为虚拟化或者操作系统部署盘位。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I/O</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PCI I/O插槽</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最多提供≥14个标准PCIE4.0插槽，</w:t>
            </w:r>
            <w:r>
              <w:rPr>
                <w:rFonts w:hint="eastAsia" w:ascii="宋体" w:hAnsi="宋体" w:eastAsia="宋体" w:cs="宋体"/>
                <w:b/>
                <w:bCs/>
                <w:sz w:val="24"/>
                <w:highlight w:val="none"/>
              </w:rPr>
              <w:t>提供官网截图说明。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网络</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网卡</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提供≥1个网卡专用插槽（不占用PCIE扩展槽），实配1块4千兆电口。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接口</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接口</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≥6个USB3.0接口；标配2个VGA；支持后部独立的管理端口；标配1个串口。</w:t>
            </w:r>
            <w:r>
              <w:rPr>
                <w:rFonts w:hint="eastAsia" w:ascii="宋体" w:hAnsi="宋体" w:eastAsia="宋体" w:cs="宋体"/>
                <w:b/>
                <w:bCs/>
                <w:sz w:val="24"/>
                <w:highlight w:val="none"/>
              </w:rPr>
              <w:t>提供官网截图说明。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restar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可用性</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冗余电源</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≥2个800W白金版热插拔冗余电源，支持96%能效比的钛金级电源选件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冗余风扇</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热插拔冗余风扇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15" w:type="pct"/>
            <w:vMerge w:val="continue"/>
            <w:vAlign w:val="center"/>
          </w:tcPr>
          <w:p>
            <w:pPr>
              <w:widowControl/>
              <w:jc w:val="center"/>
              <w:rPr>
                <w:rFonts w:hint="eastAsia" w:ascii="宋体" w:hAnsi="宋体" w:eastAsia="宋体" w:cs="宋体"/>
                <w:sz w:val="24"/>
                <w:highlight w:val="none"/>
              </w:rPr>
            </w:pPr>
          </w:p>
        </w:tc>
        <w:tc>
          <w:tcPr>
            <w:tcW w:w="1075"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工作温度</w:t>
            </w:r>
          </w:p>
        </w:tc>
        <w:tc>
          <w:tcPr>
            <w:tcW w:w="3408" w:type="pct"/>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支持最高5-45°C标准工作温度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可管理性</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嵌入式管理</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配置≥1Gb独立的远程管理控制端口，可选配置前面板独立的USB管理端口。</w:t>
            </w:r>
          </w:p>
          <w:p>
            <w:pPr>
              <w:widowControl/>
              <w:jc w:val="center"/>
              <w:rPr>
                <w:rFonts w:hint="eastAsia" w:ascii="宋体" w:hAnsi="宋体" w:eastAsia="宋体" w:cs="宋体"/>
                <w:sz w:val="24"/>
                <w:highlight w:val="none"/>
              </w:rPr>
            </w:pPr>
            <w:r>
              <w:rPr>
                <w:rFonts w:hint="eastAsia" w:ascii="宋体" w:hAnsi="宋体" w:eastAsia="宋体" w:cs="宋体"/>
                <w:sz w:val="24"/>
                <w:highlight w:val="none"/>
              </w:rPr>
              <w:t>配置虚拟KVM功能,可实现与操作系统无关的远程对服务器的完全控制，包括远程的开机、关机、重启、更新Firmware、虚拟软驱、虚拟光驱、虚拟文件夹等操作，提供服务器健康日记、服务器控制台录屏/回放功能，能够提供电源监控，支持3D图形化的机箱内部温度拓扑图显示，可支持动态功率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应用性</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水文一体化监测</w:t>
            </w:r>
          </w:p>
        </w:tc>
        <w:tc>
          <w:tcPr>
            <w:tcW w:w="3408" w:type="pct"/>
            <w:vAlign w:val="center"/>
          </w:tcPr>
          <w:p>
            <w:pPr>
              <w:widowControl/>
              <w:jc w:val="left"/>
              <w:rPr>
                <w:rFonts w:hint="eastAsia" w:ascii="宋体" w:hAnsi="宋体" w:eastAsia="宋体" w:cs="宋体"/>
                <w:sz w:val="24"/>
                <w:highlight w:val="none"/>
              </w:rPr>
            </w:pPr>
            <w:r>
              <w:rPr>
                <w:rFonts w:hint="eastAsia" w:ascii="宋体" w:hAnsi="宋体" w:eastAsia="宋体" w:cs="宋体"/>
                <w:sz w:val="24"/>
                <w:highlight w:val="none"/>
              </w:rPr>
              <w:t>实现遥测设备、站点数据的统一管理，提供水文测报设备及数据的统计分析功能：</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1）支持遥测数据接入存储：支持不同类型水文测站遥测数据实时接入并存储；</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2）支持测站实时监控及报警提醒：支持设备故障、通信故障、数据异常、电压、温度监控和报警提醒，支持设备故障的统计、查询；</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3）支持水文数据阈值定制：支持站点预警规则设置，主、从站设置及数据异常筛查；</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4）支持接入短信服务：数据预警以短信的形式推送至相关配置人员的手机中；</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5）支持在线报表：支持水文遥测数据增、删、改、查功能，支持站点日、月、年报等报表导出；</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6）支持特征数据查询：快速查询或计算雨量、水位要素的最大、最小、平均值等特征数值；</w:t>
            </w:r>
          </w:p>
          <w:p>
            <w:pPr>
              <w:widowControl/>
              <w:jc w:val="left"/>
              <w:rPr>
                <w:rFonts w:hint="eastAsia" w:ascii="宋体" w:hAnsi="宋体" w:eastAsia="宋体" w:cs="宋体"/>
                <w:sz w:val="24"/>
                <w:highlight w:val="none"/>
              </w:rPr>
            </w:pPr>
            <w:r>
              <w:rPr>
                <w:rFonts w:hint="eastAsia" w:ascii="宋体" w:hAnsi="宋体" w:eastAsia="宋体" w:cs="宋体"/>
                <w:sz w:val="24"/>
                <w:highlight w:val="none"/>
              </w:rPr>
              <w:t>7）支持一键生成水文简报：提供水文简报模板，快速筛选并生成每日水文简报文字及表格数据。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1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安全性</w:t>
            </w:r>
          </w:p>
        </w:tc>
        <w:tc>
          <w:tcPr>
            <w:tcW w:w="1075"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安全选项</w:t>
            </w:r>
          </w:p>
        </w:tc>
        <w:tc>
          <w:tcPr>
            <w:tcW w:w="3408" w:type="pct"/>
            <w:vAlign w:val="center"/>
          </w:tcPr>
          <w:p>
            <w:pPr>
              <w:widowControl/>
              <w:jc w:val="center"/>
              <w:rPr>
                <w:rFonts w:hint="eastAsia" w:ascii="宋体" w:hAnsi="宋体" w:eastAsia="宋体" w:cs="宋体"/>
                <w:sz w:val="24"/>
                <w:highlight w:val="none"/>
              </w:rPr>
            </w:pPr>
            <w:r>
              <w:rPr>
                <w:rFonts w:hint="eastAsia" w:ascii="宋体" w:hAnsi="宋体" w:eastAsia="宋体" w:cs="宋体"/>
                <w:sz w:val="24"/>
                <w:highlight w:val="none"/>
              </w:rPr>
              <w:t>支持机箱入侵检测，TCM/TPM安全模块，可选配置PCIe防护模块，提供防火墙、IPS、防病毒和QoS等防护功能</w:t>
            </w:r>
          </w:p>
        </w:tc>
      </w:tr>
    </w:tbl>
    <w:p>
      <w:pPr>
        <w:pStyle w:val="4"/>
        <w:keepNext w:val="0"/>
        <w:keepLines w:val="0"/>
        <w:pageBreakBefore w:val="0"/>
        <w:widowControl w:val="0"/>
        <w:kinsoku/>
        <w:wordWrap/>
        <w:overflowPunct/>
        <w:topLinePunct w:val="0"/>
        <w:bidi w:val="0"/>
        <w:adjustRightInd w:val="0"/>
        <w:snapToGrid/>
        <w:spacing w:line="400" w:lineRule="exact"/>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2.3.22雷达流速仪</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1）符合《水文仪器基本参数及通用技术条件》（GB∕T 15966-2017）； </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2）流速测量误差：测试数据误差符合标准要求，流速测量误差≤2%；</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3）抗电磁干扰和防雷：符合标准要求；</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4）信号与接口：Modbus和SDI；</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5）防护等级：IP68；</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6）电压：6-24VDC；</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7）测量持续时间：5－240s；</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8）工作温度： -35℃～+65℃；</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9）存储温度：-40℃～+70℃；</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10）外壳防护等级≥IP68。</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11）低流速实测流速误差：在0.1m/s、0.3m/s、0.5m/s 环境下，仪器示值误差≤0.002m/s；</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12）中流速实测流速误差：在1m/s、2m/s环境下，仪器示值误差≤0.003m/s；</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13)高流速实测流速误差：在3m/s、4m/s环境下，仪器示值误差≤0.004m/s； </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14）流速仪品牌性能及使用效果良好。</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配套电缆：</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1）配套IP68等级原装电缆，长度符合现场要求，一次裁剪，不得续接。</w:t>
      </w:r>
    </w:p>
    <w:p>
      <w:pPr>
        <w:pStyle w:val="4"/>
        <w:keepNext w:val="0"/>
        <w:keepLines w:val="0"/>
        <w:pageBreakBefore w:val="0"/>
        <w:widowControl w:val="0"/>
        <w:kinsoku/>
        <w:wordWrap/>
        <w:overflowPunct/>
        <w:topLinePunct w:val="0"/>
        <w:bidi w:val="0"/>
        <w:adjustRightInd w:val="0"/>
        <w:snapToGrid/>
        <w:spacing w:line="400" w:lineRule="exact"/>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2.3.2</w:t>
      </w: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配套基础设施</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直径60cm厚8mm镀锌钢管测井及工作平台，钢筋混凝土基础，12米钢架引桥连接及钢筋混凝土引桥支柱基础，钢筋混凝土基底宽80cm花岗岩台阶长5米。水尺8米，进水管埋设及沉沙井等，测井高8米，具体以最终设计为准。</w:t>
      </w:r>
      <w:r>
        <w:rPr>
          <w:rFonts w:hint="eastAsia" w:ascii="宋体" w:hAnsi="宋体" w:eastAsia="宋体" w:cs="宋体"/>
          <w:sz w:val="24"/>
          <w:szCs w:val="24"/>
          <w:lang w:val="en-US" w:eastAsia="zh-CN"/>
        </w:rPr>
        <w:t>现场实际图纸如下</w:t>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3064510</wp:posOffset>
            </wp:positionH>
            <wp:positionV relativeFrom="paragraph">
              <wp:posOffset>57150</wp:posOffset>
            </wp:positionV>
            <wp:extent cx="2745740" cy="3145155"/>
            <wp:effectExtent l="0" t="0" r="16510" b="17145"/>
            <wp:wrapSquare wrapText="bothSides"/>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43"/>
                    <a:stretch>
                      <a:fillRect/>
                    </a:stretch>
                  </pic:blipFill>
                  <pic:spPr>
                    <a:xfrm>
                      <a:off x="0" y="0"/>
                      <a:ext cx="2745740" cy="314515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66675</wp:posOffset>
            </wp:positionH>
            <wp:positionV relativeFrom="paragraph">
              <wp:posOffset>77470</wp:posOffset>
            </wp:positionV>
            <wp:extent cx="2992120" cy="2922905"/>
            <wp:effectExtent l="0" t="0" r="17780" b="10795"/>
            <wp:wrapSquare wrapText="bothSides"/>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44"/>
                    <a:stretch>
                      <a:fillRect/>
                    </a:stretch>
                  </pic:blipFill>
                  <pic:spPr>
                    <a:xfrm>
                      <a:off x="0" y="0"/>
                      <a:ext cx="2992120" cy="2922905"/>
                    </a:xfrm>
                    <a:prstGeom prst="rect">
                      <a:avLst/>
                    </a:prstGeom>
                  </pic:spPr>
                </pic:pic>
              </a:graphicData>
            </a:graphic>
          </wp:anchor>
        </w:drawing>
      </w:r>
    </w:p>
    <w:p>
      <w:pPr>
        <w:pStyle w:val="4"/>
        <w:keepNext w:val="0"/>
        <w:keepLines w:val="0"/>
        <w:pageBreakBefore w:val="0"/>
        <w:widowControl w:val="0"/>
        <w:kinsoku/>
        <w:wordWrap/>
        <w:overflowPunct/>
        <w:topLinePunct w:val="0"/>
        <w:bidi w:val="0"/>
        <w:adjustRightInd w:val="0"/>
        <w:snapToGrid/>
        <w:spacing w:line="400" w:lineRule="exact"/>
        <w:ind w:left="0" w:leftChars="0" w:firstLine="480" w:firstLineChars="200"/>
        <w:textAlignment w:val="auto"/>
        <w:rPr>
          <w:rFonts w:hint="eastAsia" w:ascii="宋体" w:hAnsi="宋体" w:eastAsia="宋体" w:cs="宋体"/>
          <w:sz w:val="24"/>
          <w:szCs w:val="24"/>
          <w:lang w:val="en-US" w:eastAsia="zh-CN"/>
        </w:rPr>
      </w:pPr>
    </w:p>
    <w:p>
      <w:pPr>
        <w:pStyle w:val="4"/>
        <w:adjustRightInd w:val="0"/>
        <w:ind w:left="0" w:leftChars="0"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2.4设备点位布置及安装要求</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应商应根据现场实际情况，为保证监测数据准确、传输稳定，拟定新建、改建站设备合理的安装点位，并提供对应设备安装示意图。布点位置及外观形象宜与周边环境适应，设备安装牢固，在汛期水流量较大时设备不发生移位，布点位置需方便检修、维护。</w:t>
      </w:r>
    </w:p>
    <w:p>
      <w:pPr>
        <w:pStyle w:val="4"/>
        <w:adjustRightInd w:val="0"/>
        <w:ind w:left="0" w:leftChars="0"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2.</w:t>
      </w:r>
      <w:r>
        <w:rPr>
          <w:rFonts w:hint="eastAsia" w:ascii="宋体" w:hAnsi="宋体" w:eastAsia="宋体" w:cs="宋体"/>
          <w:b/>
          <w:bCs/>
          <w:sz w:val="28"/>
          <w:szCs w:val="28"/>
          <w:highlight w:val="none"/>
          <w:lang w:val="en-US" w:eastAsia="zh-CN"/>
        </w:rPr>
        <w:t>5</w:t>
      </w:r>
      <w:r>
        <w:rPr>
          <w:rFonts w:hint="eastAsia" w:ascii="宋体" w:hAnsi="宋体" w:eastAsia="宋体" w:cs="宋体"/>
          <w:b/>
          <w:bCs/>
          <w:sz w:val="28"/>
          <w:szCs w:val="28"/>
          <w:highlight w:val="none"/>
        </w:rPr>
        <w:t>其他要求</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.1、采购的总体要求：</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1、必须符合招标文件(包括补充更正，如有)的技术要求和配置；必须是国内相应制造厂商生产并提供的原装合格产品；必须是2022年1月1日以后生产的、符合国家质量技术标准的设备。</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2、售后服务按国家质量监督检验检疫总局和国家其他有关规定执行，国家没有规定的按厂商规定执行。国家规定标准低于厂商标准的按厂商标准执行，但最低免费原厂质保服务期不得少于2年。</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.2、售后服务</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提供≥2年的质保期，派遣专门负责人员驻点并配备维护专用车辆定期对设备进行巡检，确保设备正常运行。质保期从验收合格交付使用之日起算；质保期内因不能排除的故障而影响工作的情况每发生一次，其质保期相应延长60天，质保期内因设备本身缺陷造成各种故障应由卖方免费技术服务和维修。</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3、供应商在投标文件中须说明保修期内提供的服务计划。</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4、质保期内免收包括材料费在内的各种费用及相关服务费用。质保期满后，供应商提供跟踪服务，若需更换零配件，采购方只承担更换零配件的成本费，其余费用均由中标人承担。</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5、对提供的设备，供应商产品更新换代，不再批量生产该产品，也必须随时有备品零配件供应，并提供终身技术服务。</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6、如供应商未达到以上要求，视为违约，采购方有权要求无条件退货，一切费用将由供应商承担。</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.3、交货期限、地点及方式</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交付期限：供应商中标签订合同后60日历天内送达并安装调试完成，如在规定的时间内由于卖方的原因不能送达货物并安装调试完成通过验收的，中标方应承担由此给用户造成的损失。</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交付地点：建德市水文水资源监测站，各水文建设站点。</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交付方式：中标方提供中标货物的安装、培训和技术指导。</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.4、验收方式及标准</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供货方应提供系统设备的有效检验材料，经采购人认可后，与合同的技术指标一起作为验收标准。采购人对系统设备验收合格后，出具验收报告并在《建德市政府采购物品验收反馈表》上签署意见并加盖单位公章。验收中发现系统设备达不到验收标准或合同规定的技术指标，卖方必须更换，并负担由此给用户造成的损失，直到验收合格为止。</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2、投标方应于投标书中提供系统设备的验收标准和检测办法，并在验收中提供买方认可的相应检测手段，验收标准应符合中国有关的国家、地方、行业的标准，如若中标，经买方确认后作为验收的依据。</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3、验收费用由产品供应商承担。</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.5、资金支付的方式、时间和条件</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采购单位根据合同、投标文件等资料进行验收。</w:t>
      </w:r>
    </w:p>
    <w:p>
      <w:pPr>
        <w:pStyle w:val="4"/>
        <w:adjustRightInd w:val="0"/>
        <w:spacing w:line="400" w:lineRule="exact"/>
        <w:ind w:left="0" w:leftChars="0"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eastAsia="zh-CN"/>
        </w:rPr>
        <w:t>合同签订生效以及具备实施条件后7个工作日内</w:t>
      </w:r>
      <w:r>
        <w:rPr>
          <w:rFonts w:hint="eastAsia" w:ascii="宋体" w:hAnsi="宋体" w:eastAsia="宋体" w:cs="宋体"/>
          <w:sz w:val="24"/>
          <w:szCs w:val="24"/>
          <w:highlight w:val="none"/>
          <w:lang w:eastAsia="zh-CN"/>
        </w:rPr>
        <w:t>，采购单位向中标单位支付合同价的50%预付款（供应商需提供相应金额的预付款保函至采购单位）</w:t>
      </w:r>
      <w:r>
        <w:rPr>
          <w:rFonts w:hint="eastAsia" w:ascii="宋体" w:hAnsi="宋体" w:eastAsia="宋体" w:cs="宋体"/>
          <w:sz w:val="24"/>
          <w:szCs w:val="24"/>
          <w:highlight w:val="none"/>
        </w:rPr>
        <w:t>；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p>
    <w:p>
      <w:pPr>
        <w:pStyle w:val="4"/>
        <w:adjustRightInd w:val="0"/>
        <w:spacing w:line="400" w:lineRule="exact"/>
        <w:ind w:left="0" w:leftChars="0"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.6、履约保证金</w:t>
      </w:r>
    </w:p>
    <w:p>
      <w:pPr>
        <w:pStyle w:val="4"/>
        <w:spacing w:line="400" w:lineRule="exact"/>
        <w:ind w:left="0" w:leftChars="0" w:firstLine="480" w:firstLineChars="200"/>
        <w:rPr>
          <w:rFonts w:hint="eastAsia" w:ascii="宋体" w:hAnsi="宋体" w:eastAsia="宋体" w:cs="宋体"/>
          <w:highlight w:val="none"/>
        </w:rPr>
      </w:pPr>
      <w:r>
        <w:rPr>
          <w:rFonts w:hint="eastAsia" w:ascii="宋体" w:hAnsi="宋体" w:cs="宋体"/>
          <w:sz w:val="24"/>
          <w:szCs w:val="24"/>
          <w:highlight w:val="none"/>
          <w:lang w:eastAsia="zh-CN"/>
        </w:rPr>
        <w:t>本项目收取履约保证金为合同金额1%。需要收取保证金的供应商在正式合同签订生效之日起7个工作日内，缴纳保证金至采购人指定账户（可采用银行、保险公司出具保函形式提交）。在验收合格后经回访正常后凭正式收款收据、履约保证金缴款凭证复印件办理结算手续</w:t>
      </w:r>
      <w:r>
        <w:rPr>
          <w:rFonts w:hint="eastAsia" w:ascii="宋体" w:hAnsi="宋体" w:eastAsia="宋体" w:cs="宋体"/>
          <w:sz w:val="24"/>
          <w:szCs w:val="24"/>
          <w:highlight w:val="none"/>
        </w:rPr>
        <w:t>。</w:t>
      </w: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宋体" w:hAnsi="宋体" w:eastAsia="宋体" w:cs="宋体"/>
          <w:bCs/>
          <w:color w:val="auto"/>
          <w:sz w:val="24"/>
          <w:szCs w:val="24"/>
          <w:highlight w:val="none"/>
          <w:lang w:val="en-US"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宋体" w:hAnsi="宋体" w:eastAsia="宋体" w:cs="宋体"/>
          <w:bCs/>
          <w:color w:val="auto"/>
          <w:sz w:val="24"/>
          <w:szCs w:val="24"/>
          <w:highlight w:val="none"/>
          <w:lang w:val="en-US"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宋体" w:hAnsi="宋体" w:eastAsia="宋体" w:cs="宋体"/>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宋体" w:hAnsi="宋体" w:eastAsia="宋体" w:cs="宋体"/>
          <w:bCs/>
          <w:color w:val="auto"/>
          <w:sz w:val="24"/>
          <w:szCs w:val="24"/>
          <w:highlight w:val="none"/>
          <w:lang w:val="en-US" w:eastAsia="zh-CN"/>
        </w:rPr>
      </w:pPr>
    </w:p>
    <w:p>
      <w:pPr>
        <w:pStyle w:val="4"/>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sz w:val="24"/>
          <w:szCs w:val="24"/>
          <w:lang w:eastAsia="zh-CN"/>
        </w:rPr>
      </w:pPr>
    </w:p>
    <w:p>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31" w:name="_Toc184313292"/>
      <w:bookmarkEnd w:id="31"/>
      <w:bookmarkStart w:id="32" w:name="_Toc184314465"/>
      <w:bookmarkEnd w:id="32"/>
      <w:bookmarkStart w:id="33" w:name="_Toc184313255"/>
      <w:bookmarkEnd w:id="33"/>
      <w:bookmarkStart w:id="34" w:name="_Toc184312088"/>
      <w:bookmarkEnd w:id="34"/>
      <w:bookmarkStart w:id="35" w:name="_Toc184312130"/>
      <w:bookmarkEnd w:id="35"/>
      <w:bookmarkStart w:id="36" w:name="_Toc184312137"/>
      <w:bookmarkEnd w:id="36"/>
      <w:bookmarkStart w:id="37" w:name="_Toc184310305"/>
      <w:bookmarkEnd w:id="37"/>
      <w:bookmarkStart w:id="38" w:name="_Toc184310322"/>
      <w:bookmarkEnd w:id="38"/>
      <w:bookmarkStart w:id="39" w:name="_Toc184312117"/>
      <w:bookmarkEnd w:id="39"/>
      <w:bookmarkStart w:id="40" w:name="_Toc184308056"/>
      <w:bookmarkEnd w:id="40"/>
      <w:bookmarkStart w:id="41" w:name="_Toc184310336"/>
      <w:bookmarkEnd w:id="41"/>
      <w:bookmarkStart w:id="42" w:name="_Toc184313298"/>
      <w:bookmarkEnd w:id="42"/>
      <w:bookmarkStart w:id="43" w:name="_Toc184313281"/>
      <w:bookmarkEnd w:id="43"/>
      <w:bookmarkStart w:id="44" w:name="_Toc184308065"/>
      <w:bookmarkEnd w:id="44"/>
      <w:bookmarkStart w:id="45" w:name="_Toc184313300"/>
      <w:bookmarkEnd w:id="45"/>
      <w:bookmarkStart w:id="46" w:name="_Toc184312106"/>
      <w:bookmarkEnd w:id="46"/>
      <w:bookmarkStart w:id="47" w:name="_Toc184313245"/>
      <w:bookmarkEnd w:id="47"/>
      <w:bookmarkStart w:id="48" w:name="_Toc184314413"/>
      <w:bookmarkEnd w:id="48"/>
      <w:bookmarkStart w:id="49" w:name="_Toc184310334"/>
      <w:bookmarkEnd w:id="49"/>
      <w:bookmarkStart w:id="50" w:name="_Toc184310315"/>
      <w:bookmarkEnd w:id="50"/>
      <w:bookmarkStart w:id="51" w:name="_Toc184314424"/>
      <w:bookmarkEnd w:id="51"/>
      <w:bookmarkStart w:id="52" w:name="_Toc184314466"/>
      <w:bookmarkEnd w:id="52"/>
      <w:bookmarkStart w:id="53" w:name="_Toc184308091"/>
      <w:bookmarkEnd w:id="53"/>
      <w:bookmarkStart w:id="54" w:name="_Toc184310337"/>
      <w:bookmarkEnd w:id="54"/>
      <w:bookmarkStart w:id="55" w:name="_Toc184310286"/>
      <w:bookmarkEnd w:id="55"/>
      <w:bookmarkStart w:id="56" w:name="_Toc184314417"/>
      <w:bookmarkEnd w:id="56"/>
      <w:bookmarkStart w:id="57" w:name="_Toc184313257"/>
      <w:bookmarkEnd w:id="57"/>
      <w:bookmarkStart w:id="58" w:name="_Toc184312076"/>
      <w:bookmarkEnd w:id="58"/>
      <w:bookmarkStart w:id="59" w:name="_Toc184308055"/>
      <w:bookmarkEnd w:id="59"/>
      <w:bookmarkStart w:id="60" w:name="_Toc184313241"/>
      <w:bookmarkEnd w:id="60"/>
      <w:bookmarkStart w:id="61" w:name="_Toc184308100"/>
      <w:bookmarkEnd w:id="61"/>
      <w:bookmarkStart w:id="62" w:name="_Toc184312121"/>
      <w:bookmarkEnd w:id="62"/>
      <w:bookmarkStart w:id="63" w:name="_Toc184308085"/>
      <w:bookmarkEnd w:id="63"/>
      <w:bookmarkStart w:id="64" w:name="_Toc184312083"/>
      <w:bookmarkEnd w:id="64"/>
      <w:bookmarkStart w:id="65" w:name="_Toc184313310"/>
      <w:bookmarkEnd w:id="65"/>
      <w:bookmarkStart w:id="66" w:name="_Toc184314458"/>
      <w:bookmarkEnd w:id="66"/>
      <w:bookmarkStart w:id="67" w:name="_Toc184310291"/>
      <w:bookmarkEnd w:id="67"/>
      <w:bookmarkStart w:id="68" w:name="_Toc184313273"/>
      <w:bookmarkEnd w:id="68"/>
      <w:bookmarkStart w:id="69" w:name="_Toc184310342"/>
      <w:bookmarkEnd w:id="69"/>
      <w:bookmarkStart w:id="70" w:name="_Toc184314463"/>
      <w:bookmarkEnd w:id="70"/>
      <w:bookmarkStart w:id="71" w:name="_Toc184314481"/>
      <w:bookmarkEnd w:id="71"/>
      <w:bookmarkStart w:id="72" w:name="_Toc184310290"/>
      <w:bookmarkEnd w:id="72"/>
      <w:bookmarkStart w:id="73" w:name="_Toc184308061"/>
      <w:bookmarkEnd w:id="73"/>
      <w:bookmarkStart w:id="74" w:name="_Toc184312109"/>
      <w:bookmarkEnd w:id="74"/>
      <w:bookmarkStart w:id="75" w:name="_Toc184310331"/>
      <w:bookmarkEnd w:id="75"/>
      <w:bookmarkStart w:id="76" w:name="_Toc184312132"/>
      <w:bookmarkEnd w:id="76"/>
      <w:bookmarkStart w:id="77" w:name="_Toc184308040"/>
      <w:bookmarkEnd w:id="77"/>
      <w:bookmarkStart w:id="78" w:name="_Toc184312090"/>
      <w:bookmarkEnd w:id="78"/>
      <w:bookmarkStart w:id="79" w:name="_Toc184314419"/>
      <w:bookmarkEnd w:id="79"/>
      <w:bookmarkStart w:id="80" w:name="_Toc184313303"/>
      <w:bookmarkEnd w:id="80"/>
      <w:bookmarkStart w:id="81" w:name="_Toc184312075"/>
      <w:bookmarkEnd w:id="81"/>
      <w:bookmarkStart w:id="82" w:name="_Toc184313304"/>
      <w:bookmarkEnd w:id="82"/>
      <w:bookmarkStart w:id="83" w:name="_Toc184314468"/>
      <w:bookmarkEnd w:id="83"/>
      <w:bookmarkStart w:id="84" w:name="_Toc184310273"/>
      <w:bookmarkEnd w:id="84"/>
      <w:bookmarkStart w:id="85" w:name="_Toc184314454"/>
      <w:bookmarkEnd w:id="85"/>
      <w:bookmarkStart w:id="86" w:name="_Toc184308105"/>
      <w:bookmarkEnd w:id="86"/>
      <w:bookmarkStart w:id="87" w:name="_Toc184314444"/>
      <w:bookmarkEnd w:id="87"/>
      <w:bookmarkStart w:id="88" w:name="_Toc184313308"/>
      <w:bookmarkEnd w:id="88"/>
      <w:bookmarkStart w:id="89" w:name="_Toc184310314"/>
      <w:bookmarkEnd w:id="89"/>
      <w:bookmarkStart w:id="90" w:name="_Toc184310283"/>
      <w:bookmarkEnd w:id="90"/>
      <w:bookmarkStart w:id="91" w:name="_Toc184312108"/>
      <w:bookmarkEnd w:id="91"/>
      <w:bookmarkStart w:id="92" w:name="_Toc184310274"/>
      <w:bookmarkEnd w:id="92"/>
      <w:bookmarkStart w:id="93" w:name="_Toc184310311"/>
      <w:bookmarkEnd w:id="93"/>
      <w:bookmarkStart w:id="94" w:name="_Toc184312074"/>
      <w:bookmarkEnd w:id="94"/>
      <w:bookmarkStart w:id="95" w:name="_Toc184310335"/>
      <w:bookmarkEnd w:id="95"/>
      <w:bookmarkStart w:id="96" w:name="_Toc184312077"/>
      <w:bookmarkEnd w:id="96"/>
      <w:bookmarkStart w:id="97" w:name="_Toc184310296"/>
      <w:bookmarkEnd w:id="97"/>
      <w:bookmarkStart w:id="98" w:name="_Toc184308103"/>
      <w:bookmarkEnd w:id="98"/>
      <w:bookmarkStart w:id="99" w:name="_Toc184313276"/>
      <w:bookmarkEnd w:id="99"/>
      <w:bookmarkStart w:id="100" w:name="_Toc184314479"/>
      <w:bookmarkEnd w:id="100"/>
      <w:bookmarkStart w:id="101" w:name="_Toc184312120"/>
      <w:bookmarkEnd w:id="101"/>
      <w:bookmarkStart w:id="102" w:name="_Toc184310278"/>
      <w:bookmarkEnd w:id="102"/>
      <w:bookmarkStart w:id="103" w:name="_Toc184312071"/>
      <w:bookmarkEnd w:id="103"/>
      <w:bookmarkStart w:id="104" w:name="_Toc184314418"/>
      <w:bookmarkEnd w:id="104"/>
      <w:bookmarkStart w:id="105" w:name="_Toc184314442"/>
      <w:bookmarkEnd w:id="105"/>
      <w:bookmarkStart w:id="106" w:name="_Toc184308107"/>
      <w:bookmarkEnd w:id="106"/>
      <w:bookmarkStart w:id="107" w:name="_Toc184313277"/>
      <w:bookmarkEnd w:id="107"/>
      <w:bookmarkStart w:id="108" w:name="_Toc184312079"/>
      <w:bookmarkEnd w:id="108"/>
      <w:bookmarkStart w:id="109" w:name="_Toc184310284"/>
      <w:bookmarkEnd w:id="109"/>
      <w:bookmarkStart w:id="110" w:name="_Toc184308102"/>
      <w:bookmarkEnd w:id="110"/>
      <w:bookmarkStart w:id="111" w:name="_Toc184308046"/>
      <w:bookmarkEnd w:id="111"/>
      <w:bookmarkStart w:id="112" w:name="_Toc184314434"/>
      <w:bookmarkEnd w:id="112"/>
      <w:bookmarkStart w:id="113" w:name="_Toc184312068"/>
      <w:bookmarkEnd w:id="113"/>
      <w:bookmarkStart w:id="114" w:name="_Toc184312067"/>
      <w:bookmarkEnd w:id="114"/>
      <w:bookmarkStart w:id="115" w:name="_Toc184312127"/>
      <w:bookmarkEnd w:id="115"/>
      <w:bookmarkStart w:id="116" w:name="_Toc184308094"/>
      <w:bookmarkEnd w:id="116"/>
      <w:bookmarkStart w:id="117" w:name="_Toc184313239"/>
      <w:bookmarkEnd w:id="117"/>
      <w:bookmarkStart w:id="118" w:name="_Toc184314474"/>
      <w:bookmarkEnd w:id="118"/>
      <w:bookmarkStart w:id="119" w:name="_Toc184314415"/>
      <w:bookmarkEnd w:id="119"/>
      <w:bookmarkStart w:id="120" w:name="_Toc184314428"/>
      <w:bookmarkEnd w:id="120"/>
      <w:bookmarkStart w:id="121" w:name="_Toc184314445"/>
      <w:bookmarkEnd w:id="121"/>
      <w:bookmarkStart w:id="122" w:name="_Toc184313262"/>
      <w:bookmarkEnd w:id="122"/>
      <w:bookmarkStart w:id="123" w:name="_Toc184314431"/>
      <w:bookmarkEnd w:id="123"/>
      <w:bookmarkStart w:id="124" w:name="_Toc184310323"/>
      <w:bookmarkEnd w:id="124"/>
      <w:bookmarkStart w:id="125" w:name="_Toc184313266"/>
      <w:bookmarkEnd w:id="125"/>
      <w:bookmarkStart w:id="126" w:name="_Toc184314457"/>
      <w:bookmarkEnd w:id="126"/>
      <w:bookmarkStart w:id="127" w:name="_Toc184314433"/>
      <w:bookmarkEnd w:id="127"/>
      <w:bookmarkStart w:id="128" w:name="_Toc184314432"/>
      <w:bookmarkEnd w:id="128"/>
      <w:bookmarkStart w:id="129" w:name="_Toc184313243"/>
      <w:bookmarkEnd w:id="129"/>
      <w:bookmarkStart w:id="130" w:name="_Toc184310319"/>
      <w:bookmarkEnd w:id="130"/>
      <w:bookmarkStart w:id="131" w:name="_Toc184310344"/>
      <w:bookmarkEnd w:id="131"/>
      <w:bookmarkStart w:id="132" w:name="_Toc184312092"/>
      <w:bookmarkEnd w:id="132"/>
      <w:bookmarkStart w:id="133" w:name="_Toc184314411"/>
      <w:bookmarkEnd w:id="133"/>
      <w:bookmarkStart w:id="134" w:name="_Toc184308044"/>
      <w:bookmarkEnd w:id="134"/>
      <w:bookmarkStart w:id="135" w:name="_Toc184308089"/>
      <w:bookmarkEnd w:id="135"/>
      <w:bookmarkStart w:id="136" w:name="_Toc184308108"/>
      <w:bookmarkEnd w:id="136"/>
      <w:bookmarkStart w:id="137" w:name="_Toc184312115"/>
      <w:bookmarkEnd w:id="137"/>
      <w:bookmarkStart w:id="138" w:name="_Toc184314473"/>
      <w:bookmarkEnd w:id="138"/>
      <w:bookmarkStart w:id="139" w:name="_Toc184312086"/>
      <w:bookmarkEnd w:id="139"/>
      <w:bookmarkStart w:id="140" w:name="_Toc184308066"/>
      <w:bookmarkEnd w:id="140"/>
      <w:bookmarkStart w:id="141" w:name="_Toc184308062"/>
      <w:bookmarkEnd w:id="141"/>
      <w:bookmarkStart w:id="142" w:name="_Toc184313296"/>
      <w:bookmarkEnd w:id="142"/>
      <w:bookmarkStart w:id="143" w:name="_Toc184310306"/>
      <w:bookmarkEnd w:id="143"/>
      <w:bookmarkStart w:id="144" w:name="_Toc184313275"/>
      <w:bookmarkEnd w:id="144"/>
      <w:bookmarkStart w:id="145" w:name="_Toc184308087"/>
      <w:bookmarkEnd w:id="145"/>
      <w:bookmarkStart w:id="146" w:name="_Toc184313249"/>
      <w:bookmarkEnd w:id="146"/>
      <w:bookmarkStart w:id="147" w:name="_Toc184314414"/>
      <w:bookmarkEnd w:id="147"/>
      <w:bookmarkStart w:id="148" w:name="_Toc184313307"/>
      <w:bookmarkEnd w:id="148"/>
      <w:bookmarkStart w:id="149" w:name="_Toc184308045"/>
      <w:bookmarkEnd w:id="149"/>
      <w:bookmarkStart w:id="150" w:name="_Toc184312104"/>
      <w:bookmarkEnd w:id="150"/>
      <w:bookmarkStart w:id="151" w:name="_Toc184312110"/>
      <w:bookmarkEnd w:id="151"/>
      <w:bookmarkStart w:id="152" w:name="_Toc184312070"/>
      <w:bookmarkEnd w:id="152"/>
      <w:bookmarkStart w:id="153" w:name="_Toc184313274"/>
      <w:bookmarkEnd w:id="153"/>
      <w:bookmarkStart w:id="154" w:name="_Toc184312102"/>
      <w:bookmarkEnd w:id="154"/>
      <w:bookmarkStart w:id="155" w:name="_Toc184313259"/>
      <w:bookmarkEnd w:id="155"/>
      <w:bookmarkStart w:id="156" w:name="_Toc184308079"/>
      <w:bookmarkEnd w:id="156"/>
      <w:bookmarkStart w:id="157" w:name="_Toc184312103"/>
      <w:bookmarkEnd w:id="157"/>
      <w:bookmarkStart w:id="158" w:name="_Toc184314462"/>
      <w:bookmarkEnd w:id="158"/>
      <w:bookmarkStart w:id="159" w:name="_Toc184312105"/>
      <w:bookmarkEnd w:id="159"/>
      <w:bookmarkStart w:id="160" w:name="_Toc184308039"/>
      <w:bookmarkEnd w:id="160"/>
      <w:bookmarkStart w:id="161" w:name="_Toc184312093"/>
      <w:bookmarkEnd w:id="161"/>
      <w:bookmarkStart w:id="162" w:name="_Toc184310299"/>
      <w:bookmarkEnd w:id="162"/>
      <w:bookmarkStart w:id="163" w:name="_Toc184312111"/>
      <w:bookmarkEnd w:id="163"/>
      <w:bookmarkStart w:id="164" w:name="_Toc184310300"/>
      <w:bookmarkEnd w:id="164"/>
      <w:bookmarkStart w:id="165" w:name="_Toc184312089"/>
      <w:bookmarkEnd w:id="165"/>
      <w:bookmarkStart w:id="166" w:name="_Toc184310324"/>
      <w:bookmarkEnd w:id="166"/>
      <w:bookmarkStart w:id="167" w:name="_Toc184314426"/>
      <w:bookmarkEnd w:id="167"/>
      <w:bookmarkStart w:id="168" w:name="_Toc184314429"/>
      <w:bookmarkEnd w:id="168"/>
      <w:bookmarkStart w:id="169" w:name="_Toc184312081"/>
      <w:bookmarkEnd w:id="169"/>
      <w:bookmarkStart w:id="170" w:name="_Toc184312073"/>
      <w:bookmarkEnd w:id="170"/>
      <w:bookmarkStart w:id="171" w:name="_Toc184310285"/>
      <w:bookmarkEnd w:id="171"/>
      <w:bookmarkStart w:id="172" w:name="_Toc184312138"/>
      <w:bookmarkEnd w:id="172"/>
      <w:bookmarkStart w:id="173" w:name="_Toc184308041"/>
      <w:bookmarkEnd w:id="173"/>
      <w:bookmarkStart w:id="174" w:name="_Toc184312099"/>
      <w:bookmarkEnd w:id="174"/>
      <w:bookmarkStart w:id="175" w:name="_Toc184313261"/>
      <w:bookmarkEnd w:id="175"/>
      <w:bookmarkStart w:id="176" w:name="_Toc184308067"/>
      <w:bookmarkEnd w:id="176"/>
      <w:bookmarkStart w:id="177" w:name="_Toc184308071"/>
      <w:bookmarkEnd w:id="177"/>
      <w:bookmarkStart w:id="178" w:name="_Toc184313295"/>
      <w:bookmarkEnd w:id="178"/>
      <w:bookmarkStart w:id="179" w:name="_Toc184313291"/>
      <w:bookmarkEnd w:id="179"/>
      <w:bookmarkStart w:id="180" w:name="_Toc184314410"/>
      <w:bookmarkEnd w:id="180"/>
      <w:bookmarkStart w:id="181" w:name="_Toc184308063"/>
      <w:bookmarkEnd w:id="181"/>
      <w:bookmarkStart w:id="182" w:name="_Toc184310328"/>
      <w:bookmarkEnd w:id="182"/>
      <w:bookmarkStart w:id="183" w:name="_Toc184312078"/>
      <w:bookmarkEnd w:id="183"/>
      <w:bookmarkStart w:id="184" w:name="_Toc184314478"/>
      <w:bookmarkEnd w:id="184"/>
      <w:bookmarkStart w:id="185" w:name="_Toc184310312"/>
      <w:bookmarkEnd w:id="185"/>
      <w:bookmarkStart w:id="186" w:name="_Toc184314416"/>
      <w:bookmarkEnd w:id="186"/>
      <w:bookmarkStart w:id="187" w:name="_Toc184314450"/>
      <w:bookmarkEnd w:id="187"/>
      <w:bookmarkStart w:id="188" w:name="_Toc184314420"/>
      <w:bookmarkEnd w:id="188"/>
      <w:bookmarkStart w:id="189" w:name="_Toc184310339"/>
      <w:bookmarkEnd w:id="189"/>
      <w:bookmarkStart w:id="190" w:name="_Toc184314440"/>
      <w:bookmarkEnd w:id="190"/>
      <w:bookmarkStart w:id="191" w:name="_Toc184312100"/>
      <w:bookmarkEnd w:id="191"/>
      <w:bookmarkStart w:id="192" w:name="_Toc184312095"/>
      <w:bookmarkEnd w:id="192"/>
      <w:bookmarkStart w:id="193" w:name="_Toc184308086"/>
      <w:bookmarkEnd w:id="193"/>
      <w:bookmarkStart w:id="194" w:name="_Toc184313283"/>
      <w:bookmarkEnd w:id="194"/>
      <w:bookmarkStart w:id="195" w:name="_Toc184314430"/>
      <w:bookmarkEnd w:id="195"/>
      <w:bookmarkStart w:id="196" w:name="_Toc184313244"/>
      <w:bookmarkEnd w:id="196"/>
      <w:bookmarkStart w:id="197" w:name="_Toc184313264"/>
      <w:bookmarkEnd w:id="197"/>
      <w:bookmarkStart w:id="198" w:name="_Toc184314472"/>
      <w:bookmarkEnd w:id="198"/>
      <w:bookmarkStart w:id="199" w:name="_Toc184312101"/>
      <w:bookmarkEnd w:id="199"/>
      <w:bookmarkStart w:id="200" w:name="_Toc184314449"/>
      <w:bookmarkEnd w:id="200"/>
      <w:bookmarkStart w:id="201" w:name="_Toc184313272"/>
      <w:bookmarkEnd w:id="201"/>
      <w:bookmarkStart w:id="202" w:name="_Toc184314477"/>
      <w:bookmarkEnd w:id="202"/>
      <w:bookmarkStart w:id="203" w:name="_Toc184308050"/>
      <w:bookmarkEnd w:id="203"/>
      <w:bookmarkStart w:id="204" w:name="_Toc184313305"/>
      <w:bookmarkEnd w:id="204"/>
      <w:bookmarkStart w:id="205" w:name="_Toc184314421"/>
      <w:bookmarkEnd w:id="205"/>
      <w:bookmarkStart w:id="206" w:name="_Toc184313309"/>
      <w:bookmarkEnd w:id="206"/>
      <w:bookmarkStart w:id="207" w:name="_Toc184308097"/>
      <w:bookmarkEnd w:id="207"/>
      <w:bookmarkStart w:id="208" w:name="_Toc184310303"/>
      <w:bookmarkEnd w:id="208"/>
      <w:bookmarkStart w:id="209" w:name="_Toc184312129"/>
      <w:bookmarkEnd w:id="209"/>
      <w:bookmarkStart w:id="210" w:name="_Toc184310289"/>
      <w:bookmarkEnd w:id="210"/>
      <w:bookmarkStart w:id="211" w:name="_Toc184314470"/>
      <w:bookmarkEnd w:id="211"/>
      <w:bookmarkStart w:id="212" w:name="_Toc184313284"/>
      <w:bookmarkEnd w:id="212"/>
      <w:bookmarkStart w:id="213" w:name="_Toc184313301"/>
      <w:bookmarkEnd w:id="213"/>
      <w:bookmarkStart w:id="214" w:name="_Toc184310272"/>
      <w:bookmarkEnd w:id="214"/>
      <w:bookmarkStart w:id="215" w:name="_Toc184308059"/>
      <w:bookmarkEnd w:id="215"/>
      <w:bookmarkStart w:id="216" w:name="_Toc184308038"/>
      <w:bookmarkEnd w:id="216"/>
      <w:bookmarkStart w:id="217" w:name="_Toc184310279"/>
      <w:bookmarkEnd w:id="217"/>
      <w:bookmarkStart w:id="218" w:name="_Toc184308106"/>
      <w:bookmarkEnd w:id="218"/>
      <w:bookmarkStart w:id="219" w:name="_Toc184314460"/>
      <w:bookmarkEnd w:id="219"/>
      <w:bookmarkStart w:id="220" w:name="_Toc184310287"/>
      <w:bookmarkEnd w:id="220"/>
      <w:bookmarkStart w:id="221" w:name="_Toc184308096"/>
      <w:bookmarkEnd w:id="221"/>
      <w:bookmarkStart w:id="222" w:name="_Toc184314482"/>
      <w:bookmarkEnd w:id="222"/>
      <w:bookmarkStart w:id="223" w:name="_Toc184313254"/>
      <w:bookmarkEnd w:id="223"/>
      <w:bookmarkStart w:id="224" w:name="_Toc184312139"/>
      <w:bookmarkEnd w:id="224"/>
      <w:bookmarkStart w:id="225" w:name="_Toc184312080"/>
      <w:bookmarkEnd w:id="225"/>
      <w:bookmarkStart w:id="226" w:name="_Toc184314447"/>
      <w:bookmarkEnd w:id="226"/>
      <w:bookmarkStart w:id="227" w:name="_Toc184313267"/>
      <w:bookmarkEnd w:id="227"/>
      <w:bookmarkStart w:id="228" w:name="_Toc184313306"/>
      <w:bookmarkEnd w:id="228"/>
      <w:bookmarkStart w:id="229" w:name="_Toc184314456"/>
      <w:bookmarkEnd w:id="229"/>
      <w:bookmarkStart w:id="230" w:name="_Toc184310341"/>
      <w:bookmarkEnd w:id="230"/>
      <w:bookmarkStart w:id="231" w:name="_Toc184308083"/>
      <w:bookmarkEnd w:id="231"/>
      <w:bookmarkStart w:id="232" w:name="_Toc184312091"/>
      <w:bookmarkEnd w:id="232"/>
      <w:bookmarkStart w:id="233" w:name="_Toc184308042"/>
      <w:bookmarkEnd w:id="233"/>
      <w:bookmarkStart w:id="234" w:name="_Toc184313246"/>
      <w:bookmarkEnd w:id="234"/>
      <w:bookmarkStart w:id="235" w:name="_Toc184314438"/>
      <w:bookmarkEnd w:id="235"/>
      <w:bookmarkStart w:id="236" w:name="_Toc184312084"/>
      <w:bookmarkEnd w:id="236"/>
      <w:bookmarkStart w:id="237" w:name="_Toc184308057"/>
      <w:bookmarkEnd w:id="237"/>
      <w:bookmarkStart w:id="238" w:name="_Toc184310316"/>
      <w:bookmarkEnd w:id="238"/>
      <w:bookmarkStart w:id="239" w:name="_Toc184310281"/>
      <w:bookmarkEnd w:id="239"/>
      <w:bookmarkStart w:id="240" w:name="_Toc184313282"/>
      <w:bookmarkEnd w:id="240"/>
      <w:bookmarkStart w:id="241" w:name="_Toc184312085"/>
      <w:bookmarkEnd w:id="241"/>
      <w:bookmarkStart w:id="242" w:name="_Toc184310333"/>
      <w:bookmarkEnd w:id="242"/>
      <w:bookmarkStart w:id="243" w:name="_Toc184313287"/>
      <w:bookmarkEnd w:id="243"/>
      <w:bookmarkStart w:id="244" w:name="_Toc184314459"/>
      <w:bookmarkEnd w:id="244"/>
      <w:bookmarkStart w:id="245" w:name="_Toc184314453"/>
      <w:bookmarkEnd w:id="245"/>
      <w:bookmarkStart w:id="246" w:name="_Toc184312082"/>
      <w:bookmarkEnd w:id="246"/>
      <w:bookmarkStart w:id="247" w:name="_Toc184313238"/>
      <w:bookmarkEnd w:id="247"/>
      <w:bookmarkStart w:id="248" w:name="_Toc184314461"/>
      <w:bookmarkEnd w:id="248"/>
      <w:bookmarkStart w:id="249" w:name="_Toc184308043"/>
      <w:bookmarkEnd w:id="249"/>
      <w:bookmarkStart w:id="250" w:name="_Toc184312135"/>
      <w:bookmarkEnd w:id="250"/>
      <w:bookmarkStart w:id="251" w:name="_Toc184308076"/>
      <w:bookmarkEnd w:id="251"/>
      <w:bookmarkStart w:id="252" w:name="_Toc184312123"/>
      <w:bookmarkEnd w:id="252"/>
      <w:bookmarkStart w:id="253" w:name="_Toc184308081"/>
      <w:bookmarkEnd w:id="253"/>
      <w:bookmarkStart w:id="254" w:name="_Toc184310295"/>
      <w:bookmarkEnd w:id="254"/>
      <w:bookmarkStart w:id="255" w:name="_Toc184314412"/>
      <w:bookmarkEnd w:id="255"/>
      <w:bookmarkStart w:id="256" w:name="_Toc184310293"/>
      <w:bookmarkEnd w:id="256"/>
      <w:bookmarkStart w:id="257" w:name="_Toc184308084"/>
      <w:bookmarkEnd w:id="257"/>
      <w:bookmarkStart w:id="258" w:name="_Toc184310326"/>
      <w:bookmarkEnd w:id="258"/>
      <w:bookmarkStart w:id="259" w:name="_Toc184310301"/>
      <w:bookmarkEnd w:id="259"/>
      <w:bookmarkStart w:id="260" w:name="_Toc184312097"/>
      <w:bookmarkEnd w:id="260"/>
      <w:bookmarkStart w:id="261" w:name="_Toc184312069"/>
      <w:bookmarkEnd w:id="261"/>
      <w:bookmarkStart w:id="262" w:name="_Toc184310332"/>
      <w:bookmarkEnd w:id="262"/>
      <w:bookmarkStart w:id="263" w:name="_Toc184310325"/>
      <w:bookmarkEnd w:id="263"/>
      <w:bookmarkStart w:id="264" w:name="_Toc184313271"/>
      <w:bookmarkEnd w:id="264"/>
      <w:bookmarkStart w:id="265" w:name="_Toc184313250"/>
      <w:bookmarkEnd w:id="265"/>
      <w:bookmarkStart w:id="266" w:name="_Toc184314480"/>
      <w:bookmarkEnd w:id="266"/>
      <w:bookmarkStart w:id="267" w:name="_Toc184308064"/>
      <w:bookmarkEnd w:id="267"/>
      <w:bookmarkStart w:id="268" w:name="_Toc184312133"/>
      <w:bookmarkEnd w:id="268"/>
      <w:bookmarkStart w:id="269" w:name="_Toc184313270"/>
      <w:bookmarkEnd w:id="269"/>
      <w:bookmarkStart w:id="270" w:name="_Toc184308074"/>
      <w:bookmarkEnd w:id="270"/>
      <w:bookmarkStart w:id="271" w:name="_Toc184310277"/>
      <w:bookmarkEnd w:id="271"/>
      <w:bookmarkStart w:id="272" w:name="_Toc184310313"/>
      <w:bookmarkEnd w:id="272"/>
      <w:bookmarkStart w:id="273" w:name="_Toc184314439"/>
      <w:bookmarkEnd w:id="273"/>
      <w:bookmarkStart w:id="274" w:name="_Toc184312096"/>
      <w:bookmarkEnd w:id="274"/>
      <w:bookmarkStart w:id="275" w:name="_Toc184310275"/>
      <w:bookmarkEnd w:id="275"/>
      <w:bookmarkStart w:id="276" w:name="_Toc184313285"/>
      <w:bookmarkEnd w:id="276"/>
      <w:bookmarkStart w:id="277" w:name="_Toc184313280"/>
      <w:bookmarkEnd w:id="277"/>
      <w:bookmarkStart w:id="278" w:name="_Toc184313289"/>
      <w:bookmarkEnd w:id="278"/>
      <w:bookmarkStart w:id="279" w:name="_Toc184308093"/>
      <w:bookmarkEnd w:id="279"/>
      <w:bookmarkStart w:id="280" w:name="_Toc184308052"/>
      <w:bookmarkEnd w:id="280"/>
      <w:bookmarkStart w:id="281" w:name="_Toc184310310"/>
      <w:bookmarkEnd w:id="281"/>
      <w:bookmarkStart w:id="282" w:name="_Toc184314451"/>
      <w:bookmarkEnd w:id="282"/>
      <w:bookmarkStart w:id="283" w:name="_Toc184313252"/>
      <w:bookmarkEnd w:id="283"/>
      <w:bookmarkStart w:id="284" w:name="_Toc184314471"/>
      <w:bookmarkEnd w:id="284"/>
      <w:bookmarkStart w:id="285" w:name="_Toc184308101"/>
      <w:bookmarkEnd w:id="285"/>
      <w:bookmarkStart w:id="286" w:name="_Toc184310343"/>
      <w:bookmarkEnd w:id="286"/>
      <w:bookmarkStart w:id="287" w:name="_Toc184308053"/>
      <w:bookmarkEnd w:id="287"/>
      <w:bookmarkStart w:id="288" w:name="_Toc184314437"/>
      <w:bookmarkEnd w:id="288"/>
      <w:bookmarkStart w:id="289" w:name="_Toc184313263"/>
      <w:bookmarkEnd w:id="289"/>
      <w:bookmarkStart w:id="290" w:name="_Toc184314441"/>
      <w:bookmarkEnd w:id="290"/>
      <w:bookmarkStart w:id="291" w:name="_Toc184312118"/>
      <w:bookmarkEnd w:id="291"/>
      <w:bookmarkStart w:id="292" w:name="_Toc184308060"/>
      <w:bookmarkEnd w:id="292"/>
      <w:bookmarkStart w:id="293" w:name="_Toc184313302"/>
      <w:bookmarkEnd w:id="293"/>
      <w:bookmarkStart w:id="294" w:name="_Toc184308070"/>
      <w:bookmarkEnd w:id="294"/>
      <w:bookmarkStart w:id="295" w:name="_Toc184310276"/>
      <w:bookmarkEnd w:id="295"/>
      <w:bookmarkStart w:id="296" w:name="_Toc184310321"/>
      <w:bookmarkEnd w:id="296"/>
      <w:bookmarkStart w:id="297" w:name="_Toc184313253"/>
      <w:bookmarkEnd w:id="297"/>
      <w:bookmarkStart w:id="298" w:name="_Toc184308082"/>
      <w:bookmarkEnd w:id="298"/>
      <w:bookmarkStart w:id="299" w:name="_Toc184314448"/>
      <w:bookmarkEnd w:id="299"/>
      <w:bookmarkStart w:id="300" w:name="_Toc184313290"/>
      <w:bookmarkEnd w:id="300"/>
      <w:bookmarkStart w:id="301" w:name="_Toc184314422"/>
      <w:bookmarkEnd w:id="301"/>
      <w:bookmarkStart w:id="302" w:name="_Toc184312128"/>
      <w:bookmarkEnd w:id="302"/>
      <w:bookmarkStart w:id="303" w:name="_Toc184310329"/>
      <w:bookmarkEnd w:id="303"/>
      <w:bookmarkStart w:id="304" w:name="_Toc184313268"/>
      <w:bookmarkEnd w:id="304"/>
      <w:bookmarkStart w:id="305" w:name="_Toc184310320"/>
      <w:bookmarkEnd w:id="305"/>
      <w:bookmarkStart w:id="306" w:name="_Toc184313260"/>
      <w:bookmarkEnd w:id="306"/>
      <w:bookmarkStart w:id="307" w:name="_Toc184308080"/>
      <w:bookmarkEnd w:id="307"/>
      <w:bookmarkStart w:id="308" w:name="_Toc184308099"/>
      <w:bookmarkEnd w:id="308"/>
      <w:bookmarkStart w:id="309" w:name="_Toc184312126"/>
      <w:bookmarkEnd w:id="309"/>
      <w:bookmarkStart w:id="310" w:name="_Toc184313278"/>
      <w:bookmarkEnd w:id="310"/>
      <w:bookmarkStart w:id="311" w:name="_Toc184308072"/>
      <w:bookmarkEnd w:id="311"/>
      <w:bookmarkStart w:id="312" w:name="_Toc184310304"/>
      <w:bookmarkEnd w:id="312"/>
      <w:bookmarkStart w:id="313" w:name="_Toc184310327"/>
      <w:bookmarkEnd w:id="313"/>
      <w:bookmarkStart w:id="314" w:name="_Toc184313299"/>
      <w:bookmarkEnd w:id="314"/>
      <w:bookmarkStart w:id="315" w:name="_Toc184310338"/>
      <w:bookmarkEnd w:id="315"/>
      <w:bookmarkStart w:id="316" w:name="_Toc184308037"/>
      <w:bookmarkEnd w:id="316"/>
      <w:bookmarkStart w:id="317" w:name="_Toc184314427"/>
      <w:bookmarkEnd w:id="317"/>
      <w:bookmarkStart w:id="318" w:name="_Toc184313286"/>
      <w:bookmarkEnd w:id="318"/>
      <w:bookmarkStart w:id="319" w:name="_Toc184313288"/>
      <w:bookmarkEnd w:id="319"/>
      <w:bookmarkStart w:id="320" w:name="_Toc184312107"/>
      <w:bookmarkEnd w:id="320"/>
      <w:bookmarkStart w:id="321" w:name="_Toc184314467"/>
      <w:bookmarkEnd w:id="321"/>
      <w:bookmarkStart w:id="322" w:name="_Toc184313256"/>
      <w:bookmarkEnd w:id="322"/>
      <w:bookmarkStart w:id="323" w:name="_Toc184314423"/>
      <w:bookmarkEnd w:id="323"/>
      <w:bookmarkStart w:id="324" w:name="_Toc184314443"/>
      <w:bookmarkEnd w:id="324"/>
      <w:bookmarkStart w:id="325" w:name="_Toc184313251"/>
      <w:bookmarkEnd w:id="325"/>
      <w:bookmarkStart w:id="326" w:name="_Toc184310298"/>
      <w:bookmarkEnd w:id="326"/>
      <w:bookmarkStart w:id="327" w:name="_Toc184312131"/>
      <w:bookmarkEnd w:id="327"/>
      <w:bookmarkStart w:id="328" w:name="_Toc184310330"/>
      <w:bookmarkEnd w:id="328"/>
      <w:bookmarkStart w:id="329" w:name="_Toc184308054"/>
      <w:bookmarkEnd w:id="329"/>
      <w:bookmarkStart w:id="330" w:name="_Toc184312119"/>
      <w:bookmarkEnd w:id="330"/>
      <w:bookmarkStart w:id="331" w:name="_Toc184310340"/>
      <w:bookmarkEnd w:id="331"/>
      <w:bookmarkStart w:id="332" w:name="_Toc184313294"/>
      <w:bookmarkEnd w:id="332"/>
      <w:bookmarkStart w:id="333" w:name="_Toc184310282"/>
      <w:bookmarkEnd w:id="333"/>
      <w:bookmarkStart w:id="334" w:name="_Toc184313297"/>
      <w:bookmarkEnd w:id="334"/>
      <w:bookmarkStart w:id="335" w:name="_Toc184313265"/>
      <w:bookmarkEnd w:id="335"/>
      <w:bookmarkStart w:id="336" w:name="_Toc184310318"/>
      <w:bookmarkEnd w:id="336"/>
      <w:bookmarkStart w:id="337" w:name="_Toc184310292"/>
      <w:bookmarkEnd w:id="337"/>
      <w:bookmarkStart w:id="338" w:name="_Toc184310297"/>
      <w:bookmarkEnd w:id="338"/>
      <w:bookmarkStart w:id="339" w:name="_Toc184312116"/>
      <w:bookmarkEnd w:id="339"/>
      <w:bookmarkStart w:id="340" w:name="_Toc184313247"/>
      <w:bookmarkEnd w:id="340"/>
      <w:bookmarkStart w:id="341" w:name="_Toc184313240"/>
      <w:bookmarkEnd w:id="341"/>
      <w:bookmarkStart w:id="342" w:name="_Toc184308077"/>
      <w:bookmarkEnd w:id="342"/>
      <w:bookmarkStart w:id="343" w:name="_Toc184313269"/>
      <w:bookmarkEnd w:id="343"/>
      <w:bookmarkStart w:id="344" w:name="_Toc184313242"/>
      <w:bookmarkEnd w:id="344"/>
      <w:bookmarkStart w:id="345" w:name="_Toc184308095"/>
      <w:bookmarkEnd w:id="345"/>
      <w:bookmarkStart w:id="346" w:name="_Toc184314455"/>
      <w:bookmarkEnd w:id="346"/>
      <w:bookmarkStart w:id="347" w:name="_Toc184308098"/>
      <w:bookmarkEnd w:id="347"/>
      <w:bookmarkStart w:id="348" w:name="_Toc184308073"/>
      <w:bookmarkEnd w:id="348"/>
      <w:bookmarkStart w:id="349" w:name="_Toc184308078"/>
      <w:bookmarkEnd w:id="349"/>
      <w:bookmarkStart w:id="350" w:name="_Toc184312134"/>
      <w:bookmarkEnd w:id="350"/>
      <w:bookmarkStart w:id="351" w:name="_Toc184308092"/>
      <w:bookmarkEnd w:id="351"/>
      <w:bookmarkStart w:id="352" w:name="_Toc184313279"/>
      <w:bookmarkEnd w:id="352"/>
      <w:bookmarkStart w:id="353" w:name="_Toc184314425"/>
      <w:bookmarkEnd w:id="353"/>
      <w:bookmarkStart w:id="354" w:name="_Toc184310307"/>
      <w:bookmarkEnd w:id="354"/>
      <w:bookmarkStart w:id="355" w:name="_Toc184313258"/>
      <w:bookmarkEnd w:id="355"/>
      <w:bookmarkStart w:id="356" w:name="_Toc184313293"/>
      <w:bookmarkEnd w:id="356"/>
      <w:bookmarkStart w:id="357" w:name="_Toc184312112"/>
      <w:bookmarkEnd w:id="357"/>
      <w:bookmarkStart w:id="358" w:name="_Toc184308047"/>
      <w:bookmarkEnd w:id="358"/>
      <w:bookmarkStart w:id="359" w:name="_Toc184308075"/>
      <w:bookmarkEnd w:id="359"/>
      <w:bookmarkStart w:id="360" w:name="_Toc184314452"/>
      <w:bookmarkEnd w:id="360"/>
      <w:bookmarkStart w:id="361" w:name="_Toc184314469"/>
      <w:bookmarkEnd w:id="361"/>
      <w:bookmarkStart w:id="362" w:name="_Toc184314475"/>
      <w:bookmarkEnd w:id="362"/>
      <w:bookmarkStart w:id="363" w:name="_Toc184310294"/>
      <w:bookmarkEnd w:id="363"/>
      <w:bookmarkStart w:id="364" w:name="_Toc184310302"/>
      <w:bookmarkEnd w:id="364"/>
      <w:bookmarkStart w:id="365" w:name="_Toc184312124"/>
      <w:bookmarkEnd w:id="365"/>
      <w:bookmarkStart w:id="366" w:name="_Toc184308049"/>
      <w:bookmarkEnd w:id="366"/>
      <w:bookmarkStart w:id="367" w:name="_Toc184313248"/>
      <w:bookmarkEnd w:id="367"/>
      <w:bookmarkStart w:id="368" w:name="_Toc184312087"/>
      <w:bookmarkEnd w:id="368"/>
      <w:bookmarkStart w:id="369" w:name="_Toc184310280"/>
      <w:bookmarkEnd w:id="369"/>
      <w:bookmarkStart w:id="370" w:name="_Toc184308048"/>
      <w:bookmarkEnd w:id="370"/>
      <w:bookmarkStart w:id="371" w:name="_Toc184314436"/>
      <w:bookmarkEnd w:id="371"/>
      <w:bookmarkStart w:id="372" w:name="_Toc184314435"/>
      <w:bookmarkEnd w:id="372"/>
      <w:bookmarkStart w:id="373" w:name="_Toc184312072"/>
      <w:bookmarkEnd w:id="373"/>
      <w:bookmarkStart w:id="374" w:name="_Toc184312098"/>
      <w:bookmarkEnd w:id="374"/>
      <w:bookmarkStart w:id="375" w:name="_Toc184314464"/>
      <w:bookmarkEnd w:id="375"/>
      <w:bookmarkStart w:id="376" w:name="_Toc184314446"/>
      <w:bookmarkEnd w:id="376"/>
      <w:bookmarkStart w:id="377" w:name="_Toc184312122"/>
      <w:bookmarkEnd w:id="377"/>
      <w:bookmarkStart w:id="378" w:name="_Toc184312136"/>
      <w:bookmarkEnd w:id="378"/>
      <w:bookmarkStart w:id="379" w:name="_Toc184310288"/>
      <w:bookmarkEnd w:id="379"/>
      <w:bookmarkStart w:id="380" w:name="_Toc184308058"/>
      <w:bookmarkEnd w:id="380"/>
      <w:bookmarkStart w:id="381" w:name="_Toc184308036"/>
      <w:bookmarkEnd w:id="381"/>
      <w:bookmarkStart w:id="382" w:name="_Toc184312094"/>
      <w:bookmarkEnd w:id="382"/>
      <w:bookmarkStart w:id="383" w:name="_Toc184308069"/>
      <w:bookmarkEnd w:id="383"/>
      <w:bookmarkStart w:id="384" w:name="_Toc184312114"/>
      <w:bookmarkEnd w:id="384"/>
      <w:bookmarkStart w:id="385" w:name="_Toc184312113"/>
      <w:bookmarkEnd w:id="385"/>
      <w:bookmarkStart w:id="386" w:name="_Toc184310317"/>
      <w:bookmarkEnd w:id="386"/>
      <w:bookmarkStart w:id="387" w:name="_Toc184308104"/>
      <w:bookmarkEnd w:id="387"/>
      <w:bookmarkStart w:id="388" w:name="_Toc184308068"/>
      <w:bookmarkEnd w:id="388"/>
      <w:bookmarkStart w:id="389" w:name="_Toc184314476"/>
      <w:bookmarkEnd w:id="389"/>
      <w:bookmarkStart w:id="390" w:name="_Toc184312125"/>
      <w:bookmarkEnd w:id="390"/>
      <w:bookmarkStart w:id="391" w:name="_Toc184308088"/>
      <w:bookmarkEnd w:id="391"/>
      <w:bookmarkStart w:id="392" w:name="_Toc184308090"/>
      <w:bookmarkEnd w:id="392"/>
      <w:bookmarkStart w:id="393" w:name="_Toc184308051"/>
      <w:bookmarkEnd w:id="393"/>
      <w:bookmarkStart w:id="394" w:name="_Toc184310308"/>
      <w:bookmarkEnd w:id="394"/>
      <w:bookmarkStart w:id="395" w:name="_Toc184310309"/>
      <w:bookmarkEnd w:id="395"/>
      <w:r>
        <w:rPr>
          <w:rFonts w:hint="eastAsia" w:ascii="宋体" w:hAnsi="宋体" w:eastAsia="宋体" w:cs="宋体"/>
          <w:b/>
          <w:color w:val="auto"/>
          <w:sz w:val="36"/>
          <w:szCs w:val="36"/>
          <w:highlight w:val="none"/>
        </w:rPr>
        <w:t>评标办法</w:t>
      </w:r>
    </w:p>
    <w:p>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63"/>
        <w:tblW w:w="9090"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4905"/>
        <w:gridCol w:w="675"/>
        <w:gridCol w:w="96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905"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675"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权重</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主观分/客观分属性</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符合明确指标参数得</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分；对非关键技术参数功能负偏离或缺漏项的每项扣1分，扣完为止。</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8</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投标人根据水文现状、面临问题等进行分析，对本项目各站点建设总体熟悉、勘点情况以及难点解决方案等综合打分，最高得6分。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根据投标人针对项目实际情况提供项目设备安装和调试方案，方案具体、详细、可行；施工方案可行、针对性强，有利于项目实施</w:t>
            </w:r>
            <w:r>
              <w:rPr>
                <w:rFonts w:hint="eastAsia" w:ascii="宋体" w:hAnsi="宋体" w:eastAsia="宋体" w:cs="宋体"/>
                <w:sz w:val="24"/>
                <w:szCs w:val="24"/>
                <w:highlight w:val="none"/>
                <w:lang w:val="en-US" w:eastAsia="zh-CN"/>
              </w:rPr>
              <w:t>等综合打分</w:t>
            </w:r>
            <w:r>
              <w:rPr>
                <w:rFonts w:hint="eastAsia" w:ascii="宋体" w:hAnsi="宋体" w:eastAsia="宋体" w:cs="宋体"/>
                <w:sz w:val="24"/>
                <w:szCs w:val="24"/>
                <w:highlight w:val="none"/>
              </w:rPr>
              <w:t>，最高得6分。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根据投标人提供针对本项目制定的工期承诺和工期保证措施，承诺和措施具体、详细、可行，有利于项目实施等综合打分，最高得</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根据投标人为保证本项目实施过程中的实施进度表、质量控制措施、对操作人员的培训方案等，方案能满足项目采购需求、合理、科学、全面</w:t>
            </w:r>
            <w:r>
              <w:rPr>
                <w:rFonts w:hint="eastAsia" w:ascii="宋体" w:hAnsi="宋体" w:eastAsia="宋体" w:cs="宋体"/>
                <w:sz w:val="24"/>
                <w:szCs w:val="24"/>
                <w:highlight w:val="none"/>
                <w:lang w:val="en-US" w:eastAsia="zh-CN"/>
              </w:rPr>
              <w:t>等综合打分</w:t>
            </w:r>
            <w:r>
              <w:rPr>
                <w:rFonts w:hint="eastAsia" w:ascii="宋体" w:hAnsi="宋体" w:eastAsia="宋体" w:cs="宋体"/>
                <w:sz w:val="24"/>
                <w:szCs w:val="24"/>
                <w:highlight w:val="none"/>
              </w:rPr>
              <w:t>，最高得</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根据投标人承诺的售后服务方案，包括技术支持方案、升级服务方案、维保期内的日常巡检方案、对采购人故障的响应时间、处理等，方案科学合理，可行性、针对性强等综合打分，最高得</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主观分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质保期满足招标文件要求（2年）的不得分，每增加</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年加1分，最高得</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bCs/>
                <w:sz w:val="24"/>
                <w:szCs w:val="24"/>
                <w:highlight w:val="none"/>
                <w:lang w:val="en-US" w:eastAsia="zh-CN"/>
              </w:rPr>
              <w:t>4</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sz w:val="24"/>
                <w:szCs w:val="24"/>
                <w:highlight w:val="none"/>
              </w:rPr>
              <w:t>投标产品中具有节能产品或环境标志产品的每项得</w:t>
            </w:r>
            <w:r>
              <w:rPr>
                <w:rFonts w:hint="eastAsia" w:ascii="宋体" w:hAnsi="宋体" w:cs="宋体"/>
                <w:b w:val="0"/>
                <w:bCs w:val="0"/>
                <w:sz w:val="24"/>
                <w:szCs w:val="24"/>
                <w:highlight w:val="none"/>
                <w:lang w:val="en-US" w:eastAsia="zh-CN"/>
              </w:rPr>
              <w:t>2</w:t>
            </w:r>
            <w:r>
              <w:rPr>
                <w:rFonts w:hint="eastAsia" w:ascii="宋体" w:hAnsi="宋体" w:eastAsia="宋体" w:cs="宋体"/>
                <w:b w:val="0"/>
                <w:bCs w:val="0"/>
                <w:sz w:val="24"/>
                <w:szCs w:val="24"/>
                <w:highlight w:val="none"/>
              </w:rPr>
              <w:t>分，最多得</w:t>
            </w:r>
            <w:r>
              <w:rPr>
                <w:rFonts w:hint="eastAsia" w:ascii="宋体" w:hAnsi="宋体" w:cs="宋体"/>
                <w:b w:val="0"/>
                <w:bCs w:val="0"/>
                <w:sz w:val="24"/>
                <w:szCs w:val="24"/>
                <w:highlight w:val="none"/>
                <w:lang w:val="en-US" w:eastAsia="zh-CN"/>
              </w:rPr>
              <w:t>4</w:t>
            </w:r>
            <w:r>
              <w:rPr>
                <w:rFonts w:hint="eastAsia" w:ascii="宋体" w:hAnsi="宋体" w:eastAsia="宋体" w:cs="宋体"/>
                <w:b w:val="0"/>
                <w:bCs w:val="0"/>
                <w:sz w:val="24"/>
                <w:szCs w:val="24"/>
                <w:highlight w:val="none"/>
              </w:rPr>
              <w:t>分。须提供“参与实施政府采购节能产品、环境标志产品认证机构名录”内认证机构出具的处于有效期之内的节能产品或环境标志产品认证证书。</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4</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（1）项目负责人具有水文与水资源专业正高级工程师职称的得3分；副高得</w:t>
            </w:r>
            <w:r>
              <w:rPr>
                <w:rFonts w:hint="eastAsia" w:ascii="宋体" w:hAnsi="宋体" w:cs="宋体"/>
                <w:b w:val="0"/>
                <w:bCs w:val="0"/>
                <w:sz w:val="24"/>
                <w:szCs w:val="24"/>
                <w:highlight w:val="none"/>
                <w:lang w:val="en-US" w:eastAsia="zh-CN"/>
              </w:rPr>
              <w:t>1</w:t>
            </w:r>
            <w:r>
              <w:rPr>
                <w:rFonts w:hint="eastAsia" w:ascii="宋体" w:hAnsi="宋体" w:eastAsia="宋体" w:cs="宋体"/>
                <w:b w:val="0"/>
                <w:bCs w:val="0"/>
                <w:sz w:val="24"/>
                <w:szCs w:val="24"/>
                <w:highlight w:val="none"/>
              </w:rPr>
              <w:t>分。</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（2）项目技术负责人具有水文与水资源专业正高级工程师职称的得3分；副高得</w:t>
            </w:r>
            <w:r>
              <w:rPr>
                <w:rFonts w:hint="eastAsia" w:ascii="宋体" w:hAnsi="宋体" w:cs="宋体"/>
                <w:b w:val="0"/>
                <w:bCs w:val="0"/>
                <w:sz w:val="24"/>
                <w:szCs w:val="24"/>
                <w:highlight w:val="none"/>
                <w:lang w:val="en-US" w:eastAsia="zh-CN"/>
              </w:rPr>
              <w:t>1</w:t>
            </w:r>
            <w:r>
              <w:rPr>
                <w:rFonts w:hint="eastAsia" w:ascii="宋体" w:hAnsi="宋体" w:eastAsia="宋体" w:cs="宋体"/>
                <w:b w:val="0"/>
                <w:bCs w:val="0"/>
                <w:sz w:val="24"/>
                <w:szCs w:val="24"/>
                <w:highlight w:val="none"/>
              </w:rPr>
              <w:t>分。</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sz w:val="24"/>
                <w:szCs w:val="24"/>
                <w:highlight w:val="none"/>
                <w:lang w:eastAsia="zh-CN"/>
              </w:rPr>
              <w:t>（提供证书及近三个月的社保缴费证明或在本投标单位退休证明的原件复印件或扫描件并加盖公章，否则不得分）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除项目负责人及技术负责人以外，项目组还具备：</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（1）项目组成员配置水文水资源高级工程师及以上职称的，每1位得</w:t>
            </w:r>
            <w:r>
              <w:rPr>
                <w:rFonts w:hint="eastAsia" w:ascii="宋体" w:hAnsi="宋体" w:cs="宋体"/>
                <w:b w:val="0"/>
                <w:bCs w:val="0"/>
                <w:sz w:val="24"/>
                <w:szCs w:val="24"/>
                <w:highlight w:val="none"/>
                <w:lang w:val="en-US" w:eastAsia="zh-CN"/>
              </w:rPr>
              <w:t>1</w:t>
            </w:r>
            <w:r>
              <w:rPr>
                <w:rFonts w:hint="eastAsia" w:ascii="宋体" w:hAnsi="宋体" w:eastAsia="宋体" w:cs="宋体"/>
                <w:b w:val="0"/>
                <w:bCs w:val="0"/>
                <w:sz w:val="24"/>
                <w:szCs w:val="24"/>
                <w:highlight w:val="none"/>
              </w:rPr>
              <w:t>分，最高得</w:t>
            </w:r>
            <w:r>
              <w:rPr>
                <w:rFonts w:hint="eastAsia" w:ascii="宋体" w:hAnsi="宋体" w:cs="宋体"/>
                <w:b w:val="0"/>
                <w:bCs w:val="0"/>
                <w:sz w:val="24"/>
                <w:szCs w:val="24"/>
                <w:highlight w:val="none"/>
                <w:lang w:val="en-US" w:eastAsia="zh-CN"/>
              </w:rPr>
              <w:t>2</w:t>
            </w:r>
            <w:r>
              <w:rPr>
                <w:rFonts w:hint="eastAsia" w:ascii="宋体" w:hAnsi="宋体" w:eastAsia="宋体" w:cs="宋体"/>
                <w:b w:val="0"/>
                <w:bCs w:val="0"/>
                <w:sz w:val="24"/>
                <w:szCs w:val="24"/>
                <w:highlight w:val="none"/>
              </w:rPr>
              <w:t>分。</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（2）项目组成员配置有注册测绘师，每1位得2分，最高得4分。</w:t>
            </w:r>
          </w:p>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sz w:val="24"/>
                <w:szCs w:val="24"/>
                <w:highlight w:val="none"/>
                <w:lang w:eastAsia="zh-CN"/>
              </w:rPr>
              <w:t>（项目组其他成员不可重复得分，须提供证书及近三个月的社保缴费证明或在本投标单位退休证明的原件复印件或扫描件并加盖公章，否则不得分）</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6</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lang w:val="en-US" w:eastAsia="zh-CN"/>
              </w:rPr>
              <w:t>承诺中标后30天内在</w:t>
            </w:r>
            <w:r>
              <w:rPr>
                <w:rFonts w:hint="eastAsia" w:ascii="宋体" w:hAnsi="宋体" w:eastAsia="宋体" w:cs="宋体"/>
                <w:color w:val="auto"/>
                <w:sz w:val="24"/>
                <w:szCs w:val="24"/>
                <w:highlight w:val="none"/>
              </w:rPr>
              <w:t>建德市范围内</w:t>
            </w:r>
            <w:r>
              <w:rPr>
                <w:rFonts w:hint="eastAsia" w:ascii="宋体" w:hAnsi="宋体" w:cs="宋体"/>
                <w:color w:val="auto"/>
                <w:sz w:val="24"/>
                <w:szCs w:val="24"/>
                <w:highlight w:val="none"/>
                <w:lang w:val="en-US" w:eastAsia="zh-CN"/>
              </w:rPr>
              <w:t>设立</w:t>
            </w:r>
            <w:r>
              <w:rPr>
                <w:rFonts w:hint="eastAsia" w:ascii="宋体" w:hAnsi="宋体" w:eastAsia="宋体" w:cs="宋体"/>
                <w:color w:val="auto"/>
                <w:sz w:val="24"/>
                <w:szCs w:val="24"/>
                <w:highlight w:val="none"/>
              </w:rPr>
              <w:t>售后服务网点的得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分；在杭州地区范围内售后服务网点的得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分；在杭州地区以外</w:t>
            </w:r>
            <w:r>
              <w:rPr>
                <w:rFonts w:hint="eastAsia" w:ascii="宋体" w:hAnsi="宋体" w:cs="宋体"/>
                <w:color w:val="auto"/>
                <w:sz w:val="24"/>
                <w:szCs w:val="24"/>
                <w:highlight w:val="none"/>
                <w:lang w:val="en-US" w:eastAsia="zh-CN"/>
              </w:rPr>
              <w:t>设立</w:t>
            </w:r>
            <w:r>
              <w:rPr>
                <w:rFonts w:hint="eastAsia" w:ascii="宋体" w:hAnsi="宋体" w:eastAsia="宋体" w:cs="宋体"/>
                <w:color w:val="auto"/>
                <w:sz w:val="24"/>
                <w:szCs w:val="24"/>
                <w:highlight w:val="none"/>
              </w:rPr>
              <w:t>售后服务点的</w:t>
            </w:r>
            <w:r>
              <w:rPr>
                <w:rFonts w:hint="eastAsia" w:ascii="宋体" w:hAnsi="宋体" w:eastAsia="宋体" w:cs="宋体"/>
                <w:color w:val="auto"/>
                <w:sz w:val="24"/>
                <w:szCs w:val="24"/>
                <w:highlight w:val="none"/>
                <w:lang w:val="en-US" w:eastAsia="zh-CN"/>
              </w:rPr>
              <w:t>得1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；其余不得分</w:t>
            </w:r>
            <w:r>
              <w:rPr>
                <w:rFonts w:hint="eastAsia" w:ascii="宋体" w:hAnsi="宋体" w:eastAsia="宋体" w:cs="宋体"/>
                <w:color w:val="auto"/>
                <w:sz w:val="24"/>
                <w:szCs w:val="24"/>
                <w:highlight w:val="none"/>
              </w:rPr>
              <w:t>。</w:t>
            </w:r>
            <w:r>
              <w:rPr>
                <w:rFonts w:hint="eastAsia" w:ascii="宋体" w:hAnsi="宋体" w:cs="宋体"/>
                <w:kern w:val="0"/>
                <w:sz w:val="24"/>
                <w:szCs w:val="24"/>
                <w:highlight w:val="none"/>
                <w:lang w:eastAsia="zh-CN"/>
              </w:rPr>
              <w:t>（</w:t>
            </w:r>
            <w:r>
              <w:rPr>
                <w:rFonts w:hint="eastAsia" w:ascii="宋体" w:hAnsi="宋体" w:eastAsia="宋体" w:cs="宋体"/>
                <w:kern w:val="0"/>
                <w:sz w:val="24"/>
                <w:szCs w:val="24"/>
                <w:highlight w:val="none"/>
              </w:rPr>
              <w:t>须提供相关证明材料</w:t>
            </w:r>
            <w:r>
              <w:rPr>
                <w:rFonts w:hint="eastAsia" w:ascii="宋体" w:hAnsi="宋体" w:cs="宋体"/>
                <w:kern w:val="0"/>
                <w:sz w:val="24"/>
                <w:szCs w:val="24"/>
                <w:highlight w:val="none"/>
                <w:lang w:val="en-US" w:eastAsia="zh-CN"/>
              </w:rPr>
              <w:t>或承诺函</w:t>
            </w:r>
            <w:r>
              <w:rPr>
                <w:rFonts w:hint="eastAsia" w:ascii="宋体" w:hAnsi="宋体" w:eastAsia="宋体" w:cs="宋体"/>
                <w:kern w:val="0"/>
                <w:sz w:val="24"/>
                <w:szCs w:val="24"/>
                <w:highlight w:val="none"/>
              </w:rPr>
              <w:t>复印件并加盖公章，否则不得分</w:t>
            </w:r>
            <w:r>
              <w:rPr>
                <w:rFonts w:hint="eastAsia" w:ascii="宋体" w:hAnsi="宋体" w:cs="宋体"/>
                <w:kern w:val="0"/>
                <w:sz w:val="24"/>
                <w:szCs w:val="24"/>
                <w:highlight w:val="none"/>
                <w:lang w:eastAsia="zh-CN"/>
              </w:rPr>
              <w:t>）</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3</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投标人具备质量管理体系认证、环境管理认证、职业健康安全管理体系认证证书的，每提供一个得1分，最高得</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分。（须提供证书复印件并加盖公章</w:t>
            </w:r>
            <w:r>
              <w:rPr>
                <w:rFonts w:hint="eastAsia" w:ascii="宋体" w:hAnsi="宋体" w:eastAsia="宋体" w:cs="宋体"/>
                <w:kern w:val="0"/>
                <w:sz w:val="24"/>
                <w:szCs w:val="24"/>
                <w:highlight w:val="none"/>
              </w:rPr>
              <w:t>，否则不得分</w:t>
            </w:r>
            <w:r>
              <w:rPr>
                <w:rFonts w:hint="eastAsia" w:ascii="宋体" w:hAnsi="宋体" w:eastAsia="宋体" w:cs="宋体"/>
                <w:sz w:val="24"/>
                <w:szCs w:val="24"/>
                <w:highlight w:val="none"/>
              </w:rPr>
              <w:t>）</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3</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投标人具有水文、水资源调查评价甲级资质、电子与智能化工程专业承包二级及以上资质、测绘甲级资质的每个得1分，最高得3分。（须提供证书复印件并加盖公章</w:t>
            </w:r>
            <w:r>
              <w:rPr>
                <w:rFonts w:hint="eastAsia" w:ascii="宋体" w:hAnsi="宋体" w:eastAsia="宋体" w:cs="宋体"/>
                <w:kern w:val="0"/>
                <w:sz w:val="24"/>
                <w:szCs w:val="24"/>
                <w:highlight w:val="none"/>
              </w:rPr>
              <w:t>，否则不得分</w:t>
            </w:r>
            <w:r>
              <w:rPr>
                <w:rFonts w:hint="eastAsia" w:ascii="宋体" w:hAnsi="宋体" w:eastAsia="宋体" w:cs="宋体"/>
                <w:sz w:val="24"/>
                <w:szCs w:val="24"/>
                <w:highlight w:val="none"/>
              </w:rPr>
              <w:t>）</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3</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4905" w:type="dxa"/>
            <w:vAlign w:val="center"/>
          </w:tcPr>
          <w:p>
            <w:pPr>
              <w:keepNext w:val="0"/>
              <w:keepLines w:val="0"/>
              <w:pageBreakBefore w:val="0"/>
              <w:kinsoku/>
              <w:wordWrap/>
              <w:overflowPunct/>
              <w:topLinePunct w:val="0"/>
              <w:autoSpaceDE/>
              <w:autoSpaceDN/>
              <w:bidi w:val="0"/>
              <w:snapToGrid/>
              <w:spacing w:line="240" w:lineRule="auto"/>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投标人提供2020年</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月1日以来（以合同签订时间为准）投标人承担的水文监测站点建设类项目的每个得1分，最高得3分</w:t>
            </w:r>
            <w:r>
              <w:rPr>
                <w:rFonts w:hint="eastAsia" w:ascii="宋体" w:hAnsi="宋体" w:eastAsia="宋体" w:cs="宋体"/>
                <w:sz w:val="24"/>
                <w:szCs w:val="24"/>
                <w:highlight w:val="none"/>
                <w:lang w:eastAsia="zh-CN"/>
              </w:rPr>
              <w:t>。</w:t>
            </w:r>
            <w:r>
              <w:rPr>
                <w:rFonts w:hint="eastAsia" w:ascii="宋体" w:hAnsi="宋体" w:eastAsia="宋体" w:cs="宋体"/>
                <w:kern w:val="0"/>
                <w:sz w:val="24"/>
                <w:szCs w:val="24"/>
                <w:highlight w:val="none"/>
                <w:lang w:eastAsia="zh-CN"/>
              </w:rPr>
              <w:t>（</w:t>
            </w:r>
            <w:r>
              <w:rPr>
                <w:rFonts w:hint="eastAsia" w:ascii="宋体" w:hAnsi="宋体" w:eastAsia="宋体" w:cs="宋体"/>
                <w:sz w:val="24"/>
                <w:szCs w:val="24"/>
                <w:highlight w:val="none"/>
              </w:rPr>
              <w:t>须</w:t>
            </w:r>
            <w:r>
              <w:rPr>
                <w:rFonts w:hint="eastAsia" w:ascii="宋体" w:hAnsi="宋体" w:eastAsia="宋体" w:cs="宋体"/>
                <w:kern w:val="0"/>
                <w:sz w:val="24"/>
                <w:szCs w:val="24"/>
                <w:highlight w:val="none"/>
              </w:rPr>
              <w:t>提供合同</w:t>
            </w:r>
            <w:r>
              <w:rPr>
                <w:rFonts w:hint="eastAsia" w:ascii="宋体" w:hAnsi="宋体" w:cs="宋体"/>
                <w:kern w:val="0"/>
                <w:sz w:val="24"/>
                <w:szCs w:val="24"/>
                <w:highlight w:val="none"/>
                <w:lang w:val="en-US" w:eastAsia="zh-CN"/>
              </w:rPr>
              <w:t>及</w:t>
            </w:r>
            <w:r>
              <w:rPr>
                <w:rFonts w:hint="eastAsia" w:ascii="宋体" w:hAnsi="宋体" w:eastAsia="宋体" w:cs="宋体"/>
                <w:kern w:val="0"/>
                <w:sz w:val="24"/>
                <w:szCs w:val="24"/>
                <w:highlight w:val="none"/>
              </w:rPr>
              <w:t>中标通知书的扫描件</w:t>
            </w:r>
            <w:r>
              <w:rPr>
                <w:rFonts w:hint="eastAsia" w:ascii="宋体" w:hAnsi="宋体" w:eastAsia="宋体" w:cs="宋体"/>
                <w:sz w:val="24"/>
                <w:szCs w:val="24"/>
                <w:highlight w:val="none"/>
                <w:lang w:eastAsia="zh-CN"/>
              </w:rPr>
              <w:t>或复印件</w:t>
            </w:r>
            <w:r>
              <w:rPr>
                <w:rFonts w:hint="eastAsia" w:ascii="宋体" w:hAnsi="宋体" w:eastAsia="宋体" w:cs="宋体"/>
                <w:kern w:val="0"/>
                <w:sz w:val="24"/>
                <w:szCs w:val="24"/>
                <w:highlight w:val="none"/>
              </w:rPr>
              <w:t>并加盖</w:t>
            </w:r>
            <w:r>
              <w:rPr>
                <w:rFonts w:hint="eastAsia" w:ascii="宋体" w:hAnsi="宋体" w:eastAsia="宋体" w:cs="宋体"/>
                <w:kern w:val="0"/>
                <w:sz w:val="24"/>
                <w:szCs w:val="24"/>
                <w:highlight w:val="none"/>
                <w:lang w:eastAsia="zh-CN"/>
              </w:rPr>
              <w:t>公章</w:t>
            </w:r>
            <w:r>
              <w:rPr>
                <w:rFonts w:hint="eastAsia" w:ascii="宋体" w:hAnsi="宋体" w:eastAsia="宋体" w:cs="宋体"/>
                <w:kern w:val="0"/>
                <w:sz w:val="24"/>
                <w:szCs w:val="24"/>
                <w:highlight w:val="none"/>
              </w:rPr>
              <w:t>，否则不得分</w:t>
            </w:r>
            <w:r>
              <w:rPr>
                <w:rFonts w:hint="eastAsia" w:ascii="宋体" w:hAnsi="宋体" w:eastAsia="宋体" w:cs="宋体"/>
                <w:kern w:val="0"/>
                <w:sz w:val="24"/>
                <w:szCs w:val="24"/>
                <w:highlight w:val="none"/>
                <w:lang w:eastAsia="zh-CN"/>
              </w:rPr>
              <w:t>）</w:t>
            </w:r>
          </w:p>
        </w:tc>
        <w:tc>
          <w:tcPr>
            <w:tcW w:w="675" w:type="dxa"/>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3</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4905" w:type="dxa"/>
            <w:vAlign w:val="top"/>
          </w:tcPr>
          <w:p>
            <w:pPr>
              <w:keepNext w:val="0"/>
              <w:keepLines w:val="0"/>
              <w:pageBreakBefore w:val="0"/>
              <w:kinsoku/>
              <w:wordWrap/>
              <w:overflowPunct/>
              <w:topLinePunct w:val="0"/>
              <w:autoSpaceDE/>
              <w:autoSpaceDN/>
              <w:bidi w:val="0"/>
              <w:snapToGrid/>
              <w:spacing w:line="240" w:lineRule="auto"/>
              <w:ind w:firstLine="0"/>
              <w:textAlignment w:val="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有效投标报价的最低价作为评标基准价，其最低报价为满分；按［投标报价得分=（评标基准价/投标报价）*30］的计算公式计算。</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评标过程中，不得去掉报价中的最高报价和最低报价。</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因落实政府采购政策需要进行价格调整的，以调整后的价格计算评标基准价和投标报价。</w:t>
            </w:r>
          </w:p>
        </w:tc>
        <w:tc>
          <w:tcPr>
            <w:tcW w:w="675" w:type="dxa"/>
            <w:vAlign w:val="center"/>
          </w:tcPr>
          <w:p>
            <w:pPr>
              <w:keepNext w:val="0"/>
              <w:keepLines w:val="0"/>
              <w:pageBreakBefore w:val="0"/>
              <w:kinsoku/>
              <w:wordWrap/>
              <w:overflowPunct/>
              <w:topLinePunct w:val="0"/>
              <w:autoSpaceDE/>
              <w:autoSpaceDN/>
              <w:bidi w:val="0"/>
              <w:snapToGrid/>
              <w:spacing w:line="240" w:lineRule="auto"/>
              <w:ind w:firstLine="0"/>
              <w:jc w:val="center"/>
              <w:textAlignment w:val="auto"/>
              <w:outlineLvl w:val="0"/>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30</w:t>
            </w:r>
          </w:p>
        </w:tc>
        <w:tc>
          <w:tcPr>
            <w:tcW w:w="96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客观分</w:t>
            </w:r>
          </w:p>
        </w:tc>
        <w:tc>
          <w:tcPr>
            <w:tcW w:w="1920" w:type="dxa"/>
            <w:vAlign w:val="center"/>
          </w:tcPr>
          <w:p>
            <w:pPr>
              <w:keepNext w:val="0"/>
              <w:keepLines w:val="0"/>
              <w:pageBreakBefore w:val="0"/>
              <w:kinsoku/>
              <w:wordWrap/>
              <w:overflowPunct/>
              <w:topLinePunct w:val="0"/>
              <w:autoSpaceDE/>
              <w:autoSpaceDN/>
              <w:bidi w:val="0"/>
              <w:snapToGrid w:val="0"/>
              <w:spacing w:line="240" w:lineRule="auto"/>
              <w:ind w:firstLine="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bl>
    <w:p>
      <w:pPr>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shd w:val="clear" w:color="auto" w:fill="FFFFFF"/>
        </w:rPr>
        <w:t>*</w:t>
      </w:r>
      <w:r>
        <w:rPr>
          <w:rFonts w:hint="eastAsia" w:ascii="宋体" w:hAnsi="宋体" w:eastAsia="宋体" w:cs="宋体"/>
          <w:b/>
          <w:color w:val="auto"/>
          <w:sz w:val="24"/>
          <w:szCs w:val="24"/>
          <w:highlight w:val="none"/>
        </w:rPr>
        <w:t>备注：</w:t>
      </w:r>
      <w:r>
        <w:rPr>
          <w:rFonts w:hint="eastAsia" w:ascii="宋体" w:hAnsi="宋体" w:eastAsia="宋体" w:cs="宋体"/>
          <w:color w:val="auto"/>
          <w:sz w:val="24"/>
          <w:szCs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autoSpaceDE/>
        <w:autoSpaceDN/>
        <w:bidi w:val="0"/>
        <w:snapToGrid w:val="0"/>
        <w:spacing w:line="600" w:lineRule="exact"/>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一、评标方法</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pacing w:line="600" w:lineRule="exact"/>
        <w:textAlignment w:val="auto"/>
        <w:rPr>
          <w:rFonts w:hint="eastAsia" w:ascii="宋体" w:hAnsi="宋体" w:eastAsia="宋体" w:cs="宋体"/>
          <w:color w:val="auto"/>
          <w:kern w:val="0"/>
          <w:sz w:val="30"/>
          <w:szCs w:val="30"/>
          <w:highlight w:val="none"/>
        </w:rPr>
      </w:pPr>
      <w:r>
        <w:rPr>
          <w:rFonts w:hint="eastAsia" w:ascii="宋体" w:hAnsi="宋体" w:eastAsia="宋体" w:cs="宋体"/>
          <w:b/>
          <w:color w:val="auto"/>
          <w:sz w:val="30"/>
          <w:szCs w:val="30"/>
          <w:highlight w:val="none"/>
        </w:rPr>
        <w:t>二、评标标准</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pPr>
        <w:keepNext w:val="0"/>
        <w:keepLines w:val="0"/>
        <w:pageBreakBefore w:val="0"/>
        <w:kinsoku/>
        <w:wordWrap/>
        <w:overflowPunct/>
        <w:topLinePunct w:val="0"/>
        <w:autoSpaceDE/>
        <w:autoSpaceDN/>
        <w:bidi w:val="0"/>
        <w:spacing w:line="600" w:lineRule="exact"/>
        <w:textAlignment w:val="auto"/>
        <w:outlineLvl w:val="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三、评标程序</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508" w:firstLineChars="212"/>
        <w:textAlignment w:val="auto"/>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pacing w:line="440" w:lineRule="exact"/>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widowControl/>
        <w:shd w:val="clear" w:color="auto" w:fill="FFFFFF"/>
        <w:kinsoku/>
        <w:wordWrap/>
        <w:overflowPunct/>
        <w:topLinePunct w:val="0"/>
        <w:autoSpaceDE/>
        <w:autoSpaceDN/>
        <w:bidi w:val="0"/>
        <w:adjustRightInd/>
        <w:spacing w:line="600" w:lineRule="exact"/>
        <w:jc w:val="left"/>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四、评标中的其他事项</w:t>
      </w:r>
    </w:p>
    <w:p>
      <w:pPr>
        <w:pStyle w:val="128"/>
        <w:pageBreakBefore w:val="0"/>
        <w:widowControl w:val="0"/>
        <w:kinsoku/>
        <w:wordWrap/>
        <w:overflowPunct/>
        <w:topLinePunct w:val="0"/>
        <w:autoSpaceDE/>
        <w:autoSpaceDN/>
        <w:bidi w:val="0"/>
        <w:spacing w:before="0" w:line="440" w:lineRule="exact"/>
        <w:ind w:firstLine="472" w:firstLineChars="196"/>
        <w:textAlignment w:val="auto"/>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9"/>
        <w:pageBreakBefore w:val="0"/>
        <w:widowControl w:val="0"/>
        <w:kinsoku/>
        <w:wordWrap/>
        <w:overflowPunct/>
        <w:topLinePunct w:val="0"/>
        <w:autoSpaceDE/>
        <w:autoSpaceDN/>
        <w:bidi w:val="0"/>
        <w:spacing w:line="440" w:lineRule="exact"/>
        <w:ind w:left="954" w:leftChars="226" w:hanging="479" w:firstLineChars="0"/>
        <w:textAlignment w:val="auto"/>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pPr>
        <w:pageBreakBefore w:val="0"/>
        <w:widowControl w:val="0"/>
        <w:kinsoku/>
        <w:wordWrap/>
        <w:overflowPunct/>
        <w:topLinePunct w:val="0"/>
        <w:autoSpaceDE/>
        <w:autoSpaceDN/>
        <w:bidi w:val="0"/>
        <w:snapToGrid w:val="0"/>
        <w:spacing w:line="440" w:lineRule="exact"/>
        <w:ind w:firstLine="120" w:firstLineChars="5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4.2.9投标人对根据修正原则修正后的报价不确认的；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4.2.10投标人提供虚假材料投标的；</w:t>
      </w:r>
    </w:p>
    <w:p>
      <w:pPr>
        <w:pageBreakBefore w:val="0"/>
        <w:widowControl w:val="0"/>
        <w:kinsoku/>
        <w:wordWrap/>
        <w:overflowPunct/>
        <w:topLinePunct w:val="0"/>
        <w:autoSpaceDE/>
        <w:autoSpaceDN/>
        <w:bidi w:val="0"/>
        <w:spacing w:line="440" w:lineRule="exact"/>
        <w:ind w:firstLine="240" w:firstLineChars="1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4.2.11投标人有恶意串通、妨碍其他投标人的竞争行为、损害采购人或者其他投标人的合法权益情形的；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4.2.12投标人仅提交备份投标文件，未在电子交易平台传输递交投标文件的，投标无效；</w:t>
      </w:r>
    </w:p>
    <w:p>
      <w:pPr>
        <w:pStyle w:val="6"/>
        <w:pageBreakBefore w:val="0"/>
        <w:widowControl w:val="0"/>
        <w:kinsoku/>
        <w:wordWrap/>
        <w:overflowPunct/>
        <w:topLinePunct w:val="0"/>
        <w:autoSpaceDE/>
        <w:autoSpaceDN/>
        <w:bidi w:val="0"/>
        <w:spacing w:line="440" w:lineRule="exact"/>
        <w:ind w:left="862" w:leftChars="205"/>
        <w:textAlignment w:val="auto"/>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4.2.14法律、法规、规章（适用本市的）及省级以上规范性文件（适用本市的）规定的其他无效情形。</w:t>
      </w:r>
    </w:p>
    <w:p>
      <w:pPr>
        <w:pStyle w:val="9"/>
        <w:pageBreakBefore w:val="0"/>
        <w:widowControl w:val="0"/>
        <w:kinsoku/>
        <w:wordWrap/>
        <w:overflowPunct/>
        <w:topLinePunct w:val="0"/>
        <w:autoSpaceDE/>
        <w:autoSpaceDN/>
        <w:bidi w:val="0"/>
        <w:snapToGrid w:val="0"/>
        <w:spacing w:line="440" w:lineRule="exact"/>
        <w:ind w:firstLine="472" w:firstLineChars="196"/>
        <w:textAlignment w:val="auto"/>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废标后，</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应当将废标理由通知所有投标人。</w:t>
      </w:r>
    </w:p>
    <w:p>
      <w:pPr>
        <w:pStyle w:val="9"/>
        <w:pageBreakBefore w:val="0"/>
        <w:widowControl w:val="0"/>
        <w:kinsoku/>
        <w:wordWrap/>
        <w:overflowPunct/>
        <w:topLinePunct w:val="0"/>
        <w:autoSpaceDE/>
        <w:autoSpaceDN/>
        <w:bidi w:val="0"/>
        <w:snapToGrid w:val="0"/>
        <w:spacing w:line="440" w:lineRule="exact"/>
        <w:ind w:firstLine="590" w:firstLineChars="245"/>
        <w:textAlignment w:val="auto"/>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沟通并作书面记录。采购人、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确认后，将修改招标文件，重新组织采购活动。</w:t>
      </w:r>
    </w:p>
    <w:p>
      <w:pPr>
        <w:pStyle w:val="9"/>
        <w:pageBreakBefore w:val="0"/>
        <w:widowControl w:val="0"/>
        <w:kinsoku/>
        <w:wordWrap/>
        <w:overflowPunct/>
        <w:topLinePunct w:val="0"/>
        <w:autoSpaceDE/>
        <w:autoSpaceDN/>
        <w:bidi w:val="0"/>
        <w:snapToGrid w:val="0"/>
        <w:spacing w:line="440" w:lineRule="exact"/>
        <w:ind w:firstLine="482"/>
        <w:textAlignment w:val="auto"/>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pPr>
        <w:pStyle w:val="9"/>
        <w:pageBreakBefore w:val="0"/>
        <w:widowControl w:val="0"/>
        <w:kinsoku/>
        <w:wordWrap/>
        <w:overflowPunct/>
        <w:topLinePunct w:val="0"/>
        <w:autoSpaceDE/>
        <w:autoSpaceDN/>
        <w:bidi w:val="0"/>
        <w:snapToGrid w:val="0"/>
        <w:spacing w:line="4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9"/>
        <w:pageBreakBefore w:val="0"/>
        <w:widowControl w:val="0"/>
        <w:kinsoku/>
        <w:wordWrap/>
        <w:overflowPunct/>
        <w:topLinePunct w:val="0"/>
        <w:autoSpaceDE/>
        <w:autoSpaceDN/>
        <w:bidi w:val="0"/>
        <w:snapToGrid w:val="0"/>
        <w:spacing w:line="440" w:lineRule="exact"/>
        <w:ind w:firstLine="0" w:firstLineChars="0"/>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p>
      <w:pPr>
        <w:pStyle w:val="9"/>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highlight w:val="none"/>
        </w:rPr>
      </w:pPr>
    </w:p>
    <w:bookmarkEnd w:id="30"/>
    <w:p>
      <w:pPr>
        <w:spacing w:line="360" w:lineRule="auto"/>
        <w:ind w:left="720" w:leftChars="343" w:firstLine="1084" w:firstLineChars="300"/>
        <w:outlineLvl w:val="0"/>
        <w:rPr>
          <w:rFonts w:ascii="宋体" w:hAnsi="宋体" w:cs="宋体"/>
          <w:b/>
          <w:color w:val="auto"/>
          <w:sz w:val="36"/>
          <w:szCs w:val="36"/>
          <w:highlight w:val="none"/>
        </w:rPr>
      </w:pPr>
      <w:bookmarkStart w:id="396" w:name="第五部分"/>
      <w:bookmarkStart w:id="397" w:name="_Toc86217003"/>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pPr>
        <w:pStyle w:val="699"/>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spacing w:before="120" w:line="22" w:lineRule="atLeast"/>
        <w:rPr>
          <w:rFonts w:ascii="宋体" w:hAnsi="宋体" w:cs="宋体"/>
          <w:color w:val="auto"/>
          <w:sz w:val="24"/>
          <w:highlight w:val="none"/>
        </w:rPr>
      </w:pPr>
    </w:p>
    <w:p>
      <w:pPr>
        <w:pStyle w:val="6"/>
        <w:rPr>
          <w:color w:val="auto"/>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596"/>
        <w:spacing w:before="120" w:line="22" w:lineRule="atLeast"/>
        <w:rPr>
          <w:rFonts w:ascii="宋体" w:hAnsi="宋体" w:eastAsia="宋体" w:cs="宋体"/>
          <w:color w:val="auto"/>
          <w:szCs w:val="24"/>
          <w:highlight w:val="none"/>
        </w:rPr>
      </w:pPr>
    </w:p>
    <w:p>
      <w:pPr>
        <w:pStyle w:val="596"/>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5" w:h="16838"/>
          <w:pgMar w:top="1417" w:right="1417" w:bottom="1417" w:left="1417" w:header="851" w:footer="992" w:gutter="0"/>
          <w:cols w:space="0" w:num="1"/>
          <w:titlePg/>
          <w:rtlGutter w:val="0"/>
          <w:docGrid w:linePitch="0" w:charSpace="0"/>
        </w:sectPr>
      </w:pP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u w:val="single"/>
          <w:lang w:val="zh-CN"/>
        </w:rPr>
        <w:t xml:space="preserve">        </w:t>
      </w:r>
      <w:r>
        <w:rPr>
          <w:rFonts w:hint="eastAsia" w:ascii="宋体" w:hAnsi="宋体"/>
          <w:color w:val="auto"/>
          <w:sz w:val="24"/>
          <w:highlight w:val="none"/>
          <w:lang w:val="zh-CN"/>
        </w:rPr>
        <w:t>年</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月</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日</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建德市水文水资源监测站</w:t>
      </w:r>
      <w:r>
        <w:rPr>
          <w:rFonts w:ascii="宋体" w:hAnsi="宋体"/>
          <w:color w:val="auto"/>
          <w:sz w:val="24"/>
          <w:highlight w:val="none"/>
          <w:u w:val="single"/>
        </w:rPr>
        <w:t xml:space="preserve">   </w:t>
      </w:r>
      <w:r>
        <w:rPr>
          <w:rFonts w:hint="eastAsia" w:ascii="宋体" w:hAnsi="宋体"/>
          <w:color w:val="auto"/>
          <w:sz w:val="24"/>
          <w:highlight w:val="none"/>
        </w:rPr>
        <w:t>以</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公开招标</w:t>
      </w:r>
      <w:r>
        <w:rPr>
          <w:rFonts w:ascii="宋体" w:hAnsi="宋体"/>
          <w:color w:val="auto"/>
          <w:sz w:val="24"/>
          <w:highlight w:val="none"/>
          <w:u w:val="single"/>
        </w:rPr>
        <w:t xml:space="preserve">）  </w:t>
      </w:r>
      <w:r>
        <w:rPr>
          <w:rFonts w:hint="eastAsia" w:ascii="宋体" w:hAnsi="宋体"/>
          <w:color w:val="auto"/>
          <w:sz w:val="24"/>
          <w:highlight w:val="none"/>
        </w:rPr>
        <w:t>对</w:t>
      </w:r>
      <w:r>
        <w:rPr>
          <w:rFonts w:ascii="宋体" w:hAnsi="宋体"/>
          <w:color w:val="auto"/>
          <w:sz w:val="24"/>
          <w:highlight w:val="none"/>
          <w:u w:val="single"/>
        </w:rPr>
        <w:t xml:space="preserve">  </w:t>
      </w:r>
      <w:r>
        <w:rPr>
          <w:rFonts w:hint="eastAsia" w:ascii="宋体" w:hAnsi="宋体" w:cs="宋体"/>
          <w:color w:val="auto"/>
          <w:sz w:val="24"/>
          <w:highlight w:val="none"/>
          <w:u w:val="single"/>
        </w:rPr>
        <w:t xml:space="preserve">（项目名称）  </w:t>
      </w:r>
      <w:r>
        <w:rPr>
          <w:rFonts w:ascii="宋体" w:hAnsi="宋体"/>
          <w:color w:val="auto"/>
          <w:sz w:val="24"/>
          <w:highlight w:val="none"/>
          <w:u w:val="single"/>
        </w:rPr>
        <w:t xml:space="preserve">  </w:t>
      </w:r>
      <w:r>
        <w:rPr>
          <w:rFonts w:hint="eastAsia" w:ascii="宋体" w:hAnsi="宋体"/>
          <w:color w:val="auto"/>
          <w:sz w:val="24"/>
          <w:highlight w:val="none"/>
        </w:rPr>
        <w:t>项目进行了采购。经</w:t>
      </w:r>
      <w:r>
        <w:rPr>
          <w:rFonts w:ascii="宋体" w:hAnsi="宋体"/>
          <w:color w:val="auto"/>
          <w:sz w:val="24"/>
          <w:highlight w:val="none"/>
          <w:u w:val="single"/>
        </w:rPr>
        <w:t xml:space="preserve">   （相关评定主体名称）   </w:t>
      </w:r>
      <w:r>
        <w:rPr>
          <w:rFonts w:hint="eastAsia" w:ascii="宋体" w:hAnsi="宋体"/>
          <w:color w:val="auto"/>
          <w:sz w:val="24"/>
          <w:highlight w:val="none"/>
        </w:rPr>
        <w:t>评定，</w:t>
      </w:r>
      <w:r>
        <w:rPr>
          <w:rFonts w:ascii="宋体" w:hAnsi="宋体"/>
          <w:color w:val="auto"/>
          <w:sz w:val="24"/>
          <w:highlight w:val="none"/>
          <w:u w:val="single"/>
        </w:rPr>
        <w:t xml:space="preserve">   （中标</w:t>
      </w:r>
      <w:r>
        <w:rPr>
          <w:rFonts w:hint="eastAsia" w:ascii="宋体" w:hAnsi="宋体"/>
          <w:color w:val="auto"/>
          <w:sz w:val="24"/>
          <w:highlight w:val="none"/>
          <w:u w:val="single"/>
        </w:rPr>
        <w:t>或者成交</w:t>
      </w:r>
      <w:r>
        <w:rPr>
          <w:rFonts w:ascii="宋体" w:hAnsi="宋体"/>
          <w:color w:val="auto"/>
          <w:sz w:val="24"/>
          <w:highlight w:val="none"/>
          <w:u w:val="single"/>
        </w:rPr>
        <w:t xml:space="preserve">供应商名称） </w:t>
      </w:r>
      <w:r>
        <w:rPr>
          <w:rFonts w:hint="eastAsia" w:ascii="宋体" w:hAnsi="宋体"/>
          <w:color w:val="auto"/>
          <w:sz w:val="24"/>
          <w:highlight w:val="none"/>
        </w:rPr>
        <w:t>为该项目</w:t>
      </w:r>
      <w:r>
        <w:rPr>
          <w:rFonts w:hint="eastAsia" w:ascii="宋体" w:hAnsi="宋体" w:cs="宋体"/>
          <w:color w:val="auto"/>
          <w:sz w:val="24"/>
          <w:highlight w:val="none"/>
        </w:rPr>
        <w:t>中标或者成交供应商</w:t>
      </w:r>
      <w:r>
        <w:rPr>
          <w:rFonts w:hint="eastAsia" w:ascii="宋体" w:hAnsi="宋体"/>
          <w:color w:val="auto"/>
          <w:sz w:val="24"/>
          <w:highlight w:val="none"/>
        </w:rPr>
        <w:t>。现于</w:t>
      </w:r>
      <w:r>
        <w:rPr>
          <w:rFonts w:hint="eastAsia" w:ascii="宋体" w:hAnsi="宋体" w:cs="宋体"/>
          <w:color w:val="auto"/>
          <w:sz w:val="24"/>
          <w:highlight w:val="none"/>
        </w:rPr>
        <w:t>中标或者成交通知书</w:t>
      </w:r>
      <w:r>
        <w:rPr>
          <w:rFonts w:hint="eastAsia" w:ascii="宋体" w:hAnsi="宋体"/>
          <w:color w:val="auto"/>
          <w:sz w:val="24"/>
          <w:highlight w:val="none"/>
        </w:rPr>
        <w:t>发出之日起10个工作日内，按照采购文件确定的事项签订本合同。</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lang w:val="zh-CN"/>
        </w:rPr>
        <w:t>根据《中华人民共和国民法典》《中华人民共和国政府采购法》等相关法律法规之规定，按照平等、自愿、公平和诚实信用的原则，经</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建德市水文水资源监测站</w:t>
      </w:r>
      <w:r>
        <w:rPr>
          <w:rFonts w:ascii="宋体" w:hAnsi="宋体"/>
          <w:color w:val="auto"/>
          <w:sz w:val="24"/>
          <w:highlight w:val="none"/>
          <w:u w:val="single"/>
        </w:rPr>
        <w:t xml:space="preserve">   </w:t>
      </w:r>
      <w:r>
        <w:rPr>
          <w:rFonts w:ascii="宋体" w:hAnsi="宋体"/>
          <w:color w:val="auto"/>
          <w:sz w:val="24"/>
          <w:highlight w:val="none"/>
          <w:lang w:val="zh-CN"/>
        </w:rPr>
        <w:t>(以下简称：甲方)和</w:t>
      </w:r>
      <w:r>
        <w:rPr>
          <w:rFonts w:ascii="宋体" w:hAnsi="宋体"/>
          <w:color w:val="auto"/>
          <w:sz w:val="24"/>
          <w:highlight w:val="none"/>
          <w:u w:val="single"/>
        </w:rPr>
        <w:t xml:space="preserve">   （中</w:t>
      </w:r>
      <w:r>
        <w:rPr>
          <w:rFonts w:hint="eastAsia" w:ascii="宋体" w:hAnsi="宋体"/>
          <w:color w:val="auto"/>
          <w:sz w:val="24"/>
          <w:highlight w:val="none"/>
          <w:u w:val="single"/>
        </w:rPr>
        <w:t>或者成交</w:t>
      </w:r>
      <w:r>
        <w:rPr>
          <w:rFonts w:ascii="宋体" w:hAnsi="宋体"/>
          <w:color w:val="auto"/>
          <w:sz w:val="24"/>
          <w:highlight w:val="none"/>
          <w:u w:val="single"/>
        </w:rPr>
        <w:t xml:space="preserve">标供应商名称）   </w:t>
      </w:r>
      <w:r>
        <w:rPr>
          <w:rFonts w:ascii="宋体" w:hAnsi="宋体"/>
          <w:color w:val="auto"/>
          <w:sz w:val="24"/>
          <w:highlight w:val="none"/>
          <w:lang w:val="zh-CN"/>
        </w:rPr>
        <w:t>(以下简称：乙方)协商一致，约定以下合同</w:t>
      </w:r>
      <w:r>
        <w:rPr>
          <w:rFonts w:hint="eastAsia" w:ascii="宋体" w:hAnsi="宋体"/>
          <w:color w:val="auto"/>
          <w:sz w:val="24"/>
          <w:highlight w:val="none"/>
        </w:rPr>
        <w:t>条款，以兹共同遵守、全面履行。</w:t>
      </w:r>
    </w:p>
    <w:p>
      <w:pPr>
        <w:keepNext w:val="0"/>
        <w:keepLines w:val="0"/>
        <w:pageBreakBefore w:val="0"/>
        <w:kinsoku/>
        <w:wordWrap/>
        <w:overflowPunct/>
        <w:topLinePunct w:val="0"/>
        <w:autoSpaceDE/>
        <w:autoSpaceDN/>
        <w:bidi w:val="0"/>
        <w:snapToGrid/>
        <w:spacing w:line="440" w:lineRule="exact"/>
        <w:ind w:firstLine="482" w:firstLineChars="200"/>
        <w:textAlignment w:val="auto"/>
        <w:outlineLvl w:val="0"/>
        <w:rPr>
          <w:rFonts w:ascii="宋体" w:hAnsi="宋体"/>
          <w:color w:val="auto"/>
          <w:sz w:val="24"/>
          <w:highlight w:val="none"/>
        </w:rPr>
      </w:pPr>
      <w:bookmarkStart w:id="398" w:name="_Toc28855"/>
      <w:bookmarkStart w:id="399" w:name="_Toc20421"/>
      <w:bookmarkStart w:id="400" w:name="_Toc15367"/>
      <w:bookmarkStart w:id="401" w:name="_Toc19273"/>
      <w:bookmarkStart w:id="402" w:name="_Toc22967"/>
      <w:r>
        <w:rPr>
          <w:rFonts w:ascii="宋体" w:hAnsi="宋体"/>
          <w:b/>
          <w:color w:val="auto"/>
          <w:sz w:val="24"/>
          <w:highlight w:val="none"/>
        </w:rPr>
        <w:t xml:space="preserve">1.1 </w:t>
      </w:r>
      <w:r>
        <w:rPr>
          <w:rFonts w:hint="eastAsia" w:ascii="宋体" w:hAnsi="宋体"/>
          <w:b/>
          <w:color w:val="auto"/>
          <w:sz w:val="24"/>
          <w:highlight w:val="none"/>
        </w:rPr>
        <w:t>合同组成部分</w:t>
      </w:r>
      <w:bookmarkEnd w:id="398"/>
      <w:bookmarkEnd w:id="399"/>
      <w:bookmarkEnd w:id="400"/>
      <w:bookmarkEnd w:id="401"/>
      <w:bookmarkEnd w:id="402"/>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本合同及其补充合同、变更协议；</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1.1.2 </w:t>
      </w:r>
      <w:r>
        <w:rPr>
          <w:rFonts w:hint="eastAsia" w:ascii="宋体" w:hAnsi="宋体"/>
          <w:color w:val="auto"/>
          <w:sz w:val="24"/>
          <w:highlight w:val="none"/>
        </w:rPr>
        <w:t>中标或者成交通知书；</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1.1.3 </w:t>
      </w:r>
      <w:r>
        <w:rPr>
          <w:rFonts w:hint="eastAsia" w:ascii="宋体" w:hAnsi="宋体"/>
          <w:color w:val="auto"/>
          <w:sz w:val="24"/>
          <w:highlight w:val="none"/>
        </w:rPr>
        <w:t>投标或者响应文件（含澄清或者说明文件）；</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1.1.4 </w:t>
      </w:r>
      <w:r>
        <w:rPr>
          <w:rFonts w:hint="eastAsia" w:ascii="宋体" w:hAnsi="宋体"/>
          <w:color w:val="auto"/>
          <w:sz w:val="24"/>
          <w:highlight w:val="none"/>
        </w:rPr>
        <w:t>采购文件（含澄清或者修改文件）；</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ascii="宋体" w:hAnsi="宋体"/>
          <w:color w:val="auto"/>
          <w:sz w:val="24"/>
          <w:highlight w:val="none"/>
        </w:rPr>
        <w:t xml:space="preserve">1.1.5 </w:t>
      </w:r>
      <w:r>
        <w:rPr>
          <w:rFonts w:hint="eastAsia" w:ascii="宋体" w:hAnsi="宋体"/>
          <w:color w:val="auto"/>
          <w:sz w:val="24"/>
          <w:highlight w:val="none"/>
        </w:rPr>
        <w:t>其他相关采购文件。</w:t>
      </w:r>
    </w:p>
    <w:p>
      <w:pPr>
        <w:keepNext w:val="0"/>
        <w:keepLines w:val="0"/>
        <w:pageBreakBefore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highlight w:val="none"/>
        </w:rPr>
      </w:pPr>
      <w:bookmarkStart w:id="403" w:name="_Toc2918"/>
      <w:bookmarkStart w:id="404" w:name="_Toc6311"/>
      <w:bookmarkStart w:id="405" w:name="_Toc6773"/>
      <w:bookmarkStart w:id="406" w:name="_Toc22185"/>
      <w:bookmarkStart w:id="407" w:name="_Toc18585"/>
      <w:r>
        <w:rPr>
          <w:rFonts w:ascii="宋体" w:hAnsi="宋体"/>
          <w:b/>
          <w:color w:val="auto"/>
          <w:sz w:val="24"/>
          <w:highlight w:val="none"/>
        </w:rPr>
        <w:t xml:space="preserve">1.2 </w:t>
      </w:r>
      <w:r>
        <w:rPr>
          <w:rFonts w:hint="eastAsia" w:ascii="宋体" w:hAnsi="宋体"/>
          <w:b/>
          <w:color w:val="auto"/>
          <w:sz w:val="24"/>
          <w:highlight w:val="none"/>
        </w:rPr>
        <w:t>标的</w:t>
      </w:r>
      <w:bookmarkEnd w:id="403"/>
      <w:bookmarkEnd w:id="404"/>
      <w:bookmarkEnd w:id="405"/>
      <w:bookmarkEnd w:id="406"/>
      <w:bookmarkEnd w:id="407"/>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s="宋体"/>
          <w:color w:val="auto"/>
          <w:sz w:val="24"/>
          <w:highlight w:val="none"/>
          <w:u w:val="single"/>
        </w:rPr>
      </w:pPr>
      <w:bookmarkStart w:id="408" w:name="_Toc21124"/>
      <w:bookmarkStart w:id="409" w:name="_Toc5635"/>
      <w:bookmarkStart w:id="410" w:name="_Toc13918"/>
      <w:bookmarkStart w:id="411" w:name="_Toc4929"/>
      <w:bookmarkStart w:id="412" w:name="_Toc1386"/>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highlight w:val="none"/>
        </w:rPr>
      </w:pPr>
      <w:r>
        <w:rPr>
          <w:rFonts w:ascii="宋体" w:hAnsi="宋体"/>
          <w:b/>
          <w:color w:val="auto"/>
          <w:sz w:val="24"/>
          <w:highlight w:val="none"/>
        </w:rPr>
        <w:t>1.3 价款</w:t>
      </w:r>
      <w:bookmarkEnd w:id="408"/>
      <w:bookmarkEnd w:id="409"/>
      <w:bookmarkEnd w:id="410"/>
      <w:bookmarkEnd w:id="411"/>
      <w:bookmarkEnd w:id="412"/>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1.3.1</w:t>
      </w:r>
      <w:r>
        <w:rPr>
          <w:rFonts w:ascii="宋体" w:hAnsi="宋体"/>
          <w:color w:val="auto"/>
          <w:sz w:val="24"/>
          <w:highlight w:val="none"/>
        </w:rPr>
        <w:t>本合同总价</w:t>
      </w:r>
      <w:r>
        <w:rPr>
          <w:rFonts w:hint="eastAsia" w:ascii="宋体" w:hAnsi="宋体"/>
          <w:color w:val="auto"/>
          <w:sz w:val="24"/>
          <w:highlight w:val="none"/>
        </w:rPr>
        <w:t>（含税）</w:t>
      </w:r>
      <w:r>
        <w:rPr>
          <w:rFonts w:ascii="宋体" w:hAnsi="宋体"/>
          <w:color w:val="auto"/>
          <w:sz w:val="24"/>
          <w:highlight w:val="none"/>
        </w:rPr>
        <w:t>为</w:t>
      </w:r>
      <w:r>
        <w:rPr>
          <w:rFonts w:hint="eastAsia"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r>
        <w:rPr>
          <w:rFonts w:ascii="宋体" w:hAnsi="宋体"/>
          <w:color w:val="auto"/>
          <w:sz w:val="24"/>
          <w:highlight w:val="none"/>
        </w:rPr>
        <w:t>。</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ascii="宋体" w:hAnsi="宋体"/>
          <w:color w:val="auto"/>
          <w:sz w:val="24"/>
          <w:highlight w:val="none"/>
          <w:u w:val="single"/>
        </w:rPr>
      </w:pPr>
      <w:r>
        <w:rPr>
          <w:rFonts w:ascii="宋体" w:hAnsi="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7"/>
              <w:spacing w:line="560" w:lineRule="exact"/>
              <w:jc w:val="center"/>
              <w:rPr>
                <w:rFonts w:hAnsi="宋体"/>
                <w:color w:val="auto"/>
                <w:sz w:val="24"/>
                <w:szCs w:val="24"/>
                <w:highlight w:val="none"/>
              </w:rPr>
            </w:pPr>
            <w:r>
              <w:rPr>
                <w:rFonts w:hAnsi="宋体"/>
                <w:color w:val="auto"/>
                <w:sz w:val="24"/>
                <w:szCs w:val="24"/>
                <w:highlight w:val="none"/>
              </w:rPr>
              <w:t>序号</w:t>
            </w:r>
          </w:p>
        </w:tc>
        <w:tc>
          <w:tcPr>
            <w:tcW w:w="3402" w:type="dxa"/>
            <w:vAlign w:val="center"/>
          </w:tcPr>
          <w:p>
            <w:pPr>
              <w:pStyle w:val="317"/>
              <w:spacing w:line="560" w:lineRule="exact"/>
              <w:ind w:firstLine="200"/>
              <w:jc w:val="center"/>
              <w:rPr>
                <w:rFonts w:hAnsi="宋体"/>
                <w:color w:val="auto"/>
                <w:sz w:val="24"/>
                <w:szCs w:val="24"/>
                <w:highlight w:val="none"/>
              </w:rPr>
            </w:pPr>
            <w:r>
              <w:rPr>
                <w:rFonts w:hint="eastAsia" w:hAnsi="宋体"/>
                <w:color w:val="auto"/>
                <w:sz w:val="24"/>
                <w:szCs w:val="24"/>
                <w:highlight w:val="none"/>
              </w:rPr>
              <w:t>分项名称</w:t>
            </w:r>
          </w:p>
        </w:tc>
        <w:tc>
          <w:tcPr>
            <w:tcW w:w="2552" w:type="dxa"/>
            <w:vAlign w:val="center"/>
          </w:tcPr>
          <w:p>
            <w:pPr>
              <w:pStyle w:val="317"/>
              <w:spacing w:line="560" w:lineRule="exact"/>
              <w:jc w:val="center"/>
              <w:rPr>
                <w:rFonts w:hAnsi="宋体"/>
                <w:color w:val="auto"/>
                <w:sz w:val="24"/>
                <w:szCs w:val="24"/>
                <w:highlight w:val="none"/>
              </w:rPr>
            </w:pPr>
            <w:r>
              <w:rPr>
                <w:rFonts w:hAnsi="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7"/>
              <w:spacing w:line="560" w:lineRule="exact"/>
              <w:ind w:firstLine="200"/>
              <w:jc w:val="center"/>
              <w:rPr>
                <w:rFonts w:hAnsi="宋体"/>
                <w:color w:val="auto"/>
                <w:sz w:val="24"/>
                <w:szCs w:val="24"/>
                <w:highlight w:val="none"/>
              </w:rPr>
            </w:pPr>
          </w:p>
        </w:tc>
        <w:tc>
          <w:tcPr>
            <w:tcW w:w="3402" w:type="dxa"/>
            <w:vAlign w:val="center"/>
          </w:tcPr>
          <w:p>
            <w:pPr>
              <w:pStyle w:val="317"/>
              <w:spacing w:line="560" w:lineRule="exact"/>
              <w:ind w:firstLine="200"/>
              <w:jc w:val="center"/>
              <w:rPr>
                <w:rFonts w:hAnsi="宋体"/>
                <w:color w:val="auto"/>
                <w:sz w:val="24"/>
                <w:szCs w:val="24"/>
                <w:highlight w:val="none"/>
              </w:rPr>
            </w:pPr>
          </w:p>
        </w:tc>
        <w:tc>
          <w:tcPr>
            <w:tcW w:w="2552" w:type="dxa"/>
            <w:vAlign w:val="center"/>
          </w:tcPr>
          <w:p>
            <w:pPr>
              <w:pStyle w:val="317"/>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pPr>
              <w:pStyle w:val="317"/>
              <w:spacing w:line="560" w:lineRule="exact"/>
              <w:ind w:firstLine="200"/>
              <w:jc w:val="center"/>
              <w:rPr>
                <w:rFonts w:hAnsi="宋体"/>
                <w:color w:val="auto"/>
                <w:sz w:val="24"/>
                <w:szCs w:val="24"/>
                <w:highlight w:val="none"/>
              </w:rPr>
            </w:pPr>
          </w:p>
        </w:tc>
        <w:tc>
          <w:tcPr>
            <w:tcW w:w="3402" w:type="dxa"/>
            <w:vAlign w:val="center"/>
          </w:tcPr>
          <w:p>
            <w:pPr>
              <w:pStyle w:val="317"/>
              <w:spacing w:line="560" w:lineRule="exact"/>
              <w:ind w:firstLine="200"/>
              <w:jc w:val="center"/>
              <w:rPr>
                <w:rFonts w:hAnsi="宋体"/>
                <w:color w:val="auto"/>
                <w:sz w:val="24"/>
                <w:szCs w:val="24"/>
                <w:highlight w:val="none"/>
              </w:rPr>
            </w:pPr>
          </w:p>
        </w:tc>
        <w:tc>
          <w:tcPr>
            <w:tcW w:w="2552" w:type="dxa"/>
            <w:vAlign w:val="center"/>
          </w:tcPr>
          <w:p>
            <w:pPr>
              <w:pStyle w:val="317"/>
              <w:spacing w:line="560" w:lineRule="exact"/>
              <w:ind w:firstLine="20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603" w:type="dxa"/>
            <w:gridSpan w:val="2"/>
            <w:vAlign w:val="center"/>
          </w:tcPr>
          <w:p>
            <w:pPr>
              <w:pStyle w:val="317"/>
              <w:spacing w:line="560" w:lineRule="exact"/>
              <w:ind w:firstLine="200"/>
              <w:jc w:val="center"/>
              <w:rPr>
                <w:rFonts w:hAnsi="宋体"/>
                <w:color w:val="auto"/>
                <w:sz w:val="24"/>
                <w:szCs w:val="24"/>
                <w:highlight w:val="none"/>
              </w:rPr>
            </w:pPr>
            <w:r>
              <w:rPr>
                <w:rFonts w:hint="eastAsia" w:hAnsi="宋体"/>
                <w:color w:val="auto"/>
                <w:sz w:val="24"/>
                <w:szCs w:val="24"/>
                <w:highlight w:val="none"/>
              </w:rPr>
              <w:t>总价</w:t>
            </w:r>
          </w:p>
        </w:tc>
        <w:tc>
          <w:tcPr>
            <w:tcW w:w="2552" w:type="dxa"/>
            <w:vAlign w:val="center"/>
          </w:tcPr>
          <w:p>
            <w:pPr>
              <w:pStyle w:val="317"/>
              <w:spacing w:line="560" w:lineRule="exact"/>
              <w:ind w:firstLine="200"/>
              <w:jc w:val="center"/>
              <w:rPr>
                <w:rFonts w:hAnsi="宋体"/>
                <w:color w:val="auto"/>
                <w:sz w:val="24"/>
                <w:szCs w:val="24"/>
                <w:highlight w:val="none"/>
              </w:rPr>
            </w:pPr>
          </w:p>
        </w:tc>
      </w:tr>
    </w:tbl>
    <w:p>
      <w:pPr>
        <w:pStyle w:val="957"/>
        <w:pageBreakBefore w:val="0"/>
        <w:kinsoku/>
        <w:wordWrap/>
        <w:overflowPunct/>
        <w:topLinePunct w:val="0"/>
        <w:bidi w:val="0"/>
        <w:snapToGrid/>
        <w:spacing w:before="0" w:beforeAutospacing="0" w:after="0" w:afterAutospacing="0" w:line="440" w:lineRule="exact"/>
        <w:ind w:firstLine="480"/>
        <w:textAlignment w:val="auto"/>
        <w:rPr>
          <w:b/>
          <w:color w:val="auto"/>
          <w:sz w:val="24"/>
          <w:szCs w:val="24"/>
          <w:highlight w:val="none"/>
        </w:rPr>
      </w:pPr>
      <w:bookmarkStart w:id="413" w:name="_Toc1814"/>
      <w:bookmarkStart w:id="414" w:name="_Toc22618"/>
      <w:bookmarkStart w:id="415" w:name="_Toc10340"/>
      <w:bookmarkStart w:id="416" w:name="_Toc4760"/>
      <w:bookmarkStart w:id="417" w:name="_Toc31421"/>
      <w:bookmarkStart w:id="418" w:name="_Toc3625"/>
      <w:bookmarkStart w:id="419" w:name="_Toc11108"/>
      <w:bookmarkStart w:id="420" w:name="_Toc8772"/>
      <w:r>
        <w:rPr>
          <w:rFonts w:hint="eastAsia"/>
          <w:b/>
          <w:color w:val="auto"/>
          <w:sz w:val="24"/>
          <w:szCs w:val="24"/>
          <w:highlight w:val="none"/>
        </w:rPr>
        <w:t>1.4履约保证金</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rPr>
      </w:pPr>
      <w:r>
        <w:rPr>
          <w:rFonts w:hint="eastAsia"/>
          <w:color w:val="auto"/>
          <w:sz w:val="24"/>
          <w:szCs w:val="24"/>
          <w:highlight w:val="none"/>
        </w:rPr>
        <w:t>乙方</w:t>
      </w:r>
      <w:r>
        <w:rPr>
          <w:rFonts w:hint="eastAsia"/>
          <w:color w:val="auto"/>
          <w:sz w:val="24"/>
          <w:szCs w:val="24"/>
          <w:highlight w:val="none"/>
          <w:u w:val="single"/>
        </w:rPr>
        <w:t xml:space="preserve">  是   </w:t>
      </w:r>
      <w:r>
        <w:rPr>
          <w:rFonts w:hint="eastAsia"/>
          <w:color w:val="auto"/>
          <w:sz w:val="24"/>
          <w:szCs w:val="24"/>
          <w:highlight w:val="none"/>
        </w:rPr>
        <w:t>（是</w:t>
      </w:r>
      <w:r>
        <w:rPr>
          <w:rFonts w:hint="eastAsia" w:ascii="仿宋" w:hAnsi="仿宋" w:eastAsia="仿宋" w:cs="仿宋"/>
          <w:color w:val="auto"/>
          <w:sz w:val="24"/>
          <w:szCs w:val="24"/>
          <w:highlight w:val="none"/>
        </w:rPr>
        <w:t>/</w:t>
      </w:r>
      <w:r>
        <w:rPr>
          <w:rFonts w:hint="eastAsia"/>
          <w:color w:val="auto"/>
          <w:sz w:val="24"/>
          <w:szCs w:val="24"/>
          <w:highlight w:val="none"/>
        </w:rPr>
        <w:t>否）需要支付履约保证金。若需要支付履约保证金的，则：</w:t>
      </w:r>
    </w:p>
    <w:p>
      <w:pPr>
        <w:pageBreakBefore w:val="0"/>
        <w:kinsoku/>
        <w:wordWrap/>
        <w:overflowPunct/>
        <w:topLinePunct w:val="0"/>
        <w:bidi w:val="0"/>
        <w:snapToGrid/>
        <w:spacing w:line="440" w:lineRule="exact"/>
        <w:ind w:firstLine="480" w:firstLineChars="200"/>
        <w:textAlignment w:val="auto"/>
        <w:outlineLvl w:val="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1.4.1履约保证金的比例为合同金额的</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w:t>
      </w:r>
      <w:r>
        <w:rPr>
          <w:rFonts w:hint="eastAsia" w:ascii="宋体" w:hAnsi="宋体" w:cs="宋体"/>
          <w:color w:val="auto"/>
          <w:kern w:val="0"/>
          <w:sz w:val="24"/>
          <w:szCs w:val="24"/>
          <w:highlight w:val="none"/>
        </w:rPr>
        <w:t>%；</w:t>
      </w:r>
    </w:p>
    <w:p>
      <w:pPr>
        <w:pageBreakBefore w:val="0"/>
        <w:kinsoku/>
        <w:wordWrap/>
        <w:overflowPunct/>
        <w:topLinePunct w:val="0"/>
        <w:bidi w:val="0"/>
        <w:snapToGrid/>
        <w:spacing w:line="440" w:lineRule="exact"/>
        <w:ind w:firstLine="480" w:firstLineChars="200"/>
        <w:textAlignment w:val="auto"/>
        <w:outlineLvl w:val="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1.4.2履约保证金支付方式详见</w:t>
      </w:r>
      <w:r>
        <w:rPr>
          <w:rFonts w:hint="eastAsia" w:ascii="宋体" w:hAnsi="宋体" w:cs="宋体"/>
          <w:color w:val="auto"/>
          <w:kern w:val="0"/>
          <w:sz w:val="24"/>
          <w:szCs w:val="24"/>
          <w:highlight w:val="none"/>
          <w:u w:val="single"/>
        </w:rPr>
        <w:t xml:space="preserve">    </w:t>
      </w:r>
      <w:r>
        <w:rPr>
          <w:rFonts w:hint="eastAsia" w:ascii="宋体" w:hAnsi="宋体" w:cs="宋体"/>
          <w:b/>
          <w:i/>
          <w:color w:val="auto"/>
          <w:sz w:val="24"/>
          <w:szCs w:val="24"/>
          <w:highlight w:val="none"/>
          <w:u w:val="single"/>
        </w:rPr>
        <w:t>合同专用条款</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pStyle w:val="6"/>
        <w:pageBreakBefore w:val="0"/>
        <w:tabs>
          <w:tab w:val="left" w:pos="0"/>
        </w:tabs>
        <w:kinsoku/>
        <w:wordWrap/>
        <w:overflowPunct/>
        <w:topLinePunct w:val="0"/>
        <w:bidi w:val="0"/>
        <w:snapToGrid/>
        <w:spacing w:line="440" w:lineRule="exact"/>
        <w:ind w:left="0" w:firstLine="480" w:firstLineChars="200"/>
        <w:textAlignment w:val="auto"/>
        <w:rPr>
          <w:color w:val="auto"/>
          <w:sz w:val="24"/>
          <w:szCs w:val="24"/>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bidi w:val="0"/>
        <w:snapToGrid/>
        <w:spacing w:line="440" w:lineRule="exact"/>
        <w:ind w:firstLine="480" w:firstLineChars="200"/>
        <w:textAlignment w:val="auto"/>
        <w:outlineLvl w:val="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1.4.4甲方在项目验收结束后及时退还履约保证金。甲方在项目通过验收之日起</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szCs w:val="24"/>
          <w:highlight w:val="none"/>
          <w:u w:val="single"/>
        </w:rPr>
        <w:t xml:space="preserve">  0.05（可根据情况修改）  </w:t>
      </w:r>
      <w:r>
        <w:rPr>
          <w:rFonts w:hint="eastAsia" w:ascii="宋体" w:hAnsi="宋体" w:cs="宋体"/>
          <w:color w:val="auto"/>
          <w:kern w:val="0"/>
          <w:sz w:val="24"/>
          <w:szCs w:val="24"/>
          <w:highlight w:val="none"/>
        </w:rPr>
        <w:t>%计算，最高限额为本合同履约保证金的</w:t>
      </w:r>
      <w:r>
        <w:rPr>
          <w:rFonts w:hint="eastAsia" w:ascii="宋体" w:hAnsi="宋体" w:cs="宋体"/>
          <w:color w:val="auto"/>
          <w:kern w:val="0"/>
          <w:sz w:val="24"/>
          <w:szCs w:val="24"/>
          <w:highlight w:val="none"/>
          <w:u w:val="single"/>
        </w:rPr>
        <w:t xml:space="preserve">  20  </w:t>
      </w:r>
      <w:r>
        <w:rPr>
          <w:rFonts w:hint="eastAsia" w:ascii="宋体" w:hAnsi="宋体" w:cs="宋体"/>
          <w:color w:val="auto"/>
          <w:kern w:val="0"/>
          <w:sz w:val="24"/>
          <w:szCs w:val="24"/>
          <w:highlight w:val="none"/>
        </w:rPr>
        <w:t xml:space="preserve"> %。</w:t>
      </w:r>
    </w:p>
    <w:p>
      <w:pPr>
        <w:pageBreakBefore w:val="0"/>
        <w:kinsoku/>
        <w:wordWrap/>
        <w:overflowPunct/>
        <w:topLinePunct w:val="0"/>
        <w:bidi w:val="0"/>
        <w:snapToGrid/>
        <w:spacing w:line="440" w:lineRule="exact"/>
        <w:ind w:firstLine="482" w:firstLineChars="200"/>
        <w:textAlignment w:val="auto"/>
        <w:outlineLvl w:val="0"/>
        <w:rPr>
          <w:rFonts w:ascii="宋体" w:hAnsi="宋体" w:cs="宋体"/>
          <w:b/>
          <w:color w:val="auto"/>
          <w:sz w:val="24"/>
          <w:szCs w:val="24"/>
          <w:highlight w:val="none"/>
        </w:rPr>
      </w:pPr>
      <w:r>
        <w:rPr>
          <w:rFonts w:hint="eastAsia" w:ascii="宋体" w:hAnsi="宋体" w:cs="宋体"/>
          <w:b/>
          <w:color w:val="auto"/>
          <w:sz w:val="24"/>
          <w:szCs w:val="24"/>
          <w:highlight w:val="none"/>
        </w:rPr>
        <w:t>1.5</w:t>
      </w:r>
      <w:bookmarkEnd w:id="413"/>
      <w:bookmarkEnd w:id="414"/>
      <w:bookmarkEnd w:id="415"/>
      <w:r>
        <w:rPr>
          <w:rFonts w:hint="eastAsia" w:ascii="宋体" w:hAnsi="宋体" w:cs="宋体"/>
          <w:b/>
          <w:color w:val="auto"/>
          <w:sz w:val="24"/>
          <w:szCs w:val="24"/>
          <w:highlight w:val="none"/>
        </w:rPr>
        <w:t>预付款</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rPr>
      </w:pPr>
      <w:r>
        <w:rPr>
          <w:rFonts w:hint="eastAsia"/>
          <w:color w:val="auto"/>
          <w:sz w:val="24"/>
          <w:szCs w:val="24"/>
          <w:highlight w:val="none"/>
        </w:rPr>
        <w:t>甲方</w:t>
      </w:r>
      <w:r>
        <w:rPr>
          <w:rFonts w:hint="eastAsia"/>
          <w:color w:val="auto"/>
          <w:sz w:val="24"/>
          <w:szCs w:val="24"/>
          <w:highlight w:val="none"/>
          <w:u w:val="single"/>
        </w:rPr>
        <w:t xml:space="preserve"> 是 </w:t>
      </w:r>
      <w:r>
        <w:rPr>
          <w:rFonts w:hint="eastAsia"/>
          <w:color w:val="auto"/>
          <w:sz w:val="24"/>
          <w:szCs w:val="24"/>
          <w:highlight w:val="none"/>
        </w:rPr>
        <w:t>（是</w:t>
      </w:r>
      <w:r>
        <w:rPr>
          <w:rFonts w:hint="eastAsia" w:ascii="仿宋" w:hAnsi="仿宋" w:eastAsia="仿宋" w:cs="仿宋"/>
          <w:color w:val="auto"/>
          <w:sz w:val="24"/>
          <w:szCs w:val="24"/>
          <w:highlight w:val="none"/>
        </w:rPr>
        <w:t>/</w:t>
      </w:r>
      <w:r>
        <w:rPr>
          <w:rFonts w:hint="eastAsia"/>
          <w:color w:val="auto"/>
          <w:sz w:val="24"/>
          <w:szCs w:val="24"/>
          <w:highlight w:val="none"/>
        </w:rPr>
        <w:t>否）需要支付预付款。若需要支付预付款的，则：</w:t>
      </w:r>
    </w:p>
    <w:p>
      <w:pPr>
        <w:pageBreakBefore w:val="0"/>
        <w:kinsoku/>
        <w:wordWrap/>
        <w:overflowPunct/>
        <w:topLinePunct w:val="0"/>
        <w:bidi w:val="0"/>
        <w:snapToGrid/>
        <w:spacing w:line="44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1.5.1预付款比例、支付方式、时间详见</w:t>
      </w:r>
      <w:r>
        <w:rPr>
          <w:rFonts w:hint="eastAsia" w:ascii="宋体" w:hAnsi="宋体" w:cs="宋体"/>
          <w:color w:val="auto"/>
          <w:kern w:val="0"/>
          <w:sz w:val="24"/>
          <w:szCs w:val="24"/>
          <w:highlight w:val="none"/>
          <w:u w:val="single"/>
        </w:rPr>
        <w:t xml:space="preserve">    </w:t>
      </w:r>
      <w:r>
        <w:rPr>
          <w:rFonts w:hint="eastAsia" w:ascii="宋体" w:hAnsi="宋体" w:cs="宋体"/>
          <w:b/>
          <w:i/>
          <w:color w:val="auto"/>
          <w:sz w:val="24"/>
          <w:szCs w:val="24"/>
          <w:highlight w:val="none"/>
          <w:u w:val="single"/>
        </w:rPr>
        <w:t>合同专用条款</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rPr>
      </w:pPr>
      <w:r>
        <w:rPr>
          <w:rFonts w:hint="eastAsia"/>
          <w:color w:val="auto"/>
          <w:sz w:val="24"/>
          <w:szCs w:val="24"/>
          <w:highlight w:val="none"/>
        </w:rPr>
        <w:t>1.5.2预付款的扣回方式详见</w:t>
      </w:r>
      <w:r>
        <w:rPr>
          <w:rFonts w:hint="eastAsia"/>
          <w:color w:val="auto"/>
          <w:sz w:val="24"/>
          <w:szCs w:val="24"/>
          <w:highlight w:val="none"/>
          <w:u w:val="single"/>
        </w:rPr>
        <w:t xml:space="preserve">    </w:t>
      </w:r>
      <w:r>
        <w:rPr>
          <w:rFonts w:hint="eastAsia"/>
          <w:b/>
          <w:i/>
          <w:color w:val="auto"/>
          <w:sz w:val="24"/>
          <w:szCs w:val="24"/>
          <w:highlight w:val="none"/>
          <w:u w:val="single"/>
        </w:rPr>
        <w:t>合同专用条款</w:t>
      </w:r>
      <w:r>
        <w:rPr>
          <w:rFonts w:hint="eastAsia"/>
          <w:color w:val="auto"/>
          <w:sz w:val="24"/>
          <w:szCs w:val="24"/>
          <w:highlight w:val="none"/>
          <w:u w:val="single"/>
        </w:rPr>
        <w:t xml:space="preserve">           </w:t>
      </w:r>
      <w:r>
        <w:rPr>
          <w:rFonts w:hint="eastAsia"/>
          <w:color w:val="auto"/>
          <w:sz w:val="24"/>
          <w:szCs w:val="24"/>
          <w:highlight w:val="none"/>
        </w:rPr>
        <w:t>；</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u w:val="single"/>
        </w:rPr>
      </w:pPr>
      <w:r>
        <w:rPr>
          <w:rFonts w:hint="eastAsia"/>
          <w:color w:val="auto"/>
          <w:sz w:val="24"/>
          <w:szCs w:val="24"/>
          <w:highlight w:val="none"/>
        </w:rPr>
        <w:t>1.5.3预付款的担保措施详见</w:t>
      </w:r>
      <w:r>
        <w:rPr>
          <w:rFonts w:hint="eastAsia"/>
          <w:color w:val="auto"/>
          <w:sz w:val="24"/>
          <w:szCs w:val="24"/>
          <w:highlight w:val="none"/>
          <w:u w:val="single"/>
        </w:rPr>
        <w:t xml:space="preserve">    </w:t>
      </w:r>
      <w:r>
        <w:rPr>
          <w:rFonts w:hint="eastAsia"/>
          <w:b/>
          <w:i/>
          <w:color w:val="auto"/>
          <w:sz w:val="24"/>
          <w:szCs w:val="24"/>
          <w:highlight w:val="none"/>
          <w:u w:val="single"/>
        </w:rPr>
        <w:t>合同专用条款</w:t>
      </w:r>
      <w:r>
        <w:rPr>
          <w:rFonts w:hint="eastAsia"/>
          <w:color w:val="auto"/>
          <w:sz w:val="24"/>
          <w:szCs w:val="24"/>
          <w:highlight w:val="none"/>
          <w:u w:val="single"/>
        </w:rPr>
        <w:t xml:space="preserve">          </w:t>
      </w:r>
      <w:r>
        <w:rPr>
          <w:rFonts w:hint="eastAsia"/>
          <w:color w:val="auto"/>
          <w:sz w:val="24"/>
          <w:szCs w:val="24"/>
          <w:highlight w:val="none"/>
        </w:rPr>
        <w:t>。</w:t>
      </w:r>
    </w:p>
    <w:p>
      <w:pPr>
        <w:pStyle w:val="957"/>
        <w:pageBreakBefore w:val="0"/>
        <w:kinsoku/>
        <w:wordWrap/>
        <w:overflowPunct/>
        <w:topLinePunct w:val="0"/>
        <w:bidi w:val="0"/>
        <w:snapToGrid/>
        <w:spacing w:before="0" w:beforeAutospacing="0" w:after="0" w:afterAutospacing="0" w:line="440" w:lineRule="exact"/>
        <w:ind w:firstLine="480"/>
        <w:textAlignment w:val="auto"/>
        <w:rPr>
          <w:b/>
          <w:bCs/>
          <w:color w:val="auto"/>
          <w:sz w:val="24"/>
          <w:szCs w:val="24"/>
          <w:highlight w:val="none"/>
        </w:rPr>
      </w:pPr>
      <w:r>
        <w:rPr>
          <w:rFonts w:hint="eastAsia"/>
          <w:b/>
          <w:bCs/>
          <w:color w:val="auto"/>
          <w:sz w:val="24"/>
          <w:szCs w:val="24"/>
          <w:highlight w:val="none"/>
        </w:rPr>
        <w:t>1.6资金支付</w:t>
      </w:r>
    </w:p>
    <w:p>
      <w:pPr>
        <w:pStyle w:val="957"/>
        <w:pageBreakBefore w:val="0"/>
        <w:kinsoku/>
        <w:wordWrap/>
        <w:overflowPunct/>
        <w:topLinePunct w:val="0"/>
        <w:bidi w:val="0"/>
        <w:snapToGrid/>
        <w:spacing w:before="0" w:beforeAutospacing="0" w:after="0" w:afterAutospacing="0" w:line="440" w:lineRule="exact"/>
        <w:ind w:firstLine="480"/>
        <w:textAlignment w:val="auto"/>
        <w:rPr>
          <w:color w:val="auto"/>
          <w:sz w:val="24"/>
          <w:szCs w:val="24"/>
          <w:highlight w:val="none"/>
        </w:rPr>
      </w:pPr>
      <w:r>
        <w:rPr>
          <w:rFonts w:hint="eastAsia"/>
          <w:color w:val="auto"/>
          <w:sz w:val="24"/>
          <w:szCs w:val="24"/>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bidi w:val="0"/>
        <w:snapToGrid/>
        <w:spacing w:line="440" w:lineRule="exact"/>
        <w:ind w:firstLine="480" w:firstLineChars="200"/>
        <w:textAlignment w:val="auto"/>
        <w:outlineLvl w:val="0"/>
        <w:rPr>
          <w:rFonts w:ascii="宋体" w:hAnsi="宋体" w:cs="宋体"/>
          <w:color w:val="auto"/>
          <w:sz w:val="24"/>
          <w:szCs w:val="24"/>
          <w:highlight w:val="none"/>
        </w:rPr>
      </w:pPr>
      <w:r>
        <w:rPr>
          <w:rFonts w:hint="eastAsia" w:ascii="宋体" w:hAnsi="宋体" w:cs="宋体"/>
          <w:color w:val="auto"/>
          <w:sz w:val="24"/>
          <w:szCs w:val="24"/>
          <w:highlight w:val="none"/>
        </w:rPr>
        <w:t>1.6.2资金支付的方式、时间和条件详见</w:t>
      </w:r>
      <w:r>
        <w:rPr>
          <w:rFonts w:hint="eastAsia" w:ascii="宋体" w:hAnsi="宋体" w:cs="宋体"/>
          <w:b/>
          <w:i/>
          <w:color w:val="auto"/>
          <w:sz w:val="24"/>
          <w:szCs w:val="24"/>
          <w:highlight w:val="none"/>
          <w:u w:val="single"/>
        </w:rPr>
        <w:t>合同专用条款</w:t>
      </w:r>
      <w:r>
        <w:rPr>
          <w:rFonts w:hint="eastAsia" w:ascii="宋体" w:hAnsi="宋体" w:cs="宋体"/>
          <w:color w:val="auto"/>
          <w:sz w:val="24"/>
          <w:szCs w:val="24"/>
          <w:highlight w:val="none"/>
        </w:rPr>
        <w:t>。</w:t>
      </w:r>
    </w:p>
    <w:p>
      <w:pPr>
        <w:pageBreakBefore w:val="0"/>
        <w:kinsoku/>
        <w:wordWrap/>
        <w:overflowPunct/>
        <w:topLinePunct w:val="0"/>
        <w:bidi w:val="0"/>
        <w:snapToGrid/>
        <w:spacing w:line="440" w:lineRule="exact"/>
        <w:ind w:firstLine="482" w:firstLineChars="200"/>
        <w:textAlignment w:val="auto"/>
        <w:outlineLvl w:val="0"/>
        <w:rPr>
          <w:rFonts w:ascii="宋体" w:hAnsi="宋体"/>
          <w:b/>
          <w:color w:val="auto"/>
          <w:sz w:val="24"/>
          <w:szCs w:val="24"/>
          <w:highlight w:val="none"/>
        </w:rPr>
      </w:pPr>
      <w:r>
        <w:rPr>
          <w:rFonts w:ascii="宋体" w:hAnsi="宋体"/>
          <w:b/>
          <w:color w:val="auto"/>
          <w:sz w:val="24"/>
          <w:szCs w:val="24"/>
          <w:highlight w:val="none"/>
        </w:rPr>
        <w:t>1.</w:t>
      </w:r>
      <w:r>
        <w:rPr>
          <w:rFonts w:hint="eastAsia" w:ascii="宋体" w:hAnsi="宋体"/>
          <w:b/>
          <w:color w:val="auto"/>
          <w:sz w:val="24"/>
          <w:szCs w:val="24"/>
          <w:highlight w:val="none"/>
        </w:rPr>
        <w:t>7</w:t>
      </w:r>
      <w:r>
        <w:rPr>
          <w:rFonts w:ascii="宋体" w:hAnsi="宋体"/>
          <w:b/>
          <w:color w:val="auto"/>
          <w:sz w:val="24"/>
          <w:szCs w:val="24"/>
          <w:highlight w:val="none"/>
        </w:rPr>
        <w:t xml:space="preserve"> 履行期限</w:t>
      </w:r>
      <w:r>
        <w:rPr>
          <w:rFonts w:hint="eastAsia" w:ascii="宋体" w:hAnsi="宋体"/>
          <w:b/>
          <w:color w:val="auto"/>
          <w:sz w:val="24"/>
          <w:szCs w:val="24"/>
          <w:highlight w:val="none"/>
        </w:rPr>
        <w:t>、地点和方式</w:t>
      </w:r>
      <w:bookmarkEnd w:id="416"/>
      <w:bookmarkEnd w:id="417"/>
      <w:bookmarkEnd w:id="418"/>
      <w:bookmarkEnd w:id="419"/>
      <w:bookmarkEnd w:id="420"/>
    </w:p>
    <w:p>
      <w:pPr>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标项一</w:t>
      </w:r>
    </w:p>
    <w:p>
      <w:pPr>
        <w:pageBreakBefore w:val="0"/>
        <w:kinsoku/>
        <w:wordWrap/>
        <w:overflowPunct/>
        <w:topLinePunct w:val="0"/>
        <w:bidi w:val="0"/>
        <w:snapToGrid/>
        <w:spacing w:line="440" w:lineRule="exact"/>
        <w:ind w:firstLine="480" w:firstLineChars="200"/>
        <w:textAlignment w:val="auto"/>
        <w:rPr>
          <w:rFonts w:ascii="宋体" w:hAnsi="宋体" w:cs="宋体"/>
          <w:sz w:val="24"/>
          <w:szCs w:val="24"/>
          <w:u w:val="single"/>
        </w:rPr>
      </w:pPr>
      <w:r>
        <w:rPr>
          <w:rFonts w:hint="eastAsia" w:ascii="宋体" w:hAnsi="宋体" w:cs="宋体"/>
          <w:sz w:val="24"/>
          <w:szCs w:val="24"/>
        </w:rPr>
        <w:t>1.7.1 交付期限：详见</w:t>
      </w:r>
      <w:r>
        <w:rPr>
          <w:rFonts w:hint="eastAsia" w:ascii="宋体" w:hAnsi="宋体" w:cs="宋体"/>
          <w:b/>
          <w:i/>
          <w:sz w:val="24"/>
          <w:szCs w:val="24"/>
          <w:u w:val="single"/>
        </w:rPr>
        <w:t>合同专用条款</w:t>
      </w:r>
      <w:r>
        <w:rPr>
          <w:rFonts w:hint="eastAsia" w:ascii="宋体" w:hAnsi="宋体" w:cs="宋体"/>
          <w:sz w:val="24"/>
          <w:szCs w:val="24"/>
        </w:rPr>
        <w:t>；</w:t>
      </w:r>
    </w:p>
    <w:p>
      <w:pPr>
        <w:pageBreakBefore w:val="0"/>
        <w:kinsoku/>
        <w:wordWrap/>
        <w:overflowPunct/>
        <w:topLinePunct w:val="0"/>
        <w:bidi w:val="0"/>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1.7.2 交付地点：</w:t>
      </w:r>
      <w:r>
        <w:rPr>
          <w:rFonts w:hint="eastAsia" w:ascii="宋体" w:hAnsi="宋体" w:cs="宋体"/>
          <w:b/>
          <w:i/>
          <w:sz w:val="24"/>
          <w:szCs w:val="24"/>
          <w:u w:val="single"/>
        </w:rPr>
        <w:t>合同专用条款</w:t>
      </w:r>
      <w:r>
        <w:rPr>
          <w:rFonts w:hint="eastAsia" w:ascii="宋体" w:hAnsi="宋体" w:cs="宋体"/>
          <w:sz w:val="24"/>
          <w:szCs w:val="24"/>
        </w:rPr>
        <w:t>；</w:t>
      </w:r>
    </w:p>
    <w:p>
      <w:pPr>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1.7.3 交付方式：</w:t>
      </w:r>
      <w:r>
        <w:rPr>
          <w:rFonts w:hint="eastAsia" w:ascii="宋体" w:hAnsi="宋体" w:cs="宋体"/>
          <w:b/>
          <w:i/>
          <w:sz w:val="24"/>
          <w:szCs w:val="24"/>
          <w:u w:val="single"/>
        </w:rPr>
        <w:t>合同专用条款</w:t>
      </w:r>
      <w:r>
        <w:rPr>
          <w:rFonts w:hint="eastAsia" w:ascii="宋体" w:hAnsi="宋体" w:cs="宋体"/>
          <w:sz w:val="24"/>
          <w:szCs w:val="24"/>
        </w:rPr>
        <w:t>。</w:t>
      </w:r>
    </w:p>
    <w:p>
      <w:pPr>
        <w:pageBreakBefore w:val="0"/>
        <w:kinsoku/>
        <w:wordWrap/>
        <w:overflowPunct/>
        <w:topLinePunct w:val="0"/>
        <w:bidi w:val="0"/>
        <w:snapToGrid/>
        <w:spacing w:line="440" w:lineRule="exact"/>
        <w:ind w:firstLine="482" w:firstLineChars="200"/>
        <w:textAlignment w:val="auto"/>
        <w:outlineLvl w:val="0"/>
        <w:rPr>
          <w:rFonts w:ascii="宋体" w:hAnsi="宋体"/>
          <w:color w:val="auto"/>
          <w:sz w:val="24"/>
          <w:szCs w:val="24"/>
          <w:highlight w:val="none"/>
          <w:u w:val="single"/>
        </w:rPr>
      </w:pPr>
      <w:bookmarkStart w:id="421" w:name="_Toc3079"/>
      <w:bookmarkStart w:id="422" w:name="_Toc24662"/>
      <w:bookmarkStart w:id="423" w:name="_Toc8586"/>
      <w:bookmarkStart w:id="424" w:name="_Toc2375"/>
      <w:bookmarkStart w:id="425" w:name="_Toc5698"/>
      <w:r>
        <w:rPr>
          <w:rFonts w:ascii="宋体" w:hAnsi="宋体"/>
          <w:b/>
          <w:color w:val="auto"/>
          <w:sz w:val="24"/>
          <w:szCs w:val="24"/>
          <w:highlight w:val="none"/>
        </w:rPr>
        <w:t>1.</w:t>
      </w:r>
      <w:r>
        <w:rPr>
          <w:rFonts w:hint="eastAsia" w:ascii="宋体" w:hAnsi="宋体"/>
          <w:b/>
          <w:color w:val="auto"/>
          <w:sz w:val="24"/>
          <w:szCs w:val="24"/>
          <w:highlight w:val="none"/>
        </w:rPr>
        <w:t>8违约责任</w:t>
      </w:r>
      <w:bookmarkEnd w:id="421"/>
      <w:bookmarkEnd w:id="422"/>
      <w:bookmarkEnd w:id="423"/>
      <w:bookmarkEnd w:id="424"/>
      <w:bookmarkEnd w:id="425"/>
    </w:p>
    <w:p>
      <w:pPr>
        <w:pageBreakBefore w:val="0"/>
        <w:kinsoku/>
        <w:wordWrap/>
        <w:overflowPunct/>
        <w:topLinePunct w:val="0"/>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 xml:space="preserve">.1 </w:t>
      </w:r>
      <w:r>
        <w:rPr>
          <w:rFonts w:hint="eastAsia" w:ascii="宋体" w:hAnsi="宋体"/>
          <w:color w:val="auto"/>
          <w:sz w:val="24"/>
          <w:szCs w:val="24"/>
          <w:highlight w:val="none"/>
        </w:rPr>
        <w:t>除不可抗力外，如果乙方没有按照本合同约定的期限、地点和方式交付货物，那么甲方可要求乙方支付违约金，违约金按每迟延交付货物一日的应交付而未交付货物价格</w:t>
      </w:r>
      <w:r>
        <w:rPr>
          <w:rFonts w:ascii="宋体" w:hAnsi="宋体"/>
          <w:color w:val="auto"/>
          <w:sz w:val="24"/>
          <w:szCs w:val="24"/>
          <w:highlight w:val="none"/>
        </w:rPr>
        <w:t>的</w:t>
      </w:r>
      <w:r>
        <w:rPr>
          <w:rFonts w:hint="eastAsia" w:ascii="宋体" w:hAnsi="宋体"/>
          <w:color w:val="auto"/>
          <w:sz w:val="24"/>
          <w:szCs w:val="24"/>
          <w:highlight w:val="none"/>
          <w:u w:val="single"/>
        </w:rPr>
        <w:t>0.05（可根据情况修改）</w:t>
      </w:r>
      <w:r>
        <w:rPr>
          <w:rFonts w:ascii="宋体" w:hAnsi="宋体"/>
          <w:color w:val="auto"/>
          <w:sz w:val="24"/>
          <w:szCs w:val="24"/>
          <w:highlight w:val="none"/>
          <w:u w:val="single"/>
        </w:rPr>
        <w:t xml:space="preserve"> </w:t>
      </w:r>
      <w:r>
        <w:rPr>
          <w:rFonts w:ascii="宋体" w:hAnsi="宋体"/>
          <w:color w:val="auto"/>
          <w:sz w:val="24"/>
          <w:szCs w:val="24"/>
          <w:highlight w:val="none"/>
        </w:rPr>
        <w:t>%计算</w:t>
      </w:r>
      <w:r>
        <w:rPr>
          <w:rFonts w:hint="eastAsia" w:ascii="宋体" w:hAnsi="宋体"/>
          <w:color w:val="auto"/>
          <w:sz w:val="24"/>
          <w:szCs w:val="24"/>
          <w:highlight w:val="none"/>
        </w:rPr>
        <w:t>，</w:t>
      </w:r>
      <w:r>
        <w:rPr>
          <w:rFonts w:ascii="宋体" w:hAnsi="宋体"/>
          <w:color w:val="auto"/>
          <w:sz w:val="24"/>
          <w:szCs w:val="24"/>
          <w:highlight w:val="none"/>
        </w:rPr>
        <w:t>最高限额为</w:t>
      </w:r>
      <w:r>
        <w:rPr>
          <w:rFonts w:hint="eastAsia" w:ascii="宋体" w:hAnsi="宋体"/>
          <w:color w:val="auto"/>
          <w:sz w:val="24"/>
          <w:szCs w:val="24"/>
          <w:highlight w:val="none"/>
        </w:rPr>
        <w:t>本</w:t>
      </w:r>
      <w:r>
        <w:rPr>
          <w:rFonts w:ascii="宋体" w:hAnsi="宋体"/>
          <w:color w:val="auto"/>
          <w:sz w:val="24"/>
          <w:szCs w:val="24"/>
          <w:highlight w:val="none"/>
        </w:rPr>
        <w:t>合同总价的</w:t>
      </w:r>
      <w:r>
        <w:rPr>
          <w:rFonts w:ascii="宋体" w:hAnsi="宋体"/>
          <w:color w:val="auto"/>
          <w:sz w:val="24"/>
          <w:szCs w:val="24"/>
          <w:highlight w:val="none"/>
          <w:u w:val="single"/>
        </w:rPr>
        <w:t xml:space="preserve">  20   </w:t>
      </w:r>
      <w:r>
        <w:rPr>
          <w:rFonts w:ascii="宋体" w:hAnsi="宋体"/>
          <w:color w:val="auto"/>
          <w:sz w:val="24"/>
          <w:szCs w:val="24"/>
          <w:highlight w:val="none"/>
        </w:rPr>
        <w:t>%</w:t>
      </w:r>
      <w:r>
        <w:rPr>
          <w:rFonts w:hint="eastAsia" w:ascii="宋体" w:hAnsi="宋体"/>
          <w:color w:val="auto"/>
          <w:sz w:val="24"/>
          <w:szCs w:val="24"/>
          <w:highlight w:val="none"/>
        </w:rPr>
        <w:t>；</w:t>
      </w:r>
      <w:r>
        <w:rPr>
          <w:rFonts w:ascii="宋体" w:hAnsi="宋体"/>
          <w:color w:val="auto"/>
          <w:sz w:val="24"/>
          <w:szCs w:val="24"/>
          <w:highlight w:val="none"/>
        </w:rPr>
        <w:t>迟延</w:t>
      </w:r>
      <w:r>
        <w:rPr>
          <w:rFonts w:hint="eastAsia" w:ascii="宋体" w:hAnsi="宋体"/>
          <w:color w:val="auto"/>
          <w:sz w:val="24"/>
          <w:szCs w:val="24"/>
          <w:highlight w:val="none"/>
        </w:rPr>
        <w:t>履行</w:t>
      </w:r>
      <w:r>
        <w:rPr>
          <w:rFonts w:ascii="宋体" w:hAnsi="宋体"/>
          <w:color w:val="auto"/>
          <w:sz w:val="24"/>
          <w:szCs w:val="24"/>
          <w:highlight w:val="none"/>
        </w:rPr>
        <w:t>的违约金计算数额达到前述最高限额之日起</w:t>
      </w:r>
      <w:r>
        <w:rPr>
          <w:rFonts w:hint="eastAsia" w:ascii="宋体" w:hAnsi="宋体"/>
          <w:color w:val="auto"/>
          <w:sz w:val="24"/>
          <w:szCs w:val="24"/>
          <w:highlight w:val="none"/>
        </w:rPr>
        <w:t>，</w:t>
      </w:r>
      <w:r>
        <w:rPr>
          <w:rFonts w:ascii="宋体" w:hAnsi="宋体"/>
          <w:color w:val="auto"/>
          <w:sz w:val="24"/>
          <w:szCs w:val="24"/>
          <w:highlight w:val="none"/>
        </w:rPr>
        <w:t>甲方有权在要求乙方支付违约金的同时</w:t>
      </w:r>
      <w:r>
        <w:rPr>
          <w:rFonts w:hint="eastAsia" w:ascii="宋体" w:hAnsi="宋体"/>
          <w:color w:val="auto"/>
          <w:sz w:val="24"/>
          <w:szCs w:val="24"/>
          <w:highlight w:val="none"/>
        </w:rPr>
        <w:t>，书面通知乙方</w:t>
      </w:r>
      <w:r>
        <w:rPr>
          <w:rFonts w:ascii="宋体" w:hAnsi="宋体"/>
          <w:color w:val="auto"/>
          <w:sz w:val="24"/>
          <w:szCs w:val="24"/>
          <w:highlight w:val="none"/>
        </w:rPr>
        <w:t>解除本合同</w:t>
      </w:r>
      <w:r>
        <w:rPr>
          <w:rFonts w:hint="eastAsia" w:ascii="宋体" w:hAnsi="宋体"/>
          <w:color w:val="auto"/>
          <w:sz w:val="24"/>
          <w:szCs w:val="24"/>
          <w:highlight w:val="none"/>
        </w:rPr>
        <w:t>；</w:t>
      </w:r>
    </w:p>
    <w:p>
      <w:pPr>
        <w:pStyle w:val="6"/>
        <w:pageBreakBefore w:val="0"/>
        <w:kinsoku/>
        <w:wordWrap/>
        <w:overflowPunct/>
        <w:topLinePunct w:val="0"/>
        <w:bidi w:val="0"/>
        <w:snapToGrid/>
        <w:spacing w:line="440" w:lineRule="exact"/>
        <w:ind w:left="0" w:firstLine="480" w:firstLineChars="200"/>
        <w:textAlignment w:val="auto"/>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1.8.2除不可抗力外，如果甲方没有按照本合同约定的付款方式付款，那么乙方可要求甲方支付违约金，违约金按每迟延付款一日的应付而未付款的</w:t>
      </w:r>
      <w:r>
        <w:rPr>
          <w:rFonts w:hint="eastAsia" w:ascii="宋体" w:hAnsi="宋体" w:eastAsia="宋体" w:cs="宋体"/>
          <w:b w:val="0"/>
          <w:bCs w:val="0"/>
          <w:color w:val="auto"/>
          <w:sz w:val="24"/>
          <w:szCs w:val="24"/>
          <w:highlight w:val="none"/>
          <w:u w:val="single"/>
          <w:lang w:val="en-US"/>
        </w:rPr>
        <w:t xml:space="preserve">  0.05（可根据情况修改）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3</w:t>
      </w:r>
      <w:r>
        <w:rPr>
          <w:rFonts w:hint="eastAsia" w:ascii="宋体" w:hAnsi="宋体" w:cs="宋体"/>
          <w:color w:val="auto"/>
          <w:sz w:val="24"/>
          <w:szCs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宋体" w:hAnsi="宋体"/>
          <w:color w:val="auto"/>
          <w:sz w:val="24"/>
          <w:szCs w:val="24"/>
          <w:highlight w:val="none"/>
        </w:rPr>
        <w:t>；</w:t>
      </w:r>
    </w:p>
    <w:p>
      <w:pPr>
        <w:pageBreakBefore w:val="0"/>
        <w:kinsoku/>
        <w:wordWrap/>
        <w:overflowPunct/>
        <w:topLinePunct w:val="0"/>
        <w:bidi w:val="0"/>
        <w:snapToGrid/>
        <w:spacing w:line="440" w:lineRule="exact"/>
        <w:ind w:firstLine="480" w:firstLineChars="200"/>
        <w:textAlignment w:val="auto"/>
        <w:rPr>
          <w:rFonts w:ascii="宋体" w:hAnsi="宋体" w:cs="宋体"/>
          <w:color w:val="auto"/>
          <w:sz w:val="24"/>
          <w:szCs w:val="24"/>
          <w:highlight w:val="none"/>
        </w:rPr>
      </w:pPr>
      <w:bookmarkStart w:id="426" w:name="_Toc18683"/>
      <w:bookmarkStart w:id="427" w:name="_Toc9497"/>
      <w:bookmarkStart w:id="428" w:name="_Toc32454"/>
      <w:bookmarkStart w:id="429" w:name="_Toc30329"/>
      <w:bookmarkStart w:id="430" w:name="_Toc26807"/>
      <w:r>
        <w:rPr>
          <w:rFonts w:hint="eastAsia" w:ascii="宋体" w:hAnsi="宋体" w:cs="宋体"/>
          <w:color w:val="auto"/>
          <w:sz w:val="24"/>
          <w:szCs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bidi w:val="0"/>
        <w:snapToGrid/>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1.8.5 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bidi w:val="0"/>
        <w:snapToGrid/>
        <w:spacing w:line="440" w:lineRule="exact"/>
        <w:ind w:right="-420" w:rightChars="-20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1.8.6违约责任</w:t>
      </w:r>
      <w:r>
        <w:rPr>
          <w:rFonts w:hint="eastAsia" w:ascii="宋体" w:hAnsi="宋体" w:cs="宋体"/>
          <w:b/>
          <w:i/>
          <w:color w:val="auto"/>
          <w:sz w:val="24"/>
          <w:szCs w:val="24"/>
          <w:highlight w:val="none"/>
          <w:u w:val="single"/>
        </w:rPr>
        <w:t>合同专用条款</w:t>
      </w:r>
      <w:r>
        <w:rPr>
          <w:rFonts w:hint="eastAsia" w:ascii="宋体" w:hAnsi="宋体" w:cs="宋体"/>
          <w:color w:val="auto"/>
          <w:sz w:val="24"/>
          <w:szCs w:val="24"/>
          <w:highlight w:val="none"/>
        </w:rPr>
        <w:t>另有约定的，从其约定。</w:t>
      </w:r>
    </w:p>
    <w:bookmarkEnd w:id="426"/>
    <w:bookmarkEnd w:id="427"/>
    <w:bookmarkEnd w:id="428"/>
    <w:bookmarkEnd w:id="429"/>
    <w:bookmarkEnd w:id="430"/>
    <w:p>
      <w:pPr>
        <w:pageBreakBefore w:val="0"/>
        <w:kinsoku/>
        <w:wordWrap/>
        <w:overflowPunct/>
        <w:topLinePunct w:val="0"/>
        <w:bidi w:val="0"/>
        <w:snapToGrid/>
        <w:spacing w:line="440" w:lineRule="exact"/>
        <w:ind w:firstLine="482" w:firstLineChars="200"/>
        <w:textAlignment w:val="auto"/>
        <w:outlineLvl w:val="0"/>
        <w:rPr>
          <w:rFonts w:ascii="宋体" w:hAnsi="宋体" w:cs="宋体"/>
          <w:b/>
          <w:color w:val="auto"/>
          <w:sz w:val="24"/>
          <w:szCs w:val="24"/>
          <w:highlight w:val="none"/>
        </w:rPr>
      </w:pPr>
      <w:bookmarkStart w:id="431" w:name="_Toc16021"/>
      <w:bookmarkStart w:id="432" w:name="_Toc15583"/>
      <w:bookmarkStart w:id="433" w:name="_Toc28375"/>
      <w:r>
        <w:rPr>
          <w:rFonts w:hint="eastAsia" w:ascii="宋体" w:hAnsi="宋体" w:cs="宋体"/>
          <w:b/>
          <w:color w:val="auto"/>
          <w:sz w:val="24"/>
          <w:szCs w:val="24"/>
          <w:highlight w:val="none"/>
        </w:rPr>
        <w:t>1.9合同争议的解决</w:t>
      </w:r>
      <w:bookmarkEnd w:id="431"/>
      <w:bookmarkEnd w:id="432"/>
      <w:bookmarkEnd w:id="433"/>
    </w:p>
    <w:p>
      <w:pPr>
        <w:pageBreakBefore w:val="0"/>
        <w:kinsoku/>
        <w:wordWrap/>
        <w:overflowPunct/>
        <w:topLinePunct w:val="0"/>
        <w:bidi w:val="0"/>
        <w:snapToGrid/>
        <w:spacing w:line="440" w:lineRule="exact"/>
        <w:ind w:left="-61" w:leftChars="-29" w:right="-420" w:rightChars="-200" w:firstLine="240" w:firstLineChars="100"/>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szCs w:val="24"/>
          <w:highlight w:val="none"/>
          <w:u w:val="single"/>
        </w:rPr>
        <w:t xml:space="preserve">      </w:t>
      </w:r>
      <w:r>
        <w:rPr>
          <w:rFonts w:hint="eastAsia" w:ascii="宋体" w:hAnsi="宋体" w:cs="宋体"/>
          <w:color w:val="auto"/>
          <w:sz w:val="24"/>
          <w:szCs w:val="24"/>
          <w:highlight w:val="none"/>
        </w:rPr>
        <w:t>条款规定的方式解决：</w:t>
      </w:r>
    </w:p>
    <w:p>
      <w:pPr>
        <w:pageBreakBefore w:val="0"/>
        <w:kinsoku/>
        <w:wordWrap/>
        <w:overflowPunct/>
        <w:topLinePunct w:val="0"/>
        <w:bidi w:val="0"/>
        <w:snapToGrid/>
        <w:spacing w:line="440" w:lineRule="exact"/>
        <w:ind w:left="-420" w:leftChars="-200" w:right="-420" w:rightChars="-200" w:firstLine="600" w:firstLineChars="250"/>
        <w:textAlignment w:val="auto"/>
        <w:rPr>
          <w:rFonts w:ascii="宋体" w:hAnsi="宋体" w:cs="宋体"/>
          <w:color w:val="auto"/>
          <w:sz w:val="24"/>
          <w:szCs w:val="24"/>
          <w:highlight w:val="none"/>
        </w:rPr>
      </w:pPr>
      <w:r>
        <w:rPr>
          <w:rFonts w:hint="eastAsia" w:ascii="宋体" w:hAnsi="宋体" w:cs="宋体"/>
          <w:color w:val="auto"/>
          <w:sz w:val="24"/>
          <w:szCs w:val="24"/>
          <w:highlight w:val="none"/>
        </w:rPr>
        <w:t>1.9.1 将争议提交</w:t>
      </w:r>
      <w:r>
        <w:rPr>
          <w:rFonts w:hint="eastAsia" w:ascii="宋体" w:hAnsi="宋体" w:cs="宋体"/>
          <w:b/>
          <w:i/>
          <w:color w:val="auto"/>
          <w:sz w:val="24"/>
          <w:szCs w:val="24"/>
          <w:highlight w:val="none"/>
          <w:u w:val="single"/>
        </w:rPr>
        <w:t>合同专用条款</w:t>
      </w:r>
      <w:r>
        <w:rPr>
          <w:rFonts w:hint="eastAsia" w:ascii="宋体" w:hAnsi="宋体" w:cs="宋体"/>
          <w:color w:val="auto"/>
          <w:sz w:val="24"/>
          <w:szCs w:val="24"/>
          <w:highlight w:val="none"/>
        </w:rPr>
        <w:t>仲裁委员会依申请仲裁时其现行有效的仲裁规则裁决；</w:t>
      </w:r>
    </w:p>
    <w:p>
      <w:pPr>
        <w:pageBreakBefore w:val="0"/>
        <w:kinsoku/>
        <w:wordWrap/>
        <w:overflowPunct/>
        <w:topLinePunct w:val="0"/>
        <w:bidi w:val="0"/>
        <w:snapToGrid/>
        <w:spacing w:line="440" w:lineRule="exact"/>
        <w:ind w:left="-420" w:leftChars="-200" w:right="-420" w:rightChars="-200" w:firstLine="600" w:firstLineChars="250"/>
        <w:textAlignment w:val="auto"/>
        <w:rPr>
          <w:rFonts w:ascii="宋体" w:hAnsi="宋体" w:cs="宋体"/>
          <w:color w:val="auto"/>
          <w:sz w:val="24"/>
          <w:szCs w:val="24"/>
          <w:highlight w:val="none"/>
        </w:rPr>
      </w:pPr>
      <w:r>
        <w:rPr>
          <w:rFonts w:hint="eastAsia" w:ascii="宋体" w:hAnsi="宋体" w:cs="宋体"/>
          <w:color w:val="auto"/>
          <w:sz w:val="24"/>
          <w:szCs w:val="24"/>
          <w:highlight w:val="none"/>
        </w:rPr>
        <w:t>1.9.2 向</w:t>
      </w:r>
      <w:r>
        <w:rPr>
          <w:rFonts w:hint="eastAsia" w:ascii="宋体" w:hAnsi="宋体" w:cs="宋体"/>
          <w:b/>
          <w:i/>
          <w:color w:val="auto"/>
          <w:sz w:val="24"/>
          <w:szCs w:val="24"/>
          <w:highlight w:val="none"/>
          <w:u w:val="single"/>
        </w:rPr>
        <w:t>合同专用条款</w:t>
      </w:r>
      <w:r>
        <w:rPr>
          <w:rFonts w:hint="eastAsia" w:ascii="宋体" w:hAnsi="宋体" w:cs="宋体"/>
          <w:color w:val="auto"/>
          <w:sz w:val="24"/>
          <w:szCs w:val="24"/>
          <w:highlight w:val="none"/>
        </w:rPr>
        <w:t>人民法院起诉。</w:t>
      </w:r>
    </w:p>
    <w:p>
      <w:pPr>
        <w:pageBreakBefore w:val="0"/>
        <w:kinsoku/>
        <w:wordWrap/>
        <w:overflowPunct/>
        <w:topLinePunct w:val="0"/>
        <w:bidi w:val="0"/>
        <w:snapToGrid/>
        <w:spacing w:line="440" w:lineRule="exact"/>
        <w:ind w:firstLine="482" w:firstLineChars="200"/>
        <w:textAlignment w:val="auto"/>
        <w:outlineLvl w:val="0"/>
        <w:rPr>
          <w:rFonts w:ascii="宋体" w:hAnsi="宋体" w:cs="宋体"/>
          <w:b/>
          <w:color w:val="auto"/>
          <w:sz w:val="24"/>
          <w:szCs w:val="24"/>
          <w:highlight w:val="none"/>
        </w:rPr>
      </w:pPr>
      <w:bookmarkStart w:id="434" w:name="_Toc15322"/>
      <w:bookmarkStart w:id="435" w:name="_Toc11173"/>
      <w:bookmarkStart w:id="436" w:name="_Toc7245"/>
      <w:r>
        <w:rPr>
          <w:rFonts w:hint="eastAsia" w:ascii="宋体" w:hAnsi="宋体" w:cs="宋体"/>
          <w:b/>
          <w:color w:val="auto"/>
          <w:sz w:val="24"/>
          <w:szCs w:val="24"/>
          <w:highlight w:val="none"/>
        </w:rPr>
        <w:t>2.0 合同生效</w:t>
      </w:r>
      <w:bookmarkEnd w:id="434"/>
      <w:bookmarkEnd w:id="435"/>
      <w:bookmarkEnd w:id="436"/>
    </w:p>
    <w:p>
      <w:pPr>
        <w:pageBreakBefore w:val="0"/>
        <w:kinsoku/>
        <w:wordWrap/>
        <w:overflowPunct/>
        <w:topLinePunct w:val="0"/>
        <w:bidi w:val="0"/>
        <w:snapToGrid/>
        <w:spacing w:line="440" w:lineRule="exact"/>
        <w:ind w:firstLine="480" w:firstLineChars="200"/>
        <w:textAlignment w:val="auto"/>
        <w:rPr>
          <w:rFonts w:ascii="宋体" w:hAnsi="宋体" w:cs="宋体"/>
          <w:b/>
          <w:color w:val="auto"/>
          <w:sz w:val="24"/>
          <w:szCs w:val="24"/>
          <w:highlight w:val="none"/>
        </w:rPr>
      </w:pPr>
      <w:r>
        <w:rPr>
          <w:rFonts w:hint="eastAsia" w:ascii="宋体" w:hAnsi="宋体" w:cs="宋体"/>
          <w:color w:val="auto"/>
          <w:sz w:val="24"/>
          <w:szCs w:val="24"/>
          <w:highlight w:val="none"/>
        </w:rPr>
        <w:t>本合同自双方当事人盖章签字时生效。</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b/>
          <w:color w:val="auto"/>
          <w:sz w:val="24"/>
          <w:szCs w:val="24"/>
          <w:highlight w:val="none"/>
          <w:lang w:val="zh-CN"/>
        </w:rPr>
        <w:t>甲方</w:t>
      </w:r>
      <w:r>
        <w:rPr>
          <w:rFonts w:hint="eastAsia" w:ascii="宋体" w:hAnsi="宋体"/>
          <w:color w:val="auto"/>
          <w:sz w:val="24"/>
          <w:szCs w:val="24"/>
          <w:highlight w:val="none"/>
          <w:lang w:val="zh-CN"/>
        </w:rPr>
        <w:t>：</w:t>
      </w:r>
      <w:r>
        <w:rPr>
          <w:rFonts w:ascii="宋体" w:hAnsi="宋体"/>
          <w:color w:val="auto"/>
          <w:sz w:val="24"/>
          <w:szCs w:val="24"/>
          <w:highlight w:val="none"/>
          <w:lang w:val="zh-CN"/>
        </w:rPr>
        <w:t xml:space="preserve">                             </w:t>
      </w:r>
      <w:r>
        <w:rPr>
          <w:rFonts w:ascii="宋体" w:hAnsi="宋体"/>
          <w:b/>
          <w:color w:val="auto"/>
          <w:sz w:val="24"/>
          <w:szCs w:val="24"/>
          <w:highlight w:val="none"/>
          <w:lang w:val="zh-CN"/>
        </w:rPr>
        <w:t xml:space="preserve">      乙方</w:t>
      </w:r>
      <w:r>
        <w:rPr>
          <w:rFonts w:hint="eastAsia" w:ascii="宋体" w:hAnsi="宋体"/>
          <w:color w:val="auto"/>
          <w:sz w:val="24"/>
          <w:szCs w:val="24"/>
          <w:highlight w:val="none"/>
          <w:lang w:val="zh-CN"/>
        </w:rPr>
        <w:t>：</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统一社会信用代码：</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统一社会信用代码或身份证号码：</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住所：</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住所：</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法定代表人或</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法定代表人或</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授权代表（签字）：</w:t>
      </w:r>
      <w:r>
        <w:rPr>
          <w:rFonts w:ascii="宋体" w:hAnsi="宋体"/>
          <w:color w:val="auto"/>
          <w:sz w:val="24"/>
          <w:szCs w:val="24"/>
          <w:highlight w:val="none"/>
          <w:lang w:val="zh-CN"/>
        </w:rPr>
        <w:t xml:space="preserve">                       授权代表（签字）: </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联系人：</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联系人：</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约定送达地址：</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约定送达地址：</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邮政编码：</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邮政编码：</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电话</w:t>
      </w:r>
      <w:r>
        <w:rPr>
          <w:rFonts w:ascii="宋体" w:hAnsi="宋体"/>
          <w:color w:val="auto"/>
          <w:sz w:val="24"/>
          <w:szCs w:val="24"/>
          <w:highlight w:val="none"/>
          <w:lang w:val="zh-CN"/>
        </w:rPr>
        <w:t xml:space="preserve">:                                    电话: </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r>
        <w:rPr>
          <w:rFonts w:hint="eastAsia" w:ascii="宋体" w:hAnsi="宋体"/>
          <w:color w:val="auto"/>
          <w:sz w:val="24"/>
          <w:szCs w:val="24"/>
          <w:highlight w:val="none"/>
          <w:lang w:val="zh-CN"/>
        </w:rPr>
        <w:t>传真</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传真</w:t>
      </w:r>
      <w:r>
        <w:rPr>
          <w:rFonts w:ascii="宋体" w:hAnsi="宋体"/>
          <w:color w:val="auto"/>
          <w:sz w:val="24"/>
          <w:szCs w:val="24"/>
          <w:highlight w:val="none"/>
          <w:lang w:val="zh-CN"/>
        </w:rPr>
        <w:t>:</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rPr>
      </w:pPr>
      <w:r>
        <w:rPr>
          <w:rFonts w:hint="eastAsia" w:ascii="宋体" w:hAnsi="宋体"/>
          <w:color w:val="auto"/>
          <w:sz w:val="24"/>
          <w:szCs w:val="24"/>
          <w:highlight w:val="none"/>
          <w:lang w:val="zh-CN"/>
        </w:rPr>
        <w:t>电子邮箱：</w:t>
      </w:r>
      <w:r>
        <w:rPr>
          <w:rFonts w:ascii="宋体" w:hAnsi="宋体"/>
          <w:color w:val="auto"/>
          <w:sz w:val="24"/>
          <w:szCs w:val="24"/>
          <w:highlight w:val="none"/>
          <w:lang w:val="zh-CN"/>
        </w:rPr>
        <w:t xml:space="preserve">                               </w:t>
      </w:r>
      <w:r>
        <w:rPr>
          <w:rFonts w:hint="eastAsia" w:ascii="宋体" w:hAnsi="宋体"/>
          <w:color w:val="auto"/>
          <w:sz w:val="24"/>
          <w:szCs w:val="24"/>
          <w:highlight w:val="none"/>
          <w:lang w:val="zh-CN"/>
        </w:rPr>
        <w:t>电子邮箱：</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rPr>
      </w:pPr>
      <w:r>
        <w:rPr>
          <w:rFonts w:hint="eastAsia" w:ascii="宋体" w:hAnsi="宋体"/>
          <w:color w:val="auto"/>
          <w:sz w:val="24"/>
          <w:szCs w:val="24"/>
          <w:highlight w:val="none"/>
        </w:rPr>
        <w:t>开户银行：</w:t>
      </w:r>
      <w:r>
        <w:rPr>
          <w:rFonts w:ascii="宋体" w:hAnsi="宋体"/>
          <w:color w:val="auto"/>
          <w:sz w:val="24"/>
          <w:szCs w:val="24"/>
          <w:highlight w:val="none"/>
        </w:rPr>
        <w:t xml:space="preserve">                               开户银行： </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rPr>
      </w:pPr>
      <w:r>
        <w:rPr>
          <w:rFonts w:hint="eastAsia" w:ascii="宋体" w:hAnsi="宋体"/>
          <w:color w:val="auto"/>
          <w:sz w:val="24"/>
          <w:szCs w:val="24"/>
          <w:highlight w:val="none"/>
        </w:rPr>
        <w:t>开户名称：</w:t>
      </w:r>
      <w:r>
        <w:rPr>
          <w:rFonts w:ascii="宋体" w:hAnsi="宋体"/>
          <w:color w:val="auto"/>
          <w:sz w:val="24"/>
          <w:szCs w:val="24"/>
          <w:highlight w:val="none"/>
        </w:rPr>
        <w:t xml:space="preserve">                               开户名称： </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rPr>
      </w:pPr>
      <w:r>
        <w:rPr>
          <w:rFonts w:hint="eastAsia" w:ascii="宋体" w:hAnsi="宋体"/>
          <w:color w:val="auto"/>
          <w:sz w:val="24"/>
          <w:szCs w:val="24"/>
          <w:highlight w:val="none"/>
        </w:rPr>
        <w:t>开户账号：</w:t>
      </w:r>
      <w:r>
        <w:rPr>
          <w:rFonts w:ascii="宋体" w:hAnsi="宋体"/>
          <w:color w:val="auto"/>
          <w:sz w:val="24"/>
          <w:szCs w:val="24"/>
          <w:highlight w:val="none"/>
          <w:lang w:val="zh-CN"/>
        </w:rPr>
        <w:t xml:space="preserve">                               </w:t>
      </w:r>
      <w:r>
        <w:rPr>
          <w:rFonts w:hint="eastAsia" w:ascii="宋体" w:hAnsi="宋体"/>
          <w:color w:val="auto"/>
          <w:sz w:val="24"/>
          <w:szCs w:val="24"/>
          <w:highlight w:val="none"/>
        </w:rPr>
        <w:t>开户账号：</w:t>
      </w: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ageBreakBefore w:val="0"/>
        <w:kinsoku/>
        <w:wordWrap/>
        <w:overflowPunct/>
        <w:topLinePunct w:val="0"/>
        <w:autoSpaceDE w:val="0"/>
        <w:autoSpaceDN w:val="0"/>
        <w:bidi w:val="0"/>
        <w:snapToGrid/>
        <w:spacing w:line="440" w:lineRule="exact"/>
        <w:textAlignment w:val="auto"/>
        <w:rPr>
          <w:rFonts w:ascii="宋体" w:hAnsi="宋体"/>
          <w:color w:val="auto"/>
          <w:sz w:val="24"/>
          <w:szCs w:val="24"/>
          <w:highlight w:val="none"/>
          <w:lang w:val="zh-CN"/>
        </w:rPr>
      </w:pPr>
    </w:p>
    <w:p>
      <w:pPr>
        <w:pStyle w:val="699"/>
        <w:spacing w:line="560" w:lineRule="exact"/>
        <w:ind w:firstLine="482"/>
        <w:jc w:val="center"/>
        <w:rPr>
          <w:rFonts w:ascii="宋体" w:hAnsi="宋体"/>
          <w:b/>
          <w:color w:val="auto"/>
          <w:szCs w:val="24"/>
          <w:highlight w:val="none"/>
        </w:rPr>
      </w:pPr>
      <w:r>
        <w:rPr>
          <w:rFonts w:hint="eastAsia" w:ascii="宋体" w:hAnsi="宋体"/>
          <w:b/>
          <w:color w:val="auto"/>
          <w:szCs w:val="24"/>
          <w:highlight w:val="none"/>
        </w:rPr>
        <w:t>第二部分</w:t>
      </w:r>
      <w:r>
        <w:rPr>
          <w:rFonts w:ascii="宋体" w:hAnsi="宋体"/>
          <w:b/>
          <w:color w:val="auto"/>
          <w:szCs w:val="24"/>
          <w:highlight w:val="none"/>
        </w:rPr>
        <w:t xml:space="preserve"> </w:t>
      </w:r>
      <w:r>
        <w:rPr>
          <w:rFonts w:hint="eastAsia" w:ascii="宋体" w:hAnsi="宋体"/>
          <w:b/>
          <w:color w:val="auto"/>
          <w:szCs w:val="24"/>
          <w:highlight w:val="none"/>
        </w:rPr>
        <w:t>合同</w:t>
      </w:r>
      <w:bookmarkStart w:id="520" w:name="_GoBack"/>
      <w:bookmarkEnd w:id="520"/>
      <w:r>
        <w:rPr>
          <w:rFonts w:hint="eastAsia" w:ascii="宋体" w:hAnsi="宋体"/>
          <w:b/>
          <w:color w:val="auto"/>
          <w:szCs w:val="24"/>
          <w:highlight w:val="none"/>
        </w:rPr>
        <w:t>一般条款</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37" w:name="_Toc31297"/>
      <w:bookmarkStart w:id="438" w:name="_Toc14021"/>
      <w:bookmarkStart w:id="439" w:name="_Toc25079"/>
      <w:bookmarkStart w:id="440" w:name="_Toc19680"/>
      <w:bookmarkStart w:id="441" w:name="_Toc5228"/>
      <w:r>
        <w:rPr>
          <w:rFonts w:ascii="宋体" w:hAnsi="宋体"/>
          <w:b/>
          <w:color w:val="auto"/>
          <w:sz w:val="24"/>
          <w:szCs w:val="24"/>
          <w:highlight w:val="none"/>
        </w:rPr>
        <w:t>2.1 定义</w:t>
      </w:r>
      <w:bookmarkEnd w:id="437"/>
      <w:bookmarkEnd w:id="438"/>
      <w:bookmarkEnd w:id="439"/>
      <w:bookmarkEnd w:id="440"/>
      <w:bookmarkEnd w:id="441"/>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本合同中的下列</w:t>
      </w:r>
      <w:r>
        <w:rPr>
          <w:rFonts w:hint="eastAsia" w:ascii="宋体" w:hAnsi="宋体"/>
          <w:color w:val="auto"/>
          <w:sz w:val="24"/>
          <w:szCs w:val="24"/>
          <w:highlight w:val="none"/>
        </w:rPr>
        <w:t>词</w:t>
      </w:r>
      <w:r>
        <w:rPr>
          <w:rFonts w:ascii="宋体" w:hAnsi="宋体"/>
          <w:color w:val="auto"/>
          <w:sz w:val="24"/>
          <w:szCs w:val="24"/>
          <w:highlight w:val="none"/>
        </w:rPr>
        <w:t>语应</w:t>
      </w:r>
      <w:r>
        <w:rPr>
          <w:rFonts w:hint="eastAsia" w:ascii="宋体" w:hAnsi="宋体"/>
          <w:color w:val="auto"/>
          <w:sz w:val="24"/>
          <w:szCs w:val="24"/>
          <w:highlight w:val="none"/>
        </w:rPr>
        <w:t>按以下内容进行</w:t>
      </w:r>
      <w:r>
        <w:rPr>
          <w:rFonts w:ascii="宋体" w:hAnsi="宋体"/>
          <w:color w:val="auto"/>
          <w:sz w:val="24"/>
          <w:szCs w:val="24"/>
          <w:highlight w:val="none"/>
        </w:rPr>
        <w:t>解释：</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 xml:space="preserve">2.1.1 </w:t>
      </w:r>
      <w:r>
        <w:rPr>
          <w:rFonts w:hint="eastAsia" w:ascii="宋体" w:hAnsi="宋体"/>
          <w:color w:val="auto"/>
          <w:sz w:val="24"/>
          <w:szCs w:val="24"/>
          <w:highlight w:val="none"/>
        </w:rPr>
        <w:t>“合同”系指采购人和中标或成交供应商签订的载明双方当事人所达成的协议，并包括所有的附件、附录和构成合同的其他文件。</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2.1.2 “合同价”系指根据合同约定，中标或成交供应商在完全履行合同义务后，采购人应支付给中标或成交供应商的价格。</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2.1.4 “甲方”系指与中标或成交供应商签署合同的采购人；采购人委托采购代理机构代表其与乙方签订合同的，采购人的授权委托书作为合同附件。</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2.1.5 “乙方”系指根据合同约定交付货物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2.1.6 “现场”系指合同约定货物将要运至或者安装的地点</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42" w:name="_Toc31402"/>
      <w:bookmarkStart w:id="443" w:name="_Toc16752"/>
      <w:bookmarkStart w:id="444" w:name="_Toc19539"/>
      <w:bookmarkStart w:id="445" w:name="_Toc23289"/>
      <w:bookmarkStart w:id="446" w:name="_Toc3769"/>
      <w:r>
        <w:rPr>
          <w:rFonts w:ascii="宋体" w:hAnsi="宋体"/>
          <w:b/>
          <w:color w:val="auto"/>
          <w:sz w:val="24"/>
          <w:szCs w:val="24"/>
          <w:highlight w:val="none"/>
        </w:rPr>
        <w:t>2.2 技术规范</w:t>
      </w:r>
      <w:bookmarkEnd w:id="442"/>
      <w:bookmarkEnd w:id="443"/>
      <w:bookmarkEnd w:id="444"/>
      <w:bookmarkEnd w:id="445"/>
      <w:bookmarkEnd w:id="446"/>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47" w:name="_Toc12412"/>
      <w:bookmarkStart w:id="448" w:name="_Toc9161"/>
      <w:bookmarkStart w:id="449" w:name="_Toc4133"/>
      <w:bookmarkStart w:id="450" w:name="_Toc27945"/>
      <w:bookmarkStart w:id="451" w:name="_Toc13673"/>
      <w:r>
        <w:rPr>
          <w:rFonts w:ascii="宋体" w:hAnsi="宋体"/>
          <w:b/>
          <w:color w:val="auto"/>
          <w:sz w:val="24"/>
          <w:szCs w:val="24"/>
          <w:highlight w:val="none"/>
        </w:rPr>
        <w:t>2.3 知识产权</w:t>
      </w:r>
      <w:bookmarkEnd w:id="447"/>
      <w:bookmarkEnd w:id="448"/>
      <w:bookmarkEnd w:id="449"/>
      <w:bookmarkEnd w:id="450"/>
      <w:bookmarkEnd w:id="451"/>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 xml:space="preserve">2.3.1 </w:t>
      </w:r>
      <w:r>
        <w:rPr>
          <w:rFonts w:hint="eastAsia" w:ascii="宋体" w:hAnsi="宋体"/>
          <w:color w:val="auto"/>
          <w:sz w:val="24"/>
          <w:szCs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 xml:space="preserve">2.3.2 </w:t>
      </w:r>
      <w:r>
        <w:rPr>
          <w:rFonts w:hint="eastAsia" w:ascii="宋体" w:hAnsi="宋体"/>
          <w:color w:val="auto"/>
          <w:sz w:val="24"/>
          <w:szCs w:val="24"/>
          <w:highlight w:val="none"/>
        </w:rPr>
        <w:t>具有知识产权的计算机软件等货物的知识产权归属，</w:t>
      </w:r>
      <w:r>
        <w:rPr>
          <w:rFonts w:ascii="宋体" w:hAnsi="宋体"/>
          <w:color w:val="auto"/>
          <w:sz w:val="24"/>
          <w:szCs w:val="24"/>
          <w:highlight w:val="none"/>
        </w:rPr>
        <w:t>详见</w:t>
      </w:r>
      <w:r>
        <w:rPr>
          <w:rFonts w:ascii="宋体" w:hAnsi="宋体"/>
          <w:b/>
          <w:i/>
          <w:color w:val="auto"/>
          <w:sz w:val="24"/>
          <w:szCs w:val="24"/>
          <w:highlight w:val="none"/>
          <w:u w:val="single"/>
        </w:rPr>
        <w:t>合同专用条款</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cs="宋体"/>
          <w:b/>
          <w:sz w:val="24"/>
          <w:szCs w:val="24"/>
        </w:rPr>
      </w:pPr>
      <w:bookmarkStart w:id="452" w:name="_Toc29149"/>
      <w:bookmarkStart w:id="453" w:name="_Toc11932"/>
      <w:bookmarkStart w:id="454" w:name="_Toc4194"/>
      <w:r>
        <w:rPr>
          <w:rFonts w:hint="eastAsia" w:ascii="宋体" w:hAnsi="宋体" w:cs="宋体"/>
          <w:b/>
          <w:sz w:val="24"/>
          <w:szCs w:val="24"/>
        </w:rPr>
        <w:t>2.4 包装和装运</w:t>
      </w:r>
      <w:bookmarkEnd w:id="452"/>
      <w:bookmarkEnd w:id="453"/>
      <w:bookmarkEnd w:id="454"/>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2.4.1除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s="宋体"/>
          <w:sz w:val="24"/>
          <w:szCs w:val="24"/>
        </w:rPr>
      </w:pPr>
      <w:r>
        <w:rPr>
          <w:rFonts w:hint="eastAsia" w:ascii="宋体" w:hAnsi="宋体" w:cs="宋体"/>
          <w:sz w:val="24"/>
          <w:szCs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s="宋体"/>
          <w:sz w:val="24"/>
          <w:szCs w:val="24"/>
        </w:rPr>
      </w:pPr>
      <w:r>
        <w:rPr>
          <w:rFonts w:hint="eastAsia" w:ascii="宋体" w:hAnsi="宋体" w:cs="宋体"/>
          <w:sz w:val="24"/>
          <w:szCs w:val="24"/>
        </w:rPr>
        <w:t>2.4.3 装运货物的要求和通知，详见</w:t>
      </w:r>
      <w:r>
        <w:rPr>
          <w:rFonts w:hint="eastAsia" w:ascii="宋体" w:hAnsi="宋体" w:cs="宋体"/>
          <w:b/>
          <w:i/>
          <w:sz w:val="24"/>
          <w:szCs w:val="24"/>
          <w:u w:val="single"/>
        </w:rPr>
        <w:t>合同专用条款</w:t>
      </w:r>
      <w:r>
        <w:rPr>
          <w:rFonts w:hint="eastAsia" w:ascii="宋体" w:hAnsi="宋体" w:cs="宋体"/>
          <w:sz w:val="24"/>
          <w:szCs w:val="24"/>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ascii="宋体" w:hAnsi="宋体"/>
          <w:b/>
          <w:color w:val="auto"/>
          <w:sz w:val="24"/>
          <w:szCs w:val="24"/>
          <w:highlight w:val="none"/>
        </w:rPr>
      </w:pPr>
      <w:r>
        <w:rPr>
          <w:rFonts w:ascii="宋体" w:hAnsi="宋体"/>
          <w:b/>
          <w:color w:val="auto"/>
          <w:sz w:val="24"/>
          <w:szCs w:val="24"/>
          <w:highlight w:val="none"/>
        </w:rPr>
        <w:t>2.</w:t>
      </w:r>
      <w:r>
        <w:rPr>
          <w:rFonts w:hint="eastAsia" w:ascii="宋体" w:hAnsi="宋体"/>
          <w:b/>
          <w:color w:val="auto"/>
          <w:sz w:val="24"/>
          <w:szCs w:val="24"/>
          <w:highlight w:val="none"/>
          <w:lang w:val="en-US" w:eastAsia="zh-CN"/>
        </w:rPr>
        <w:t>5</w:t>
      </w:r>
      <w:r>
        <w:rPr>
          <w:rFonts w:ascii="宋体" w:hAnsi="宋体"/>
          <w:b/>
          <w:color w:val="auto"/>
          <w:sz w:val="24"/>
          <w:szCs w:val="24"/>
          <w:highlight w:val="none"/>
        </w:rPr>
        <w:t xml:space="preserve"> </w:t>
      </w:r>
      <w:r>
        <w:rPr>
          <w:rFonts w:hint="eastAsia" w:ascii="宋体" w:hAnsi="宋体"/>
          <w:b/>
          <w:color w:val="auto"/>
          <w:sz w:val="24"/>
          <w:szCs w:val="24"/>
          <w:highlight w:val="none"/>
        </w:rPr>
        <w:t>履约检查和问题反馈</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5</w:t>
      </w:r>
      <w:r>
        <w:rPr>
          <w:rFonts w:ascii="宋体" w:hAnsi="宋体"/>
          <w:color w:val="auto"/>
          <w:sz w:val="24"/>
          <w:szCs w:val="24"/>
          <w:highlight w:val="none"/>
        </w:rPr>
        <w:t>.1</w:t>
      </w:r>
      <w:r>
        <w:rPr>
          <w:rFonts w:hint="eastAsia" w:ascii="宋体" w:hAnsi="宋体"/>
          <w:color w:val="auto"/>
          <w:sz w:val="24"/>
          <w:szCs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2.5.2 合同履行期间，甲方有权将履行过程中出现的问题反馈给乙方，双方当事人应以书面形式约定需要完善和改进的内容。</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55" w:name="_Toc22011"/>
      <w:bookmarkStart w:id="456" w:name="_Toc31233"/>
      <w:bookmarkStart w:id="457" w:name="_Toc32670"/>
      <w:bookmarkStart w:id="458" w:name="_Toc26555"/>
      <w:bookmarkStart w:id="459" w:name="_Toc15447"/>
      <w:r>
        <w:rPr>
          <w:rFonts w:ascii="宋体" w:hAnsi="宋体"/>
          <w:b/>
          <w:color w:val="auto"/>
          <w:sz w:val="24"/>
          <w:szCs w:val="24"/>
          <w:highlight w:val="none"/>
        </w:rPr>
        <w:t>2.</w:t>
      </w:r>
      <w:r>
        <w:rPr>
          <w:rFonts w:hint="eastAsia" w:ascii="宋体" w:hAnsi="宋体"/>
          <w:b/>
          <w:color w:val="auto"/>
          <w:sz w:val="24"/>
          <w:szCs w:val="24"/>
          <w:highlight w:val="none"/>
          <w:lang w:val="en-US" w:eastAsia="zh-CN"/>
        </w:rPr>
        <w:t>6</w:t>
      </w:r>
      <w:r>
        <w:rPr>
          <w:rFonts w:ascii="宋体" w:hAnsi="宋体"/>
          <w:b/>
          <w:color w:val="auto"/>
          <w:sz w:val="24"/>
          <w:szCs w:val="24"/>
          <w:highlight w:val="none"/>
        </w:rPr>
        <w:t xml:space="preserve"> 结算方式和付款条件</w:t>
      </w:r>
      <w:bookmarkEnd w:id="455"/>
      <w:bookmarkEnd w:id="456"/>
      <w:bookmarkEnd w:id="457"/>
      <w:bookmarkEnd w:id="458"/>
      <w:bookmarkEnd w:id="459"/>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详见</w:t>
      </w:r>
      <w:r>
        <w:rPr>
          <w:rFonts w:ascii="宋体" w:hAnsi="宋体"/>
          <w:b/>
          <w:i/>
          <w:color w:val="auto"/>
          <w:sz w:val="24"/>
          <w:szCs w:val="24"/>
          <w:highlight w:val="none"/>
          <w:u w:val="single"/>
        </w:rPr>
        <w:t>合同专用条款</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60" w:name="_Toc13467"/>
      <w:bookmarkStart w:id="461" w:name="_Toc30507"/>
      <w:bookmarkStart w:id="462" w:name="_Toc13154"/>
      <w:bookmarkStart w:id="463" w:name="_Toc16163"/>
      <w:bookmarkStart w:id="464" w:name="_Toc18990"/>
      <w:r>
        <w:rPr>
          <w:rFonts w:ascii="宋体" w:hAnsi="宋体"/>
          <w:b/>
          <w:color w:val="auto"/>
          <w:sz w:val="24"/>
          <w:szCs w:val="24"/>
          <w:highlight w:val="none"/>
        </w:rPr>
        <w:t>2.</w:t>
      </w:r>
      <w:r>
        <w:rPr>
          <w:rFonts w:hint="eastAsia" w:ascii="宋体" w:hAnsi="宋体"/>
          <w:b/>
          <w:color w:val="auto"/>
          <w:sz w:val="24"/>
          <w:szCs w:val="24"/>
          <w:highlight w:val="none"/>
          <w:lang w:val="en-US" w:eastAsia="zh-CN"/>
        </w:rPr>
        <w:t>7</w:t>
      </w:r>
      <w:r>
        <w:rPr>
          <w:rFonts w:ascii="宋体" w:hAnsi="宋体"/>
          <w:b/>
          <w:color w:val="auto"/>
          <w:sz w:val="24"/>
          <w:szCs w:val="24"/>
          <w:highlight w:val="none"/>
        </w:rPr>
        <w:t xml:space="preserve"> 技术资料和保密义务</w:t>
      </w:r>
      <w:bookmarkEnd w:id="460"/>
      <w:bookmarkEnd w:id="461"/>
      <w:bookmarkEnd w:id="462"/>
      <w:bookmarkEnd w:id="463"/>
      <w:bookmarkEnd w:id="464"/>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.1 </w:t>
      </w:r>
      <w:r>
        <w:rPr>
          <w:rFonts w:hint="eastAsia" w:ascii="宋体" w:hAnsi="宋体"/>
          <w:color w:val="auto"/>
          <w:sz w:val="24"/>
          <w:szCs w:val="24"/>
          <w:highlight w:val="none"/>
        </w:rPr>
        <w:t>乙方有权依据合同约定和项目需要，向甲方了解有关情况，调阅有关资料等，甲方应予积极配合；</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rPr>
        <w:t>2.6.2 乙方有义务妥善保管和保护由甲方提供的前款信息和资料等；</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65" w:name="_Toc19069"/>
      <w:r>
        <w:rPr>
          <w:rFonts w:ascii="宋体" w:hAnsi="宋体"/>
          <w:b/>
          <w:color w:val="auto"/>
          <w:sz w:val="24"/>
          <w:szCs w:val="24"/>
          <w:highlight w:val="none"/>
        </w:rPr>
        <w:t>2.</w:t>
      </w:r>
      <w:r>
        <w:rPr>
          <w:rFonts w:hint="eastAsia" w:ascii="宋体" w:hAnsi="宋体"/>
          <w:b/>
          <w:color w:val="auto"/>
          <w:sz w:val="24"/>
          <w:szCs w:val="24"/>
          <w:highlight w:val="none"/>
          <w:lang w:val="en-US" w:eastAsia="zh-CN"/>
        </w:rPr>
        <w:t>8</w:t>
      </w:r>
      <w:r>
        <w:rPr>
          <w:rFonts w:ascii="宋体" w:hAnsi="宋体"/>
          <w:b/>
          <w:color w:val="auto"/>
          <w:sz w:val="24"/>
          <w:szCs w:val="24"/>
          <w:highlight w:val="none"/>
        </w:rPr>
        <w:t xml:space="preserve"> </w:t>
      </w:r>
      <w:r>
        <w:rPr>
          <w:rFonts w:hint="eastAsia" w:ascii="宋体" w:hAnsi="宋体"/>
          <w:b/>
          <w:color w:val="auto"/>
          <w:sz w:val="24"/>
          <w:szCs w:val="24"/>
          <w:highlight w:val="none"/>
        </w:rPr>
        <w:t>质量保证</w:t>
      </w:r>
      <w:bookmarkEnd w:id="465"/>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8</w:t>
      </w:r>
      <w:r>
        <w:rPr>
          <w:rFonts w:ascii="宋体" w:hAnsi="宋体"/>
          <w:color w:val="auto"/>
          <w:sz w:val="24"/>
          <w:szCs w:val="24"/>
          <w:highlight w:val="none"/>
        </w:rPr>
        <w:t xml:space="preserve">.1 </w:t>
      </w:r>
      <w:r>
        <w:rPr>
          <w:rFonts w:hint="eastAsia" w:ascii="宋体" w:hAnsi="宋体"/>
          <w:color w:val="auto"/>
          <w:sz w:val="24"/>
          <w:szCs w:val="24"/>
          <w:highlight w:val="none"/>
        </w:rPr>
        <w:t>乙方应建立和完善履行合同的内部质量保证体系，并提供相关内部规章制度给甲方，以便甲方进行监督检查；</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2.7.2 乙方应保证履行合同的人员数量和素质、软件和硬件设备的配置、场地、环境和设施等满足全面履行合同的要求，并应接受甲方的监督检查。</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cs="宋体"/>
          <w:b/>
          <w:sz w:val="24"/>
          <w:szCs w:val="24"/>
        </w:rPr>
      </w:pPr>
      <w:bookmarkStart w:id="466" w:name="_Toc17244"/>
      <w:bookmarkStart w:id="467" w:name="_Toc22267"/>
      <w:r>
        <w:rPr>
          <w:rFonts w:hint="eastAsia" w:ascii="宋体" w:hAnsi="宋体" w:cs="宋体"/>
          <w:b/>
          <w:sz w:val="24"/>
          <w:szCs w:val="24"/>
        </w:rPr>
        <w:t>2.</w:t>
      </w:r>
      <w:r>
        <w:rPr>
          <w:rFonts w:hint="eastAsia" w:ascii="宋体" w:hAnsi="宋体" w:cs="宋体"/>
          <w:b/>
          <w:sz w:val="24"/>
          <w:szCs w:val="24"/>
          <w:lang w:val="en-US" w:eastAsia="zh-CN"/>
        </w:rPr>
        <w:t>9</w:t>
      </w:r>
      <w:r>
        <w:rPr>
          <w:rFonts w:hint="eastAsia" w:ascii="宋体" w:hAnsi="宋体" w:cs="宋体"/>
          <w:b/>
          <w:sz w:val="24"/>
          <w:szCs w:val="24"/>
        </w:rPr>
        <w:t xml:space="preserve"> 货物的风险负担</w:t>
      </w:r>
      <w:bookmarkEnd w:id="466"/>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outlineLvl w:val="0"/>
        <w:rPr>
          <w:rFonts w:hint="eastAsia" w:ascii="宋体" w:hAnsi="宋体" w:cs="宋体"/>
          <w:sz w:val="24"/>
          <w:szCs w:val="24"/>
        </w:rPr>
      </w:pPr>
      <w:r>
        <w:rPr>
          <w:rFonts w:hint="eastAsia" w:ascii="宋体" w:hAnsi="宋体" w:cs="宋体"/>
          <w:sz w:val="24"/>
          <w:szCs w:val="24"/>
        </w:rPr>
        <w:t>货物或者在途货物或者交付给第一承运人后的货物毁损、灭失的风险负担详见</w:t>
      </w:r>
      <w:r>
        <w:rPr>
          <w:rFonts w:hint="eastAsia" w:ascii="宋体" w:hAnsi="宋体" w:cs="宋体"/>
          <w:b/>
          <w:i/>
          <w:sz w:val="24"/>
          <w:szCs w:val="24"/>
          <w:u w:val="single"/>
        </w:rPr>
        <w:t>合同专用条款</w:t>
      </w:r>
      <w:r>
        <w:rPr>
          <w:rFonts w:hint="eastAsia" w:ascii="宋体" w:hAnsi="宋体" w:cs="宋体"/>
          <w:sz w:val="24"/>
          <w:szCs w:val="24"/>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r>
        <w:rPr>
          <w:rFonts w:ascii="宋体" w:hAnsi="宋体"/>
          <w:b/>
          <w:color w:val="auto"/>
          <w:sz w:val="24"/>
          <w:szCs w:val="24"/>
          <w:highlight w:val="none"/>
        </w:rPr>
        <w:t>2.</w:t>
      </w:r>
      <w:r>
        <w:rPr>
          <w:rFonts w:hint="eastAsia" w:ascii="宋体" w:hAnsi="宋体"/>
          <w:b/>
          <w:color w:val="auto"/>
          <w:sz w:val="24"/>
          <w:szCs w:val="24"/>
          <w:highlight w:val="none"/>
          <w:lang w:val="en-US" w:eastAsia="zh-CN"/>
        </w:rPr>
        <w:t>10</w:t>
      </w:r>
      <w:r>
        <w:rPr>
          <w:rFonts w:ascii="宋体" w:hAnsi="宋体"/>
          <w:b/>
          <w:color w:val="auto"/>
          <w:sz w:val="24"/>
          <w:szCs w:val="24"/>
          <w:highlight w:val="none"/>
        </w:rPr>
        <w:t xml:space="preserve"> </w:t>
      </w:r>
      <w:bookmarkEnd w:id="467"/>
      <w:r>
        <w:rPr>
          <w:rFonts w:hint="eastAsia" w:ascii="宋体" w:hAnsi="宋体"/>
          <w:b/>
          <w:color w:val="auto"/>
          <w:sz w:val="24"/>
          <w:szCs w:val="24"/>
          <w:highlight w:val="none"/>
        </w:rPr>
        <w:t>延迟交货</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68" w:name="_Toc10611"/>
      <w:r>
        <w:rPr>
          <w:rFonts w:ascii="宋体" w:hAnsi="宋体"/>
          <w:b/>
          <w:color w:val="auto"/>
          <w:sz w:val="24"/>
          <w:szCs w:val="24"/>
          <w:highlight w:val="none"/>
        </w:rPr>
        <w:t>2.</w:t>
      </w:r>
      <w:r>
        <w:rPr>
          <w:rFonts w:hint="eastAsia" w:ascii="宋体" w:hAnsi="宋体"/>
          <w:b/>
          <w:color w:val="auto"/>
          <w:sz w:val="24"/>
          <w:szCs w:val="24"/>
          <w:highlight w:val="none"/>
          <w:lang w:val="en-US" w:eastAsia="zh-CN"/>
        </w:rPr>
        <w:t>11</w:t>
      </w:r>
      <w:r>
        <w:rPr>
          <w:rFonts w:ascii="宋体" w:hAnsi="宋体"/>
          <w:b/>
          <w:color w:val="auto"/>
          <w:sz w:val="24"/>
          <w:szCs w:val="24"/>
          <w:highlight w:val="none"/>
        </w:rPr>
        <w:t xml:space="preserve"> </w:t>
      </w:r>
      <w:r>
        <w:rPr>
          <w:rFonts w:hint="eastAsia" w:ascii="宋体" w:hAnsi="宋体"/>
          <w:b/>
          <w:color w:val="auto"/>
          <w:sz w:val="24"/>
          <w:szCs w:val="24"/>
          <w:highlight w:val="none"/>
        </w:rPr>
        <w:t>合同变更</w:t>
      </w:r>
      <w:bookmarkEnd w:id="468"/>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69" w:name="_Toc23368"/>
      <w:bookmarkStart w:id="470" w:name="_Toc10663"/>
      <w:bookmarkStart w:id="471" w:name="_Toc21830"/>
      <w:bookmarkStart w:id="472" w:name="_Toc42"/>
      <w:bookmarkStart w:id="473" w:name="_Toc26689"/>
      <w:r>
        <w:rPr>
          <w:rFonts w:ascii="宋体" w:hAnsi="宋体"/>
          <w:b/>
          <w:color w:val="auto"/>
          <w:sz w:val="24"/>
          <w:szCs w:val="24"/>
          <w:highlight w:val="none"/>
        </w:rPr>
        <w:t>2.1</w:t>
      </w:r>
      <w:r>
        <w:rPr>
          <w:rFonts w:hint="eastAsia" w:ascii="宋体" w:hAnsi="宋体"/>
          <w:b/>
          <w:color w:val="auto"/>
          <w:sz w:val="24"/>
          <w:szCs w:val="24"/>
          <w:highlight w:val="none"/>
          <w:lang w:val="en-US" w:eastAsia="zh-CN"/>
        </w:rPr>
        <w:t>2</w:t>
      </w:r>
      <w:r>
        <w:rPr>
          <w:rFonts w:ascii="宋体" w:hAnsi="宋体"/>
          <w:b/>
          <w:color w:val="auto"/>
          <w:sz w:val="24"/>
          <w:szCs w:val="24"/>
          <w:highlight w:val="none"/>
        </w:rPr>
        <w:t xml:space="preserve"> 合同转让和分包</w:t>
      </w:r>
      <w:bookmarkEnd w:id="469"/>
      <w:bookmarkEnd w:id="470"/>
      <w:bookmarkEnd w:id="471"/>
      <w:bookmarkEnd w:id="472"/>
      <w:bookmarkEnd w:id="473"/>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2.12.1</w:t>
      </w:r>
      <w:r>
        <w:rPr>
          <w:rFonts w:hint="eastAsia" w:ascii="宋体" w:hAnsi="宋体"/>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2.1</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.2乙方采取分包方式履行合同的，甲方可直接向分包供应商支付款项。</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74" w:name="_Toc14371"/>
      <w:bookmarkStart w:id="475" w:name="_Toc4720"/>
      <w:bookmarkStart w:id="476" w:name="_Toc26633"/>
      <w:bookmarkStart w:id="477" w:name="_Toc32494"/>
      <w:bookmarkStart w:id="478" w:name="_Toc25571"/>
      <w:r>
        <w:rPr>
          <w:rFonts w:ascii="宋体" w:hAnsi="宋体"/>
          <w:b/>
          <w:color w:val="auto"/>
          <w:sz w:val="24"/>
          <w:szCs w:val="24"/>
          <w:highlight w:val="none"/>
        </w:rPr>
        <w:t>2.1</w:t>
      </w:r>
      <w:r>
        <w:rPr>
          <w:rFonts w:hint="eastAsia" w:ascii="宋体" w:hAnsi="宋体"/>
          <w:b/>
          <w:color w:val="auto"/>
          <w:sz w:val="24"/>
          <w:szCs w:val="24"/>
          <w:highlight w:val="none"/>
          <w:lang w:val="en-US" w:eastAsia="zh-CN"/>
        </w:rPr>
        <w:t>3</w:t>
      </w:r>
      <w:r>
        <w:rPr>
          <w:rFonts w:ascii="宋体" w:hAnsi="宋体"/>
          <w:b/>
          <w:color w:val="auto"/>
          <w:sz w:val="24"/>
          <w:szCs w:val="24"/>
          <w:highlight w:val="none"/>
        </w:rPr>
        <w:t xml:space="preserve"> 不可抗力</w:t>
      </w:r>
      <w:bookmarkEnd w:id="474"/>
      <w:bookmarkEnd w:id="475"/>
      <w:bookmarkEnd w:id="476"/>
      <w:bookmarkEnd w:id="477"/>
      <w:bookmarkEnd w:id="478"/>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3</w:t>
      </w:r>
      <w:r>
        <w:rPr>
          <w:rFonts w:ascii="宋体" w:hAnsi="宋体"/>
          <w:color w:val="auto"/>
          <w:sz w:val="24"/>
          <w:szCs w:val="24"/>
          <w:highlight w:val="none"/>
        </w:rPr>
        <w:t>.1如果任何一方遭遇法律规定的不可抗力，致使合同履行受阻时，履行合同的期限应予延长，延长的期限应相当于不可抗力所影响的时间</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.2 </w:t>
      </w:r>
      <w:r>
        <w:rPr>
          <w:rFonts w:hint="eastAsia" w:ascii="宋体" w:hAnsi="宋体"/>
          <w:color w:val="auto"/>
          <w:sz w:val="24"/>
          <w:szCs w:val="24"/>
          <w:highlight w:val="none"/>
        </w:rPr>
        <w:t>因不可抗力致使不能实现合同目的的，当事人可以解除合同；</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.3 </w:t>
      </w:r>
      <w:r>
        <w:rPr>
          <w:rFonts w:hint="eastAsia" w:ascii="宋体" w:hAnsi="宋体"/>
          <w:color w:val="auto"/>
          <w:sz w:val="24"/>
          <w:szCs w:val="24"/>
          <w:highlight w:val="none"/>
        </w:rPr>
        <w:t>因</w:t>
      </w:r>
      <w:r>
        <w:rPr>
          <w:rFonts w:ascii="宋体" w:hAnsi="宋体"/>
          <w:color w:val="auto"/>
          <w:sz w:val="24"/>
          <w:szCs w:val="24"/>
          <w:highlight w:val="none"/>
        </w:rPr>
        <w:t>不可抗力致使合同有变更必要的，双方当事人应在</w:t>
      </w:r>
      <w:r>
        <w:rPr>
          <w:rFonts w:ascii="宋体" w:hAnsi="宋体"/>
          <w:b/>
          <w:i/>
          <w:color w:val="auto"/>
          <w:sz w:val="24"/>
          <w:szCs w:val="24"/>
          <w:highlight w:val="none"/>
          <w:u w:val="single"/>
        </w:rPr>
        <w:t>合同专用条款</w:t>
      </w:r>
      <w:r>
        <w:rPr>
          <w:rFonts w:ascii="宋体" w:hAnsi="宋体"/>
          <w:color w:val="auto"/>
          <w:sz w:val="24"/>
          <w:szCs w:val="24"/>
          <w:highlight w:val="none"/>
        </w:rPr>
        <w:t>约定时间内以书面形式变更合同</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3</w:t>
      </w:r>
      <w:r>
        <w:rPr>
          <w:rFonts w:ascii="宋体" w:hAnsi="宋体"/>
          <w:color w:val="auto"/>
          <w:sz w:val="24"/>
          <w:szCs w:val="24"/>
          <w:highlight w:val="none"/>
        </w:rPr>
        <w:t>.4受</w:t>
      </w:r>
      <w:r>
        <w:rPr>
          <w:rFonts w:hint="eastAsia" w:ascii="宋体" w:hAnsi="宋体"/>
          <w:color w:val="auto"/>
          <w:sz w:val="24"/>
          <w:szCs w:val="24"/>
          <w:highlight w:val="none"/>
        </w:rPr>
        <w:t>不可抗力</w:t>
      </w:r>
      <w:r>
        <w:rPr>
          <w:rFonts w:ascii="宋体" w:hAnsi="宋体"/>
          <w:color w:val="auto"/>
          <w:sz w:val="24"/>
          <w:szCs w:val="24"/>
          <w:highlight w:val="none"/>
        </w:rPr>
        <w:t>影响的一方在不可抗力发生后</w:t>
      </w:r>
      <w:r>
        <w:rPr>
          <w:rFonts w:hint="eastAsia" w:ascii="宋体" w:hAnsi="宋体"/>
          <w:color w:val="auto"/>
          <w:sz w:val="24"/>
          <w:szCs w:val="24"/>
          <w:highlight w:val="none"/>
        </w:rPr>
        <w:t>，</w:t>
      </w:r>
      <w:r>
        <w:rPr>
          <w:rFonts w:ascii="宋体" w:hAnsi="宋体"/>
          <w:color w:val="auto"/>
          <w:sz w:val="24"/>
          <w:szCs w:val="24"/>
          <w:highlight w:val="none"/>
        </w:rPr>
        <w:t>应在</w:t>
      </w:r>
      <w:r>
        <w:rPr>
          <w:rFonts w:ascii="宋体" w:hAnsi="宋体"/>
          <w:b/>
          <w:i/>
          <w:color w:val="auto"/>
          <w:sz w:val="24"/>
          <w:szCs w:val="24"/>
          <w:highlight w:val="none"/>
          <w:u w:val="single"/>
        </w:rPr>
        <w:t>合同专用条款</w:t>
      </w:r>
      <w:r>
        <w:rPr>
          <w:rFonts w:ascii="宋体" w:hAnsi="宋体"/>
          <w:color w:val="auto"/>
          <w:sz w:val="24"/>
          <w:szCs w:val="24"/>
          <w:highlight w:val="none"/>
        </w:rPr>
        <w:t>约定时间内以书面形式通知</w:t>
      </w:r>
      <w:r>
        <w:rPr>
          <w:rFonts w:hint="eastAsia" w:ascii="宋体" w:hAnsi="宋体"/>
          <w:color w:val="auto"/>
          <w:sz w:val="24"/>
          <w:szCs w:val="24"/>
          <w:highlight w:val="none"/>
        </w:rPr>
        <w:t>对</w:t>
      </w:r>
      <w:r>
        <w:rPr>
          <w:rFonts w:ascii="宋体" w:hAnsi="宋体"/>
          <w:color w:val="auto"/>
          <w:sz w:val="24"/>
          <w:szCs w:val="24"/>
          <w:highlight w:val="none"/>
        </w:rPr>
        <w:t>方当事人，并在</w:t>
      </w:r>
      <w:r>
        <w:rPr>
          <w:rFonts w:ascii="宋体" w:hAnsi="宋体"/>
          <w:b/>
          <w:i/>
          <w:color w:val="auto"/>
          <w:sz w:val="24"/>
          <w:szCs w:val="24"/>
          <w:highlight w:val="none"/>
          <w:u w:val="single"/>
        </w:rPr>
        <w:t>合同专用条款</w:t>
      </w:r>
      <w:r>
        <w:rPr>
          <w:rFonts w:ascii="宋体" w:hAnsi="宋体"/>
          <w:color w:val="auto"/>
          <w:sz w:val="24"/>
          <w:szCs w:val="24"/>
          <w:highlight w:val="none"/>
        </w:rPr>
        <w:t>约定时间内，将有关部门出具的证明文件送达</w:t>
      </w:r>
      <w:r>
        <w:rPr>
          <w:rFonts w:hint="eastAsia" w:ascii="宋体" w:hAnsi="宋体"/>
          <w:color w:val="auto"/>
          <w:sz w:val="24"/>
          <w:szCs w:val="24"/>
          <w:highlight w:val="none"/>
        </w:rPr>
        <w:t>对方当事人</w:t>
      </w:r>
      <w:r>
        <w:rPr>
          <w:rFonts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79" w:name="_Toc3638"/>
      <w:bookmarkStart w:id="480" w:name="_Toc24465"/>
      <w:bookmarkStart w:id="481" w:name="_Toc23854"/>
      <w:bookmarkStart w:id="482" w:name="_Toc14115"/>
      <w:bookmarkStart w:id="483" w:name="_Toc25783"/>
      <w:r>
        <w:rPr>
          <w:rFonts w:ascii="宋体" w:hAnsi="宋体"/>
          <w:b/>
          <w:color w:val="auto"/>
          <w:sz w:val="24"/>
          <w:szCs w:val="24"/>
          <w:highlight w:val="none"/>
        </w:rPr>
        <w:t>2.1</w:t>
      </w:r>
      <w:r>
        <w:rPr>
          <w:rFonts w:hint="eastAsia" w:ascii="宋体" w:hAnsi="宋体"/>
          <w:b/>
          <w:color w:val="auto"/>
          <w:sz w:val="24"/>
          <w:szCs w:val="24"/>
          <w:highlight w:val="none"/>
          <w:lang w:val="en-US" w:eastAsia="zh-CN"/>
        </w:rPr>
        <w:t>4</w:t>
      </w:r>
      <w:r>
        <w:rPr>
          <w:rFonts w:ascii="宋体" w:hAnsi="宋体"/>
          <w:b/>
          <w:color w:val="auto"/>
          <w:sz w:val="24"/>
          <w:szCs w:val="24"/>
          <w:highlight w:val="none"/>
        </w:rPr>
        <w:t xml:space="preserve"> 税费</w:t>
      </w:r>
      <w:bookmarkEnd w:id="479"/>
      <w:bookmarkEnd w:id="480"/>
      <w:bookmarkEnd w:id="481"/>
      <w:bookmarkEnd w:id="482"/>
      <w:bookmarkEnd w:id="483"/>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与合同有关的一切税费</w:t>
      </w:r>
      <w:r>
        <w:rPr>
          <w:rFonts w:hint="eastAsia" w:ascii="宋体" w:hAnsi="宋体"/>
          <w:color w:val="auto"/>
          <w:sz w:val="24"/>
          <w:szCs w:val="24"/>
          <w:highlight w:val="none"/>
        </w:rPr>
        <w:t>，</w:t>
      </w:r>
      <w:r>
        <w:rPr>
          <w:rFonts w:ascii="宋体" w:hAnsi="宋体"/>
          <w:color w:val="auto"/>
          <w:sz w:val="24"/>
          <w:szCs w:val="24"/>
          <w:highlight w:val="none"/>
        </w:rPr>
        <w:t>均按照中华人民共和国法律的相关规定缴纳。</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84" w:name="_Toc30105"/>
      <w:bookmarkStart w:id="485" w:name="_Toc25525"/>
      <w:bookmarkStart w:id="486" w:name="_Toc26883"/>
      <w:bookmarkStart w:id="487" w:name="_Toc7315"/>
      <w:bookmarkStart w:id="488" w:name="_Toc14814"/>
      <w:r>
        <w:rPr>
          <w:rFonts w:ascii="宋体" w:hAnsi="宋体"/>
          <w:b/>
          <w:color w:val="auto"/>
          <w:sz w:val="24"/>
          <w:szCs w:val="24"/>
          <w:highlight w:val="none"/>
        </w:rPr>
        <w:t>2.1</w:t>
      </w:r>
      <w:r>
        <w:rPr>
          <w:rFonts w:hint="eastAsia" w:ascii="宋体" w:hAnsi="宋体"/>
          <w:b/>
          <w:color w:val="auto"/>
          <w:sz w:val="24"/>
          <w:szCs w:val="24"/>
          <w:highlight w:val="none"/>
          <w:lang w:val="en-US" w:eastAsia="zh-CN"/>
        </w:rPr>
        <w:t>5</w:t>
      </w:r>
      <w:r>
        <w:rPr>
          <w:rFonts w:ascii="宋体" w:hAnsi="宋体"/>
          <w:b/>
          <w:color w:val="auto"/>
          <w:sz w:val="24"/>
          <w:szCs w:val="24"/>
          <w:highlight w:val="none"/>
        </w:rPr>
        <w:t xml:space="preserve"> 乙方破产</w:t>
      </w:r>
      <w:bookmarkEnd w:id="484"/>
      <w:bookmarkEnd w:id="485"/>
      <w:bookmarkEnd w:id="486"/>
      <w:bookmarkEnd w:id="487"/>
      <w:bookmarkEnd w:id="488"/>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如果乙方破产导致合同无法履行时，甲方可以书面形式通知乙方终止合同且不给予乙方任何补偿和赔偿</w:t>
      </w:r>
      <w:r>
        <w:rPr>
          <w:rFonts w:hint="eastAsia" w:ascii="宋体" w:hAnsi="宋体"/>
          <w:color w:val="auto"/>
          <w:sz w:val="24"/>
          <w:szCs w:val="24"/>
          <w:highlight w:val="none"/>
        </w:rPr>
        <w:t>，但合同的</w:t>
      </w:r>
      <w:r>
        <w:rPr>
          <w:rFonts w:ascii="宋体" w:hAnsi="宋体"/>
          <w:color w:val="auto"/>
          <w:sz w:val="24"/>
          <w:szCs w:val="24"/>
          <w:highlight w:val="none"/>
        </w:rPr>
        <w:t>终止不损害或不影响甲方已经采取或将要采取的任何要求乙方支付违约金</w:t>
      </w:r>
      <w:r>
        <w:rPr>
          <w:rFonts w:hint="eastAsia" w:ascii="宋体" w:hAnsi="宋体"/>
          <w:color w:val="auto"/>
          <w:sz w:val="24"/>
          <w:szCs w:val="24"/>
          <w:highlight w:val="none"/>
        </w:rPr>
        <w:t>、</w:t>
      </w:r>
      <w:r>
        <w:rPr>
          <w:rFonts w:ascii="宋体" w:hAnsi="宋体"/>
          <w:color w:val="auto"/>
          <w:sz w:val="24"/>
          <w:szCs w:val="24"/>
          <w:highlight w:val="none"/>
        </w:rPr>
        <w:t>赔偿损失等的行动或补救措施的权利</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89" w:name="_Toc1123"/>
      <w:bookmarkStart w:id="490" w:name="_Toc2016"/>
      <w:bookmarkStart w:id="491" w:name="_Toc23323"/>
      <w:r>
        <w:rPr>
          <w:rFonts w:ascii="宋体" w:hAnsi="宋体"/>
          <w:b/>
          <w:color w:val="auto"/>
          <w:sz w:val="24"/>
          <w:szCs w:val="24"/>
          <w:highlight w:val="none"/>
        </w:rPr>
        <w:t>2.1</w:t>
      </w:r>
      <w:r>
        <w:rPr>
          <w:rFonts w:hint="eastAsia" w:ascii="宋体" w:hAnsi="宋体"/>
          <w:b/>
          <w:color w:val="auto"/>
          <w:sz w:val="24"/>
          <w:szCs w:val="24"/>
          <w:highlight w:val="none"/>
          <w:lang w:val="en-US" w:eastAsia="zh-CN"/>
        </w:rPr>
        <w:t>6</w:t>
      </w:r>
      <w:r>
        <w:rPr>
          <w:rFonts w:ascii="宋体" w:hAnsi="宋体"/>
          <w:b/>
          <w:color w:val="auto"/>
          <w:sz w:val="24"/>
          <w:szCs w:val="24"/>
          <w:highlight w:val="none"/>
        </w:rPr>
        <w:t xml:space="preserve"> 合同中止、终止</w:t>
      </w:r>
      <w:bookmarkEnd w:id="489"/>
      <w:bookmarkEnd w:id="490"/>
      <w:bookmarkEnd w:id="491"/>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6</w:t>
      </w:r>
      <w:r>
        <w:rPr>
          <w:rFonts w:ascii="宋体" w:hAnsi="宋体"/>
          <w:color w:val="auto"/>
          <w:sz w:val="24"/>
          <w:szCs w:val="24"/>
          <w:highlight w:val="none"/>
        </w:rPr>
        <w:t xml:space="preserve">.1 </w:t>
      </w:r>
      <w:r>
        <w:rPr>
          <w:rFonts w:hint="eastAsia" w:ascii="宋体" w:hAnsi="宋体"/>
          <w:color w:val="auto"/>
          <w:sz w:val="24"/>
          <w:szCs w:val="24"/>
          <w:highlight w:val="none"/>
        </w:rPr>
        <w:t>双方当事人不得擅自中止或者终止合同；</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6</w:t>
      </w:r>
      <w:r>
        <w:rPr>
          <w:rFonts w:ascii="宋体" w:hAnsi="宋体"/>
          <w:color w:val="auto"/>
          <w:sz w:val="24"/>
          <w:szCs w:val="24"/>
          <w:highlight w:val="none"/>
        </w:rPr>
        <w:t>.2合同继续履行将损害国家利益和社会公共利益的，双方当事人应当中止或者终止合同。有过错的一方应当承担赔偿责任，双方当事人都有过错的，各自承担相应的责任。</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92" w:name="_Toc1969"/>
      <w:bookmarkStart w:id="493" w:name="_Toc14525"/>
      <w:bookmarkStart w:id="494" w:name="_Toc17363"/>
      <w:r>
        <w:rPr>
          <w:rFonts w:ascii="宋体" w:hAnsi="宋体"/>
          <w:b/>
          <w:color w:val="auto"/>
          <w:sz w:val="24"/>
          <w:szCs w:val="24"/>
          <w:highlight w:val="none"/>
        </w:rPr>
        <w:t>2.1</w:t>
      </w:r>
      <w:r>
        <w:rPr>
          <w:rFonts w:hint="eastAsia" w:ascii="宋体" w:hAnsi="宋体"/>
          <w:b/>
          <w:color w:val="auto"/>
          <w:sz w:val="24"/>
          <w:szCs w:val="24"/>
          <w:highlight w:val="none"/>
          <w:lang w:val="en-US" w:eastAsia="zh-CN"/>
        </w:rPr>
        <w:t>7</w:t>
      </w:r>
      <w:r>
        <w:rPr>
          <w:rFonts w:ascii="宋体" w:hAnsi="宋体"/>
          <w:b/>
          <w:color w:val="auto"/>
          <w:sz w:val="24"/>
          <w:szCs w:val="24"/>
          <w:highlight w:val="none"/>
        </w:rPr>
        <w:t xml:space="preserve"> 检验和验收</w:t>
      </w:r>
      <w:bookmarkEnd w:id="492"/>
      <w:bookmarkEnd w:id="493"/>
      <w:bookmarkEnd w:id="494"/>
    </w:p>
    <w:p>
      <w:pPr>
        <w:keepNext w:val="0"/>
        <w:keepLines w:val="0"/>
        <w:pageBreakBefore w:val="0"/>
        <w:widowControl w:val="0"/>
        <w:tabs>
          <w:tab w:val="left" w:pos="360"/>
          <w:tab w:val="left" w:pos="540"/>
          <w:tab w:val="left" w:pos="1080"/>
        </w:tabs>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.1 </w:t>
      </w:r>
      <w:r>
        <w:rPr>
          <w:rFonts w:hint="eastAsia" w:ascii="宋体" w:hAnsi="宋体"/>
          <w:color w:val="auto"/>
          <w:sz w:val="24"/>
          <w:szCs w:val="24"/>
          <w:highlight w:val="none"/>
        </w:rPr>
        <w:t>货物交付前，乙方应对货物的质量、数量等方面进行详细、全面的检验，并向甲方出具证明货物符合合同约定的文件；货物交付时，甲方在</w:t>
      </w:r>
      <w:r>
        <w:rPr>
          <w:rFonts w:hint="eastAsia" w:ascii="宋体" w:hAnsi="宋体"/>
          <w:b/>
          <w:i/>
          <w:color w:val="auto"/>
          <w:sz w:val="24"/>
          <w:szCs w:val="24"/>
          <w:highlight w:val="none"/>
          <w:u w:val="single"/>
        </w:rPr>
        <w:t>合同专用条款</w:t>
      </w:r>
      <w:r>
        <w:rPr>
          <w:rFonts w:hint="eastAsia" w:ascii="宋体" w:hAnsi="宋体"/>
          <w:color w:val="auto"/>
          <w:sz w:val="24"/>
          <w:szCs w:val="24"/>
          <w:highlight w:val="none"/>
        </w:rPr>
        <w:t>约定时间内组织验收，并可依法邀请相关方参加，验收应出具验收书；</w:t>
      </w:r>
    </w:p>
    <w:p>
      <w:pPr>
        <w:keepNext w:val="0"/>
        <w:keepLines w:val="0"/>
        <w:pageBreakBefore w:val="0"/>
        <w:widowControl w:val="0"/>
        <w:tabs>
          <w:tab w:val="left" w:pos="360"/>
          <w:tab w:val="left" w:pos="540"/>
          <w:tab w:val="left" w:pos="1080"/>
        </w:tabs>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.2 </w:t>
      </w:r>
      <w:r>
        <w:rPr>
          <w:rFonts w:hint="eastAsia" w:ascii="宋体" w:hAnsi="宋体"/>
          <w:color w:val="auto"/>
          <w:sz w:val="24"/>
          <w:szCs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keepNext w:val="0"/>
        <w:keepLines w:val="0"/>
        <w:pageBreakBefore w:val="0"/>
        <w:widowControl w:val="0"/>
        <w:tabs>
          <w:tab w:val="left" w:pos="360"/>
          <w:tab w:val="left" w:pos="540"/>
          <w:tab w:val="left" w:pos="1080"/>
        </w:tabs>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.3 </w:t>
      </w:r>
      <w:r>
        <w:rPr>
          <w:rFonts w:hint="eastAsia" w:ascii="宋体" w:hAnsi="宋体"/>
          <w:color w:val="auto"/>
          <w:sz w:val="24"/>
          <w:szCs w:val="24"/>
          <w:highlight w:val="none"/>
        </w:rPr>
        <w:t>检验和验收标准、程序等具体内容以及前述验收书的效力详见</w:t>
      </w:r>
      <w:r>
        <w:rPr>
          <w:rFonts w:ascii="宋体" w:hAnsi="宋体"/>
          <w:b/>
          <w:i/>
          <w:color w:val="auto"/>
          <w:sz w:val="24"/>
          <w:szCs w:val="24"/>
          <w:highlight w:val="none"/>
          <w:u w:val="single"/>
        </w:rPr>
        <w:t>合同专用条款</w:t>
      </w:r>
      <w:r>
        <w:rPr>
          <w:rFonts w:hint="eastAsia" w:ascii="宋体" w:hAnsi="宋体"/>
          <w:i/>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495" w:name="_Toc12666"/>
      <w:bookmarkStart w:id="496" w:name="_Toc31892"/>
      <w:bookmarkStart w:id="497" w:name="_Toc25198"/>
      <w:bookmarkStart w:id="498" w:name="_Toc2308"/>
      <w:bookmarkStart w:id="499" w:name="_Toc9808"/>
      <w:r>
        <w:rPr>
          <w:rFonts w:ascii="宋体" w:hAnsi="宋体"/>
          <w:b/>
          <w:color w:val="auto"/>
          <w:sz w:val="24"/>
          <w:szCs w:val="24"/>
          <w:highlight w:val="none"/>
        </w:rPr>
        <w:t>2.1</w:t>
      </w:r>
      <w:r>
        <w:rPr>
          <w:rFonts w:hint="eastAsia" w:ascii="宋体" w:hAnsi="宋体"/>
          <w:b/>
          <w:color w:val="auto"/>
          <w:sz w:val="24"/>
          <w:szCs w:val="24"/>
          <w:highlight w:val="none"/>
          <w:lang w:val="en-US" w:eastAsia="zh-CN"/>
        </w:rPr>
        <w:t>8</w:t>
      </w:r>
      <w:r>
        <w:rPr>
          <w:rFonts w:ascii="宋体" w:hAnsi="宋体"/>
          <w:b/>
          <w:color w:val="auto"/>
          <w:sz w:val="24"/>
          <w:szCs w:val="24"/>
          <w:highlight w:val="none"/>
        </w:rPr>
        <w:t xml:space="preserve"> 通知和送达</w:t>
      </w:r>
      <w:bookmarkEnd w:id="495"/>
      <w:bookmarkEnd w:id="496"/>
      <w:bookmarkEnd w:id="497"/>
      <w:bookmarkEnd w:id="498"/>
      <w:bookmarkEnd w:id="499"/>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bookmarkStart w:id="500" w:name="_Toc18401"/>
      <w:bookmarkStart w:id="501" w:name="_Toc27674"/>
      <w:r>
        <w:rPr>
          <w:rFonts w:ascii="宋体" w:hAnsi="宋体"/>
          <w:color w:val="auto"/>
          <w:sz w:val="24"/>
          <w:szCs w:val="24"/>
          <w:highlight w:val="none"/>
        </w:rPr>
        <w:t>2.1</w:t>
      </w:r>
      <w:r>
        <w:rPr>
          <w:rFonts w:hint="eastAsia" w:ascii="宋体" w:hAnsi="宋体"/>
          <w:color w:val="auto"/>
          <w:sz w:val="24"/>
          <w:szCs w:val="24"/>
          <w:highlight w:val="none"/>
          <w:lang w:val="en-US" w:eastAsia="zh-CN"/>
        </w:rPr>
        <w:t>8</w:t>
      </w:r>
      <w:r>
        <w:rPr>
          <w:rFonts w:ascii="宋体" w:hAnsi="宋体"/>
          <w:color w:val="auto"/>
          <w:sz w:val="24"/>
          <w:szCs w:val="24"/>
          <w:highlight w:val="none"/>
        </w:rPr>
        <w:t>.1</w:t>
      </w:r>
      <w:r>
        <w:rPr>
          <w:rFonts w:hint="eastAsia" w:ascii="宋体" w:hAnsi="宋体"/>
          <w:color w:val="auto"/>
          <w:sz w:val="24"/>
          <w:szCs w:val="24"/>
          <w:highlight w:val="none"/>
        </w:rPr>
        <w:t>任何一方因履行合同而以合同第一部分尾部所列明的传真或电子邮件</w:t>
      </w:r>
      <w:r>
        <w:rPr>
          <w:rFonts w:ascii="宋体" w:hAnsi="宋体"/>
          <w:color w:val="auto"/>
          <w:sz w:val="24"/>
          <w:szCs w:val="24"/>
          <w:highlight w:val="non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发出的所有通知、文件、材料，均视为已向对方当事人送达；任何一方变更上述送达方式或者地址的，应于</w:t>
      </w:r>
      <w:r>
        <w:rPr>
          <w:rFonts w:ascii="宋体" w:hAnsi="宋体"/>
          <w:color w:val="auto"/>
          <w:sz w:val="24"/>
          <w:szCs w:val="24"/>
          <w:highlight w:val="none"/>
          <w:u w:val="single"/>
        </w:rPr>
        <w:t>3</w:t>
      </w:r>
      <w:r>
        <w:rPr>
          <w:rFonts w:hint="eastAsia" w:ascii="宋体" w:hAnsi="宋体"/>
          <w:color w:val="auto"/>
          <w:sz w:val="24"/>
          <w:szCs w:val="24"/>
          <w:highlight w:val="none"/>
        </w:rPr>
        <w:t>个工作日内书面通知对方当事人，在对方当事人收到有关变更通知之前，变更前的约定送达方式或者地址仍视为有效。</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8</w:t>
      </w:r>
      <w:r>
        <w:rPr>
          <w:rFonts w:ascii="宋体" w:hAnsi="宋体"/>
          <w:color w:val="auto"/>
          <w:sz w:val="24"/>
          <w:szCs w:val="24"/>
          <w:highlight w:val="none"/>
        </w:rPr>
        <w:t>.2以当面交付方式送达的，交付之时视为送达；以电子邮件方式送达的，发出电子邮件之时视为送达；以传真方式送达的，发出传真之时视为送达；以邮寄方式送达</w:t>
      </w:r>
      <w:r>
        <w:rPr>
          <w:rFonts w:hint="eastAsia" w:ascii="宋体" w:hAnsi="宋体"/>
          <w:color w:val="auto"/>
          <w:sz w:val="24"/>
          <w:szCs w:val="24"/>
          <w:highlight w:val="none"/>
        </w:rPr>
        <w:t>的，邮件挂号寄出或者交邮之日之次日视为送达。</w:t>
      </w:r>
      <w:bookmarkEnd w:id="500"/>
      <w:bookmarkEnd w:id="501"/>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b/>
          <w:color w:val="auto"/>
          <w:sz w:val="24"/>
          <w:szCs w:val="24"/>
          <w:highlight w:val="none"/>
        </w:rPr>
      </w:pPr>
      <w:bookmarkStart w:id="502" w:name="_Toc28906"/>
      <w:bookmarkStart w:id="503" w:name="_Toc12254"/>
      <w:bookmarkStart w:id="504" w:name="_Toc27644"/>
      <w:bookmarkStart w:id="505" w:name="_Toc5063"/>
      <w:bookmarkStart w:id="506" w:name="_Toc20808"/>
      <w:r>
        <w:rPr>
          <w:rFonts w:ascii="宋体" w:hAnsi="宋体"/>
          <w:b/>
          <w:color w:val="auto"/>
          <w:sz w:val="24"/>
          <w:szCs w:val="24"/>
          <w:highlight w:val="none"/>
        </w:rPr>
        <w:t>2.1</w:t>
      </w:r>
      <w:r>
        <w:rPr>
          <w:rFonts w:hint="eastAsia" w:ascii="宋体" w:hAnsi="宋体"/>
          <w:b/>
          <w:color w:val="auto"/>
          <w:sz w:val="24"/>
          <w:szCs w:val="24"/>
          <w:highlight w:val="none"/>
          <w:lang w:val="en-US" w:eastAsia="zh-CN"/>
        </w:rPr>
        <w:t>9</w:t>
      </w:r>
      <w:r>
        <w:rPr>
          <w:rFonts w:ascii="宋体" w:hAnsi="宋体"/>
          <w:b/>
          <w:color w:val="auto"/>
          <w:sz w:val="24"/>
          <w:szCs w:val="24"/>
          <w:highlight w:val="none"/>
        </w:rPr>
        <w:t xml:space="preserve"> </w:t>
      </w:r>
      <w:r>
        <w:rPr>
          <w:rFonts w:hint="eastAsia" w:ascii="宋体" w:hAnsi="宋体"/>
          <w:b/>
          <w:color w:val="auto"/>
          <w:sz w:val="24"/>
          <w:szCs w:val="24"/>
          <w:highlight w:val="none"/>
        </w:rPr>
        <w:t>合同使用的文字和</w:t>
      </w:r>
      <w:r>
        <w:rPr>
          <w:rFonts w:ascii="宋体" w:hAnsi="宋体"/>
          <w:b/>
          <w:color w:val="auto"/>
          <w:sz w:val="24"/>
          <w:szCs w:val="24"/>
          <w:highlight w:val="none"/>
        </w:rPr>
        <w:t>适用的法律</w:t>
      </w:r>
      <w:bookmarkEnd w:id="502"/>
      <w:bookmarkEnd w:id="503"/>
      <w:bookmarkEnd w:id="504"/>
      <w:bookmarkEnd w:id="505"/>
      <w:bookmarkEnd w:id="506"/>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9</w:t>
      </w:r>
      <w:r>
        <w:rPr>
          <w:rFonts w:ascii="宋体" w:hAnsi="宋体"/>
          <w:color w:val="auto"/>
          <w:sz w:val="24"/>
          <w:szCs w:val="24"/>
          <w:highlight w:val="none"/>
        </w:rPr>
        <w:t>.1 合同使用汉语书就</w:t>
      </w:r>
      <w:r>
        <w:rPr>
          <w:rFonts w:hint="eastAsia" w:ascii="宋体" w:hAnsi="宋体"/>
          <w:color w:val="auto"/>
          <w:sz w:val="24"/>
          <w:szCs w:val="24"/>
          <w:highlight w:val="none"/>
        </w:rPr>
        <w:t>、</w:t>
      </w:r>
      <w:r>
        <w:rPr>
          <w:rFonts w:ascii="宋体" w:hAnsi="宋体"/>
          <w:color w:val="auto"/>
          <w:sz w:val="24"/>
          <w:szCs w:val="24"/>
          <w:highlight w:val="none"/>
        </w:rPr>
        <w:t>变更和解释</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9</w:t>
      </w:r>
      <w:r>
        <w:rPr>
          <w:rFonts w:ascii="宋体" w:hAnsi="宋体"/>
          <w:color w:val="auto"/>
          <w:sz w:val="24"/>
          <w:szCs w:val="24"/>
          <w:highlight w:val="none"/>
        </w:rPr>
        <w:t xml:space="preserve">.2 </w:t>
      </w:r>
      <w:r>
        <w:rPr>
          <w:rFonts w:hint="eastAsia" w:ascii="宋体" w:hAnsi="宋体"/>
          <w:color w:val="auto"/>
          <w:sz w:val="24"/>
          <w:szCs w:val="24"/>
          <w:highlight w:val="none"/>
        </w:rPr>
        <w:t>合同适用</w:t>
      </w:r>
      <w:r>
        <w:rPr>
          <w:rFonts w:ascii="宋体" w:hAnsi="宋体"/>
          <w:color w:val="auto"/>
          <w:sz w:val="24"/>
          <w:szCs w:val="24"/>
          <w:highlight w:val="none"/>
        </w:rPr>
        <w:t>中华人民共和国法律。</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outlineLvl w:val="0"/>
        <w:rPr>
          <w:rFonts w:ascii="宋体" w:hAnsi="宋体" w:cs="宋体"/>
          <w:b/>
          <w:color w:val="auto"/>
          <w:sz w:val="24"/>
          <w:szCs w:val="24"/>
          <w:highlight w:val="none"/>
        </w:rPr>
      </w:pPr>
      <w:bookmarkStart w:id="507" w:name="_Toc18540"/>
      <w:bookmarkStart w:id="508" w:name="_Toc4355"/>
      <w:bookmarkStart w:id="509" w:name="_Toc30599"/>
      <w:r>
        <w:rPr>
          <w:rFonts w:hint="eastAsia" w:ascii="宋体" w:hAnsi="宋体" w:cs="宋体"/>
          <w:b/>
          <w:color w:val="auto"/>
          <w:sz w:val="24"/>
          <w:szCs w:val="24"/>
          <w:highlight w:val="none"/>
        </w:rPr>
        <w:t>2.</w:t>
      </w:r>
      <w:r>
        <w:rPr>
          <w:rFonts w:hint="eastAsia" w:ascii="宋体" w:hAnsi="宋体" w:cs="宋体"/>
          <w:b/>
          <w:color w:val="auto"/>
          <w:sz w:val="24"/>
          <w:szCs w:val="24"/>
          <w:highlight w:val="none"/>
          <w:lang w:val="en-US" w:eastAsia="zh-CN"/>
        </w:rPr>
        <w:t>20</w:t>
      </w:r>
      <w:r>
        <w:rPr>
          <w:rFonts w:hint="eastAsia" w:ascii="宋体" w:hAnsi="宋体" w:cs="宋体"/>
          <w:b/>
          <w:color w:val="auto"/>
          <w:sz w:val="24"/>
          <w:szCs w:val="24"/>
          <w:highlight w:val="none"/>
        </w:rPr>
        <w:t xml:space="preserve"> 计量单位</w:t>
      </w:r>
      <w:bookmarkEnd w:id="507"/>
      <w:bookmarkEnd w:id="508"/>
      <w:bookmarkEnd w:id="509"/>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除技术规范中另有规定外,合同的计量单位均使用国家法定计量单位。</w:t>
      </w:r>
    </w:p>
    <w:p>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ascii="宋体" w:hAnsi="宋体"/>
          <w:b/>
          <w:color w:val="auto"/>
          <w:sz w:val="24"/>
          <w:szCs w:val="24"/>
          <w:highlight w:val="none"/>
        </w:rPr>
      </w:pPr>
      <w:r>
        <w:rPr>
          <w:rFonts w:ascii="宋体" w:hAnsi="宋体"/>
          <w:b/>
          <w:color w:val="auto"/>
          <w:sz w:val="24"/>
          <w:szCs w:val="24"/>
          <w:highlight w:val="none"/>
        </w:rPr>
        <w:t>2.</w:t>
      </w:r>
      <w:r>
        <w:rPr>
          <w:rFonts w:hint="eastAsia" w:ascii="宋体" w:hAnsi="宋体"/>
          <w:b/>
          <w:color w:val="auto"/>
          <w:sz w:val="24"/>
          <w:szCs w:val="24"/>
          <w:highlight w:val="none"/>
          <w:lang w:val="en-US" w:eastAsia="zh-CN"/>
        </w:rPr>
        <w:t>21</w:t>
      </w:r>
      <w:r>
        <w:rPr>
          <w:rFonts w:ascii="宋体" w:hAnsi="宋体"/>
          <w:b/>
          <w:color w:val="auto"/>
          <w:sz w:val="24"/>
          <w:szCs w:val="24"/>
          <w:highlight w:val="none"/>
        </w:rPr>
        <w:t>合同份数</w:t>
      </w:r>
    </w:p>
    <w:p>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ascii="宋体" w:hAnsi="宋体"/>
          <w:color w:val="auto"/>
          <w:sz w:val="24"/>
          <w:szCs w:val="24"/>
          <w:highlight w:val="none"/>
        </w:rPr>
      </w:pPr>
      <w:r>
        <w:rPr>
          <w:rFonts w:ascii="宋体" w:hAnsi="宋体"/>
          <w:color w:val="auto"/>
          <w:sz w:val="24"/>
          <w:szCs w:val="24"/>
          <w:highlight w:val="none"/>
        </w:rPr>
        <w:t>合同份数按</w:t>
      </w:r>
      <w:r>
        <w:rPr>
          <w:rFonts w:ascii="宋体" w:hAnsi="宋体"/>
          <w:b/>
          <w:i/>
          <w:color w:val="auto"/>
          <w:sz w:val="24"/>
          <w:szCs w:val="24"/>
          <w:highlight w:val="none"/>
          <w:u w:val="single"/>
        </w:rPr>
        <w:t>合同专用条款</w:t>
      </w:r>
      <w:r>
        <w:rPr>
          <w:rFonts w:ascii="宋体" w:hAnsi="宋体"/>
          <w:color w:val="auto"/>
          <w:sz w:val="24"/>
          <w:szCs w:val="24"/>
          <w:highlight w:val="none"/>
        </w:rPr>
        <w:t>规定</w:t>
      </w:r>
      <w:r>
        <w:rPr>
          <w:rFonts w:hint="eastAsia" w:ascii="宋体" w:hAnsi="宋体"/>
          <w:color w:val="auto"/>
          <w:sz w:val="24"/>
          <w:szCs w:val="24"/>
          <w:highlight w:val="none"/>
        </w:rPr>
        <w:t>，</w:t>
      </w:r>
      <w:r>
        <w:rPr>
          <w:rFonts w:ascii="宋体" w:hAnsi="宋体"/>
          <w:color w:val="auto"/>
          <w:sz w:val="24"/>
          <w:szCs w:val="24"/>
          <w:highlight w:val="none"/>
        </w:rPr>
        <w:t>每份均具有同等法律效力</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2872" w:firstLineChars="1197"/>
        <w:textAlignment w:val="auto"/>
        <w:outlineLvl w:val="0"/>
        <w:rPr>
          <w:rFonts w:hint="eastAsia" w:ascii="宋体" w:hAnsi="宋体" w:eastAsia="宋体" w:cs="宋体"/>
          <w:b/>
          <w:color w:val="auto"/>
          <w:highlight w:val="none"/>
        </w:rPr>
      </w:pPr>
      <w:r>
        <w:rPr>
          <w:rFonts w:hint="eastAsia" w:ascii="宋体" w:hAnsi="宋体" w:eastAsia="宋体" w:cs="宋体"/>
          <w:color w:val="auto"/>
          <w:kern w:val="0"/>
          <w:sz w:val="24"/>
          <w:szCs w:val="24"/>
          <w:highlight w:val="none"/>
        </w:rPr>
        <w:br w:type="page"/>
      </w:r>
      <w:r>
        <w:rPr>
          <w:rFonts w:hint="eastAsia" w:ascii="宋体" w:hAnsi="宋体" w:eastAsia="宋体" w:cs="宋体"/>
          <w:b/>
          <w:color w:val="auto"/>
          <w:sz w:val="32"/>
          <w:szCs w:val="20"/>
          <w:highlight w:val="none"/>
        </w:rPr>
        <w:t xml:space="preserve"> 第三部分  合同专用条款</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4975" w:type="pct"/>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95"/>
        <w:gridCol w:w="81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Cs/>
                <w:color w:val="auto"/>
                <w:sz w:val="24"/>
                <w:szCs w:val="24"/>
                <w:highlight w:val="none"/>
              </w:rPr>
            </w:pPr>
            <w:r>
              <w:rPr>
                <w:rStyle w:val="352"/>
                <w:rFonts w:hint="eastAsia" w:ascii="宋体" w:hAnsi="宋体" w:eastAsia="宋体" w:cs="宋体"/>
                <w:b w:val="0"/>
                <w:color w:val="auto"/>
                <w:sz w:val="24"/>
                <w:szCs w:val="24"/>
                <w:highlight w:val="none"/>
              </w:rPr>
              <w:t>履约保证金：需要收取保证金的供应商在正式合同签订生效之日起7个工作日内，缴纳保证金至采购人指定账户（可采用银行、保险公司出具保函形式提交）。在验收合格后经回访正常后凭正式收款收据、履约保证金缴款凭证复印件办理结算手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color w:val="auto"/>
                <w:kern w:val="0"/>
                <w:sz w:val="24"/>
                <w:szCs w:val="24"/>
                <w:highlight w:val="none"/>
              </w:rPr>
              <w:t>预付款比例、支付方式、时间</w:t>
            </w:r>
            <w:r>
              <w:rPr>
                <w:rFonts w:hint="eastAsia" w:ascii="宋体" w:hAnsi="宋体" w:eastAsia="宋体" w:cs="宋体"/>
                <w:color w:val="auto"/>
                <w:kern w:val="0"/>
                <w:sz w:val="24"/>
                <w:szCs w:val="24"/>
                <w:highlight w:val="none"/>
                <w:lang w:eastAsia="zh-CN"/>
              </w:rPr>
              <w:t>：</w:t>
            </w:r>
            <w:r>
              <w:rPr>
                <w:rFonts w:hint="eastAsia" w:ascii="宋体" w:hAnsi="宋体" w:eastAsia="宋体" w:cs="宋体"/>
                <w:bCs/>
                <w:color w:val="auto"/>
                <w:sz w:val="24"/>
                <w:szCs w:val="24"/>
                <w:highlight w:val="none"/>
                <w:lang w:val="en-US" w:eastAsia="zh-CN"/>
              </w:rPr>
              <w:t>合同生效以及具备实施条件后7个工作日内</w:t>
            </w:r>
            <w:r>
              <w:rPr>
                <w:rFonts w:hint="eastAsia" w:ascii="宋体" w:hAnsi="宋体" w:eastAsia="宋体" w:cs="宋体"/>
                <w:bCs/>
                <w:color w:val="auto"/>
                <w:sz w:val="24"/>
                <w:szCs w:val="24"/>
                <w:highlight w:val="none"/>
              </w:rPr>
              <w:t>采购人向</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rPr>
              <w:t>支付</w:t>
            </w:r>
            <w:r>
              <w:rPr>
                <w:rFonts w:hint="eastAsia" w:ascii="宋体" w:hAnsi="宋体" w:eastAsia="宋体" w:cs="宋体"/>
                <w:bCs/>
                <w:color w:val="auto"/>
                <w:sz w:val="24"/>
                <w:szCs w:val="24"/>
                <w:highlight w:val="none"/>
                <w:lang w:eastAsia="zh-CN"/>
              </w:rPr>
              <w:t>合同总价</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0%项目预付款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预付款的扣回方式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eastAsia="zh-CN"/>
              </w:rPr>
              <w:t>抵扣项目款</w:t>
            </w:r>
            <w:r>
              <w:rPr>
                <w:rFonts w:hint="eastAsia" w:ascii="宋体" w:hAnsi="宋体" w:eastAsia="宋体" w:cs="宋体"/>
                <w:color w:val="auto"/>
                <w:sz w:val="24"/>
                <w:szCs w:val="24"/>
                <w:highlight w:val="none"/>
                <w:u w:val="non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1.5.3</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预付款的担保措施</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中标人</w:t>
            </w:r>
            <w:r>
              <w:rPr>
                <w:rFonts w:hint="eastAsia" w:ascii="宋体" w:hAnsi="宋体" w:eastAsia="宋体" w:cs="宋体"/>
                <w:bCs/>
                <w:color w:val="auto"/>
                <w:sz w:val="24"/>
                <w:szCs w:val="24"/>
                <w:highlight w:val="none"/>
                <w:lang w:val="zh-CN"/>
              </w:rPr>
              <w:t>需提供相应金额的预付款保函至采购人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资金支付的方式、时间和条件：采购单位根据合同、投标文件等资料进行验收。</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合同签订生效以及具备实施条件后7个工作日内</w:t>
            </w:r>
            <w:r>
              <w:rPr>
                <w:rFonts w:hint="eastAsia" w:ascii="宋体" w:hAnsi="宋体" w:eastAsia="宋体" w:cs="宋体"/>
                <w:color w:val="auto"/>
                <w:sz w:val="24"/>
                <w:szCs w:val="24"/>
                <w:highlight w:val="none"/>
              </w:rPr>
              <w:t>，采购单位向中标单位支付合同价的50%预付款（供应商需提供相应金额的预付款保函至采购单位）；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r>
              <w:rPr>
                <w:rFonts w:hint="eastAsia" w:ascii="宋体" w:hAnsi="宋体" w:eastAsia="宋体" w:cs="宋体"/>
                <w:bCs/>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color w:val="auto"/>
                <w:sz w:val="24"/>
                <w:szCs w:val="24"/>
                <w:highlight w:val="none"/>
              </w:rPr>
              <w:t>交付期限</w:t>
            </w:r>
            <w:r>
              <w:rPr>
                <w:rFonts w:ascii="宋体" w:hAnsi="宋体"/>
                <w:color w:val="auto"/>
                <w:sz w:val="24"/>
                <w:szCs w:val="24"/>
                <w:highlight w:val="none"/>
              </w:rPr>
              <w:t>：</w:t>
            </w:r>
            <w:r>
              <w:rPr>
                <w:rFonts w:hint="eastAsia" w:ascii="宋体" w:hAnsi="宋体"/>
                <w:color w:val="auto"/>
                <w:sz w:val="24"/>
                <w:szCs w:val="24"/>
                <w:highlight w:val="none"/>
              </w:rPr>
              <w:t>签订合同后60日历天内送达并安装完成。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.2 </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交付地点：</w:t>
            </w:r>
            <w:r>
              <w:rPr>
                <w:rFonts w:hint="eastAsia" w:ascii="宋体" w:hAnsi="宋体" w:cs="宋体"/>
                <w:color w:val="auto"/>
                <w:sz w:val="24"/>
                <w:szCs w:val="24"/>
                <w:highlight w:val="none"/>
                <w:lang w:eastAsia="zh-CN"/>
              </w:rPr>
              <w:t>采购人指定地点</w:t>
            </w:r>
            <w:r>
              <w:rPr>
                <w:rFonts w:hint="eastAsia" w:ascii="宋体" w:hAnsi="宋体" w:eastAsia="宋体" w:cs="宋体"/>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color w:val="auto"/>
                <w:sz w:val="24"/>
                <w:szCs w:val="24"/>
                <w:highlight w:val="none"/>
              </w:rPr>
              <w:t>交付方式</w:t>
            </w:r>
            <w:r>
              <w:rPr>
                <w:rFonts w:hint="eastAsia" w:ascii="宋体" w:hAnsi="宋体" w:eastAsia="宋体" w:cs="宋体"/>
                <w:color w:val="auto"/>
                <w:sz w:val="24"/>
                <w:szCs w:val="24"/>
                <w:highlight w:val="none"/>
              </w:rPr>
              <w:t>：提供中标货物的安装、培训和技术指导。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约责任：由于乙方原因(除不可抗力外)不能按期交付合同标的，对超出交付期的每一天，乙方应按合同总价款的千分之三承担违约金，在合同货款支付时一次性扣除。若超出交付期十天(含十天)以上的，甲方有权终止合同，履约保证金不予退还。</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乙方按合同要求</w:t>
            </w:r>
            <w:r>
              <w:rPr>
                <w:rFonts w:hint="eastAsia" w:ascii="宋体" w:hAnsi="宋体" w:eastAsia="宋体" w:cs="宋体"/>
                <w:color w:val="auto"/>
                <w:sz w:val="24"/>
                <w:szCs w:val="24"/>
                <w:highlight w:val="none"/>
                <w:lang w:eastAsia="zh-CN"/>
              </w:rPr>
              <w:t>完成服务后</w:t>
            </w:r>
            <w:r>
              <w:rPr>
                <w:rFonts w:hint="eastAsia" w:ascii="宋体" w:hAnsi="宋体" w:eastAsia="宋体" w:cs="宋体"/>
                <w:color w:val="auto"/>
                <w:sz w:val="24"/>
                <w:szCs w:val="24"/>
                <w:highlight w:val="none"/>
              </w:rPr>
              <w:t>，经验收合格后，甲方超出付款期支付货款的，每逾一天，甲方应向乙方支付合同金额的千分之三的滞纳金。如遇特殊情况甲方要求推迟供货或验收的，必须事先征得乙方的同意，否则应承担由此给乙方造成的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szCs w:val="24"/>
                <w:highlight w:val="none"/>
                <w:u w:val="single"/>
              </w:rPr>
              <w:t xml:space="preserve"> 1.</w:t>
            </w:r>
            <w:r>
              <w:rPr>
                <w:rFonts w:hint="eastAsia" w:ascii="宋体" w:hAnsi="宋体" w:eastAsia="宋体" w:cs="宋体"/>
                <w:b/>
                <w:i/>
                <w:color w:val="auto"/>
                <w:sz w:val="24"/>
                <w:szCs w:val="24"/>
                <w:highlight w:val="none"/>
                <w:u w:val="single"/>
                <w:lang w:val="en-US" w:eastAsia="zh-CN"/>
              </w:rPr>
              <w:t>9</w:t>
            </w:r>
            <w:r>
              <w:rPr>
                <w:rFonts w:hint="eastAsia" w:ascii="宋体" w:hAnsi="宋体" w:eastAsia="宋体" w:cs="宋体"/>
                <w:b/>
                <w:i/>
                <w:color w:val="auto"/>
                <w:sz w:val="24"/>
                <w:szCs w:val="24"/>
                <w:highlight w:val="none"/>
                <w:u w:val="single"/>
              </w:rPr>
              <w:t xml:space="preserve">.2  </w:t>
            </w:r>
            <w:r>
              <w:rPr>
                <w:rFonts w:hint="eastAsia" w:ascii="宋体" w:hAnsi="宋体" w:eastAsia="宋体" w:cs="宋体"/>
                <w:color w:val="auto"/>
                <w:sz w:val="24"/>
                <w:szCs w:val="24"/>
                <w:highlight w:val="none"/>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w:t>
            </w:r>
            <w:r>
              <w:rPr>
                <w:rFonts w:hint="eastAsia" w:ascii="宋体" w:hAnsi="宋体" w:eastAsia="宋体" w:cs="宋体"/>
                <w:b/>
                <w:i/>
                <w:color w:val="auto"/>
                <w:sz w:val="24"/>
                <w:szCs w:val="24"/>
                <w:highlight w:val="none"/>
                <w:u w:val="single"/>
              </w:rPr>
              <w:t>建德市人民法院</w:t>
            </w:r>
            <w:r>
              <w:rPr>
                <w:rFonts w:hint="eastAsia" w:ascii="宋体" w:hAnsi="宋体" w:eastAsia="宋体" w:cs="宋体"/>
                <w:color w:val="auto"/>
                <w:sz w:val="24"/>
                <w:szCs w:val="24"/>
                <w:highlight w:val="none"/>
              </w:rPr>
              <w:t>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具有知识产权的计算机软件等货物的知识产权归属：</w:t>
            </w:r>
            <w:r>
              <w:rPr>
                <w:rFonts w:hint="eastAsia" w:ascii="宋体" w:hAnsi="宋体" w:eastAsia="宋体" w:cs="宋体"/>
                <w:b/>
                <w:bCs/>
                <w:color w:val="auto"/>
                <w:sz w:val="24"/>
                <w:szCs w:val="24"/>
                <w:highlight w:val="none"/>
              </w:rPr>
              <w:t>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color w:val="auto"/>
                <w:sz w:val="24"/>
                <w:szCs w:val="24"/>
                <w:highlight w:val="none"/>
              </w:rPr>
              <w:t xml:space="preserve">2.4.3 </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装运货物的要求和通知</w:t>
            </w:r>
            <w:r>
              <w:rPr>
                <w:rFonts w:hint="eastAsia" w:ascii="宋体" w:hAnsi="宋体"/>
                <w:color w:val="auto"/>
                <w:sz w:val="24"/>
                <w:szCs w:val="24"/>
                <w:highlight w:val="none"/>
                <w:lang w:eastAsia="zh-CN"/>
              </w:rPr>
              <w:t>：</w:t>
            </w:r>
            <w:r>
              <w:rPr>
                <w:rFonts w:hint="eastAsia" w:ascii="宋体" w:hAnsi="宋体"/>
                <w:b/>
                <w:bCs/>
                <w:color w:val="auto"/>
                <w:sz w:val="24"/>
                <w:szCs w:val="24"/>
                <w:highlight w:val="none"/>
                <w:lang w:eastAsia="zh-CN"/>
              </w:rPr>
              <w:t>按乙方投标方案中施工进度要求。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6</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b w:val="0"/>
                <w:bCs/>
                <w:color w:val="auto"/>
                <w:sz w:val="24"/>
                <w:szCs w:val="24"/>
                <w:highlight w:val="none"/>
                <w:lang w:eastAsia="zh-CN"/>
              </w:rPr>
            </w:pPr>
            <w:r>
              <w:rPr>
                <w:rFonts w:ascii="宋体" w:hAnsi="宋体"/>
                <w:b/>
                <w:color w:val="auto"/>
                <w:sz w:val="24"/>
                <w:szCs w:val="24"/>
                <w:highlight w:val="none"/>
              </w:rPr>
              <w:t>结算方式和付款条件</w:t>
            </w:r>
            <w:r>
              <w:rPr>
                <w:rFonts w:hint="eastAsia" w:ascii="宋体" w:hAnsi="宋体"/>
                <w:b/>
                <w:color w:val="auto"/>
                <w:sz w:val="24"/>
                <w:szCs w:val="24"/>
                <w:highlight w:val="none"/>
                <w:lang w:eastAsia="zh-CN"/>
              </w:rPr>
              <w:t>：</w:t>
            </w:r>
            <w:r>
              <w:rPr>
                <w:rFonts w:hint="eastAsia" w:ascii="宋体" w:hAnsi="宋体"/>
                <w:b w:val="0"/>
                <w:bCs/>
                <w:color w:val="auto"/>
                <w:sz w:val="24"/>
                <w:szCs w:val="24"/>
                <w:highlight w:val="none"/>
                <w:lang w:eastAsia="zh-CN"/>
              </w:rPr>
              <w:t>采购单位根据合同、投标文件等资料进行验收。</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b w:val="0"/>
                <w:bCs/>
                <w:color w:val="auto"/>
                <w:sz w:val="24"/>
                <w:szCs w:val="24"/>
                <w:highlight w:val="none"/>
                <w:lang w:eastAsia="zh-CN"/>
              </w:rPr>
              <w:t>合同签订生效以及具备实施条件后7个工作日内，采购单位向中标单位支付合同价的50%预付款（供应商需提供相应金额的预付款保函至采购单位）；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b w:val="0"/>
                <w:bCs/>
                <w:color w:val="auto"/>
                <w:sz w:val="24"/>
                <w:szCs w:val="24"/>
                <w:highlight w:val="none"/>
                <w:lang w:eastAsia="zh-CN"/>
              </w:rPr>
              <w:t xml:space="preserve">2.9 </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b w:val="0"/>
                <w:bCs/>
                <w:color w:val="auto"/>
                <w:sz w:val="24"/>
                <w:szCs w:val="24"/>
                <w:highlight w:val="none"/>
                <w:lang w:eastAsia="zh-CN"/>
              </w:rPr>
            </w:pPr>
            <w:r>
              <w:rPr>
                <w:rFonts w:hint="eastAsia" w:ascii="宋体" w:hAnsi="宋体"/>
                <w:b w:val="0"/>
                <w:bCs/>
                <w:color w:val="auto"/>
                <w:sz w:val="24"/>
                <w:szCs w:val="24"/>
                <w:highlight w:val="none"/>
                <w:lang w:eastAsia="zh-CN"/>
              </w:rPr>
              <w:t>货物或者在途货物或者交付给第一承运人后的货物毁损、灭失的风险负担</w:t>
            </w:r>
            <w:r>
              <w:rPr>
                <w:rFonts w:hint="eastAsia" w:ascii="宋体" w:hAnsi="宋体"/>
                <w:b/>
                <w:bCs w:val="0"/>
                <w:color w:val="auto"/>
                <w:sz w:val="24"/>
                <w:szCs w:val="24"/>
                <w:highlight w:val="none"/>
                <w:lang w:eastAsia="zh-CN"/>
              </w:rPr>
              <w:t>都有乙方自行负责。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.3</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因不可抗力致使合同有变更必要的，双方当事人应在</w:t>
            </w:r>
            <w:r>
              <w:rPr>
                <w:rFonts w:hint="eastAsia" w:ascii="宋体" w:hAnsi="宋体" w:eastAsia="宋体" w:cs="宋体"/>
                <w:b/>
                <w:i/>
                <w:color w:val="auto"/>
                <w:sz w:val="24"/>
                <w:szCs w:val="24"/>
                <w:highlight w:val="none"/>
                <w:u w:val="single"/>
              </w:rPr>
              <w:t>30日</w:t>
            </w:r>
            <w:r>
              <w:rPr>
                <w:rFonts w:hint="eastAsia" w:ascii="宋体" w:hAnsi="宋体" w:eastAsia="宋体" w:cs="宋体"/>
                <w:color w:val="auto"/>
                <w:sz w:val="24"/>
                <w:szCs w:val="24"/>
                <w:highlight w:val="none"/>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w:t>
            </w:r>
          </w:p>
        </w:tc>
        <w:tc>
          <w:tcPr>
            <w:tcW w:w="4506" w:type="pct"/>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受不可抗力影响的一方在不可抗力发生后，应在</w:t>
            </w:r>
            <w:r>
              <w:rPr>
                <w:rFonts w:hint="eastAsia" w:ascii="宋体" w:hAnsi="宋体" w:eastAsia="宋体" w:cs="宋体"/>
                <w:b/>
                <w:i/>
                <w:color w:val="auto"/>
                <w:sz w:val="24"/>
                <w:szCs w:val="24"/>
                <w:highlight w:val="none"/>
                <w:u w:val="single"/>
              </w:rPr>
              <w:t>7日</w:t>
            </w:r>
            <w:r>
              <w:rPr>
                <w:rFonts w:hint="eastAsia" w:ascii="宋体" w:hAnsi="宋体" w:eastAsia="宋体" w:cs="宋体"/>
                <w:color w:val="auto"/>
                <w:sz w:val="24"/>
                <w:szCs w:val="24"/>
                <w:highlight w:val="none"/>
              </w:rPr>
              <w:t>内以书面形式通知对方当事人，并在</w:t>
            </w:r>
            <w:r>
              <w:rPr>
                <w:rFonts w:hint="eastAsia" w:ascii="宋体" w:hAnsi="宋体" w:eastAsia="宋体" w:cs="宋体"/>
                <w:b/>
                <w:i/>
                <w:color w:val="auto"/>
                <w:sz w:val="24"/>
                <w:szCs w:val="24"/>
                <w:highlight w:val="none"/>
                <w:u w:val="single"/>
              </w:rPr>
              <w:t>14日</w:t>
            </w:r>
            <w:r>
              <w:rPr>
                <w:rFonts w:hint="eastAsia" w:ascii="宋体" w:hAnsi="宋体" w:eastAsia="宋体" w:cs="宋体"/>
                <w:color w:val="auto"/>
                <w:sz w:val="24"/>
                <w:szCs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 xml:space="preserve">.1 </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货物交付前，乙方应对货物的质量、数量等方面进行详细、全面的检验，并向甲方出具证明货物符合合同约定的文件；货物交付时，甲方在</w:t>
            </w:r>
            <w:r>
              <w:rPr>
                <w:rFonts w:hint="eastAsia" w:ascii="宋体" w:hAnsi="宋体" w:eastAsia="宋体" w:cs="宋体"/>
                <w:b/>
                <w:bCs/>
                <w:color w:val="auto"/>
                <w:sz w:val="24"/>
                <w:szCs w:val="24"/>
                <w:highlight w:val="none"/>
                <w:u w:val="single"/>
              </w:rPr>
              <w:t>货物安装调试完成3日内</w:t>
            </w:r>
            <w:r>
              <w:rPr>
                <w:rFonts w:hint="eastAsia" w:ascii="宋体" w:hAnsi="宋体" w:eastAsia="宋体" w:cs="宋体"/>
                <w:color w:val="auto"/>
                <w:sz w:val="24"/>
                <w:szCs w:val="24"/>
                <w:highlight w:val="none"/>
              </w:rPr>
              <w:t>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ascii="宋体" w:hAnsi="宋体"/>
                <w:color w:val="auto"/>
                <w:sz w:val="24"/>
                <w:szCs w:val="24"/>
                <w:highlight w:val="none"/>
              </w:rPr>
              <w:t>2.1</w:t>
            </w:r>
            <w:r>
              <w:rPr>
                <w:rFonts w:hint="eastAsia" w:ascii="宋体" w:hAnsi="宋体"/>
                <w:color w:val="auto"/>
                <w:sz w:val="24"/>
                <w:szCs w:val="24"/>
                <w:highlight w:val="none"/>
                <w:lang w:val="en-US" w:eastAsia="zh-CN"/>
              </w:rPr>
              <w:t>7</w:t>
            </w:r>
            <w:r>
              <w:rPr>
                <w:rFonts w:ascii="宋体" w:hAnsi="宋体"/>
                <w:color w:val="auto"/>
                <w:sz w:val="24"/>
                <w:szCs w:val="24"/>
                <w:highlight w:val="none"/>
              </w:rPr>
              <w:t>.3</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eastAsia="zh-CN"/>
              </w:rPr>
              <w:t>检验和验收标准、程序等具体内容以及前述验收书的效力</w:t>
            </w:r>
            <w:r>
              <w:rPr>
                <w:rFonts w:hint="eastAsia" w:ascii="宋体" w:hAnsi="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乙方应提供系统设备的有效检验材料，经采购人认可后，与合同的技术指标一起作为验收标准。甲方对系统设备验收合格后，出具验收报告并在《建德市政府采购物品验收反馈表》上签署意见并加盖单位公章。验收中发现系统设备达不到验收标准或合同规定的技术指标，乙方必须更换，并负担由此给甲方造成的损失，直到验收合格为止。</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2、乙方应于投标书中提供系统设备的验收标准和检测办法，并在验收中提供甲方认可的相应检测手段，验收标准应符合中国有关的国家、地方、行业的标准，如若中标，经甲方确认后作为验收的依据。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49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21</w:t>
            </w:r>
          </w:p>
        </w:tc>
        <w:tc>
          <w:tcPr>
            <w:tcW w:w="4506"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合同份数：</w:t>
            </w:r>
            <w:r>
              <w:rPr>
                <w:rFonts w:hint="eastAsia" w:ascii="宋体" w:hAnsi="宋体" w:eastAsia="宋体" w:cs="宋体"/>
                <w:color w:val="auto"/>
                <w:kern w:val="0"/>
                <w:sz w:val="24"/>
                <w:szCs w:val="24"/>
                <w:highlight w:val="none"/>
              </w:rPr>
              <w:t>本合同壹式陆份，甲、乙双方各执贰份，见证单位壹份，监管部门壹份。</w:t>
            </w:r>
          </w:p>
        </w:tc>
      </w:tr>
    </w:tbl>
    <w:p>
      <w:pPr>
        <w:spacing w:line="360" w:lineRule="auto"/>
        <w:ind w:left="-420" w:leftChars="-200" w:right="-420" w:rightChars="-200" w:firstLine="480" w:firstLineChars="200"/>
        <w:rPr>
          <w:rFonts w:hint="eastAsia" w:ascii="宋体" w:hAnsi="宋体" w:eastAsia="宋体" w:cs="宋体"/>
          <w:color w:val="auto"/>
          <w:sz w:val="24"/>
          <w:highlight w:val="none"/>
        </w:rPr>
      </w:pPr>
    </w:p>
    <w:p>
      <w:pPr>
        <w:spacing w:line="360" w:lineRule="auto"/>
        <w:ind w:left="-420" w:leftChars="-200" w:right="-420" w:rightChars="-200"/>
        <w:rPr>
          <w:rFonts w:hint="eastAsia" w:ascii="宋体" w:hAnsi="宋体" w:eastAsia="宋体" w:cs="宋体"/>
          <w:color w:val="auto"/>
          <w:sz w:val="24"/>
          <w:highlight w:val="none"/>
        </w:rPr>
      </w:pPr>
    </w:p>
    <w:p>
      <w:pPr>
        <w:pStyle w:val="6"/>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360" w:lineRule="auto"/>
        <w:ind w:left="720" w:firstLine="723" w:firstLineChars="200"/>
        <w:outlineLvl w:val="0"/>
        <w:rPr>
          <w:rFonts w:hint="eastAsia" w:ascii="宋体" w:hAnsi="宋体" w:eastAsia="宋体" w:cs="宋体"/>
          <w:b/>
          <w:color w:val="auto"/>
          <w:sz w:val="36"/>
          <w:szCs w:val="20"/>
          <w:highlight w:val="none"/>
        </w:rPr>
      </w:pPr>
    </w:p>
    <w:p>
      <w:pPr>
        <w:spacing w:line="360" w:lineRule="auto"/>
        <w:ind w:left="720" w:firstLine="723" w:firstLineChars="200"/>
        <w:outlineLvl w:val="0"/>
        <w:rPr>
          <w:rFonts w:hint="eastAsia" w:ascii="宋体" w:hAnsi="宋体" w:eastAsia="宋体" w:cs="宋体"/>
          <w:b/>
          <w:color w:val="auto"/>
          <w:sz w:val="36"/>
          <w:szCs w:val="20"/>
          <w:highlight w:val="none"/>
        </w:rPr>
      </w:pPr>
    </w:p>
    <w:p>
      <w:pPr>
        <w:rPr>
          <w:rFonts w:hint="eastAsia"/>
          <w:color w:val="auto"/>
          <w:highlight w:val="none"/>
        </w:rPr>
      </w:pPr>
    </w:p>
    <w:p>
      <w:pPr>
        <w:spacing w:line="360" w:lineRule="auto"/>
        <w:ind w:left="720" w:firstLine="1446" w:firstLineChars="400"/>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6"/>
      <w:r>
        <w:rPr>
          <w:rFonts w:hint="eastAsia" w:ascii="宋体" w:hAnsi="宋体" w:eastAsia="宋体" w:cs="宋体"/>
          <w:b/>
          <w:color w:val="auto"/>
          <w:sz w:val="36"/>
          <w:szCs w:val="20"/>
          <w:highlight w:val="none"/>
        </w:rPr>
        <w:t xml:space="preserve"> </w:t>
      </w:r>
      <w:bookmarkEnd w:id="397"/>
      <w:r>
        <w:rPr>
          <w:rFonts w:hint="eastAsia" w:ascii="宋体" w:hAnsi="宋体" w:eastAsia="宋体" w:cs="宋体"/>
          <w:b/>
          <w:color w:val="auto"/>
          <w:sz w:val="36"/>
          <w:szCs w:val="20"/>
          <w:highlight w:val="none"/>
        </w:rPr>
        <w:t>应提交的有关格式范例</w:t>
      </w:r>
    </w:p>
    <w:p>
      <w:pPr>
        <w:spacing w:line="360" w:lineRule="auto"/>
        <w:jc w:val="center"/>
        <w:outlineLvl w:val="0"/>
        <w:rPr>
          <w:rFonts w:hint="eastAsia" w:ascii="宋体" w:hAnsi="宋体" w:eastAsia="宋体" w:cs="宋体"/>
          <w:b/>
          <w:color w:val="auto"/>
          <w:kern w:val="0"/>
          <w:sz w:val="36"/>
          <w:szCs w:val="36"/>
          <w:highlight w:val="none"/>
        </w:rPr>
      </w:pP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w:t>
      </w:r>
      <w:r>
        <w:rPr>
          <w:rFonts w:hint="eastAsia" w:ascii="宋体" w:hAnsi="宋体" w:cs="宋体"/>
          <w:sz w:val="24"/>
        </w:rPr>
        <w:t>………………………………</w:t>
      </w:r>
      <w:r>
        <w:rPr>
          <w:rFonts w:hint="eastAsia" w:ascii="宋体" w:hAnsi="宋体" w:eastAsia="宋体" w:cs="宋体"/>
          <w:color w:val="auto"/>
          <w:sz w:val="24"/>
          <w:highlight w:val="none"/>
        </w:rPr>
        <w:t>（页码）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pPr>
        <w:snapToGrid w:val="0"/>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pPr>
        <w:snapToGrid w:val="0"/>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sz w:val="24"/>
          <w:highlight w:val="none"/>
        </w:rPr>
        <w:t>：</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JD2023BF-037</w:t>
      </w:r>
      <w:r>
        <w:rPr>
          <w:rFonts w:hint="eastAsia" w:ascii="宋体" w:hAnsi="宋体" w:eastAsia="宋体" w:cs="宋体"/>
          <w:color w:val="auto"/>
          <w:sz w:val="24"/>
          <w:highlight w:val="none"/>
        </w:rPr>
        <w:t>】政府采购活动，郑重承诺：</w:t>
      </w:r>
    </w:p>
    <w:p>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三、落实政府采购政策需满足的资格要求（如果有）</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80"/>
        <w:jc w:val="left"/>
        <w:rPr>
          <w:rFonts w:hint="eastAsia" w:ascii="宋体" w:hAnsi="宋体" w:eastAsia="宋体" w:cs="宋体"/>
          <w:color w:val="auto"/>
          <w:sz w:val="24"/>
          <w:highlight w:val="none"/>
        </w:rPr>
      </w:pPr>
    </w:p>
    <w:p>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pPr>
        <w:widowControl/>
        <w:spacing w:line="360" w:lineRule="auto"/>
        <w:ind w:left="150"/>
        <w:jc w:val="center"/>
        <w:rPr>
          <w:rFonts w:hint="eastAsia" w:ascii="宋体" w:hAnsi="宋体" w:eastAsia="宋体" w:cs="宋体"/>
          <w:b/>
          <w:color w:val="auto"/>
          <w:kern w:val="0"/>
          <w:sz w:val="32"/>
          <w:szCs w:val="32"/>
          <w:highlight w:val="none"/>
        </w:rPr>
      </w:pPr>
    </w:p>
    <w:p>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pPr>
        <w:rPr>
          <w:rFonts w:hint="eastAsia" w:ascii="宋体" w:hAnsi="宋体" w:eastAsia="宋体" w:cs="宋体"/>
          <w:color w:val="auto"/>
          <w:highlight w:val="none"/>
        </w:rPr>
      </w:pPr>
    </w:p>
    <w:p>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pacing w:line="360" w:lineRule="auto"/>
        <w:ind w:right="420"/>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pStyle w:val="6"/>
        <w:rPr>
          <w:rFonts w:hint="eastAsia" w:ascii="宋体" w:hAnsi="宋体" w:eastAsia="宋体" w:cs="宋体"/>
          <w:color w:val="auto"/>
          <w:highlight w:val="none"/>
          <w:lang w:val="en-US"/>
        </w:rPr>
      </w:pPr>
    </w:p>
    <w:p>
      <w:pPr>
        <w:rPr>
          <w:rFonts w:hint="eastAsia" w:ascii="宋体" w:hAnsi="宋体" w:eastAsia="宋体" w:cs="宋体"/>
          <w:color w:val="auto"/>
          <w:highlight w:val="none"/>
        </w:rPr>
      </w:pPr>
    </w:p>
    <w:p>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napToGrid w:val="0"/>
        <w:spacing w:line="240" w:lineRule="auto"/>
        <w:ind w:firstLine="3855"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9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建德市水文水资源监测站</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杭州天恒投资建设管理有限公司</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我方参加你方组织的</w:t>
      </w:r>
      <w:r>
        <w:rPr>
          <w:rFonts w:hint="eastAsia" w:ascii="宋体" w:hAnsi="宋体" w:cs="宋体"/>
          <w:color w:val="auto"/>
          <w:sz w:val="24"/>
          <w:szCs w:val="24"/>
          <w:highlight w:val="none"/>
          <w:lang w:eastAsia="zh-CN"/>
        </w:rPr>
        <w:t>建德市水文测报能力提升项目</w:t>
      </w:r>
      <w:r>
        <w:rPr>
          <w:rFonts w:hint="eastAsia" w:ascii="宋体" w:hAnsi="宋体" w:eastAsia="宋体" w:cs="宋体"/>
          <w:color w:val="auto"/>
          <w:sz w:val="24"/>
          <w:szCs w:val="24"/>
          <w:highlight w:val="none"/>
        </w:rPr>
        <w:t>【招标编号：</w:t>
      </w:r>
      <w:r>
        <w:rPr>
          <w:rFonts w:hint="eastAsia" w:ascii="宋体" w:hAnsi="宋体" w:cs="宋体"/>
          <w:color w:val="auto"/>
          <w:sz w:val="24"/>
          <w:szCs w:val="24"/>
          <w:highlight w:val="none"/>
          <w:lang w:eastAsia="zh-CN"/>
        </w:rPr>
        <w:t>JD2023BF-037</w:t>
      </w:r>
      <w:r>
        <w:rPr>
          <w:rFonts w:hint="eastAsia" w:ascii="宋体" w:hAnsi="宋体" w:eastAsia="宋体" w:cs="宋体"/>
          <w:color w:val="auto"/>
          <w:sz w:val="24"/>
          <w:szCs w:val="24"/>
          <w:highlight w:val="none"/>
        </w:rPr>
        <w:t>】招标的有关活动，并对此项目进行投标。为此：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1、我方承诺投标有效期从提交投标文件的截止之日起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天（不少于90天），本投标文件在投标有效期满之前均具有约束力。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2.1资格文件：</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2.1.1承诺函；</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r>
        <w:rPr>
          <w:rFonts w:hint="eastAsia" w:ascii="宋体" w:hAnsi="宋体" w:eastAsia="宋体" w:cs="宋体"/>
          <w:snapToGrid w:val="0"/>
          <w:color w:val="auto"/>
          <w:kern w:val="28"/>
          <w:sz w:val="24"/>
          <w:szCs w:val="24"/>
          <w:highlight w:val="none"/>
        </w:rPr>
        <w:t>联合协议（如果有)；</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2.1.4本项目的特定资格要求</w:t>
      </w:r>
      <w:r>
        <w:rPr>
          <w:rFonts w:hint="eastAsia" w:ascii="宋体" w:hAnsi="宋体" w:eastAsia="宋体" w:cs="宋体"/>
          <w:snapToGrid w:val="0"/>
          <w:color w:val="auto"/>
          <w:kern w:val="28"/>
          <w:sz w:val="24"/>
          <w:szCs w:val="24"/>
          <w:highlight w:val="none"/>
        </w:rPr>
        <w:t>（如果有）</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商务技术</w:t>
      </w:r>
      <w:r>
        <w:rPr>
          <w:rFonts w:hint="eastAsia" w:ascii="宋体" w:hAnsi="宋体" w:eastAsia="宋体" w:cs="宋体"/>
          <w:color w:val="auto"/>
          <w:sz w:val="24"/>
          <w:szCs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2.2.1投标函；</w:t>
      </w:r>
      <w:r>
        <w:rPr>
          <w:rFonts w:hint="eastAsia" w:ascii="宋体" w:hAnsi="宋体" w:eastAsia="宋体" w:cs="宋体"/>
          <w:color w:val="auto"/>
          <w:sz w:val="24"/>
          <w:szCs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2.2.3分包意向协议</w:t>
      </w:r>
      <w:r>
        <w:rPr>
          <w:rFonts w:hint="eastAsia" w:ascii="宋体" w:hAnsi="宋体" w:eastAsia="宋体" w:cs="宋体"/>
          <w:snapToGrid w:val="0"/>
          <w:color w:val="auto"/>
          <w:kern w:val="28"/>
          <w:sz w:val="24"/>
          <w:szCs w:val="24"/>
          <w:highlight w:val="none"/>
        </w:rPr>
        <w:t>（如果有）</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2.2.4符合性审查资料；</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2.2.5评标标准相应的商务技术资料；</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2.2.6投标标的清单；</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2.2.7商务技术偏离表；</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3报价文件</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2.3.1开标一览表（报价表）；</w:t>
      </w:r>
    </w:p>
    <w:p>
      <w:pPr>
        <w:keepNext w:val="0"/>
        <w:keepLines w:val="0"/>
        <w:pageBreakBefore w:val="0"/>
        <w:widowControl w:val="0"/>
        <w:kinsoku/>
        <w:wordWrap/>
        <w:overflowPunct/>
        <w:topLinePunct w:val="0"/>
        <w:autoSpaceDE/>
        <w:autoSpaceDN/>
        <w:bidi w:val="0"/>
        <w:adjustRightInd w:val="0"/>
        <w:snapToGrid w:val="0"/>
        <w:spacing w:line="390" w:lineRule="exact"/>
        <w:ind w:left="420"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2.3.2中小企业声明函（如果有）。</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39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4、如我方中标，我方承诺：</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390" w:lineRule="exact"/>
        <w:ind w:left="210" w:leftChars="1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5、其他补充说明: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val="0"/>
        <w:spacing w:line="390" w:lineRule="exact"/>
        <w:ind w:firstLine="3600" w:firstLineChars="15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投标人名称（电子签名）：                          </w:t>
      </w:r>
    </w:p>
    <w:p>
      <w:pPr>
        <w:keepNext w:val="0"/>
        <w:keepLines w:val="0"/>
        <w:pageBreakBefore w:val="0"/>
        <w:widowControl w:val="0"/>
        <w:kinsoku/>
        <w:wordWrap/>
        <w:overflowPunct/>
        <w:topLinePunct w:val="0"/>
        <w:autoSpaceDE/>
        <w:autoSpaceDN/>
        <w:bidi w:val="0"/>
        <w:adjustRightInd w:val="0"/>
        <w:spacing w:line="39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pPr>
        <w:keepNext w:val="0"/>
        <w:keepLines w:val="0"/>
        <w:pageBreakBefore w:val="0"/>
        <w:widowControl w:val="0"/>
        <w:kinsoku/>
        <w:wordWrap/>
        <w:overflowPunct/>
        <w:topLinePunct w:val="0"/>
        <w:autoSpaceDE/>
        <w:autoSpaceDN/>
        <w:bidi w:val="0"/>
        <w:adjustRightInd w:val="0"/>
        <w:spacing w:line="390" w:lineRule="exact"/>
        <w:ind w:right="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注：按本格式和要求提供。</w:t>
      </w:r>
    </w:p>
    <w:p>
      <w:pPr>
        <w:jc w:val="center"/>
        <w:rPr>
          <w:rFonts w:hint="eastAsia" w:ascii="宋体" w:hAnsi="宋体" w:eastAsia="宋体" w:cs="宋体"/>
          <w:b/>
          <w:color w:val="auto"/>
          <w:kern w:val="0"/>
          <w:sz w:val="32"/>
          <w:szCs w:val="32"/>
          <w:highlight w:val="none"/>
          <w:lang w:val="zh-CN"/>
        </w:rPr>
      </w:pPr>
    </w:p>
    <w:p>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授权委托书（适用于非联合体投标）</w:t>
      </w:r>
    </w:p>
    <w:p>
      <w:pPr>
        <w:snapToGrid w:val="0"/>
        <w:spacing w:line="360" w:lineRule="auto"/>
        <w:jc w:val="both"/>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JD2023BF-037</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p>
    <w:p>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授权委托书（适用于联合体投标）</w:t>
      </w:r>
    </w:p>
    <w:p>
      <w:pPr>
        <w:pStyle w:val="6"/>
        <w:rPr>
          <w:rFonts w:hint="eastAsia" w:ascii="宋体" w:hAnsi="宋体" w:eastAsia="宋体" w:cs="宋体"/>
          <w:color w:val="auto"/>
          <w:highlight w:val="none"/>
        </w:rPr>
      </w:pP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JD2023BF-037</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政政府采购投标的一切事项，其法律后果由我方承担。</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pPr>
        <w:jc w:val="both"/>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autoSpaceDE w:val="0"/>
        <w:autoSpaceDN w:val="0"/>
        <w:spacing w:line="360" w:lineRule="auto"/>
        <w:jc w:val="center"/>
        <w:rPr>
          <w:rFonts w:hint="eastAsia" w:ascii="宋体" w:hAnsi="宋体" w:eastAsia="宋体" w:cs="宋体"/>
          <w:b/>
          <w:color w:val="auto"/>
          <w:kern w:val="0"/>
          <w:sz w:val="32"/>
          <w:szCs w:val="32"/>
          <w:highlight w:val="none"/>
          <w:lang w:val="zh-CN"/>
        </w:rPr>
      </w:pPr>
    </w:p>
    <w:p>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pPr>
        <w:pStyle w:val="146"/>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082" w:type="dxa"/>
          </w:tcPr>
          <w:p>
            <w:pPr>
              <w:pStyle w:val="146"/>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pPr>
              <w:pStyle w:val="146"/>
              <w:adjustRightInd w:val="0"/>
              <w:spacing w:line="360" w:lineRule="auto"/>
              <w:rPr>
                <w:rFonts w:hint="eastAsia" w:ascii="宋体" w:hAnsi="宋体" w:eastAsia="宋体" w:cs="宋体"/>
                <w:bCs/>
                <w:color w:val="auto"/>
                <w:sz w:val="24"/>
                <w:highlight w:val="none"/>
              </w:rPr>
            </w:pPr>
          </w:p>
        </w:tc>
      </w:tr>
    </w:tbl>
    <w:p>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snapToGrid w:val="0"/>
        <w:spacing w:line="360" w:lineRule="auto"/>
        <w:ind w:right="480"/>
        <w:rPr>
          <w:rFonts w:hint="eastAsia" w:ascii="宋体" w:hAnsi="宋体" w:eastAsia="宋体" w:cs="宋体"/>
          <w:b/>
          <w:color w:val="auto"/>
          <w:kern w:val="0"/>
          <w:sz w:val="32"/>
          <w:szCs w:val="32"/>
          <w:highlight w:val="none"/>
        </w:rPr>
        <w:sectPr>
          <w:headerReference r:id="rId9" w:type="first"/>
          <w:footerReference r:id="rId11" w:type="first"/>
          <w:headerReference r:id="rId8" w:type="default"/>
          <w:footerReference r:id="rId10" w:type="default"/>
          <w:pgSz w:w="11905" w:h="16838"/>
          <w:pgMar w:top="1417" w:right="1417" w:bottom="1417" w:left="1417" w:header="851" w:footer="992" w:gutter="0"/>
          <w:cols w:space="0" w:num="1"/>
          <w:titlePg/>
          <w:rtlGutter w:val="0"/>
          <w:docGrid w:linePitch="312" w:charSpace="0"/>
        </w:sectPr>
      </w:pPr>
    </w:p>
    <w:p>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pPr>
        <w:widowControl/>
        <w:spacing w:line="360" w:lineRule="auto"/>
        <w:ind w:firstLine="120" w:firstLineChars="50"/>
        <w:jc w:val="left"/>
        <w:rPr>
          <w:rFonts w:hint="eastAsia" w:ascii="宋体" w:hAnsi="宋体" w:eastAsia="宋体" w:cs="宋体"/>
          <w:color w:val="auto"/>
          <w:sz w:val="24"/>
          <w:highlight w:val="none"/>
        </w:rPr>
      </w:pPr>
      <w:bookmarkStart w:id="510" w:name="_Hlk101169080"/>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bookmarkEnd w:id="510"/>
    <w:p>
      <w:pPr>
        <w:snapToGrid w:val="0"/>
        <w:spacing w:line="360" w:lineRule="auto"/>
        <w:rPr>
          <w:rFonts w:hint="eastAsia" w:ascii="宋体" w:hAnsi="宋体" w:eastAsia="宋体" w:cs="宋体"/>
          <w:color w:val="auto"/>
          <w:kern w:val="0"/>
          <w:sz w:val="24"/>
          <w:highlight w:val="none"/>
        </w:rPr>
      </w:pPr>
    </w:p>
    <w:p>
      <w:pPr>
        <w:jc w:val="center"/>
        <w:rPr>
          <w:rFonts w:hint="eastAsia" w:ascii="宋体" w:hAnsi="宋体" w:eastAsia="宋体" w:cs="宋体"/>
          <w:b/>
          <w:color w:val="auto"/>
          <w:kern w:val="0"/>
          <w:sz w:val="32"/>
          <w:szCs w:val="32"/>
          <w:highlight w:val="none"/>
        </w:rPr>
      </w:pPr>
    </w:p>
    <w:p>
      <w:pPr>
        <w:pStyle w:val="6"/>
        <w:rPr>
          <w:rFonts w:hint="eastAsia" w:ascii="宋体" w:hAnsi="宋体" w:eastAsia="宋体" w:cs="宋体"/>
          <w:color w:val="auto"/>
          <w:highlight w:val="none"/>
          <w:lang w:val="en-US"/>
        </w:rPr>
      </w:pPr>
    </w:p>
    <w:p>
      <w:pPr>
        <w:rPr>
          <w:rFonts w:hint="eastAsia" w:ascii="宋体" w:hAnsi="宋体" w:eastAsia="宋体" w:cs="宋体"/>
          <w:color w:val="auto"/>
          <w:highlight w:val="none"/>
        </w:rPr>
      </w:pPr>
    </w:p>
    <w:p>
      <w:pPr>
        <w:pStyle w:val="6"/>
        <w:rPr>
          <w:rFonts w:hint="eastAsia" w:ascii="宋体" w:hAnsi="宋体" w:eastAsia="宋体" w:cs="宋体"/>
          <w:color w:val="auto"/>
          <w:highlight w:val="none"/>
          <w:lang w:val="en-US"/>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pPr>
        <w:jc w:val="center"/>
        <w:rPr>
          <w:rFonts w:hint="eastAsia" w:ascii="宋体" w:hAnsi="宋体" w:eastAsia="宋体" w:cs="宋体"/>
          <w:b/>
          <w:color w:val="auto"/>
          <w:kern w:val="0"/>
          <w:sz w:val="32"/>
          <w:szCs w:val="32"/>
          <w:highlight w:val="none"/>
        </w:rPr>
      </w:pPr>
    </w:p>
    <w:tbl>
      <w:tblPr>
        <w:tblStyle w:val="62"/>
        <w:tblW w:w="906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3825"/>
        <w:gridCol w:w="315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585"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3825"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3150"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500"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85"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825" w:type="dxa"/>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3150" w:type="dxa"/>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500" w:type="dxa"/>
          </w:tcPr>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85"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3825" w:type="dxa"/>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3150" w:type="dxa"/>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500" w:type="dxa"/>
          </w:tcPr>
          <w:p>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85"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3825" w:type="dxa"/>
          </w:tcPr>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投标文件满足招标文件的其它实质性要求。</w:t>
            </w:r>
          </w:p>
        </w:tc>
        <w:tc>
          <w:tcPr>
            <w:tcW w:w="3150" w:type="dxa"/>
            <w:vAlign w:val="center"/>
          </w:tcPr>
          <w:p>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招标文件其它实质性要求相应的材料（“▲” 系指实质性要求条款，招标文件无其它实质性要求的，无需提供）</w:t>
            </w:r>
          </w:p>
        </w:tc>
        <w:tc>
          <w:tcPr>
            <w:tcW w:w="1500" w:type="dxa"/>
          </w:tcPr>
          <w:p>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bl>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numPr>
          <w:ilvl w:val="0"/>
          <w:numId w:val="1"/>
        </w:numPr>
        <w:ind w:firstLine="2891" w:firstLineChars="90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投标标的清单</w:t>
      </w:r>
    </w:p>
    <w:tbl>
      <w:tblPr>
        <w:tblStyle w:val="62"/>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数量</w:t>
            </w:r>
          </w:p>
        </w:tc>
        <w:tc>
          <w:tcPr>
            <w:tcW w:w="17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7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7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7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bl>
    <w:p>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pPr>
        <w:jc w:val="center"/>
        <w:rPr>
          <w:rFonts w:hint="eastAsia" w:ascii="宋体" w:hAnsi="宋体" w:eastAsia="宋体" w:cs="宋体"/>
          <w:b/>
          <w:color w:val="auto"/>
          <w:kern w:val="0"/>
          <w:sz w:val="32"/>
          <w:szCs w:val="32"/>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bCs/>
          <w:color w:val="auto"/>
          <w:sz w:val="32"/>
          <w:szCs w:val="32"/>
          <w:highlight w:val="none"/>
        </w:rPr>
      </w:pPr>
    </w:p>
    <w:p>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kern w:val="0"/>
          <w:sz w:val="24"/>
          <w:highlight w:val="none"/>
          <w:lang w:val="zh-CN"/>
        </w:rPr>
        <w:t>：</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pPr>
        <w:spacing w:line="360" w:lineRule="auto"/>
        <w:jc w:val="center"/>
        <w:rPr>
          <w:rFonts w:hint="eastAsia" w:ascii="宋体" w:hAnsi="宋体" w:eastAsia="宋体" w:cs="宋体"/>
          <w:b/>
          <w:bCs/>
          <w:color w:val="auto"/>
          <w:sz w:val="24"/>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spacing w:line="360" w:lineRule="auto"/>
        <w:jc w:val="center"/>
        <w:rPr>
          <w:rFonts w:hint="eastAsia" w:ascii="宋体" w:hAnsi="宋体" w:eastAsia="宋体" w:cs="宋体"/>
          <w:b/>
          <w:bCs/>
          <w:color w:val="auto"/>
          <w:sz w:val="24"/>
          <w:highlight w:val="none"/>
        </w:rPr>
        <w:sectPr>
          <w:headerReference r:id="rId13" w:type="first"/>
          <w:footerReference r:id="rId15" w:type="first"/>
          <w:headerReference r:id="rId12" w:type="default"/>
          <w:footerReference r:id="rId14" w:type="default"/>
          <w:pgSz w:w="11905" w:h="16838"/>
          <w:pgMar w:top="1417" w:right="1417" w:bottom="1417" w:left="1417" w:header="851" w:footer="992" w:gutter="0"/>
          <w:cols w:space="0" w:num="1"/>
          <w:titlePg/>
          <w:rtlGutter w:val="0"/>
          <w:docGrid w:linePitch="312" w:charSpace="0"/>
        </w:sectPr>
      </w:pP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rPr>
          <w:rFonts w:hint="eastAsia" w:ascii="宋体" w:hAnsi="宋体" w:eastAsia="宋体" w:cs="宋体"/>
          <w:color w:val="auto"/>
          <w:sz w:val="24"/>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5" w:h="16838"/>
          <w:pgMar w:top="1417" w:right="1417" w:bottom="1417" w:left="1417" w:header="851" w:footer="992" w:gutter="0"/>
          <w:cols w:space="0" w:num="1"/>
          <w:titlePg/>
          <w:rtlGutter w:val="0"/>
          <w:docGrid w:linePitch="312" w:charSpace="0"/>
        </w:sect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eastAsia="zh-CN"/>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建德市水文水资源监测站</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杭州天恒投资建设管理有限公司</w:t>
      </w:r>
      <w:r>
        <w:rPr>
          <w:rFonts w:hint="eastAsia" w:ascii="宋体" w:hAnsi="宋体" w:eastAsia="宋体" w:cs="宋体"/>
          <w:color w:val="auto"/>
          <w:kern w:val="0"/>
          <w:sz w:val="24"/>
          <w:highlight w:val="none"/>
          <w:lang w:val="zh-CN"/>
        </w:rPr>
        <w:t>：</w:t>
      </w:r>
    </w:p>
    <w:p>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kern w:val="0"/>
          <w:sz w:val="24"/>
          <w:highlight w:val="none"/>
          <w:lang w:val="zh-CN"/>
        </w:rPr>
        <w:t>【招标编号：</w:t>
      </w:r>
      <w:r>
        <w:rPr>
          <w:rFonts w:hint="eastAsia" w:ascii="宋体" w:hAnsi="宋体" w:cs="宋体"/>
          <w:color w:val="auto"/>
          <w:sz w:val="24"/>
          <w:highlight w:val="none"/>
          <w:lang w:eastAsia="zh-CN"/>
        </w:rPr>
        <w:t>JD2023BF-037</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2"/>
        <w:tblW w:w="13995"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992"/>
        <w:gridCol w:w="2268"/>
        <w:gridCol w:w="2410"/>
        <w:gridCol w:w="2268"/>
        <w:gridCol w:w="2126"/>
        <w:gridCol w:w="1458"/>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992"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2268" w:type="dxa"/>
            <w:vAlign w:val="top"/>
          </w:tcPr>
          <w:p>
            <w:pPr>
              <w:spacing w:line="360" w:lineRule="auto"/>
              <w:jc w:val="center"/>
              <w:rPr>
                <w:rFonts w:ascii="宋体" w:hAnsi="宋体" w:cs="宋体"/>
                <w:b/>
                <w:color w:val="000000" w:themeColor="text1"/>
                <w:sz w:val="24"/>
                <w14:textFill>
                  <w14:solidFill>
                    <w14:schemeClr w14:val="tx1"/>
                  </w14:solidFill>
                </w14:textFill>
              </w:rPr>
            </w:pPr>
          </w:p>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品牌（如果有）</w:t>
            </w:r>
          </w:p>
        </w:tc>
        <w:tc>
          <w:tcPr>
            <w:tcW w:w="2410" w:type="dxa"/>
            <w:vAlign w:val="center"/>
          </w:tcPr>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规格型号</w:t>
            </w:r>
          </w:p>
        </w:tc>
        <w:tc>
          <w:tcPr>
            <w:tcW w:w="2268" w:type="dxa"/>
            <w:vAlign w:val="center"/>
          </w:tcPr>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数量</w:t>
            </w:r>
          </w:p>
        </w:tc>
        <w:tc>
          <w:tcPr>
            <w:tcW w:w="2126" w:type="dxa"/>
            <w:vAlign w:val="center"/>
          </w:tcPr>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单价</w:t>
            </w:r>
          </w:p>
        </w:tc>
        <w:tc>
          <w:tcPr>
            <w:tcW w:w="1458" w:type="dxa"/>
            <w:vAlign w:val="center"/>
          </w:tcPr>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合计</w:t>
            </w:r>
          </w:p>
        </w:tc>
        <w:tc>
          <w:tcPr>
            <w:tcW w:w="1755" w:type="dxa"/>
            <w:vAlign w:val="center"/>
          </w:tcPr>
          <w:p>
            <w:pPr>
              <w:spacing w:line="360" w:lineRule="auto"/>
              <w:jc w:val="center"/>
              <w:rPr>
                <w:rFonts w:ascii="宋体" w:hAnsi="宋体" w:cs="宋体"/>
                <w:b/>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备注（如果有）</w:t>
            </w:r>
          </w:p>
          <w:p>
            <w:pPr>
              <w:spacing w:line="360" w:lineRule="auto"/>
              <w:jc w:val="center"/>
              <w:rPr>
                <w:rFonts w:ascii="宋体" w:hAnsi="宋体" w:eastAsia="宋体" w:cs="宋体"/>
                <w:b/>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8"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992"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8"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992"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8"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992"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8" w:type="dxa"/>
            <w:vAlign w:val="center"/>
          </w:tcPr>
          <w:p>
            <w:pPr>
              <w:spacing w:line="360" w:lineRule="auto"/>
              <w:jc w:val="center"/>
              <w:rPr>
                <w:rFonts w:ascii="宋体" w:hAnsi="宋体" w:cs="宋体"/>
                <w:color w:val="auto"/>
                <w:sz w:val="24"/>
                <w:highlight w:val="none"/>
              </w:rPr>
            </w:pPr>
          </w:p>
        </w:tc>
        <w:tc>
          <w:tcPr>
            <w:tcW w:w="992"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8" w:type="dxa"/>
            <w:vAlign w:val="center"/>
          </w:tcPr>
          <w:p>
            <w:pPr>
              <w:spacing w:line="360" w:lineRule="auto"/>
              <w:jc w:val="center"/>
              <w:rPr>
                <w:rFonts w:ascii="宋体" w:hAnsi="宋体" w:cs="宋体"/>
                <w:color w:val="auto"/>
                <w:sz w:val="24"/>
                <w:highlight w:val="none"/>
              </w:rPr>
            </w:pPr>
          </w:p>
        </w:tc>
        <w:tc>
          <w:tcPr>
            <w:tcW w:w="992"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410" w:type="dxa"/>
            <w:vAlign w:val="center"/>
          </w:tcPr>
          <w:p>
            <w:pPr>
              <w:snapToGrid w:val="0"/>
              <w:spacing w:line="360" w:lineRule="auto"/>
              <w:jc w:val="center"/>
              <w:rPr>
                <w:rFonts w:ascii="宋体" w:hAnsi="宋体" w:cs="宋体"/>
                <w:color w:val="auto"/>
                <w:sz w:val="24"/>
                <w:highlight w:val="none"/>
              </w:rPr>
            </w:pPr>
          </w:p>
        </w:tc>
        <w:tc>
          <w:tcPr>
            <w:tcW w:w="2268" w:type="dxa"/>
            <w:vAlign w:val="center"/>
          </w:tcPr>
          <w:p>
            <w:pPr>
              <w:snapToGrid w:val="0"/>
              <w:spacing w:line="360" w:lineRule="auto"/>
              <w:jc w:val="center"/>
              <w:rPr>
                <w:rFonts w:ascii="宋体" w:hAnsi="宋体" w:cs="宋体"/>
                <w:color w:val="auto"/>
                <w:sz w:val="24"/>
                <w:highlight w:val="none"/>
              </w:rPr>
            </w:pPr>
          </w:p>
        </w:tc>
        <w:tc>
          <w:tcPr>
            <w:tcW w:w="2126" w:type="dxa"/>
            <w:vAlign w:val="center"/>
          </w:tcPr>
          <w:p>
            <w:pPr>
              <w:spacing w:line="360" w:lineRule="auto"/>
              <w:jc w:val="center"/>
              <w:rPr>
                <w:rFonts w:ascii="宋体" w:hAnsi="宋体" w:cs="宋体"/>
                <w:color w:val="auto"/>
                <w:sz w:val="24"/>
                <w:highlight w:val="none"/>
              </w:rPr>
            </w:pPr>
          </w:p>
        </w:tc>
        <w:tc>
          <w:tcPr>
            <w:tcW w:w="1458" w:type="dxa"/>
          </w:tcPr>
          <w:p>
            <w:pPr>
              <w:spacing w:line="360" w:lineRule="auto"/>
              <w:jc w:val="center"/>
              <w:rPr>
                <w:rFonts w:ascii="宋体" w:hAnsi="宋体" w:cs="宋体"/>
                <w:color w:val="auto"/>
                <w:sz w:val="24"/>
                <w:highlight w:val="none"/>
              </w:rPr>
            </w:pPr>
          </w:p>
        </w:tc>
        <w:tc>
          <w:tcPr>
            <w:tcW w:w="1755"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388"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07" w:type="dxa"/>
            <w:gridSpan w:val="4"/>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388"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07" w:type="dxa"/>
            <w:gridSpan w:val="4"/>
          </w:tcPr>
          <w:p>
            <w:pPr>
              <w:spacing w:line="360" w:lineRule="auto"/>
              <w:jc w:val="center"/>
              <w:rPr>
                <w:rFonts w:ascii="宋体" w:hAnsi="宋体" w:cs="宋体"/>
                <w:color w:val="auto"/>
                <w:sz w:val="24"/>
                <w:highlight w:val="none"/>
              </w:rPr>
            </w:pPr>
          </w:p>
        </w:tc>
      </w:tr>
    </w:tbl>
    <w:p>
      <w:pPr>
        <w:pStyle w:val="6"/>
        <w:rPr>
          <w:rFonts w:hint="eastAsia"/>
          <w:color w:val="auto"/>
          <w:highlight w:val="none"/>
          <w:lang w:val="zh-CN"/>
        </w:rPr>
      </w:pPr>
    </w:p>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color w:val="auto"/>
          <w:kern w:val="0"/>
          <w:sz w:val="24"/>
          <w:highlight w:val="none"/>
          <w:lang w:val="zh-CN"/>
        </w:rPr>
        <w:t>1、</w:t>
      </w:r>
      <w:r>
        <w:rPr>
          <w:rFonts w:hint="eastAsia" w:ascii="宋体" w:hAnsi="宋体" w:cs="宋体"/>
          <w:kern w:val="0"/>
          <w:sz w:val="24"/>
          <w:lang w:val="zh-CN"/>
        </w:rPr>
        <w:t>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000000" w:themeColor="text1"/>
          <w:kern w:val="0"/>
          <w:sz w:val="24"/>
          <w:szCs w:val="22"/>
          <w:lang w:val="zh-CN"/>
          <w14:textFill>
            <w14:solidFill>
              <w14:schemeClr w14:val="tx1"/>
            </w14:solidFill>
          </w14:textFill>
        </w:rPr>
        <w:t>4</w:t>
      </w:r>
      <w:r>
        <w:rPr>
          <w:rFonts w:hint="eastAsia" w:ascii="宋体" w:hAnsi="宋体" w:cs="宋体"/>
          <w:color w:val="000000" w:themeColor="text1"/>
          <w:kern w:val="0"/>
          <w:sz w:val="24"/>
          <w:szCs w:val="22"/>
          <w:lang w:val="zh-CN"/>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r>
        <w:rPr>
          <w:rFonts w:hint="eastAsia" w:ascii="宋体" w:hAnsi="宋体" w:cs="宋体"/>
          <w:color w:val="auto"/>
          <w:kern w:val="0"/>
          <w:sz w:val="24"/>
          <w:highlight w:val="none"/>
          <w:lang w:val="zh-CN"/>
        </w:rPr>
        <w:t>。</w:t>
      </w:r>
    </w:p>
    <w:p>
      <w:pPr>
        <w:spacing w:line="360" w:lineRule="auto"/>
        <w:ind w:firstLine="482" w:firstLineChars="200"/>
        <w:rPr>
          <w:rFonts w:hint="eastAsia" w:ascii="宋体" w:hAnsi="宋体" w:eastAsia="宋体" w:cs="宋体"/>
          <w:b/>
          <w:color w:val="auto"/>
          <w:kern w:val="0"/>
          <w:sz w:val="24"/>
          <w:highlight w:val="none"/>
        </w:r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pPr>
        <w:snapToGrid w:val="0"/>
        <w:spacing w:line="360" w:lineRule="auto"/>
        <w:ind w:firstLine="480" w:firstLineChars="200"/>
        <w:jc w:val="left"/>
        <w:rPr>
          <w:rFonts w:ascii="宋体" w:hAnsi="宋体" w:cs="宋体"/>
          <w:color w:val="auto"/>
          <w:kern w:val="0"/>
          <w:sz w:val="24"/>
          <w:highlight w:val="none"/>
          <w:lang w:val="zh-CN"/>
        </w:rPr>
      </w:pPr>
    </w:p>
    <w:p>
      <w:pPr>
        <w:pStyle w:val="5"/>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sectPr>
          <w:headerReference r:id="rId21" w:type="first"/>
          <w:footerReference r:id="rId24" w:type="first"/>
          <w:headerReference r:id="rId20" w:type="default"/>
          <w:footerReference r:id="rId22" w:type="default"/>
          <w:footerReference r:id="rId23" w:type="even"/>
          <w:pgSz w:w="16838" w:h="11905" w:orient="landscape"/>
          <w:pgMar w:top="1417" w:right="1417" w:bottom="1417" w:left="1417" w:header="851" w:footer="992" w:gutter="0"/>
          <w:cols w:space="0" w:num="1"/>
          <w:titlePg/>
          <w:rtlGutter w:val="0"/>
          <w:docGrid w:linePitch="312" w:charSpace="0"/>
        </w:sectPr>
      </w:pPr>
      <w:bookmarkStart w:id="511" w:name="_Toc465665161"/>
    </w:p>
    <w:p>
      <w:pPr>
        <w:pStyle w:val="5"/>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bookmarkEnd w:id="511"/>
    </w:p>
    <w:p>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pPr>
        <w:spacing w:line="360" w:lineRule="auto"/>
        <w:jc w:val="center"/>
        <w:rPr>
          <w:rFonts w:hint="eastAsia" w:ascii="宋体" w:hAnsi="宋体" w:eastAsia="宋体" w:cs="宋体"/>
          <w:b/>
          <w:color w:val="auto"/>
          <w:spacing w:val="6"/>
          <w:sz w:val="32"/>
          <w:szCs w:val="32"/>
          <w:highlight w:val="none"/>
        </w:rPr>
      </w:pPr>
      <w:bookmarkStart w:id="512" w:name="OLE_LINK13"/>
      <w:bookmarkStart w:id="513" w:name="OLE_LINK14"/>
      <w:r>
        <w:rPr>
          <w:rFonts w:hint="eastAsia" w:ascii="宋体" w:hAnsi="宋体" w:eastAsia="宋体" w:cs="宋体"/>
          <w:b/>
          <w:color w:val="auto"/>
          <w:spacing w:val="6"/>
          <w:sz w:val="32"/>
          <w:szCs w:val="32"/>
          <w:highlight w:val="none"/>
        </w:rPr>
        <w:t>残疾人福利性单位声明函</w:t>
      </w:r>
    </w:p>
    <w:bookmarkEnd w:id="512"/>
    <w:bookmarkEnd w:id="513"/>
    <w:p>
      <w:pPr>
        <w:spacing w:line="360" w:lineRule="auto"/>
        <w:rPr>
          <w:rFonts w:hint="eastAsia" w:ascii="宋体" w:hAnsi="宋体" w:eastAsia="宋体" w:cs="宋体"/>
          <w:b/>
          <w:color w:val="auto"/>
          <w:spacing w:val="6"/>
          <w:sz w:val="30"/>
          <w:szCs w:val="30"/>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jc w:val="center"/>
        <w:rPr>
          <w:rFonts w:hint="eastAsia" w:ascii="宋体" w:hAnsi="宋体" w:eastAsia="宋体" w:cs="宋体"/>
          <w:b/>
          <w:bCs/>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color w:val="auto"/>
          <w:sz w:val="30"/>
          <w:szCs w:val="30"/>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color w:val="auto"/>
          <w:sz w:val="24"/>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pPr>
        <w:spacing w:line="360" w:lineRule="auto"/>
        <w:rPr>
          <w:rFonts w:hint="eastAsia" w:ascii="宋体" w:hAnsi="宋体" w:eastAsia="宋体" w:cs="宋体"/>
          <w:color w:val="auto"/>
          <w:sz w:val="24"/>
          <w:highlight w:val="none"/>
          <w:u w:val="single"/>
        </w:rPr>
      </w:pPr>
    </w:p>
    <w:p>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u w:val="single"/>
          <w:lang w:eastAsia="zh-CN"/>
        </w:rPr>
        <w:t>建德市水文水资源监测站</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杭州天恒投资建设管理有限公司</w:t>
      </w:r>
      <w:r>
        <w:rPr>
          <w:rFonts w:hint="eastAsia" w:ascii="宋体" w:hAnsi="宋体" w:eastAsia="宋体" w:cs="宋体"/>
          <w:color w:val="auto"/>
          <w:sz w:val="24"/>
          <w:highlight w:val="none"/>
          <w:u w:val="singl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项目【招标编号：</w:t>
      </w:r>
      <w:r>
        <w:rPr>
          <w:rFonts w:hint="eastAsia" w:ascii="宋体" w:hAnsi="宋体" w:cs="宋体"/>
          <w:color w:val="auto"/>
          <w:sz w:val="24"/>
          <w:highlight w:val="none"/>
          <w:lang w:eastAsia="zh-CN"/>
        </w:rPr>
        <w:t>JD2023BF-037</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附件5：联合协议</w:t>
      </w:r>
    </w:p>
    <w:p>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cs="宋体"/>
          <w:color w:val="auto"/>
          <w:sz w:val="24"/>
          <w:highlight w:val="none"/>
          <w:lang w:eastAsia="zh-CN"/>
        </w:rPr>
        <w:t>建德市水文测报能力提升项目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JD2023BF-037</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pPr>
        <w:snapToGrid w:val="0"/>
        <w:spacing w:line="360" w:lineRule="auto"/>
        <w:ind w:firstLine="576"/>
        <w:rPr>
          <w:rFonts w:hint="eastAsia" w:ascii="宋体" w:hAnsi="宋体" w:eastAsia="宋体" w:cs="宋体"/>
          <w:color w:val="auto"/>
          <w:kern w:val="0"/>
          <w:sz w:val="24"/>
          <w:highlight w:val="none"/>
          <w:lang w:val="zh-CN"/>
        </w:rPr>
      </w:pPr>
      <w:bookmarkStart w:id="514"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514"/>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附件6：分包意向协议</w:t>
      </w:r>
    </w:p>
    <w:p>
      <w:pPr>
        <w:pageBreakBefore w:val="0"/>
        <w:widowControl/>
        <w:kinsoku/>
        <w:wordWrap/>
        <w:overflowPunct/>
        <w:topLinePunct w:val="0"/>
        <w:bidi w:val="0"/>
        <w:spacing w:line="390" w:lineRule="exact"/>
        <w:ind w:firstLine="120" w:firstLineChars="5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szCs w:val="24"/>
          <w:highlight w:val="none"/>
        </w:rPr>
        <w:t>）</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u w:val="single"/>
        </w:rPr>
        <w:t>（投标人名称）</w:t>
      </w:r>
      <w:r>
        <w:rPr>
          <w:rFonts w:hint="eastAsia" w:ascii="宋体" w:hAnsi="宋体" w:eastAsia="宋体" w:cs="宋体"/>
          <w:color w:val="auto"/>
          <w:kern w:val="0"/>
          <w:sz w:val="24"/>
          <w:szCs w:val="24"/>
          <w:highlight w:val="none"/>
          <w:lang w:val="zh-CN"/>
        </w:rPr>
        <w:t>若成为</w:t>
      </w:r>
      <w:r>
        <w:rPr>
          <w:rFonts w:hint="eastAsia" w:ascii="宋体" w:hAnsi="宋体" w:cs="宋体"/>
          <w:color w:val="auto"/>
          <w:sz w:val="24"/>
          <w:szCs w:val="24"/>
          <w:highlight w:val="none"/>
          <w:lang w:eastAsia="zh-CN"/>
        </w:rPr>
        <w:t>建德市水文测报能力提升项目</w:t>
      </w:r>
      <w:r>
        <w:rPr>
          <w:rFonts w:hint="eastAsia" w:ascii="宋体" w:hAnsi="宋体" w:eastAsia="宋体" w:cs="宋体"/>
          <w:color w:val="auto"/>
          <w:sz w:val="24"/>
          <w:szCs w:val="24"/>
          <w:highlight w:val="none"/>
        </w:rPr>
        <w:t>【招标编号：</w:t>
      </w:r>
      <w:r>
        <w:rPr>
          <w:rFonts w:hint="eastAsia" w:ascii="宋体" w:hAnsi="宋体" w:cs="宋体"/>
          <w:color w:val="auto"/>
          <w:sz w:val="24"/>
          <w:szCs w:val="24"/>
          <w:highlight w:val="none"/>
          <w:lang w:eastAsia="zh-CN"/>
        </w:rPr>
        <w:t>JD2023BF-037</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val="zh-CN"/>
        </w:rPr>
        <w:t>的中标供应商，将依法采取分包方式履行合同。</w:t>
      </w:r>
      <w:r>
        <w:rPr>
          <w:rFonts w:hint="eastAsia" w:ascii="宋体" w:hAnsi="宋体" w:eastAsia="宋体" w:cs="宋体"/>
          <w:color w:val="auto"/>
          <w:kern w:val="0"/>
          <w:sz w:val="24"/>
          <w:szCs w:val="24"/>
          <w:highlight w:val="none"/>
          <w:u w:val="single"/>
        </w:rPr>
        <w:t>（投标人名称）</w:t>
      </w:r>
      <w:r>
        <w:rPr>
          <w:rFonts w:hint="eastAsia" w:ascii="宋体" w:hAnsi="宋体" w:eastAsia="宋体" w:cs="宋体"/>
          <w:color w:val="auto"/>
          <w:kern w:val="0"/>
          <w:sz w:val="24"/>
          <w:szCs w:val="24"/>
          <w:highlight w:val="none"/>
        </w:rPr>
        <w:t>与</w:t>
      </w:r>
      <w:r>
        <w:rPr>
          <w:rFonts w:hint="eastAsia" w:ascii="宋体" w:hAnsi="宋体" w:eastAsia="宋体" w:cs="宋体"/>
          <w:color w:val="auto"/>
          <w:kern w:val="0"/>
          <w:sz w:val="24"/>
          <w:szCs w:val="24"/>
          <w:highlight w:val="none"/>
          <w:u w:val="single"/>
        </w:rPr>
        <w:t>（所有分包供应商名称）</w:t>
      </w:r>
      <w:r>
        <w:rPr>
          <w:rFonts w:hint="eastAsia" w:ascii="宋体" w:hAnsi="宋体" w:eastAsia="宋体" w:cs="宋体"/>
          <w:color w:val="auto"/>
          <w:kern w:val="0"/>
          <w:sz w:val="24"/>
          <w:szCs w:val="24"/>
          <w:highlight w:val="none"/>
        </w:rPr>
        <w:t>达成分包意向协议</w:t>
      </w:r>
      <w:r>
        <w:rPr>
          <w:rFonts w:hint="eastAsia" w:ascii="宋体" w:hAnsi="宋体" w:eastAsia="宋体" w:cs="宋体"/>
          <w:color w:val="auto"/>
          <w:kern w:val="0"/>
          <w:sz w:val="24"/>
          <w:szCs w:val="24"/>
          <w:highlight w:val="none"/>
          <w:lang w:val="zh-CN"/>
        </w:rPr>
        <w:t xml:space="preserve">。 </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一、分包标的及数量</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u w:val="single"/>
        </w:rPr>
        <w:t>（投标人名称）</w:t>
      </w:r>
      <w:r>
        <w:rPr>
          <w:rFonts w:hint="eastAsia" w:ascii="宋体" w:hAnsi="宋体" w:eastAsia="宋体" w:cs="宋体"/>
          <w:color w:val="auto"/>
          <w:kern w:val="0"/>
          <w:sz w:val="24"/>
          <w:szCs w:val="24"/>
          <w:highlight w:val="none"/>
          <w:lang w:val="zh-CN"/>
        </w:rPr>
        <w:t>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rPr>
        <w:t xml:space="preserve">  XX工作内容   </w:t>
      </w:r>
      <w:r>
        <w:rPr>
          <w:rFonts w:hint="eastAsia" w:ascii="宋体" w:hAnsi="宋体" w:eastAsia="宋体" w:cs="宋体"/>
          <w:color w:val="auto"/>
          <w:sz w:val="24"/>
          <w:szCs w:val="24"/>
          <w:highlight w:val="none"/>
        </w:rPr>
        <w:t>分包给</w:t>
      </w:r>
      <w:r>
        <w:rPr>
          <w:rFonts w:hint="eastAsia" w:ascii="宋体" w:hAnsi="宋体" w:eastAsia="宋体" w:cs="宋体"/>
          <w:color w:val="auto"/>
          <w:kern w:val="0"/>
          <w:sz w:val="24"/>
          <w:szCs w:val="24"/>
          <w:highlight w:val="none"/>
          <w:u w:val="single"/>
        </w:rPr>
        <w:t>（分包供应商1名称）</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u w:val="single"/>
        </w:rPr>
        <w:t>（分包供应商1名称），</w:t>
      </w:r>
      <w:r>
        <w:rPr>
          <w:rFonts w:hint="eastAsia" w:ascii="宋体" w:hAnsi="宋体" w:eastAsia="宋体" w:cs="宋体"/>
          <w:color w:val="auto"/>
          <w:kern w:val="0"/>
          <w:sz w:val="24"/>
          <w:szCs w:val="24"/>
          <w:highlight w:val="none"/>
          <w:lang w:val="zh-CN"/>
        </w:rPr>
        <w:t>具备承</w:t>
      </w:r>
      <w:r>
        <w:rPr>
          <w:rFonts w:hint="eastAsia" w:ascii="宋体" w:hAnsi="宋体" w:eastAsia="宋体" w:cs="宋体"/>
          <w:color w:val="auto"/>
          <w:kern w:val="0"/>
          <w:sz w:val="24"/>
          <w:szCs w:val="24"/>
          <w:highlight w:val="none"/>
        </w:rPr>
        <w:t>担</w:t>
      </w:r>
      <w:r>
        <w:rPr>
          <w:rFonts w:hint="eastAsia" w:ascii="宋体" w:hAnsi="宋体" w:eastAsia="宋体" w:cs="宋体"/>
          <w:color w:val="auto"/>
          <w:kern w:val="0"/>
          <w:sz w:val="24"/>
          <w:szCs w:val="24"/>
          <w:highlight w:val="none"/>
          <w:u w:val="single"/>
          <w:lang w:val="zh-CN"/>
        </w:rPr>
        <w:t>XX工作内容</w:t>
      </w:r>
      <w:r>
        <w:rPr>
          <w:rFonts w:hint="eastAsia" w:ascii="宋体" w:hAnsi="宋体" w:eastAsia="宋体" w:cs="宋体"/>
          <w:color w:val="auto"/>
          <w:kern w:val="0"/>
          <w:sz w:val="24"/>
          <w:szCs w:val="24"/>
          <w:highlight w:val="none"/>
          <w:lang w:val="zh-CN"/>
        </w:rPr>
        <w:t>相应资质条件且不得再次分包；</w:t>
      </w:r>
    </w:p>
    <w:p>
      <w:pPr>
        <w:pStyle w:val="6"/>
        <w:pageBreakBefore w:val="0"/>
        <w:kinsoku/>
        <w:wordWrap/>
        <w:overflowPunct/>
        <w:topLinePunct w:val="0"/>
        <w:bidi w:val="0"/>
        <w:spacing w:line="390" w:lineRule="exact"/>
        <w:ind w:left="664" w:leftChars="316" w:firstLine="229" w:firstLineChars="95"/>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二、分包供应商中小企业合同份额</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u w:val="single"/>
        </w:rPr>
        <w:t>（分包供应商X,……）提供的货物全部由小微企业制造，</w:t>
      </w:r>
      <w:r>
        <w:rPr>
          <w:rFonts w:hint="eastAsia" w:ascii="宋体" w:hAnsi="宋体" w:eastAsia="宋体" w:cs="宋体"/>
          <w:color w:val="auto"/>
          <w:kern w:val="0"/>
          <w:sz w:val="24"/>
          <w:szCs w:val="24"/>
          <w:highlight w:val="none"/>
        </w:rPr>
        <w:t>其合同份额占到合同总金额</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%以上</w:t>
      </w:r>
      <w:r>
        <w:rPr>
          <w:rFonts w:hint="eastAsia" w:ascii="宋体" w:hAnsi="宋体" w:eastAsia="宋体" w:cs="宋体"/>
          <w:color w:val="auto"/>
          <w:sz w:val="24"/>
          <w:szCs w:val="24"/>
          <w:highlight w:val="none"/>
        </w:rPr>
        <w:t>。</w:t>
      </w:r>
      <w:r>
        <w:rPr>
          <w:rFonts w:hint="eastAsia" w:ascii="宋体" w:hAnsi="宋体" w:eastAsia="宋体" w:cs="宋体"/>
          <w:b/>
          <w:color w:val="auto"/>
          <w:kern w:val="0"/>
          <w:sz w:val="24"/>
          <w:szCs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szCs w:val="24"/>
          <w:highlight w:val="none"/>
        </w:rPr>
        <w:t>拟享受以上价格扣除政策的，填写有关内容。</w:t>
      </w:r>
      <w:r>
        <w:rPr>
          <w:rFonts w:hint="eastAsia" w:ascii="宋体" w:hAnsi="宋体" w:eastAsia="宋体" w:cs="宋体"/>
          <w:b/>
          <w:color w:val="auto"/>
          <w:kern w:val="0"/>
          <w:sz w:val="24"/>
          <w:szCs w:val="24"/>
          <w:highlight w:val="none"/>
          <w:lang w:val="zh-CN"/>
        </w:rPr>
        <w:t>）</w:t>
      </w:r>
    </w:p>
    <w:p>
      <w:pPr>
        <w:pageBreakBefore w:val="0"/>
        <w:kinsoku/>
        <w:wordWrap/>
        <w:overflowPunct/>
        <w:topLinePunct w:val="0"/>
        <w:bidi w:val="0"/>
        <w:spacing w:line="390" w:lineRule="exact"/>
        <w:ind w:firstLine="480" w:firstLineChars="200"/>
        <w:textAlignment w:val="auto"/>
        <w:rPr>
          <w:rFonts w:hint="eastAsia" w:ascii="宋体" w:hAnsi="宋体" w:eastAsia="宋体" w:cs="宋体"/>
          <w:b/>
          <w:bCs/>
          <w:color w:val="auto"/>
          <w:kern w:val="0"/>
          <w:sz w:val="24"/>
          <w:szCs w:val="24"/>
          <w:highlight w:val="none"/>
          <w:lang w:val="zh-CN"/>
        </w:rPr>
      </w:pPr>
      <w:r>
        <w:rPr>
          <w:rFonts w:hint="eastAsia" w:ascii="宋体" w:hAnsi="宋体" w:eastAsia="宋体" w:cs="宋体"/>
          <w:color w:val="auto"/>
          <w:sz w:val="24"/>
          <w:szCs w:val="24"/>
          <w:highlight w:val="none"/>
        </w:rPr>
        <w:t>2、</w:t>
      </w:r>
      <w:bookmarkStart w:id="515" w:name="_Hlk101133173"/>
      <w:r>
        <w:rPr>
          <w:rFonts w:hint="eastAsia" w:ascii="宋体" w:hAnsi="宋体" w:eastAsia="宋体" w:cs="宋体"/>
          <w:color w:val="auto"/>
          <w:sz w:val="24"/>
          <w:szCs w:val="24"/>
          <w:highlight w:val="none"/>
        </w:rPr>
        <w:t>中小企业合同金额达到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%，其中小微企业合同金额达到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val="zh-CN"/>
        </w:rPr>
        <w:t>。</w:t>
      </w:r>
      <w:r>
        <w:rPr>
          <w:rFonts w:hint="eastAsia" w:ascii="宋体" w:hAnsi="宋体" w:eastAsia="宋体" w:cs="宋体"/>
          <w:b/>
          <w:bCs/>
          <w:color w:val="auto"/>
          <w:kern w:val="0"/>
          <w:sz w:val="24"/>
          <w:szCs w:val="24"/>
          <w:highlight w:val="none"/>
          <w:lang w:val="zh-CN"/>
        </w:rPr>
        <w:t>（</w:t>
      </w:r>
      <w:r>
        <w:rPr>
          <w:rFonts w:hint="eastAsia" w:ascii="宋体" w:hAnsi="宋体" w:eastAsia="宋体" w:cs="宋体"/>
          <w:b/>
          <w:bCs/>
          <w:color w:val="auto"/>
          <w:sz w:val="24"/>
          <w:szCs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szCs w:val="24"/>
          <w:highlight w:val="none"/>
          <w:lang w:val="zh-CN"/>
        </w:rPr>
        <w:t>分包意向协议</w:t>
      </w:r>
      <w:r>
        <w:rPr>
          <w:rFonts w:hint="eastAsia" w:ascii="宋体" w:hAnsi="宋体" w:eastAsia="宋体" w:cs="宋体"/>
          <w:b/>
          <w:bCs/>
          <w:color w:val="auto"/>
          <w:sz w:val="24"/>
          <w:szCs w:val="24"/>
          <w:highlight w:val="none"/>
        </w:rPr>
        <w:t>中中小企业、小微企业合同金额应当达到的比例要求填写。</w:t>
      </w:r>
      <w:r>
        <w:rPr>
          <w:rFonts w:hint="eastAsia" w:ascii="宋体" w:hAnsi="宋体" w:eastAsia="宋体" w:cs="宋体"/>
          <w:b/>
          <w:bCs/>
          <w:color w:val="auto"/>
          <w:kern w:val="0"/>
          <w:sz w:val="24"/>
          <w:szCs w:val="24"/>
          <w:highlight w:val="none"/>
          <w:lang w:val="zh-CN"/>
        </w:rPr>
        <w:t>）</w:t>
      </w:r>
      <w:bookmarkEnd w:id="515"/>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三、分包工作履行期限、地点、方式</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四、质量</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五、价款或者报酬</w:t>
      </w:r>
    </w:p>
    <w:p>
      <w:pPr>
        <w:pageBreakBefore w:val="0"/>
        <w:kinsoku/>
        <w:wordWrap/>
        <w:overflowPunct/>
        <w:topLinePunct w:val="0"/>
        <w:bidi w:val="0"/>
        <w:snapToGrid w:val="0"/>
        <w:spacing w:line="390" w:lineRule="exact"/>
        <w:ind w:left="573" w:leftChars="273"/>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left="573" w:leftChars="273"/>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六、违约责任</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七、争议解决的办法</w:t>
      </w:r>
    </w:p>
    <w:p>
      <w:pPr>
        <w:pageBreakBefore w:val="0"/>
        <w:kinsoku/>
        <w:wordWrap/>
        <w:overflowPunct/>
        <w:topLinePunct w:val="0"/>
        <w:bidi w:val="0"/>
        <w:snapToGrid w:val="0"/>
        <w:spacing w:line="390" w:lineRule="exact"/>
        <w:ind w:firstLine="576"/>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napToGrid w:val="0"/>
        <w:spacing w:line="390" w:lineRule="exact"/>
        <w:ind w:left="5758" w:leftChars="342" w:hanging="5040" w:hangingChars="21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                                          投标人名称(电子签名)：</w:t>
      </w:r>
    </w:p>
    <w:p>
      <w:pPr>
        <w:pageBreakBefore w:val="0"/>
        <w:kinsoku/>
        <w:wordWrap/>
        <w:overflowPunct/>
        <w:topLinePunct w:val="0"/>
        <w:bidi w:val="0"/>
        <w:snapToGrid w:val="0"/>
        <w:spacing w:line="390" w:lineRule="exact"/>
        <w:jc w:val="righ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分包供应商名称(电子签名/公章)：</w:t>
      </w:r>
    </w:p>
    <w:p>
      <w:pPr>
        <w:pageBreakBefore w:val="0"/>
        <w:kinsoku/>
        <w:wordWrap/>
        <w:overflowPunct/>
        <w:topLinePunct w:val="0"/>
        <w:bidi w:val="0"/>
        <w:snapToGrid w:val="0"/>
        <w:spacing w:line="390" w:lineRule="exact"/>
        <w:ind w:firstLine="5760" w:firstLineChars="24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w:t>
      </w:r>
    </w:p>
    <w:p>
      <w:pPr>
        <w:pageBreakBefore w:val="0"/>
        <w:kinsoku/>
        <w:wordWrap/>
        <w:overflowPunct/>
        <w:topLinePunct w:val="0"/>
        <w:bidi w:val="0"/>
        <w:spacing w:line="390" w:lineRule="exact"/>
        <w:jc w:val="center"/>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                                        日期：  年  月   日</w:t>
      </w:r>
    </w:p>
    <w:p>
      <w:pPr>
        <w:pageBreakBefore w:val="0"/>
        <w:kinsoku/>
        <w:wordWrap/>
        <w:overflowPunct/>
        <w:topLinePunct w:val="0"/>
        <w:bidi w:val="0"/>
        <w:spacing w:line="390" w:lineRule="exact"/>
        <w:ind w:right="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注：按本格式和要求提供。</w:t>
      </w:r>
    </w:p>
    <w:p>
      <w:pPr>
        <w:snapToGrid w:val="0"/>
        <w:spacing w:line="240" w:lineRule="auto"/>
        <w:outlineLvl w:val="0"/>
        <w:rPr>
          <w:rFonts w:hint="eastAsia" w:ascii="宋体" w:hAnsi="宋体" w:eastAsia="宋体" w:cs="宋体"/>
          <w:b/>
          <w:color w:val="auto"/>
          <w:kern w:val="0"/>
          <w:sz w:val="44"/>
          <w:szCs w:val="44"/>
          <w:highlight w:val="none"/>
        </w:rPr>
      </w:pPr>
      <w:r>
        <w:rPr>
          <w:rFonts w:hint="eastAsia" w:ascii="宋体" w:hAnsi="宋体" w:eastAsia="宋体" w:cs="宋体"/>
          <w:b/>
          <w:color w:val="auto"/>
          <w:kern w:val="0"/>
          <w:sz w:val="44"/>
          <w:szCs w:val="44"/>
          <w:highlight w:val="none"/>
        </w:rPr>
        <w:t>附件7：中小企业声明函</w:t>
      </w:r>
    </w:p>
    <w:p>
      <w:pPr>
        <w:spacing w:line="240" w:lineRule="auto"/>
        <w:jc w:val="center"/>
        <w:rPr>
          <w:rFonts w:ascii="宋体" w:hAnsi="宋体" w:cs="宋体"/>
          <w:b/>
          <w:sz w:val="32"/>
          <w:szCs w:val="32"/>
        </w:rPr>
      </w:pPr>
      <w:r>
        <w:rPr>
          <w:rFonts w:hint="eastAsia" w:ascii="宋体" w:hAnsi="宋体" w:cs="宋体"/>
          <w:b/>
          <w:sz w:val="32"/>
          <w:szCs w:val="32"/>
        </w:rPr>
        <w:t>中小企业声明函（货物）</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sz w:val="24"/>
          <w:szCs w:val="24"/>
        </w:rPr>
        <w:t>本公司（联合体）郑重声明，根据《政府采购</w:t>
      </w:r>
      <w:r>
        <w:rPr>
          <w:rFonts w:hint="eastAsia" w:ascii="宋体" w:hAnsi="宋体" w:cs="宋体"/>
          <w:color w:val="000000" w:themeColor="text1"/>
          <w:sz w:val="24"/>
          <w:szCs w:val="24"/>
          <w14:textFill>
            <w14:solidFill>
              <w14:schemeClr w14:val="tx1"/>
            </w14:solidFill>
          </w14:textFill>
        </w:rPr>
        <w:t xml:space="preserve">促进中小企业发展管理办法》（财库﹝2020﹞46 号）的规定，本公司（联合体）参加 </w:t>
      </w:r>
      <w:r>
        <w:rPr>
          <w:rFonts w:hint="eastAsia" w:ascii="宋体" w:hAnsi="宋体" w:cs="宋体"/>
          <w:color w:val="000000" w:themeColor="text1"/>
          <w:sz w:val="24"/>
          <w:szCs w:val="24"/>
          <w:u w:val="single"/>
          <w14:textFill>
            <w14:solidFill>
              <w14:schemeClr w14:val="tx1"/>
            </w14:solidFill>
          </w14:textFill>
        </w:rPr>
        <w:t xml:space="preserve">（采购人） </w:t>
      </w:r>
      <w:r>
        <w:rPr>
          <w:rFonts w:hint="eastAsia" w:ascii="宋体" w:hAnsi="宋体" w:cs="宋体"/>
          <w:color w:val="000000" w:themeColor="text1"/>
          <w:sz w:val="24"/>
          <w:szCs w:val="24"/>
          <w14:textFill>
            <w14:solidFill>
              <w14:schemeClr w14:val="tx1"/>
            </w14:solidFill>
          </w14:textFill>
        </w:rPr>
        <w:t xml:space="preserve">的 </w:t>
      </w:r>
      <w:r>
        <w:rPr>
          <w:rFonts w:hint="eastAsia" w:ascii="宋体" w:hAnsi="宋体" w:cs="宋体"/>
          <w:color w:val="000000" w:themeColor="text1"/>
          <w:sz w:val="24"/>
          <w:szCs w:val="24"/>
          <w:u w:val="single"/>
          <w14:textFill>
            <w14:solidFill>
              <w14:schemeClr w14:val="tx1"/>
            </w14:solidFill>
          </w14:textFill>
        </w:rPr>
        <w:t>（项目名称）</w:t>
      </w:r>
      <w:r>
        <w:rPr>
          <w:rFonts w:hint="eastAsia" w:ascii="宋体" w:hAnsi="宋体" w:cs="宋体"/>
          <w:color w:val="000000" w:themeColor="text1"/>
          <w:sz w:val="24"/>
          <w:szCs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1. </w:t>
      </w:r>
      <w:r>
        <w:rPr>
          <w:rFonts w:hint="eastAsia" w:ascii="宋体" w:hAnsi="宋体" w:cs="宋体"/>
          <w:color w:val="000000" w:themeColor="text1"/>
          <w:sz w:val="24"/>
          <w:szCs w:val="24"/>
          <w:u w:val="single"/>
          <w14:textFill>
            <w14:solidFill>
              <w14:schemeClr w14:val="tx1"/>
            </w14:solidFill>
          </w14:textFill>
        </w:rPr>
        <w:t>（标的名称）</w:t>
      </w:r>
      <w:r>
        <w:rPr>
          <w:rFonts w:hint="eastAsia" w:ascii="宋体" w:hAnsi="宋体" w:cs="宋体"/>
          <w:color w:val="000000" w:themeColor="text1"/>
          <w:sz w:val="24"/>
          <w:szCs w:val="24"/>
          <w14:textFill>
            <w14:solidFill>
              <w14:schemeClr w14:val="tx1"/>
            </w14:solidFill>
          </w14:textFill>
        </w:rPr>
        <w:t xml:space="preserve"> ，属于 </w:t>
      </w:r>
      <w:r>
        <w:rPr>
          <w:rFonts w:hint="eastAsia" w:ascii="宋体" w:hAnsi="宋体" w:cs="宋体"/>
          <w:color w:val="000000" w:themeColor="text1"/>
          <w:sz w:val="24"/>
          <w:szCs w:val="24"/>
          <w:u w:val="single"/>
          <w14:textFill>
            <w14:solidFill>
              <w14:schemeClr w14:val="tx1"/>
            </w14:solidFill>
          </w14:textFill>
        </w:rPr>
        <w:t>（采购文件中明确的所属行业）</w:t>
      </w:r>
      <w:r>
        <w:rPr>
          <w:rFonts w:hint="eastAsia" w:ascii="宋体" w:hAnsi="宋体" w:cs="宋体"/>
          <w:color w:val="000000" w:themeColor="text1"/>
          <w:sz w:val="24"/>
          <w:szCs w:val="24"/>
          <w14:textFill>
            <w14:solidFill>
              <w14:schemeClr w14:val="tx1"/>
            </w14:solidFill>
          </w14:textFill>
        </w:rPr>
        <w:t>行业 ；制造商为</w:t>
      </w:r>
      <w:r>
        <w:rPr>
          <w:rFonts w:hint="eastAsia" w:ascii="宋体" w:hAnsi="宋体" w:cs="宋体"/>
          <w:color w:val="000000" w:themeColor="text1"/>
          <w:sz w:val="24"/>
          <w:szCs w:val="24"/>
          <w:u w:val="single"/>
          <w14:textFill>
            <w14:solidFill>
              <w14:schemeClr w14:val="tx1"/>
            </w14:solidFill>
          </w14:textFill>
        </w:rPr>
        <w:t xml:space="preserve"> （企业名称）</w:t>
      </w:r>
      <w:r>
        <w:rPr>
          <w:rFonts w:hint="eastAsia" w:ascii="宋体" w:hAnsi="宋体" w:cs="宋体"/>
          <w:color w:val="000000" w:themeColor="text1"/>
          <w:sz w:val="24"/>
          <w:szCs w:val="24"/>
          <w14:textFill>
            <w14:solidFill>
              <w14:schemeClr w14:val="tx1"/>
            </w14:solidFill>
          </w14:textFill>
        </w:rPr>
        <w:t xml:space="preserve"> ，从业人员</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人，营业收入为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万元，资产总额为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万元，属于</w:t>
      </w:r>
      <w:r>
        <w:rPr>
          <w:rFonts w:hint="eastAsia" w:ascii="宋体" w:hAnsi="宋体" w:cs="宋体"/>
          <w:color w:val="000000" w:themeColor="text1"/>
          <w:sz w:val="24"/>
          <w:szCs w:val="24"/>
          <w:u w:val="single"/>
          <w14:textFill>
            <w14:solidFill>
              <w14:schemeClr w14:val="tx1"/>
            </w14:solidFill>
          </w14:textFill>
        </w:rPr>
        <w:t xml:space="preserve"> （中型企业、小型企业、微型企业）</w:t>
      </w:r>
      <w:r>
        <w:rPr>
          <w:rFonts w:hint="eastAsia" w:ascii="宋体" w:hAnsi="宋体" w:cs="宋体"/>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sz w:val="24"/>
          <w:szCs w:val="24"/>
        </w:rPr>
      </w:pPr>
      <w:r>
        <w:rPr>
          <w:rFonts w:hint="eastAsia" w:ascii="宋体" w:hAnsi="宋体" w:cs="宋体"/>
          <w:color w:val="000000" w:themeColor="text1"/>
          <w:sz w:val="24"/>
          <w:szCs w:val="24"/>
          <w14:textFill>
            <w14:solidFill>
              <w14:schemeClr w14:val="tx1"/>
            </w14:solidFill>
          </w14:textFill>
        </w:rPr>
        <w:t xml:space="preserve">2. </w:t>
      </w:r>
      <w:r>
        <w:rPr>
          <w:rFonts w:hint="eastAsia" w:ascii="宋体" w:hAnsi="宋体" w:cs="宋体"/>
          <w:color w:val="000000" w:themeColor="text1"/>
          <w:sz w:val="24"/>
          <w:szCs w:val="24"/>
          <w:u w:val="single"/>
          <w14:textFill>
            <w14:solidFill>
              <w14:schemeClr w14:val="tx1"/>
            </w14:solidFill>
          </w14:textFill>
        </w:rPr>
        <w:t>（标的名称）</w:t>
      </w:r>
      <w:r>
        <w:rPr>
          <w:rFonts w:hint="eastAsia" w:ascii="宋体" w:hAnsi="宋体" w:cs="宋体"/>
          <w:color w:val="000000" w:themeColor="text1"/>
          <w:sz w:val="24"/>
          <w:szCs w:val="24"/>
          <w14:textFill>
            <w14:solidFill>
              <w14:schemeClr w14:val="tx1"/>
            </w14:solidFill>
          </w14:textFill>
        </w:rPr>
        <w:t xml:space="preserve"> ，属于 </w:t>
      </w:r>
      <w:r>
        <w:rPr>
          <w:rFonts w:hint="eastAsia" w:ascii="宋体" w:hAnsi="宋体" w:cs="宋体"/>
          <w:color w:val="000000" w:themeColor="text1"/>
          <w:sz w:val="24"/>
          <w:szCs w:val="24"/>
          <w:u w:val="single"/>
          <w14:textFill>
            <w14:solidFill>
              <w14:schemeClr w14:val="tx1"/>
            </w14:solidFill>
          </w14:textFill>
        </w:rPr>
        <w:t>（采购文件中明确的所属行业）</w:t>
      </w:r>
      <w:r>
        <w:rPr>
          <w:rFonts w:hint="eastAsia" w:ascii="宋体" w:hAnsi="宋体" w:cs="宋体"/>
          <w:color w:val="000000" w:themeColor="text1"/>
          <w:sz w:val="24"/>
          <w:szCs w:val="24"/>
          <w14:textFill>
            <w14:solidFill>
              <w14:schemeClr w14:val="tx1"/>
            </w14:solidFill>
          </w14:textFill>
        </w:rPr>
        <w:t>行业 ；制造商为</w:t>
      </w:r>
      <w:r>
        <w:rPr>
          <w:rFonts w:hint="eastAsia" w:ascii="宋体" w:hAnsi="宋体" w:cs="宋体"/>
          <w:color w:val="000000" w:themeColor="text1"/>
          <w:sz w:val="24"/>
          <w:szCs w:val="24"/>
          <w:u w:val="single"/>
          <w14:textFill>
            <w14:solidFill>
              <w14:schemeClr w14:val="tx1"/>
            </w14:solidFill>
          </w14:textFill>
        </w:rPr>
        <w:t xml:space="preserve"> （企业名称）</w:t>
      </w:r>
      <w:r>
        <w:rPr>
          <w:rFonts w:hint="eastAsia" w:ascii="宋体" w:hAnsi="宋体" w:cs="宋体"/>
          <w:color w:val="000000" w:themeColor="text1"/>
          <w:sz w:val="24"/>
          <w:szCs w:val="24"/>
          <w14:textFill>
            <w14:solidFill>
              <w14:schemeClr w14:val="tx1"/>
            </w14:solidFill>
          </w14:textFill>
        </w:rPr>
        <w:t xml:space="preserve"> ，从业人员</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人，营业收入为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万元，资产总额为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 xml:space="preserve"> ；</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sz w:val="24"/>
          <w:szCs w:val="24"/>
        </w:rPr>
      </w:pPr>
      <w:r>
        <w:rPr>
          <w:rFonts w:hint="eastAsia" w:ascii="宋体" w:hAnsi="宋体" w:cs="宋体"/>
          <w:sz w:val="24"/>
          <w:szCs w:val="24"/>
        </w:rPr>
        <w:t>……</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ascii="宋体" w:hAnsi="宋体" w:cs="宋体"/>
          <w:sz w:val="24"/>
          <w:szCs w:val="24"/>
        </w:rPr>
      </w:pPr>
      <w:r>
        <w:rPr>
          <w:rFonts w:hint="eastAsia" w:ascii="宋体" w:hAnsi="宋体" w:cs="宋体"/>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val="0"/>
        <w:snapToGrid w:val="0"/>
        <w:spacing w:line="400" w:lineRule="exact"/>
        <w:ind w:firstLine="5160" w:firstLineChars="2150"/>
        <w:textAlignment w:val="auto"/>
        <w:rPr>
          <w:rFonts w:ascii="宋体" w:hAnsi="宋体" w:cs="宋体"/>
          <w:kern w:val="0"/>
          <w:sz w:val="24"/>
          <w:szCs w:val="24"/>
        </w:rPr>
      </w:pPr>
      <w:r>
        <w:rPr>
          <w:rFonts w:hint="eastAsia" w:ascii="宋体" w:hAnsi="宋体" w:cs="宋体"/>
          <w:kern w:val="0"/>
          <w:sz w:val="24"/>
          <w:szCs w:val="24"/>
          <w:lang w:val="zh-CN"/>
        </w:rPr>
        <w:t>投标人名称(电子签名)：</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kern w:val="0"/>
          <w:sz w:val="24"/>
          <w:szCs w:val="24"/>
          <w:lang w:val="zh-CN"/>
        </w:rPr>
      </w:pPr>
      <w:r>
        <w:rPr>
          <w:rFonts w:hint="eastAsia" w:ascii="宋体" w:hAnsi="宋体" w:cs="宋体"/>
          <w:kern w:val="0"/>
          <w:sz w:val="24"/>
          <w:szCs w:val="24"/>
          <w:lang w:val="zh-CN"/>
        </w:rPr>
        <w:t xml:space="preserve">                                           日期</w:t>
      </w:r>
      <w:r>
        <w:rPr>
          <w:rFonts w:hint="eastAsia" w:ascii="宋体" w:hAnsi="宋体" w:cs="宋体"/>
          <w:kern w:val="0"/>
          <w:sz w:val="24"/>
          <w:szCs w:val="24"/>
        </w:rPr>
        <w:t xml:space="preserve">：  年  </w:t>
      </w:r>
      <w:r>
        <w:rPr>
          <w:rFonts w:hint="eastAsia" w:ascii="宋体" w:hAnsi="宋体" w:cs="宋体"/>
          <w:kern w:val="0"/>
          <w:sz w:val="24"/>
          <w:szCs w:val="24"/>
          <w:lang w:val="zh-CN"/>
        </w:rPr>
        <w:t>月</w:t>
      </w:r>
      <w:r>
        <w:rPr>
          <w:rFonts w:hint="eastAsia" w:ascii="宋体" w:hAnsi="宋体" w:cs="宋体"/>
          <w:kern w:val="0"/>
          <w:sz w:val="24"/>
          <w:szCs w:val="24"/>
        </w:rPr>
        <w:t xml:space="preserve">   </w:t>
      </w:r>
      <w:r>
        <w:rPr>
          <w:rFonts w:hint="eastAsia" w:ascii="宋体" w:hAnsi="宋体" w:cs="宋体"/>
          <w:kern w:val="0"/>
          <w:sz w:val="24"/>
          <w:szCs w:val="24"/>
          <w:lang w:val="zh-CN"/>
        </w:rPr>
        <w:t>日</w:t>
      </w:r>
    </w:p>
    <w:p>
      <w:pPr>
        <w:keepNext w:val="0"/>
        <w:keepLines w:val="0"/>
        <w:pageBreakBefore w:val="0"/>
        <w:widowControl w:val="0"/>
        <w:kinsoku/>
        <w:wordWrap/>
        <w:overflowPunct/>
        <w:topLinePunct w:val="0"/>
        <w:autoSpaceDE/>
        <w:autoSpaceDN/>
        <w:bidi w:val="0"/>
        <w:adjustRightInd w:val="0"/>
        <w:spacing w:line="400" w:lineRule="exact"/>
        <w:jc w:val="left"/>
        <w:textAlignment w:val="auto"/>
        <w:rPr>
          <w:rFonts w:ascii="宋体" w:hAnsi="宋体" w:cs="宋体"/>
          <w:sz w:val="24"/>
          <w:szCs w:val="24"/>
        </w:rPr>
      </w:pPr>
      <w:r>
        <w:rPr>
          <w:rFonts w:hint="eastAsia" w:ascii="宋体" w:hAnsi="宋体" w:cs="宋体"/>
          <w:sz w:val="24"/>
          <w:szCs w:val="24"/>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val="0"/>
        <w:spacing w:line="400" w:lineRule="exact"/>
        <w:ind w:right="420" w:firstLine="480" w:firstLineChars="200"/>
        <w:textAlignment w:val="auto"/>
        <w:rPr>
          <w:rFonts w:ascii="宋体" w:hAnsi="宋体" w:cs="宋体"/>
          <w:sz w:val="24"/>
          <w:szCs w:val="24"/>
        </w:rPr>
      </w:pPr>
      <w:r>
        <w:rPr>
          <w:rFonts w:hint="eastAsia" w:ascii="宋体" w:hAnsi="宋体" w:cs="宋体"/>
          <w:sz w:val="24"/>
          <w:szCs w:val="24"/>
        </w:rPr>
        <w:t>注：</w:t>
      </w:r>
    </w:p>
    <w:p>
      <w:pPr>
        <w:keepNext w:val="0"/>
        <w:keepLines w:val="0"/>
        <w:pageBreakBefore w:val="0"/>
        <w:widowControl w:val="0"/>
        <w:kinsoku/>
        <w:wordWrap/>
        <w:overflowPunct/>
        <w:topLinePunct w:val="0"/>
        <w:autoSpaceDE/>
        <w:autoSpaceDN/>
        <w:bidi w:val="0"/>
        <w:adjustRightInd w:val="0"/>
        <w:snapToGrid/>
        <w:spacing w:line="400" w:lineRule="exact"/>
        <w:ind w:right="0" w:firstLine="480" w:firstLineChars="200"/>
        <w:textAlignment w:val="auto"/>
        <w:rPr>
          <w:rFonts w:ascii="宋体" w:hAnsi="宋体" w:cs="宋体"/>
          <w:sz w:val="24"/>
          <w:szCs w:val="24"/>
        </w:rPr>
      </w:pPr>
      <w:r>
        <w:rPr>
          <w:rFonts w:hint="eastAsia" w:ascii="宋体" w:hAnsi="宋体" w:cs="宋体"/>
          <w:sz w:val="24"/>
          <w:szCs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val="0"/>
        <w:snapToGrid/>
        <w:spacing w:line="400" w:lineRule="exact"/>
        <w:ind w:right="0" w:firstLine="480" w:firstLineChars="200"/>
        <w:textAlignment w:val="auto"/>
        <w:rPr>
          <w:rFonts w:hint="eastAsia" w:ascii="宋体" w:hAnsi="宋体" w:eastAsia="宋体" w:cs="宋体"/>
          <w:b/>
          <w:color w:val="auto"/>
          <w:sz w:val="24"/>
          <w:szCs w:val="24"/>
          <w:highlight w:val="none"/>
        </w:rPr>
      </w:pPr>
      <w:r>
        <w:rPr>
          <w:rFonts w:hint="eastAsia" w:ascii="宋体" w:hAnsi="宋体" w:cs="宋体"/>
          <w:sz w:val="24"/>
          <w:szCs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pgSz w:w="11905" w:h="16838"/>
      <w:pgMar w:top="1417" w:right="1417" w:bottom="1417" w:left="1417"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altName w:val="Lucida Sans"/>
    <w:panose1 w:val="020B0602030504020204"/>
    <w:charset w:val="00"/>
    <w:family w:val="auto"/>
    <w:pitch w:val="default"/>
    <w:sig w:usb0="00000000" w:usb1="00000000"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8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16" w:name="_Toc91899912"/>
    <w:bookmarkStart w:id="517" w:name="_Toc131845147"/>
    <w:bookmarkStart w:id="518" w:name="_Toc164085800"/>
    <w:bookmarkStart w:id="519" w:name="_Toc36110187"/>
    <w:r>
      <w:rPr>
        <w:rFonts w:hint="eastAsia" w:ascii="仿宋_GB2312" w:eastAsia="仿宋_GB2312"/>
        <w:kern w:val="0"/>
        <w:szCs w:val="21"/>
      </w:rPr>
      <w:t xml:space="preserve"> 页</w:t>
    </w:r>
    <w:bookmarkEnd w:id="516"/>
    <w:bookmarkEnd w:id="517"/>
    <w:bookmarkEnd w:id="518"/>
    <w:bookmarkEnd w:id="51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FAA4B3"/>
    <w:multiLevelType w:val="singleLevel"/>
    <w:tmpl w:val="0FFAA4B3"/>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xYzRkZTRjMDRmZGVhNDY0MTczNjJhYTljZDY3MjA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2B0A"/>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242"/>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A687D"/>
    <w:rsid w:val="011F6449"/>
    <w:rsid w:val="01236AFB"/>
    <w:rsid w:val="019F7441"/>
    <w:rsid w:val="01B37585"/>
    <w:rsid w:val="01D55165"/>
    <w:rsid w:val="01DF6BF8"/>
    <w:rsid w:val="01EC2C57"/>
    <w:rsid w:val="025F0711"/>
    <w:rsid w:val="026B2E25"/>
    <w:rsid w:val="02824D4D"/>
    <w:rsid w:val="02861529"/>
    <w:rsid w:val="02DC4B10"/>
    <w:rsid w:val="02DD76CE"/>
    <w:rsid w:val="02E72E26"/>
    <w:rsid w:val="02F36323"/>
    <w:rsid w:val="02F41BAB"/>
    <w:rsid w:val="02F5619C"/>
    <w:rsid w:val="0326446A"/>
    <w:rsid w:val="032D5555"/>
    <w:rsid w:val="034D2113"/>
    <w:rsid w:val="036634D2"/>
    <w:rsid w:val="03DD35E4"/>
    <w:rsid w:val="04076900"/>
    <w:rsid w:val="04082AD7"/>
    <w:rsid w:val="041A5A3B"/>
    <w:rsid w:val="042311BA"/>
    <w:rsid w:val="042B157A"/>
    <w:rsid w:val="048F763B"/>
    <w:rsid w:val="049F330E"/>
    <w:rsid w:val="04AA775C"/>
    <w:rsid w:val="04AF1889"/>
    <w:rsid w:val="04F66F48"/>
    <w:rsid w:val="050B287F"/>
    <w:rsid w:val="05251E14"/>
    <w:rsid w:val="05A16594"/>
    <w:rsid w:val="05A7762D"/>
    <w:rsid w:val="05F477B7"/>
    <w:rsid w:val="060E5941"/>
    <w:rsid w:val="060F2983"/>
    <w:rsid w:val="06110FAF"/>
    <w:rsid w:val="06493CA7"/>
    <w:rsid w:val="065A6178"/>
    <w:rsid w:val="066F1CF3"/>
    <w:rsid w:val="06930BB8"/>
    <w:rsid w:val="07155AFD"/>
    <w:rsid w:val="07245D42"/>
    <w:rsid w:val="07264C62"/>
    <w:rsid w:val="0779354C"/>
    <w:rsid w:val="08061376"/>
    <w:rsid w:val="08452D77"/>
    <w:rsid w:val="085E2DDB"/>
    <w:rsid w:val="086401F8"/>
    <w:rsid w:val="08751CAA"/>
    <w:rsid w:val="087C3D79"/>
    <w:rsid w:val="087E4C40"/>
    <w:rsid w:val="089F2B90"/>
    <w:rsid w:val="08A871D0"/>
    <w:rsid w:val="08D66AD6"/>
    <w:rsid w:val="08DA33A3"/>
    <w:rsid w:val="08DE4421"/>
    <w:rsid w:val="08E42860"/>
    <w:rsid w:val="08E80F13"/>
    <w:rsid w:val="09335624"/>
    <w:rsid w:val="0944690F"/>
    <w:rsid w:val="09535675"/>
    <w:rsid w:val="095F057D"/>
    <w:rsid w:val="09642282"/>
    <w:rsid w:val="09733572"/>
    <w:rsid w:val="09772C16"/>
    <w:rsid w:val="098353B5"/>
    <w:rsid w:val="09A92330"/>
    <w:rsid w:val="09B06B87"/>
    <w:rsid w:val="09BF1E8A"/>
    <w:rsid w:val="09C13146"/>
    <w:rsid w:val="09E04166"/>
    <w:rsid w:val="09F2225F"/>
    <w:rsid w:val="09FF2EF6"/>
    <w:rsid w:val="0A081A83"/>
    <w:rsid w:val="0A1C0718"/>
    <w:rsid w:val="0A30229D"/>
    <w:rsid w:val="0A3E7710"/>
    <w:rsid w:val="0A5B7E63"/>
    <w:rsid w:val="0A7C5E9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965124"/>
    <w:rsid w:val="0CC007F7"/>
    <w:rsid w:val="0CC617AC"/>
    <w:rsid w:val="0CE618DF"/>
    <w:rsid w:val="0CFE707A"/>
    <w:rsid w:val="0D063BDA"/>
    <w:rsid w:val="0D08375F"/>
    <w:rsid w:val="0D184CFB"/>
    <w:rsid w:val="0D4A7419"/>
    <w:rsid w:val="0D827401"/>
    <w:rsid w:val="0D84094E"/>
    <w:rsid w:val="0D8A00E9"/>
    <w:rsid w:val="0D8D589E"/>
    <w:rsid w:val="0DA01C73"/>
    <w:rsid w:val="0DB8731C"/>
    <w:rsid w:val="0DD63300"/>
    <w:rsid w:val="0DE47459"/>
    <w:rsid w:val="0DF50604"/>
    <w:rsid w:val="0DF702FE"/>
    <w:rsid w:val="0E060E51"/>
    <w:rsid w:val="0E5604B2"/>
    <w:rsid w:val="0E6D5D79"/>
    <w:rsid w:val="0E721817"/>
    <w:rsid w:val="0E9D0089"/>
    <w:rsid w:val="0EB77646"/>
    <w:rsid w:val="0EB803EE"/>
    <w:rsid w:val="0EE16A55"/>
    <w:rsid w:val="0EF94D4B"/>
    <w:rsid w:val="0F331350"/>
    <w:rsid w:val="0F4958DC"/>
    <w:rsid w:val="0F515DF7"/>
    <w:rsid w:val="0F517A28"/>
    <w:rsid w:val="0F596BA8"/>
    <w:rsid w:val="0F6248D2"/>
    <w:rsid w:val="0F693536"/>
    <w:rsid w:val="0F7B0511"/>
    <w:rsid w:val="0F7B76D9"/>
    <w:rsid w:val="0F816ACD"/>
    <w:rsid w:val="0F953DB9"/>
    <w:rsid w:val="0F9832DB"/>
    <w:rsid w:val="0FBF3FD2"/>
    <w:rsid w:val="0FBF7FF3"/>
    <w:rsid w:val="0FE425F6"/>
    <w:rsid w:val="10646583"/>
    <w:rsid w:val="107D4B15"/>
    <w:rsid w:val="108A3C80"/>
    <w:rsid w:val="10B02FC0"/>
    <w:rsid w:val="10C26171"/>
    <w:rsid w:val="10F33360"/>
    <w:rsid w:val="10FC16EA"/>
    <w:rsid w:val="110F1D40"/>
    <w:rsid w:val="11266F33"/>
    <w:rsid w:val="11531A90"/>
    <w:rsid w:val="118963A1"/>
    <w:rsid w:val="11C6025A"/>
    <w:rsid w:val="11C6522A"/>
    <w:rsid w:val="11E104CC"/>
    <w:rsid w:val="11E20309"/>
    <w:rsid w:val="12255233"/>
    <w:rsid w:val="12530213"/>
    <w:rsid w:val="127723A9"/>
    <w:rsid w:val="12862074"/>
    <w:rsid w:val="12883966"/>
    <w:rsid w:val="129E45B4"/>
    <w:rsid w:val="12D61973"/>
    <w:rsid w:val="12D81596"/>
    <w:rsid w:val="13072A44"/>
    <w:rsid w:val="135F4BE2"/>
    <w:rsid w:val="139B1A0A"/>
    <w:rsid w:val="139D25C7"/>
    <w:rsid w:val="13BF3CE4"/>
    <w:rsid w:val="13C95DDF"/>
    <w:rsid w:val="141008D8"/>
    <w:rsid w:val="14125FE6"/>
    <w:rsid w:val="14484021"/>
    <w:rsid w:val="146D271E"/>
    <w:rsid w:val="14982588"/>
    <w:rsid w:val="149A5AD9"/>
    <w:rsid w:val="14A7619D"/>
    <w:rsid w:val="150536C3"/>
    <w:rsid w:val="150C1963"/>
    <w:rsid w:val="151447A0"/>
    <w:rsid w:val="154A6454"/>
    <w:rsid w:val="15762120"/>
    <w:rsid w:val="15F5110D"/>
    <w:rsid w:val="16536A34"/>
    <w:rsid w:val="166565F0"/>
    <w:rsid w:val="16A8729C"/>
    <w:rsid w:val="16B33777"/>
    <w:rsid w:val="16BC70A7"/>
    <w:rsid w:val="16C6339E"/>
    <w:rsid w:val="171C6A7C"/>
    <w:rsid w:val="172F2D79"/>
    <w:rsid w:val="172F4AF3"/>
    <w:rsid w:val="17557BEF"/>
    <w:rsid w:val="17D349C1"/>
    <w:rsid w:val="18244F26"/>
    <w:rsid w:val="1830729E"/>
    <w:rsid w:val="18393836"/>
    <w:rsid w:val="1870062C"/>
    <w:rsid w:val="187B2A53"/>
    <w:rsid w:val="18817102"/>
    <w:rsid w:val="18830A15"/>
    <w:rsid w:val="18852B28"/>
    <w:rsid w:val="188B5321"/>
    <w:rsid w:val="19932372"/>
    <w:rsid w:val="19946D55"/>
    <w:rsid w:val="199F2432"/>
    <w:rsid w:val="19A20DD5"/>
    <w:rsid w:val="19AE03F1"/>
    <w:rsid w:val="19B4308D"/>
    <w:rsid w:val="1A071A03"/>
    <w:rsid w:val="1A1F16AE"/>
    <w:rsid w:val="1A367F46"/>
    <w:rsid w:val="1A3B5C77"/>
    <w:rsid w:val="1A984BAD"/>
    <w:rsid w:val="1AB8220E"/>
    <w:rsid w:val="1AE4166C"/>
    <w:rsid w:val="1AF06CFB"/>
    <w:rsid w:val="1AF11B8D"/>
    <w:rsid w:val="1B0365A7"/>
    <w:rsid w:val="1B0F74DE"/>
    <w:rsid w:val="1B11359C"/>
    <w:rsid w:val="1B2A271F"/>
    <w:rsid w:val="1B530544"/>
    <w:rsid w:val="1B713184"/>
    <w:rsid w:val="1BA209CF"/>
    <w:rsid w:val="1BB4777D"/>
    <w:rsid w:val="1BCD6688"/>
    <w:rsid w:val="1BD75AB8"/>
    <w:rsid w:val="1BFB4149"/>
    <w:rsid w:val="1C0459C2"/>
    <w:rsid w:val="1C11425A"/>
    <w:rsid w:val="1C1B3B4A"/>
    <w:rsid w:val="1C88086E"/>
    <w:rsid w:val="1CCE7662"/>
    <w:rsid w:val="1D266CE1"/>
    <w:rsid w:val="1D3963AF"/>
    <w:rsid w:val="1D6A673C"/>
    <w:rsid w:val="1D9247AE"/>
    <w:rsid w:val="1DB567EC"/>
    <w:rsid w:val="1DF51A98"/>
    <w:rsid w:val="1E051CD9"/>
    <w:rsid w:val="1E0B7CB9"/>
    <w:rsid w:val="1E382E0D"/>
    <w:rsid w:val="1E3D060F"/>
    <w:rsid w:val="1E3F7D2E"/>
    <w:rsid w:val="1E4134E4"/>
    <w:rsid w:val="1E5062B3"/>
    <w:rsid w:val="1E523514"/>
    <w:rsid w:val="1E57048B"/>
    <w:rsid w:val="1E5A0A86"/>
    <w:rsid w:val="1E714A66"/>
    <w:rsid w:val="1E802593"/>
    <w:rsid w:val="1E8B6156"/>
    <w:rsid w:val="1EA703CC"/>
    <w:rsid w:val="1EB51D82"/>
    <w:rsid w:val="1EB7330C"/>
    <w:rsid w:val="1F0A0FF3"/>
    <w:rsid w:val="1F3F1511"/>
    <w:rsid w:val="1F5771FF"/>
    <w:rsid w:val="1F7A31F0"/>
    <w:rsid w:val="1FD52574"/>
    <w:rsid w:val="1FE868A9"/>
    <w:rsid w:val="20034907"/>
    <w:rsid w:val="20173E4B"/>
    <w:rsid w:val="20227687"/>
    <w:rsid w:val="204E48BC"/>
    <w:rsid w:val="208921B3"/>
    <w:rsid w:val="20973DEB"/>
    <w:rsid w:val="20B26522"/>
    <w:rsid w:val="20B44310"/>
    <w:rsid w:val="20B6593D"/>
    <w:rsid w:val="21020B82"/>
    <w:rsid w:val="211116EB"/>
    <w:rsid w:val="212C3D17"/>
    <w:rsid w:val="21321F54"/>
    <w:rsid w:val="216133FC"/>
    <w:rsid w:val="218B6DCA"/>
    <w:rsid w:val="21AE1E97"/>
    <w:rsid w:val="21D56769"/>
    <w:rsid w:val="21E52EF3"/>
    <w:rsid w:val="21E55FC7"/>
    <w:rsid w:val="21FB5D7B"/>
    <w:rsid w:val="22015E94"/>
    <w:rsid w:val="220B1C3D"/>
    <w:rsid w:val="221D1D20"/>
    <w:rsid w:val="22334A87"/>
    <w:rsid w:val="22477195"/>
    <w:rsid w:val="22BE6801"/>
    <w:rsid w:val="22E42C35"/>
    <w:rsid w:val="233500BF"/>
    <w:rsid w:val="23377FF7"/>
    <w:rsid w:val="234C44CD"/>
    <w:rsid w:val="236B425F"/>
    <w:rsid w:val="23836192"/>
    <w:rsid w:val="23901F29"/>
    <w:rsid w:val="23906919"/>
    <w:rsid w:val="239C0061"/>
    <w:rsid w:val="23B908A4"/>
    <w:rsid w:val="23E95BEF"/>
    <w:rsid w:val="23FD0064"/>
    <w:rsid w:val="245375B0"/>
    <w:rsid w:val="245C2C9F"/>
    <w:rsid w:val="24642C0A"/>
    <w:rsid w:val="24B22173"/>
    <w:rsid w:val="24B95AD9"/>
    <w:rsid w:val="24BE24DA"/>
    <w:rsid w:val="24CF5825"/>
    <w:rsid w:val="24D663E6"/>
    <w:rsid w:val="24D77F2B"/>
    <w:rsid w:val="25081468"/>
    <w:rsid w:val="254A2AF8"/>
    <w:rsid w:val="25594E6A"/>
    <w:rsid w:val="258B00E2"/>
    <w:rsid w:val="25A917A6"/>
    <w:rsid w:val="25BE27CC"/>
    <w:rsid w:val="25F74A5C"/>
    <w:rsid w:val="25FA3833"/>
    <w:rsid w:val="26006DD8"/>
    <w:rsid w:val="260333D3"/>
    <w:rsid w:val="2628662C"/>
    <w:rsid w:val="262D45DE"/>
    <w:rsid w:val="26871DC8"/>
    <w:rsid w:val="26A53EF9"/>
    <w:rsid w:val="26A94201"/>
    <w:rsid w:val="26AC274F"/>
    <w:rsid w:val="27044A29"/>
    <w:rsid w:val="271D34C8"/>
    <w:rsid w:val="276142BF"/>
    <w:rsid w:val="27783712"/>
    <w:rsid w:val="27907362"/>
    <w:rsid w:val="27D019DA"/>
    <w:rsid w:val="28310E0A"/>
    <w:rsid w:val="28333E1D"/>
    <w:rsid w:val="28454BD6"/>
    <w:rsid w:val="28455253"/>
    <w:rsid w:val="28551971"/>
    <w:rsid w:val="285B1C53"/>
    <w:rsid w:val="289A4F62"/>
    <w:rsid w:val="289F7086"/>
    <w:rsid w:val="28C32028"/>
    <w:rsid w:val="28CC490F"/>
    <w:rsid w:val="28DE40AA"/>
    <w:rsid w:val="28F11C08"/>
    <w:rsid w:val="292A6EC8"/>
    <w:rsid w:val="29316E30"/>
    <w:rsid w:val="29345E77"/>
    <w:rsid w:val="294C65AD"/>
    <w:rsid w:val="29502E31"/>
    <w:rsid w:val="29626662"/>
    <w:rsid w:val="29806583"/>
    <w:rsid w:val="298B3C4C"/>
    <w:rsid w:val="29F26D24"/>
    <w:rsid w:val="2A026833"/>
    <w:rsid w:val="2A15033F"/>
    <w:rsid w:val="2A1662C1"/>
    <w:rsid w:val="2A1C7367"/>
    <w:rsid w:val="2A2815FA"/>
    <w:rsid w:val="2A6D6092"/>
    <w:rsid w:val="2A7D76B4"/>
    <w:rsid w:val="2ACF7D27"/>
    <w:rsid w:val="2ADE7D33"/>
    <w:rsid w:val="2B090316"/>
    <w:rsid w:val="2B437463"/>
    <w:rsid w:val="2B7807EE"/>
    <w:rsid w:val="2B832EB9"/>
    <w:rsid w:val="2B890A6D"/>
    <w:rsid w:val="2BA50BF7"/>
    <w:rsid w:val="2BBF00EC"/>
    <w:rsid w:val="2BC37CFD"/>
    <w:rsid w:val="2BC70E1E"/>
    <w:rsid w:val="2BD5237F"/>
    <w:rsid w:val="2BE536CE"/>
    <w:rsid w:val="2BE758D9"/>
    <w:rsid w:val="2BF346BB"/>
    <w:rsid w:val="2C09049E"/>
    <w:rsid w:val="2C0A653C"/>
    <w:rsid w:val="2C191F85"/>
    <w:rsid w:val="2C701096"/>
    <w:rsid w:val="2CE82D6F"/>
    <w:rsid w:val="2D343236"/>
    <w:rsid w:val="2D375814"/>
    <w:rsid w:val="2D575011"/>
    <w:rsid w:val="2D8D7A26"/>
    <w:rsid w:val="2DD15014"/>
    <w:rsid w:val="2DF72DE4"/>
    <w:rsid w:val="2E0054CD"/>
    <w:rsid w:val="2E0220AF"/>
    <w:rsid w:val="2E052520"/>
    <w:rsid w:val="2E14000D"/>
    <w:rsid w:val="2E310CF9"/>
    <w:rsid w:val="2E3F7A9E"/>
    <w:rsid w:val="2E4B082A"/>
    <w:rsid w:val="2E5D4E86"/>
    <w:rsid w:val="2E5D790B"/>
    <w:rsid w:val="2E9A3C18"/>
    <w:rsid w:val="2EBB0FEE"/>
    <w:rsid w:val="2EC63002"/>
    <w:rsid w:val="2F0A6B38"/>
    <w:rsid w:val="2F946CCB"/>
    <w:rsid w:val="2FD25781"/>
    <w:rsid w:val="2FDC745C"/>
    <w:rsid w:val="2FFD7934"/>
    <w:rsid w:val="300F2709"/>
    <w:rsid w:val="306C7DC6"/>
    <w:rsid w:val="30733ACD"/>
    <w:rsid w:val="308C3862"/>
    <w:rsid w:val="309379D8"/>
    <w:rsid w:val="30A270F7"/>
    <w:rsid w:val="30DF1478"/>
    <w:rsid w:val="30EC586F"/>
    <w:rsid w:val="3141131B"/>
    <w:rsid w:val="319C6071"/>
    <w:rsid w:val="31AC537E"/>
    <w:rsid w:val="31E3679B"/>
    <w:rsid w:val="31E732FD"/>
    <w:rsid w:val="31EB6578"/>
    <w:rsid w:val="32517576"/>
    <w:rsid w:val="32B76361"/>
    <w:rsid w:val="32BE5C2C"/>
    <w:rsid w:val="32F3657D"/>
    <w:rsid w:val="32FB6478"/>
    <w:rsid w:val="33263B3F"/>
    <w:rsid w:val="336963EB"/>
    <w:rsid w:val="33816EEB"/>
    <w:rsid w:val="33C93758"/>
    <w:rsid w:val="33EB55CD"/>
    <w:rsid w:val="33EC4C02"/>
    <w:rsid w:val="340D2360"/>
    <w:rsid w:val="340E65D6"/>
    <w:rsid w:val="3410665D"/>
    <w:rsid w:val="34211214"/>
    <w:rsid w:val="342D1EC6"/>
    <w:rsid w:val="342E63AB"/>
    <w:rsid w:val="348815E6"/>
    <w:rsid w:val="348B7FB5"/>
    <w:rsid w:val="34950E68"/>
    <w:rsid w:val="34984B38"/>
    <w:rsid w:val="34986E94"/>
    <w:rsid w:val="34AF62C9"/>
    <w:rsid w:val="34CB4388"/>
    <w:rsid w:val="34FA6E12"/>
    <w:rsid w:val="354D7158"/>
    <w:rsid w:val="358677E3"/>
    <w:rsid w:val="358D5588"/>
    <w:rsid w:val="35FE7713"/>
    <w:rsid w:val="363A3B40"/>
    <w:rsid w:val="365302AE"/>
    <w:rsid w:val="36607A0A"/>
    <w:rsid w:val="366E227C"/>
    <w:rsid w:val="366F2E0D"/>
    <w:rsid w:val="367B6A5C"/>
    <w:rsid w:val="36A74ADA"/>
    <w:rsid w:val="36AD60D5"/>
    <w:rsid w:val="36B224F9"/>
    <w:rsid w:val="36EC0CC9"/>
    <w:rsid w:val="373F410B"/>
    <w:rsid w:val="37863E63"/>
    <w:rsid w:val="37EE7094"/>
    <w:rsid w:val="37FC4273"/>
    <w:rsid w:val="38296C89"/>
    <w:rsid w:val="383002EB"/>
    <w:rsid w:val="38586797"/>
    <w:rsid w:val="385D15DF"/>
    <w:rsid w:val="38BC0149"/>
    <w:rsid w:val="38D87D1C"/>
    <w:rsid w:val="38EB045F"/>
    <w:rsid w:val="39636459"/>
    <w:rsid w:val="396B7F6C"/>
    <w:rsid w:val="39B263C8"/>
    <w:rsid w:val="39B417A9"/>
    <w:rsid w:val="39E3559D"/>
    <w:rsid w:val="39F14C08"/>
    <w:rsid w:val="39FC5695"/>
    <w:rsid w:val="3A006D8E"/>
    <w:rsid w:val="3A173499"/>
    <w:rsid w:val="3A2E432B"/>
    <w:rsid w:val="3A3651E5"/>
    <w:rsid w:val="3A744481"/>
    <w:rsid w:val="3A8C7BEF"/>
    <w:rsid w:val="3A906246"/>
    <w:rsid w:val="3ADC185C"/>
    <w:rsid w:val="3B2349B7"/>
    <w:rsid w:val="3B616CFF"/>
    <w:rsid w:val="3B6259F6"/>
    <w:rsid w:val="3B7A270B"/>
    <w:rsid w:val="3B976654"/>
    <w:rsid w:val="3BC01EFC"/>
    <w:rsid w:val="3BCA786A"/>
    <w:rsid w:val="3BD31E2F"/>
    <w:rsid w:val="3BE917B8"/>
    <w:rsid w:val="3BF15831"/>
    <w:rsid w:val="3C0E61D6"/>
    <w:rsid w:val="3C105946"/>
    <w:rsid w:val="3C192365"/>
    <w:rsid w:val="3C471448"/>
    <w:rsid w:val="3C5F759A"/>
    <w:rsid w:val="3C6C525A"/>
    <w:rsid w:val="3C97225D"/>
    <w:rsid w:val="3CCE23CB"/>
    <w:rsid w:val="3CD17D17"/>
    <w:rsid w:val="3CEE3F4E"/>
    <w:rsid w:val="3D3C7F39"/>
    <w:rsid w:val="3D440F09"/>
    <w:rsid w:val="3D4504A0"/>
    <w:rsid w:val="3D8734BB"/>
    <w:rsid w:val="3D9A11D4"/>
    <w:rsid w:val="3DA16D89"/>
    <w:rsid w:val="3DA364BE"/>
    <w:rsid w:val="3DD0386E"/>
    <w:rsid w:val="3DE041CB"/>
    <w:rsid w:val="3E0D48F6"/>
    <w:rsid w:val="3E1868B4"/>
    <w:rsid w:val="3E367B2B"/>
    <w:rsid w:val="3E377251"/>
    <w:rsid w:val="3E42664B"/>
    <w:rsid w:val="3E500B0B"/>
    <w:rsid w:val="3E5A7334"/>
    <w:rsid w:val="3E665081"/>
    <w:rsid w:val="3E7B5D6B"/>
    <w:rsid w:val="3E823046"/>
    <w:rsid w:val="3E843E66"/>
    <w:rsid w:val="3E8F51FE"/>
    <w:rsid w:val="3E926F87"/>
    <w:rsid w:val="3E9A59DE"/>
    <w:rsid w:val="3EAF4836"/>
    <w:rsid w:val="3EBB76E9"/>
    <w:rsid w:val="3EC33DFA"/>
    <w:rsid w:val="3EE946F5"/>
    <w:rsid w:val="3EEB5665"/>
    <w:rsid w:val="3F060E16"/>
    <w:rsid w:val="3F1D1096"/>
    <w:rsid w:val="3F2F0234"/>
    <w:rsid w:val="3F6363FE"/>
    <w:rsid w:val="3F756B8F"/>
    <w:rsid w:val="3F95482B"/>
    <w:rsid w:val="3FB73A4A"/>
    <w:rsid w:val="3FE5436D"/>
    <w:rsid w:val="4019356B"/>
    <w:rsid w:val="402266C5"/>
    <w:rsid w:val="40592157"/>
    <w:rsid w:val="406E1CAE"/>
    <w:rsid w:val="40A0133A"/>
    <w:rsid w:val="40C31A53"/>
    <w:rsid w:val="40FF545D"/>
    <w:rsid w:val="410067C8"/>
    <w:rsid w:val="417C5ABA"/>
    <w:rsid w:val="418F0D2A"/>
    <w:rsid w:val="41D01505"/>
    <w:rsid w:val="42460974"/>
    <w:rsid w:val="42474939"/>
    <w:rsid w:val="424C3C57"/>
    <w:rsid w:val="42613FF3"/>
    <w:rsid w:val="42660D96"/>
    <w:rsid w:val="42843525"/>
    <w:rsid w:val="428667D2"/>
    <w:rsid w:val="42CD1CE0"/>
    <w:rsid w:val="42E1381E"/>
    <w:rsid w:val="42ED6459"/>
    <w:rsid w:val="42FE58DD"/>
    <w:rsid w:val="43174B3D"/>
    <w:rsid w:val="43476B9D"/>
    <w:rsid w:val="434B790E"/>
    <w:rsid w:val="4360274F"/>
    <w:rsid w:val="43977AB6"/>
    <w:rsid w:val="43A3342B"/>
    <w:rsid w:val="43C04259"/>
    <w:rsid w:val="43C77C27"/>
    <w:rsid w:val="43DE09EE"/>
    <w:rsid w:val="44002FAD"/>
    <w:rsid w:val="4427252A"/>
    <w:rsid w:val="449101DD"/>
    <w:rsid w:val="44DE1391"/>
    <w:rsid w:val="451B225C"/>
    <w:rsid w:val="452410C9"/>
    <w:rsid w:val="45284796"/>
    <w:rsid w:val="45317DFB"/>
    <w:rsid w:val="456D3CE4"/>
    <w:rsid w:val="4579042C"/>
    <w:rsid w:val="457F0571"/>
    <w:rsid w:val="45851176"/>
    <w:rsid w:val="459E60A6"/>
    <w:rsid w:val="45C63B94"/>
    <w:rsid w:val="45D22718"/>
    <w:rsid w:val="45FF11DB"/>
    <w:rsid w:val="460C5E7C"/>
    <w:rsid w:val="460E7DA5"/>
    <w:rsid w:val="463902F3"/>
    <w:rsid w:val="46422483"/>
    <w:rsid w:val="4659254A"/>
    <w:rsid w:val="465B0637"/>
    <w:rsid w:val="465E3F0D"/>
    <w:rsid w:val="466A16E6"/>
    <w:rsid w:val="466E6ED7"/>
    <w:rsid w:val="467A7DCA"/>
    <w:rsid w:val="46893F2B"/>
    <w:rsid w:val="46C4686E"/>
    <w:rsid w:val="46F36279"/>
    <w:rsid w:val="471C3BAA"/>
    <w:rsid w:val="477B778F"/>
    <w:rsid w:val="478203EC"/>
    <w:rsid w:val="47B025FA"/>
    <w:rsid w:val="4809698F"/>
    <w:rsid w:val="4811697D"/>
    <w:rsid w:val="487A3E25"/>
    <w:rsid w:val="48832204"/>
    <w:rsid w:val="488B5503"/>
    <w:rsid w:val="48920E74"/>
    <w:rsid w:val="48937E21"/>
    <w:rsid w:val="489A0361"/>
    <w:rsid w:val="48B94FF3"/>
    <w:rsid w:val="48DD7331"/>
    <w:rsid w:val="48E37AAB"/>
    <w:rsid w:val="48FD4B4C"/>
    <w:rsid w:val="490A68E0"/>
    <w:rsid w:val="491055FE"/>
    <w:rsid w:val="4917149F"/>
    <w:rsid w:val="495F5B3E"/>
    <w:rsid w:val="496D45F2"/>
    <w:rsid w:val="496F77D7"/>
    <w:rsid w:val="497654FD"/>
    <w:rsid w:val="49B64211"/>
    <w:rsid w:val="49F6167F"/>
    <w:rsid w:val="4A064FA0"/>
    <w:rsid w:val="4A16615C"/>
    <w:rsid w:val="4A4424D7"/>
    <w:rsid w:val="4AB82D0F"/>
    <w:rsid w:val="4AEB7664"/>
    <w:rsid w:val="4AEC1C9E"/>
    <w:rsid w:val="4AFD7C19"/>
    <w:rsid w:val="4B0567D1"/>
    <w:rsid w:val="4B236AAE"/>
    <w:rsid w:val="4B707271"/>
    <w:rsid w:val="4B9739F7"/>
    <w:rsid w:val="4BA16D51"/>
    <w:rsid w:val="4BAB6992"/>
    <w:rsid w:val="4BB81193"/>
    <w:rsid w:val="4BEE2503"/>
    <w:rsid w:val="4BFC2B26"/>
    <w:rsid w:val="4C245A30"/>
    <w:rsid w:val="4C746529"/>
    <w:rsid w:val="4C9E7102"/>
    <w:rsid w:val="4CB6685F"/>
    <w:rsid w:val="4CC367FE"/>
    <w:rsid w:val="4CE46B2E"/>
    <w:rsid w:val="4CF24C77"/>
    <w:rsid w:val="4D077F3C"/>
    <w:rsid w:val="4D123355"/>
    <w:rsid w:val="4D2A3B31"/>
    <w:rsid w:val="4D312C52"/>
    <w:rsid w:val="4D905305"/>
    <w:rsid w:val="4D964A72"/>
    <w:rsid w:val="4D9C1254"/>
    <w:rsid w:val="4DAC19D5"/>
    <w:rsid w:val="4E7626EB"/>
    <w:rsid w:val="4E793892"/>
    <w:rsid w:val="4E800872"/>
    <w:rsid w:val="4EB42276"/>
    <w:rsid w:val="4EC36EBC"/>
    <w:rsid w:val="4EC569ED"/>
    <w:rsid w:val="4ED50EA1"/>
    <w:rsid w:val="4EEC050C"/>
    <w:rsid w:val="4EEF5AAA"/>
    <w:rsid w:val="4EF22651"/>
    <w:rsid w:val="4F104EC3"/>
    <w:rsid w:val="4F47354A"/>
    <w:rsid w:val="4F911C54"/>
    <w:rsid w:val="4FDC5FC3"/>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80BB2"/>
    <w:rsid w:val="519D3C50"/>
    <w:rsid w:val="51A0432A"/>
    <w:rsid w:val="51A86090"/>
    <w:rsid w:val="51B7396D"/>
    <w:rsid w:val="521340EE"/>
    <w:rsid w:val="522E4CC3"/>
    <w:rsid w:val="5244713B"/>
    <w:rsid w:val="525C0C35"/>
    <w:rsid w:val="52615633"/>
    <w:rsid w:val="52675D5E"/>
    <w:rsid w:val="526813F4"/>
    <w:rsid w:val="526F4DE4"/>
    <w:rsid w:val="52977FD4"/>
    <w:rsid w:val="52A25790"/>
    <w:rsid w:val="52A96B6F"/>
    <w:rsid w:val="52B45975"/>
    <w:rsid w:val="52D94AA4"/>
    <w:rsid w:val="52EA3A62"/>
    <w:rsid w:val="52F50BB8"/>
    <w:rsid w:val="53097272"/>
    <w:rsid w:val="53270927"/>
    <w:rsid w:val="534B3E88"/>
    <w:rsid w:val="53544462"/>
    <w:rsid w:val="53654E1D"/>
    <w:rsid w:val="5397158E"/>
    <w:rsid w:val="53AB0A82"/>
    <w:rsid w:val="54013861"/>
    <w:rsid w:val="54422A68"/>
    <w:rsid w:val="54487265"/>
    <w:rsid w:val="544D6070"/>
    <w:rsid w:val="54605E1E"/>
    <w:rsid w:val="54A0435F"/>
    <w:rsid w:val="54B3506A"/>
    <w:rsid w:val="54BC6CBF"/>
    <w:rsid w:val="54CA0D16"/>
    <w:rsid w:val="54DD4057"/>
    <w:rsid w:val="54E7490F"/>
    <w:rsid w:val="55006801"/>
    <w:rsid w:val="550764A4"/>
    <w:rsid w:val="550B2BF6"/>
    <w:rsid w:val="55214EB5"/>
    <w:rsid w:val="55364EFD"/>
    <w:rsid w:val="555D4828"/>
    <w:rsid w:val="557A4C8B"/>
    <w:rsid w:val="558931E1"/>
    <w:rsid w:val="55923347"/>
    <w:rsid w:val="55925180"/>
    <w:rsid w:val="55983B1B"/>
    <w:rsid w:val="55A8376B"/>
    <w:rsid w:val="55AE5E12"/>
    <w:rsid w:val="55DC29B6"/>
    <w:rsid w:val="55DD4241"/>
    <w:rsid w:val="55FF50B5"/>
    <w:rsid w:val="566B6D1E"/>
    <w:rsid w:val="56E73001"/>
    <w:rsid w:val="56FE278F"/>
    <w:rsid w:val="57032A2C"/>
    <w:rsid w:val="570F5219"/>
    <w:rsid w:val="573B5557"/>
    <w:rsid w:val="575D12B5"/>
    <w:rsid w:val="57610A87"/>
    <w:rsid w:val="577B1140"/>
    <w:rsid w:val="577B7F21"/>
    <w:rsid w:val="577F181B"/>
    <w:rsid w:val="57921984"/>
    <w:rsid w:val="579737F0"/>
    <w:rsid w:val="57A35583"/>
    <w:rsid w:val="57AB7B30"/>
    <w:rsid w:val="57AF5251"/>
    <w:rsid w:val="57B26373"/>
    <w:rsid w:val="57B63F04"/>
    <w:rsid w:val="57CD20C2"/>
    <w:rsid w:val="57CF6D09"/>
    <w:rsid w:val="57D675AB"/>
    <w:rsid w:val="57D73717"/>
    <w:rsid w:val="57D85BBE"/>
    <w:rsid w:val="57D95FDD"/>
    <w:rsid w:val="58006C2E"/>
    <w:rsid w:val="58514199"/>
    <w:rsid w:val="58917D2F"/>
    <w:rsid w:val="5894085C"/>
    <w:rsid w:val="58AE4F0C"/>
    <w:rsid w:val="58B85899"/>
    <w:rsid w:val="58E363A9"/>
    <w:rsid w:val="59166304"/>
    <w:rsid w:val="595E1678"/>
    <w:rsid w:val="596D5BD4"/>
    <w:rsid w:val="597E3DD8"/>
    <w:rsid w:val="59CE3944"/>
    <w:rsid w:val="59DC6549"/>
    <w:rsid w:val="59F80043"/>
    <w:rsid w:val="5A09252F"/>
    <w:rsid w:val="5A0B2778"/>
    <w:rsid w:val="5A2A7C7B"/>
    <w:rsid w:val="5A3E2560"/>
    <w:rsid w:val="5A53777D"/>
    <w:rsid w:val="5A5D3B6E"/>
    <w:rsid w:val="5A637A76"/>
    <w:rsid w:val="5A6D33BA"/>
    <w:rsid w:val="5A792B1F"/>
    <w:rsid w:val="5A874767"/>
    <w:rsid w:val="5AA85BE2"/>
    <w:rsid w:val="5AAD6F28"/>
    <w:rsid w:val="5AD63A24"/>
    <w:rsid w:val="5AF06C4D"/>
    <w:rsid w:val="5B2E1A1D"/>
    <w:rsid w:val="5B843A1C"/>
    <w:rsid w:val="5B873E3F"/>
    <w:rsid w:val="5C02690E"/>
    <w:rsid w:val="5C196DA7"/>
    <w:rsid w:val="5C221AFD"/>
    <w:rsid w:val="5C2A048C"/>
    <w:rsid w:val="5C3B671B"/>
    <w:rsid w:val="5C80234E"/>
    <w:rsid w:val="5C8A680C"/>
    <w:rsid w:val="5CE24DE9"/>
    <w:rsid w:val="5CF26D5D"/>
    <w:rsid w:val="5D0C4701"/>
    <w:rsid w:val="5D0F0395"/>
    <w:rsid w:val="5D221076"/>
    <w:rsid w:val="5D397964"/>
    <w:rsid w:val="5D5A391C"/>
    <w:rsid w:val="5D5F10C0"/>
    <w:rsid w:val="5D891B7B"/>
    <w:rsid w:val="5DAA3B58"/>
    <w:rsid w:val="5DAD38EE"/>
    <w:rsid w:val="5E006862"/>
    <w:rsid w:val="5E0207B9"/>
    <w:rsid w:val="5E0B017F"/>
    <w:rsid w:val="5E1834A1"/>
    <w:rsid w:val="5E261785"/>
    <w:rsid w:val="5E4A7017"/>
    <w:rsid w:val="5E552BBA"/>
    <w:rsid w:val="5E611C10"/>
    <w:rsid w:val="5E7A0F3F"/>
    <w:rsid w:val="5EFC7377"/>
    <w:rsid w:val="5F003B12"/>
    <w:rsid w:val="5F06174D"/>
    <w:rsid w:val="5F247292"/>
    <w:rsid w:val="5F3A3602"/>
    <w:rsid w:val="5F45733B"/>
    <w:rsid w:val="5F6277C6"/>
    <w:rsid w:val="5F6D0B1D"/>
    <w:rsid w:val="5F8D0B82"/>
    <w:rsid w:val="5FA42567"/>
    <w:rsid w:val="5FCC5339"/>
    <w:rsid w:val="5FE34A5B"/>
    <w:rsid w:val="5FFE1E36"/>
    <w:rsid w:val="60114DD6"/>
    <w:rsid w:val="60232584"/>
    <w:rsid w:val="607330CE"/>
    <w:rsid w:val="60825176"/>
    <w:rsid w:val="609F2AC4"/>
    <w:rsid w:val="60D80176"/>
    <w:rsid w:val="60F670B5"/>
    <w:rsid w:val="60FA2EE8"/>
    <w:rsid w:val="61054A27"/>
    <w:rsid w:val="610A52BC"/>
    <w:rsid w:val="611D2366"/>
    <w:rsid w:val="61421856"/>
    <w:rsid w:val="615227C4"/>
    <w:rsid w:val="61654E3F"/>
    <w:rsid w:val="6182292A"/>
    <w:rsid w:val="619F7F92"/>
    <w:rsid w:val="61F94C26"/>
    <w:rsid w:val="62000E56"/>
    <w:rsid w:val="624F3E49"/>
    <w:rsid w:val="62632286"/>
    <w:rsid w:val="62885958"/>
    <w:rsid w:val="629C7850"/>
    <w:rsid w:val="62DB3DBE"/>
    <w:rsid w:val="62F40B65"/>
    <w:rsid w:val="62FC2CFE"/>
    <w:rsid w:val="62FF4946"/>
    <w:rsid w:val="630040E0"/>
    <w:rsid w:val="63024505"/>
    <w:rsid w:val="635600A5"/>
    <w:rsid w:val="635B1DB5"/>
    <w:rsid w:val="635B74DB"/>
    <w:rsid w:val="63711FED"/>
    <w:rsid w:val="63880DDC"/>
    <w:rsid w:val="638D750D"/>
    <w:rsid w:val="63AC6CC0"/>
    <w:rsid w:val="63D1148A"/>
    <w:rsid w:val="63DF06CB"/>
    <w:rsid w:val="64055776"/>
    <w:rsid w:val="64240056"/>
    <w:rsid w:val="643E143A"/>
    <w:rsid w:val="64491666"/>
    <w:rsid w:val="64512617"/>
    <w:rsid w:val="64833355"/>
    <w:rsid w:val="648B6EEF"/>
    <w:rsid w:val="648E281E"/>
    <w:rsid w:val="64C158BF"/>
    <w:rsid w:val="64CE2EAA"/>
    <w:rsid w:val="653C3090"/>
    <w:rsid w:val="653F54CE"/>
    <w:rsid w:val="65854376"/>
    <w:rsid w:val="658767BE"/>
    <w:rsid w:val="65892531"/>
    <w:rsid w:val="65AC068A"/>
    <w:rsid w:val="65C616EC"/>
    <w:rsid w:val="65CA6938"/>
    <w:rsid w:val="65DA1314"/>
    <w:rsid w:val="65EF0C7D"/>
    <w:rsid w:val="66195831"/>
    <w:rsid w:val="662E75B1"/>
    <w:rsid w:val="66342C2E"/>
    <w:rsid w:val="663E784C"/>
    <w:rsid w:val="66636F9A"/>
    <w:rsid w:val="666544A3"/>
    <w:rsid w:val="668B6A45"/>
    <w:rsid w:val="66D24120"/>
    <w:rsid w:val="672F3F24"/>
    <w:rsid w:val="67311C4A"/>
    <w:rsid w:val="673E055F"/>
    <w:rsid w:val="673E6C62"/>
    <w:rsid w:val="67551CE3"/>
    <w:rsid w:val="67A22552"/>
    <w:rsid w:val="67B22DCC"/>
    <w:rsid w:val="67BE71AA"/>
    <w:rsid w:val="67C717AB"/>
    <w:rsid w:val="67D85D3D"/>
    <w:rsid w:val="67D8638F"/>
    <w:rsid w:val="67D90273"/>
    <w:rsid w:val="67DE5875"/>
    <w:rsid w:val="67E55852"/>
    <w:rsid w:val="67E76CD5"/>
    <w:rsid w:val="67EB1AB4"/>
    <w:rsid w:val="67FA1285"/>
    <w:rsid w:val="68551F4F"/>
    <w:rsid w:val="687C10C9"/>
    <w:rsid w:val="68840C16"/>
    <w:rsid w:val="68876EFB"/>
    <w:rsid w:val="68884654"/>
    <w:rsid w:val="689F444F"/>
    <w:rsid w:val="68B96DBB"/>
    <w:rsid w:val="68CA2805"/>
    <w:rsid w:val="68E937A3"/>
    <w:rsid w:val="693E15D3"/>
    <w:rsid w:val="69627681"/>
    <w:rsid w:val="6977531D"/>
    <w:rsid w:val="69B63796"/>
    <w:rsid w:val="69CC2BFF"/>
    <w:rsid w:val="69FD55B8"/>
    <w:rsid w:val="6A0B1C62"/>
    <w:rsid w:val="6A2406C8"/>
    <w:rsid w:val="6AB53CDC"/>
    <w:rsid w:val="6ABE0C43"/>
    <w:rsid w:val="6AD77F57"/>
    <w:rsid w:val="6ADE0BD1"/>
    <w:rsid w:val="6AE96859"/>
    <w:rsid w:val="6B1125AB"/>
    <w:rsid w:val="6B147746"/>
    <w:rsid w:val="6B24787C"/>
    <w:rsid w:val="6B3D3BD5"/>
    <w:rsid w:val="6B573233"/>
    <w:rsid w:val="6B5B6274"/>
    <w:rsid w:val="6B935D53"/>
    <w:rsid w:val="6C196F71"/>
    <w:rsid w:val="6C226FCB"/>
    <w:rsid w:val="6C31226F"/>
    <w:rsid w:val="6C552F0B"/>
    <w:rsid w:val="6C8C67B7"/>
    <w:rsid w:val="6C9D744C"/>
    <w:rsid w:val="6C9F6852"/>
    <w:rsid w:val="6D167928"/>
    <w:rsid w:val="6D26299B"/>
    <w:rsid w:val="6D4772EC"/>
    <w:rsid w:val="6D710E78"/>
    <w:rsid w:val="6D9078AF"/>
    <w:rsid w:val="6D93790B"/>
    <w:rsid w:val="6D9466BA"/>
    <w:rsid w:val="6DAA3FEF"/>
    <w:rsid w:val="6DC0172B"/>
    <w:rsid w:val="6DC1516D"/>
    <w:rsid w:val="6DCB690C"/>
    <w:rsid w:val="6DD41A5B"/>
    <w:rsid w:val="6DF43C2E"/>
    <w:rsid w:val="6DF51CA3"/>
    <w:rsid w:val="6E1B3C31"/>
    <w:rsid w:val="6E4C3ABA"/>
    <w:rsid w:val="6E674BCC"/>
    <w:rsid w:val="6E8335BD"/>
    <w:rsid w:val="6E8E12EF"/>
    <w:rsid w:val="6E8E5D3F"/>
    <w:rsid w:val="6E972936"/>
    <w:rsid w:val="6ED446C5"/>
    <w:rsid w:val="6F2A7D94"/>
    <w:rsid w:val="6F5E79FA"/>
    <w:rsid w:val="6F8331F1"/>
    <w:rsid w:val="6FAE1A09"/>
    <w:rsid w:val="6FD75BF8"/>
    <w:rsid w:val="707723D0"/>
    <w:rsid w:val="70F5661B"/>
    <w:rsid w:val="712D52F5"/>
    <w:rsid w:val="71360107"/>
    <w:rsid w:val="713B688E"/>
    <w:rsid w:val="71D43752"/>
    <w:rsid w:val="71F1796A"/>
    <w:rsid w:val="72154626"/>
    <w:rsid w:val="72262B5D"/>
    <w:rsid w:val="72283FF7"/>
    <w:rsid w:val="722E7212"/>
    <w:rsid w:val="723A0474"/>
    <w:rsid w:val="7257024F"/>
    <w:rsid w:val="725923E4"/>
    <w:rsid w:val="72864BF7"/>
    <w:rsid w:val="729023FC"/>
    <w:rsid w:val="733026F0"/>
    <w:rsid w:val="73836ECE"/>
    <w:rsid w:val="73C0646E"/>
    <w:rsid w:val="7416564C"/>
    <w:rsid w:val="742222F5"/>
    <w:rsid w:val="74476126"/>
    <w:rsid w:val="74706664"/>
    <w:rsid w:val="747F3682"/>
    <w:rsid w:val="748B71CF"/>
    <w:rsid w:val="748F3516"/>
    <w:rsid w:val="749C4185"/>
    <w:rsid w:val="74A53C41"/>
    <w:rsid w:val="74F506C7"/>
    <w:rsid w:val="75067759"/>
    <w:rsid w:val="751752C5"/>
    <w:rsid w:val="752913AF"/>
    <w:rsid w:val="752E6DCD"/>
    <w:rsid w:val="7551380D"/>
    <w:rsid w:val="75600BE5"/>
    <w:rsid w:val="7564475C"/>
    <w:rsid w:val="7583797F"/>
    <w:rsid w:val="758608CE"/>
    <w:rsid w:val="75D20F1D"/>
    <w:rsid w:val="75DA2C18"/>
    <w:rsid w:val="75F54412"/>
    <w:rsid w:val="761D08E0"/>
    <w:rsid w:val="765D347C"/>
    <w:rsid w:val="767D5E56"/>
    <w:rsid w:val="76826699"/>
    <w:rsid w:val="76C87133"/>
    <w:rsid w:val="76CD08D5"/>
    <w:rsid w:val="76DB4B92"/>
    <w:rsid w:val="77052AA4"/>
    <w:rsid w:val="77136511"/>
    <w:rsid w:val="772B1C5E"/>
    <w:rsid w:val="77340A39"/>
    <w:rsid w:val="77351FD0"/>
    <w:rsid w:val="77472422"/>
    <w:rsid w:val="777F31F2"/>
    <w:rsid w:val="77B21B30"/>
    <w:rsid w:val="77D1700D"/>
    <w:rsid w:val="77EC04CC"/>
    <w:rsid w:val="784028FD"/>
    <w:rsid w:val="78775729"/>
    <w:rsid w:val="78A42DB0"/>
    <w:rsid w:val="78A656AB"/>
    <w:rsid w:val="78B2245C"/>
    <w:rsid w:val="78CF22B3"/>
    <w:rsid w:val="78E172CC"/>
    <w:rsid w:val="78E73A5B"/>
    <w:rsid w:val="78EA1D1F"/>
    <w:rsid w:val="7904172F"/>
    <w:rsid w:val="790D62C4"/>
    <w:rsid w:val="790F7E27"/>
    <w:rsid w:val="79250DDA"/>
    <w:rsid w:val="792A231A"/>
    <w:rsid w:val="79316829"/>
    <w:rsid w:val="793B7903"/>
    <w:rsid w:val="797E66A9"/>
    <w:rsid w:val="798518A4"/>
    <w:rsid w:val="79A97383"/>
    <w:rsid w:val="79C86838"/>
    <w:rsid w:val="79D023DA"/>
    <w:rsid w:val="79E27E8B"/>
    <w:rsid w:val="79F850CE"/>
    <w:rsid w:val="79FD443C"/>
    <w:rsid w:val="7A001E19"/>
    <w:rsid w:val="7A1D1975"/>
    <w:rsid w:val="7A30625E"/>
    <w:rsid w:val="7A3E5150"/>
    <w:rsid w:val="7A4670D6"/>
    <w:rsid w:val="7A492D7C"/>
    <w:rsid w:val="7A534B63"/>
    <w:rsid w:val="7A613399"/>
    <w:rsid w:val="7A615382"/>
    <w:rsid w:val="7A67303B"/>
    <w:rsid w:val="7A997328"/>
    <w:rsid w:val="7AAB1D04"/>
    <w:rsid w:val="7ABA4368"/>
    <w:rsid w:val="7AD05746"/>
    <w:rsid w:val="7AD73BDD"/>
    <w:rsid w:val="7AD77196"/>
    <w:rsid w:val="7AE87541"/>
    <w:rsid w:val="7B2014A6"/>
    <w:rsid w:val="7B206E52"/>
    <w:rsid w:val="7B257FFD"/>
    <w:rsid w:val="7B343476"/>
    <w:rsid w:val="7B3F7B7E"/>
    <w:rsid w:val="7B4927AB"/>
    <w:rsid w:val="7B5A1B28"/>
    <w:rsid w:val="7B5A2978"/>
    <w:rsid w:val="7B5A7E4C"/>
    <w:rsid w:val="7B667AF9"/>
    <w:rsid w:val="7B7468F8"/>
    <w:rsid w:val="7B9F3C35"/>
    <w:rsid w:val="7BA85004"/>
    <w:rsid w:val="7BEE0103"/>
    <w:rsid w:val="7C0A0FE4"/>
    <w:rsid w:val="7C254906"/>
    <w:rsid w:val="7C590818"/>
    <w:rsid w:val="7C7C10F6"/>
    <w:rsid w:val="7C853BEA"/>
    <w:rsid w:val="7C881368"/>
    <w:rsid w:val="7CB05905"/>
    <w:rsid w:val="7CC34C7A"/>
    <w:rsid w:val="7CD47820"/>
    <w:rsid w:val="7CE27788"/>
    <w:rsid w:val="7D0C32F1"/>
    <w:rsid w:val="7D0F408D"/>
    <w:rsid w:val="7D491C6C"/>
    <w:rsid w:val="7D5429C0"/>
    <w:rsid w:val="7D543EA6"/>
    <w:rsid w:val="7D6E6D43"/>
    <w:rsid w:val="7D937D0D"/>
    <w:rsid w:val="7DB57A34"/>
    <w:rsid w:val="7DE60973"/>
    <w:rsid w:val="7DEF0916"/>
    <w:rsid w:val="7DF509C8"/>
    <w:rsid w:val="7E1E5218"/>
    <w:rsid w:val="7E2F0D1B"/>
    <w:rsid w:val="7E9A4E1F"/>
    <w:rsid w:val="7EA7723A"/>
    <w:rsid w:val="7EF56FBB"/>
    <w:rsid w:val="7F0768EB"/>
    <w:rsid w:val="7F143BEC"/>
    <w:rsid w:val="7F3217A8"/>
    <w:rsid w:val="7F715AF2"/>
    <w:rsid w:val="7F886E69"/>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18"/>
    <w:qFormat/>
    <w:uiPriority w:val="0"/>
    <w:pPr>
      <w:ind w:firstLine="420"/>
    </w:pPr>
    <w:rPr>
      <w:rFonts w:hAnsi="Calibri" w:cs="Times New Roman"/>
      <w:snapToGrid/>
      <w:szCs w:val="20"/>
    </w:rPr>
  </w:style>
  <w:style w:type="paragraph" w:styleId="3">
    <w:name w:val="Body Text"/>
    <w:basedOn w:val="1"/>
    <w:next w:val="2"/>
    <w:link w:val="427"/>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8">
    <w:name w:val="Normal Indent"/>
    <w:basedOn w:val="1"/>
    <w:next w:val="9"/>
    <w:link w:val="190"/>
    <w:qFormat/>
    <w:uiPriority w:val="0"/>
    <w:pPr>
      <w:widowControl/>
      <w:snapToGrid w:val="0"/>
      <w:spacing w:line="480" w:lineRule="exact"/>
      <w:ind w:firstLine="567"/>
    </w:pPr>
    <w:rPr>
      <w:rFonts w:ascii="宋体"/>
      <w:snapToGrid w:val="0"/>
      <w:color w:val="000000"/>
      <w:kern w:val="28"/>
      <w:sz w:val="28"/>
      <w:szCs w:val="20"/>
    </w:rPr>
  </w:style>
  <w:style w:type="paragraph" w:styleId="9">
    <w:name w:val="Body Text Indent"/>
    <w:basedOn w:val="1"/>
    <w:next w:val="8"/>
    <w:link w:val="262"/>
    <w:qFormat/>
    <w:uiPriority w:val="0"/>
    <w:pPr>
      <w:spacing w:line="480" w:lineRule="exact"/>
      <w:ind w:firstLine="480" w:firstLineChars="200"/>
    </w:pPr>
    <w:rPr>
      <w:rFonts w:ascii="宋体" w:hAnsi="宋体"/>
      <w:sz w:val="24"/>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26"/>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199"/>
    <w:qFormat/>
    <w:uiPriority w:val="0"/>
    <w:pPr>
      <w:shd w:val="clear" w:color="auto" w:fill="000080"/>
    </w:pPr>
  </w:style>
  <w:style w:type="paragraph" w:styleId="23">
    <w:name w:val="annotation text"/>
    <w:basedOn w:val="1"/>
    <w:link w:val="341"/>
    <w:qFormat/>
    <w:uiPriority w:val="99"/>
    <w:pPr>
      <w:jc w:val="left"/>
    </w:pPr>
  </w:style>
  <w:style w:type="paragraph" w:styleId="24">
    <w:name w:val="Salutation"/>
    <w:basedOn w:val="1"/>
    <w:next w:val="1"/>
    <w:link w:val="295"/>
    <w:qFormat/>
    <w:uiPriority w:val="0"/>
    <w:rPr>
      <w:rFonts w:ascii="仿宋_GB2312" w:eastAsia="仿宋_GB2312"/>
      <w:sz w:val="28"/>
      <w:szCs w:val="20"/>
    </w:rPr>
  </w:style>
  <w:style w:type="paragraph" w:styleId="25">
    <w:name w:val="Body Text 3"/>
    <w:basedOn w:val="1"/>
    <w:link w:val="327"/>
    <w:qFormat/>
    <w:uiPriority w:val="0"/>
    <w:pPr>
      <w:jc w:val="center"/>
    </w:pPr>
    <w:rPr>
      <w:szCs w:val="20"/>
    </w:rPr>
  </w:style>
  <w:style w:type="paragraph" w:styleId="26">
    <w:name w:val="List Bullet 3"/>
    <w:basedOn w:val="1"/>
    <w:unhideWhenUsed/>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2"/>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8"/>
    <w:qFormat/>
    <w:uiPriority w:val="0"/>
    <w:pPr>
      <w:ind w:left="100" w:leftChars="2500"/>
    </w:pPr>
    <w:rPr>
      <w:rFonts w:ascii="宋体"/>
      <w:sz w:val="24"/>
      <w:szCs w:val="21"/>
      <w:lang w:val="zh-CN"/>
    </w:rPr>
  </w:style>
  <w:style w:type="paragraph" w:styleId="38">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5"/>
    <w:qFormat/>
    <w:uiPriority w:val="0"/>
    <w:rPr>
      <w:sz w:val="18"/>
      <w:szCs w:val="18"/>
    </w:rPr>
  </w:style>
  <w:style w:type="paragraph" w:styleId="41">
    <w:name w:val="footer"/>
    <w:basedOn w:val="1"/>
    <w:link w:val="380"/>
    <w:qFormat/>
    <w:uiPriority w:val="99"/>
    <w:pPr>
      <w:tabs>
        <w:tab w:val="center" w:pos="4153"/>
        <w:tab w:val="right" w:pos="8306"/>
      </w:tabs>
      <w:snapToGrid w:val="0"/>
      <w:jc w:val="left"/>
    </w:pPr>
    <w:rPr>
      <w:sz w:val="18"/>
      <w:szCs w:val="18"/>
    </w:rPr>
  </w:style>
  <w:style w:type="paragraph" w:styleId="42">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7"/>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3"/>
    <w:next w:val="23"/>
    <w:link w:val="93"/>
    <w:qFormat/>
    <w:uiPriority w:val="0"/>
    <w:rPr>
      <w:b/>
      <w:bCs/>
    </w:rPr>
  </w:style>
  <w:style w:type="paragraph" w:styleId="61">
    <w:name w:val="Body Text First Indent 2"/>
    <w:basedOn w:val="9"/>
    <w:next w:val="1"/>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60"/>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8"/>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12"/>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6"/>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7"/>
    <w:qFormat/>
    <w:uiPriority w:val="0"/>
    <w:rPr>
      <w:rFonts w:ascii="宋体"/>
      <w:kern w:val="2"/>
      <w:sz w:val="24"/>
      <w:szCs w:val="21"/>
      <w:lang w:val="zh-CN"/>
    </w:rPr>
  </w:style>
  <w:style w:type="character" w:customStyle="1" w:styleId="179">
    <w:name w:val="标题 9 Char"/>
    <w:link w:val="15"/>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40"/>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8"/>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22"/>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1"/>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10"/>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20"/>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9"/>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5"/>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11"/>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4"/>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10"/>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13"/>
    <w:qFormat/>
    <w:uiPriority w:val="0"/>
    <w:rPr>
      <w:b/>
      <w:bCs/>
      <w:kern w:val="2"/>
      <w:sz w:val="24"/>
      <w:szCs w:val="24"/>
    </w:rPr>
  </w:style>
  <w:style w:type="character" w:customStyle="1" w:styleId="305">
    <w:name w:val="正文文本缩进 2 Char"/>
    <w:link w:val="38"/>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1"/>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2"/>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10"/>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5"/>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3"/>
    <w:qFormat/>
    <w:uiPriority w:val="0"/>
    <w:rPr>
      <w:kern w:val="2"/>
      <w:sz w:val="21"/>
      <w:szCs w:val="24"/>
    </w:rPr>
  </w:style>
  <w:style w:type="character" w:customStyle="1" w:styleId="342">
    <w:name w:val="签名 Char"/>
    <w:link w:val="43"/>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basedOn w:val="69"/>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4"/>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basedOn w:val="69"/>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1"/>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2"/>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8"/>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9"/>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10"/>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6"/>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7"/>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11"/>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7"/>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10"/>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9"/>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9"/>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5"/>
    <w:qFormat/>
    <w:uiPriority w:val="0"/>
    <w:pPr>
      <w:tabs>
        <w:tab w:val="left" w:pos="840"/>
      </w:tabs>
      <w:adjustRightInd/>
      <w:ind w:left="840" w:hanging="420"/>
    </w:pPr>
  </w:style>
  <w:style w:type="paragraph" w:customStyle="1" w:styleId="623">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10"/>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7"/>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9"/>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10"/>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3"/>
    <w:next w:val="1"/>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9"/>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2"/>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11"/>
    <w:next w:val="1"/>
    <w:qFormat/>
    <w:uiPriority w:val="0"/>
    <w:pPr>
      <w:tabs>
        <w:tab w:val="left" w:pos="1080"/>
      </w:tabs>
      <w:ind w:left="1080" w:hanging="1080"/>
    </w:pPr>
  </w:style>
  <w:style w:type="paragraph" w:customStyle="1" w:styleId="894">
    <w:name w:val="数字标题1"/>
    <w:basedOn w:val="5"/>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9"/>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正文 "/>
    <w:basedOn w:val="1"/>
    <w:qFormat/>
    <w:uiPriority w:val="0"/>
    <w:pPr>
      <w:widowControl w:val="0"/>
      <w:adjustRightInd w:val="0"/>
      <w:spacing w:line="318" w:lineRule="atLeast"/>
      <w:ind w:left="369" w:firstLine="369"/>
      <w:jc w:val="both"/>
      <w:textAlignment w:val="baseline"/>
    </w:pPr>
    <w:rPr>
      <w:rFonts w:ascii="宋体"/>
      <w:sz w:val="21"/>
      <w:szCs w:val="20"/>
    </w:rPr>
  </w:style>
  <w:style w:type="table" w:customStyle="1" w:styleId="963">
    <w:name w:val="Table Normal"/>
    <w:unhideWhenUsed/>
    <w:qFormat/>
    <w:uiPriority w:val="0"/>
    <w:tblPr>
      <w:tblCellMar>
        <w:top w:w="0" w:type="dxa"/>
        <w:left w:w="0" w:type="dxa"/>
        <w:bottom w:w="0" w:type="dxa"/>
        <w:right w:w="0" w:type="dxa"/>
      </w:tblCellMar>
    </w:tblPr>
  </w:style>
  <w:style w:type="paragraph" w:customStyle="1" w:styleId="964">
    <w:name w:val="Basistekst Batenburg"/>
    <w:basedOn w:val="965"/>
    <w:qFormat/>
    <w:uiPriority w:val="0"/>
  </w:style>
  <w:style w:type="paragraph" w:customStyle="1" w:styleId="965">
    <w:name w:val="Zsysbasis Batenburg"/>
    <w:next w:val="964"/>
    <w:qFormat/>
    <w:uiPriority w:val="0"/>
    <w:pPr>
      <w:spacing w:line="300" w:lineRule="atLeast"/>
    </w:pPr>
    <w:rPr>
      <w:rFonts w:ascii="Times New Roman" w:hAnsi="Times New Roman" w:eastAsia="宋体" w:cs="Times New Roman"/>
      <w:sz w:val="22"/>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emf"/><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48943</Words>
  <Characters>55166</Characters>
  <Lines>279</Lines>
  <Paragraphs>78</Paragraphs>
  <TotalTime>31</TotalTime>
  <ScaleCrop>false</ScaleCrop>
  <LinksUpToDate>false</LinksUpToDate>
  <CharactersWithSpaces>60550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WPS_1494581394</cp:lastModifiedBy>
  <cp:lastPrinted>2023-03-23T08:34:00Z</cp:lastPrinted>
  <dcterms:modified xsi:type="dcterms:W3CDTF">2023-04-12T02:42:49Z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8EB19E8128D0457DA4EE3882E84C38B4</vt:lpwstr>
  </property>
</Properties>
</file>