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b/>
          <w:kern w:val="0"/>
          <w:sz w:val="52"/>
          <w:szCs w:val="52"/>
        </w:rPr>
      </w:pPr>
      <w:r>
        <w:rPr>
          <w:b/>
          <w:kern w:val="0"/>
          <w:sz w:val="52"/>
          <w:szCs w:val="52"/>
        </w:rPr>
        <w:t>玉环市政府采购招标文件</w:t>
      </w:r>
    </w:p>
    <w:p>
      <w:pPr>
        <w:pStyle w:val="11"/>
        <w:rPr>
          <w:kern w:val="0"/>
          <w:sz w:val="28"/>
        </w:rPr>
      </w:pPr>
    </w:p>
    <w:p>
      <w:pPr>
        <w:pStyle w:val="11"/>
        <w:rPr>
          <w:kern w:val="0"/>
          <w:sz w:val="28"/>
        </w:rPr>
      </w:pPr>
    </w:p>
    <w:p/>
    <w:p>
      <w:pPr>
        <w:pStyle w:val="19"/>
        <w:rPr>
          <w:rFonts w:ascii="Times New Roman" w:hAnsi="Times New Roman" w:cs="Times New Roman"/>
        </w:rPr>
      </w:pPr>
    </w:p>
    <w:p/>
    <w:p>
      <w:pPr>
        <w:pStyle w:val="11"/>
      </w:pPr>
    </w:p>
    <w:p>
      <w:pPr>
        <w:pStyle w:val="11"/>
      </w:pPr>
    </w:p>
    <w:p/>
    <w:p>
      <w:pPr>
        <w:pStyle w:val="11"/>
      </w:pPr>
    </w:p>
    <w:p>
      <w:pPr>
        <w:pStyle w:val="11"/>
      </w:pPr>
    </w:p>
    <w:p>
      <w:pPr>
        <w:pStyle w:val="11"/>
      </w:pPr>
    </w:p>
    <w:p>
      <w:pPr>
        <w:autoSpaceDE w:val="0"/>
        <w:autoSpaceDN w:val="0"/>
        <w:adjustRightInd w:val="0"/>
        <w:spacing w:line="920" w:lineRule="exact"/>
        <w:ind w:firstLine="360" w:firstLineChars="100"/>
        <w:rPr>
          <w:rFonts w:hint="default" w:eastAsia="宋体"/>
          <w:kern w:val="0"/>
          <w:sz w:val="36"/>
          <w:szCs w:val="36"/>
          <w:lang w:val="en-US" w:eastAsia="zh-CN"/>
        </w:rPr>
      </w:pPr>
      <w:r>
        <w:rPr>
          <w:kern w:val="0"/>
          <w:sz w:val="36"/>
          <w:szCs w:val="36"/>
        </w:rPr>
        <w:t>项目编号：</w:t>
      </w:r>
      <w:r>
        <w:rPr>
          <w:rFonts w:hint="eastAsia"/>
          <w:kern w:val="0"/>
          <w:sz w:val="36"/>
          <w:szCs w:val="36"/>
          <w:lang w:eastAsia="zh-CN"/>
        </w:rPr>
        <w:t>DDZX2023-Y-GK-20</w:t>
      </w:r>
    </w:p>
    <w:p>
      <w:pPr>
        <w:autoSpaceDE w:val="0"/>
        <w:autoSpaceDN w:val="0"/>
        <w:adjustRightInd w:val="0"/>
        <w:spacing w:line="920" w:lineRule="exact"/>
        <w:ind w:firstLine="360" w:firstLineChars="100"/>
        <w:rPr>
          <w:rFonts w:hint="eastAsia" w:eastAsia="宋体"/>
          <w:kern w:val="0"/>
          <w:sz w:val="28"/>
          <w:szCs w:val="28"/>
          <w:lang w:eastAsia="zh-CN"/>
        </w:rPr>
      </w:pPr>
      <w:r>
        <w:rPr>
          <w:rFonts w:hint="eastAsia"/>
          <w:kern w:val="0"/>
          <w:sz w:val="36"/>
          <w:szCs w:val="36"/>
        </w:rPr>
        <w:t>采购项目</w:t>
      </w:r>
      <w:r>
        <w:rPr>
          <w:kern w:val="0"/>
          <w:sz w:val="36"/>
          <w:szCs w:val="36"/>
        </w:rPr>
        <w:t>：</w:t>
      </w:r>
      <w:r>
        <w:rPr>
          <w:rFonts w:hint="eastAsia"/>
          <w:kern w:val="0"/>
          <w:sz w:val="32"/>
          <w:szCs w:val="32"/>
          <w:lang w:eastAsia="zh-CN"/>
        </w:rPr>
        <w:t>玉环市人民医院健共体集团厨房设备采购</w:t>
      </w:r>
    </w:p>
    <w:p>
      <w:pPr>
        <w:autoSpaceDE w:val="0"/>
        <w:autoSpaceDN w:val="0"/>
        <w:adjustRightInd w:val="0"/>
        <w:spacing w:line="920" w:lineRule="exact"/>
        <w:ind w:firstLine="360" w:firstLineChars="100"/>
        <w:rPr>
          <w:rFonts w:hint="eastAsia" w:eastAsia="宋体"/>
          <w:kern w:val="0"/>
          <w:sz w:val="36"/>
          <w:szCs w:val="36"/>
          <w:lang w:eastAsia="zh-CN"/>
        </w:rPr>
      </w:pPr>
      <w:r>
        <w:rPr>
          <w:kern w:val="0"/>
          <w:sz w:val="36"/>
          <w:szCs w:val="36"/>
        </w:rPr>
        <w:t>采 购 人：</w:t>
      </w:r>
      <w:r>
        <w:rPr>
          <w:rFonts w:hint="eastAsia"/>
          <w:kern w:val="0"/>
          <w:sz w:val="28"/>
          <w:szCs w:val="28"/>
        </w:rPr>
        <w:t>玉环市人民医院（玉环市人民医院健共体集团）</w:t>
      </w:r>
    </w:p>
    <w:p>
      <w:pPr>
        <w:autoSpaceDE w:val="0"/>
        <w:autoSpaceDN w:val="0"/>
        <w:adjustRightInd w:val="0"/>
        <w:spacing w:line="360" w:lineRule="auto"/>
        <w:ind w:firstLine="1797" w:firstLineChars="642"/>
        <w:jc w:val="left"/>
        <w:rPr>
          <w:kern w:val="0"/>
          <w:sz w:val="28"/>
        </w:rPr>
      </w:pPr>
    </w:p>
    <w:p>
      <w:pPr>
        <w:autoSpaceDE w:val="0"/>
        <w:autoSpaceDN w:val="0"/>
        <w:adjustRightInd w:val="0"/>
        <w:spacing w:line="360" w:lineRule="auto"/>
        <w:ind w:firstLine="1797" w:firstLineChars="642"/>
        <w:jc w:val="left"/>
        <w:rPr>
          <w:kern w:val="0"/>
          <w:sz w:val="28"/>
        </w:rPr>
      </w:pPr>
    </w:p>
    <w:p>
      <w:pPr>
        <w:pStyle w:val="11"/>
      </w:pPr>
    </w:p>
    <w:p/>
    <w:p>
      <w:pPr>
        <w:pStyle w:val="11"/>
      </w:pPr>
    </w:p>
    <w:p/>
    <w:p>
      <w:pPr>
        <w:pStyle w:val="11"/>
      </w:pPr>
    </w:p>
    <w:p/>
    <w:p>
      <w:pPr>
        <w:pStyle w:val="11"/>
      </w:pPr>
    </w:p>
    <w:p/>
    <w:p>
      <w:pPr>
        <w:autoSpaceDE w:val="0"/>
        <w:autoSpaceDN w:val="0"/>
        <w:adjustRightInd w:val="0"/>
        <w:spacing w:line="760" w:lineRule="exact"/>
        <w:jc w:val="center"/>
        <w:rPr>
          <w:kern w:val="0"/>
          <w:sz w:val="36"/>
          <w:szCs w:val="36"/>
        </w:rPr>
      </w:pPr>
      <w:r>
        <w:rPr>
          <w:kern w:val="0"/>
          <w:sz w:val="36"/>
          <w:szCs w:val="36"/>
        </w:rPr>
        <w:t>大地工程咨询有限公司</w:t>
      </w:r>
    </w:p>
    <w:p>
      <w:pPr>
        <w:autoSpaceDE w:val="0"/>
        <w:autoSpaceDN w:val="0"/>
        <w:adjustRightInd w:val="0"/>
        <w:spacing w:line="760" w:lineRule="exact"/>
        <w:jc w:val="center"/>
        <w:rPr>
          <w:kern w:val="0"/>
          <w:sz w:val="36"/>
          <w:szCs w:val="36"/>
        </w:rPr>
      </w:pPr>
      <w:r>
        <w:rPr>
          <w:kern w:val="0"/>
          <w:sz w:val="36"/>
          <w:szCs w:val="36"/>
        </w:rPr>
        <w:t>二O二</w:t>
      </w:r>
      <w:r>
        <w:rPr>
          <w:rFonts w:hint="eastAsia"/>
          <w:kern w:val="0"/>
          <w:sz w:val="36"/>
          <w:szCs w:val="36"/>
          <w:lang w:val="en-US" w:eastAsia="zh-CN"/>
        </w:rPr>
        <w:t>三</w:t>
      </w:r>
      <w:r>
        <w:rPr>
          <w:kern w:val="0"/>
          <w:sz w:val="36"/>
          <w:szCs w:val="36"/>
        </w:rPr>
        <w:t>年</w:t>
      </w:r>
      <w:r>
        <w:rPr>
          <w:rFonts w:hint="eastAsia"/>
          <w:kern w:val="0"/>
          <w:sz w:val="36"/>
          <w:szCs w:val="36"/>
          <w:lang w:val="en-US" w:eastAsia="zh-CN"/>
        </w:rPr>
        <w:t>十二</w:t>
      </w:r>
      <w:r>
        <w:rPr>
          <w:kern w:val="0"/>
          <w:sz w:val="36"/>
          <w:szCs w:val="36"/>
        </w:rPr>
        <w:t>月</w:t>
      </w:r>
    </w:p>
    <w:p>
      <w:pPr>
        <w:pStyle w:val="23"/>
        <w:ind w:left="420" w:firstLine="704"/>
        <w:rPr>
          <w:rFonts w:hint="default" w:ascii="Times New Roman" w:hAnsi="Times New Roman"/>
          <w:kern w:val="0"/>
          <w:sz w:val="36"/>
          <w:szCs w:val="36"/>
        </w:rPr>
      </w:pPr>
    </w:p>
    <w:p>
      <w:pPr>
        <w:jc w:val="center"/>
        <w:rPr>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757" w:left="1800" w:header="851" w:footer="992" w:gutter="0"/>
          <w:pgBorders>
            <w:top w:val="none" w:sz="0" w:space="0"/>
            <w:left w:val="none" w:sz="0" w:space="0"/>
            <w:bottom w:val="none" w:sz="0" w:space="0"/>
            <w:right w:val="none" w:sz="0" w:space="0"/>
          </w:pgBorders>
          <w:cols w:space="0" w:num="1"/>
          <w:titlePg/>
          <w:rtlGutter w:val="0"/>
          <w:docGrid w:type="lines" w:linePitch="312" w:charSpace="0"/>
        </w:sectPr>
      </w:pPr>
    </w:p>
    <w:p>
      <w:pPr>
        <w:jc w:val="center"/>
        <w:rPr>
          <w:b/>
          <w:bCs/>
          <w:sz w:val="36"/>
          <w:szCs w:val="36"/>
        </w:rPr>
      </w:pPr>
      <w:r>
        <w:rPr>
          <w:b/>
          <w:bCs/>
          <w:sz w:val="36"/>
          <w:szCs w:val="36"/>
        </w:rPr>
        <w:t>目    录</w:t>
      </w:r>
    </w:p>
    <w:p>
      <w:pPr>
        <w:spacing w:line="240" w:lineRule="exact"/>
        <w:jc w:val="center"/>
        <w:rPr>
          <w:b/>
          <w:bCs/>
          <w:sz w:val="36"/>
          <w:szCs w:val="36"/>
        </w:rPr>
      </w:pPr>
    </w:p>
    <w:p>
      <w:pPr>
        <w:numPr>
          <w:ilvl w:val="0"/>
          <w:numId w:val="2"/>
        </w:numPr>
        <w:spacing w:line="360" w:lineRule="auto"/>
        <w:rPr>
          <w:rFonts w:eastAsiaTheme="minorEastAsia"/>
          <w:b/>
          <w:sz w:val="28"/>
          <w:szCs w:val="28"/>
        </w:rPr>
      </w:pPr>
      <w:r>
        <w:rPr>
          <w:rFonts w:eastAsiaTheme="minorEastAsia"/>
          <w:b/>
          <w:sz w:val="28"/>
          <w:szCs w:val="28"/>
        </w:rPr>
        <w:t>公开招标采购公告</w:t>
      </w:r>
    </w:p>
    <w:p>
      <w:pPr>
        <w:numPr>
          <w:ilvl w:val="0"/>
          <w:numId w:val="2"/>
        </w:numPr>
        <w:spacing w:line="360" w:lineRule="auto"/>
        <w:rPr>
          <w:rFonts w:eastAsiaTheme="minorEastAsia"/>
          <w:b/>
          <w:sz w:val="28"/>
          <w:szCs w:val="28"/>
        </w:rPr>
      </w:pPr>
      <w:r>
        <w:rPr>
          <w:rFonts w:eastAsiaTheme="minorEastAsia"/>
          <w:b/>
          <w:sz w:val="28"/>
          <w:szCs w:val="28"/>
        </w:rPr>
        <w:t>投标人须知</w:t>
      </w:r>
    </w:p>
    <w:p>
      <w:pPr>
        <w:numPr>
          <w:ilvl w:val="0"/>
          <w:numId w:val="2"/>
        </w:numPr>
        <w:spacing w:line="360" w:lineRule="auto"/>
        <w:rPr>
          <w:rFonts w:eastAsiaTheme="minorEastAsia"/>
          <w:b/>
          <w:sz w:val="28"/>
          <w:szCs w:val="28"/>
        </w:rPr>
      </w:pPr>
      <w:r>
        <w:rPr>
          <w:rFonts w:eastAsiaTheme="minorEastAsia"/>
          <w:b/>
          <w:sz w:val="28"/>
          <w:szCs w:val="28"/>
        </w:rPr>
        <w:t>评标办法及评分标准</w:t>
      </w:r>
    </w:p>
    <w:p>
      <w:pPr>
        <w:numPr>
          <w:ilvl w:val="0"/>
          <w:numId w:val="2"/>
        </w:numPr>
        <w:spacing w:line="360" w:lineRule="auto"/>
        <w:rPr>
          <w:rFonts w:eastAsiaTheme="minorEastAsia"/>
          <w:b/>
          <w:sz w:val="28"/>
          <w:szCs w:val="28"/>
        </w:rPr>
      </w:pPr>
      <w:r>
        <w:rPr>
          <w:rFonts w:eastAsiaTheme="minorEastAsia"/>
          <w:b/>
          <w:sz w:val="28"/>
          <w:szCs w:val="28"/>
        </w:rPr>
        <w:t>公开招标需求</w:t>
      </w:r>
    </w:p>
    <w:p>
      <w:pPr>
        <w:numPr>
          <w:ilvl w:val="0"/>
          <w:numId w:val="2"/>
        </w:numPr>
        <w:spacing w:line="360" w:lineRule="auto"/>
        <w:rPr>
          <w:rFonts w:eastAsiaTheme="minorEastAsia"/>
          <w:b/>
          <w:sz w:val="28"/>
          <w:szCs w:val="28"/>
        </w:rPr>
      </w:pPr>
      <w:r>
        <w:rPr>
          <w:rFonts w:eastAsiaTheme="minorEastAsia"/>
          <w:b/>
          <w:sz w:val="28"/>
          <w:szCs w:val="28"/>
        </w:rPr>
        <w:t>政府采购合同主要条款指引</w:t>
      </w:r>
    </w:p>
    <w:p>
      <w:pPr>
        <w:numPr>
          <w:ilvl w:val="0"/>
          <w:numId w:val="2"/>
        </w:numPr>
        <w:spacing w:line="360" w:lineRule="auto"/>
        <w:rPr>
          <w:rFonts w:eastAsiaTheme="minorEastAsia"/>
          <w:b/>
          <w:sz w:val="28"/>
          <w:szCs w:val="28"/>
        </w:rPr>
      </w:pPr>
      <w:r>
        <w:rPr>
          <w:rFonts w:eastAsiaTheme="minorEastAsia"/>
          <w:b/>
          <w:sz w:val="28"/>
          <w:szCs w:val="28"/>
        </w:rPr>
        <w:t>投标文件格式附件</w:t>
      </w: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Pr>
        <w:rPr>
          <w:rFonts w:cs="Times New Roman"/>
        </w:rPr>
      </w:pPr>
    </w:p>
    <w:p>
      <w:pPr>
        <w:pStyle w:val="12"/>
        <w:rPr>
          <w:rFonts w:cs="Times New Roman"/>
        </w:rPr>
      </w:pPr>
    </w:p>
    <w:p>
      <w:pPr>
        <w:pStyle w:val="19"/>
        <w:rPr>
          <w:rFonts w:cs="Times New Roman"/>
        </w:rPr>
      </w:pPr>
    </w:p>
    <w:p/>
    <w:p/>
    <w:p>
      <w:p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p>
    <w:p>
      <w:p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b/>
          <w:kern w:val="0"/>
          <w:sz w:val="28"/>
          <w:szCs w:val="28"/>
        </w:rPr>
        <w:t>第一章  公开</w:t>
      </w:r>
      <w:r>
        <w:rPr>
          <w:b/>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kern w:val="0"/>
          <w:sz w:val="24"/>
        </w:rPr>
      </w:pPr>
    </w:p>
    <w:tbl>
      <w:tblPr>
        <w:tblStyle w:val="2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516" w:type="dxa"/>
            <w:noWrap/>
          </w:tcPr>
          <w:p>
            <w:pPr>
              <w:pStyle w:val="20"/>
              <w:spacing w:before="75" w:beforeAutospacing="0" w:after="75" w:afterAutospacing="0" w:line="360" w:lineRule="exact"/>
              <w:rPr>
                <w:rFonts w:hint="default" w:ascii="Times New Roman" w:hAnsi="Times New Roman"/>
                <w:color w:val="auto"/>
                <w:kern w:val="2"/>
                <w:sz w:val="21"/>
                <w:szCs w:val="21"/>
              </w:rPr>
            </w:pPr>
            <w:r>
              <w:rPr>
                <w:rFonts w:hint="default" w:ascii="Times New Roman" w:hAnsi="Times New Roman"/>
                <w:color w:val="auto"/>
                <w:kern w:val="2"/>
                <w:sz w:val="21"/>
                <w:szCs w:val="21"/>
              </w:rPr>
              <w:t>项目概况</w:t>
            </w:r>
          </w:p>
          <w:p>
            <w:pPr>
              <w:pStyle w:val="20"/>
              <w:spacing w:before="75" w:beforeAutospacing="0" w:after="75" w:afterAutospacing="0" w:line="360" w:lineRule="exact"/>
              <w:ind w:firstLine="420" w:firstLineChars="200"/>
              <w:rPr>
                <w:rFonts w:hint="default" w:ascii="Times New Roman" w:hAnsi="Times New Roman"/>
                <w:color w:val="auto"/>
                <w:kern w:val="2"/>
                <w:sz w:val="21"/>
                <w:szCs w:val="21"/>
              </w:rPr>
            </w:pPr>
            <w:r>
              <w:rPr>
                <w:rFonts w:hint="eastAsia" w:ascii="Times New Roman" w:hAnsi="Times New Roman"/>
                <w:color w:val="auto"/>
                <w:sz w:val="21"/>
                <w:szCs w:val="21"/>
                <w:u w:val="single"/>
                <w:lang w:eastAsia="zh-CN"/>
              </w:rPr>
              <w:t>玉环市人民医院健共体集团厨房设备采购</w:t>
            </w:r>
            <w:r>
              <w:rPr>
                <w:rFonts w:hint="default" w:ascii="Times New Roman" w:hAnsi="Times New Roman"/>
                <w:color w:val="auto"/>
                <w:kern w:val="2"/>
                <w:sz w:val="21"/>
                <w:szCs w:val="21"/>
              </w:rPr>
              <w:t>招标项目的潜在投标人应在“政府采购云平台”（https://www.zcygov.cn/）获取（下载）招标文件，并于</w:t>
            </w:r>
            <w:r>
              <w:rPr>
                <w:rFonts w:hint="eastAsia" w:ascii="Times New Roman" w:hAnsi="Times New Roman"/>
                <w:color w:val="auto"/>
                <w:kern w:val="2"/>
                <w:sz w:val="21"/>
                <w:szCs w:val="21"/>
                <w:lang w:val="en-US" w:eastAsia="zh-CN"/>
              </w:rPr>
              <w:t>2023</w:t>
            </w:r>
            <w:r>
              <w:rPr>
                <w:rFonts w:hint="default" w:ascii="Times New Roman" w:hAnsi="Times New Roman"/>
                <w:color w:val="auto"/>
                <w:kern w:val="2"/>
                <w:sz w:val="21"/>
                <w:szCs w:val="21"/>
              </w:rPr>
              <w:t>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28</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 （北京时间）前递交（上传）投标文件。</w:t>
            </w:r>
          </w:p>
        </w:tc>
      </w:tr>
    </w:tbl>
    <w:p>
      <w:pPr>
        <w:tabs>
          <w:tab w:val="left" w:pos="180"/>
          <w:tab w:val="left" w:pos="360"/>
          <w:tab w:val="left" w:pos="540"/>
          <w:tab w:val="left" w:pos="8280"/>
        </w:tabs>
        <w:autoSpaceDE w:val="0"/>
        <w:autoSpaceDN w:val="0"/>
        <w:adjustRightInd w:val="0"/>
        <w:spacing w:line="100" w:lineRule="exact"/>
        <w:ind w:right="23" w:firstLine="539"/>
        <w:jc w:val="left"/>
        <w:rPr>
          <w:color w:val="auto"/>
          <w:kern w:val="0"/>
          <w:sz w:val="24"/>
        </w:rPr>
      </w:pPr>
    </w:p>
    <w:p>
      <w:pPr>
        <w:pStyle w:val="20"/>
        <w:spacing w:beforeLines="50" w:beforeAutospacing="0" w:afterLines="50" w:afterAutospacing="0" w:line="320" w:lineRule="exact"/>
        <w:jc w:val="both"/>
        <w:rPr>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一、项目基本情况</w:t>
      </w:r>
      <w:r>
        <w:rPr>
          <w:rFonts w:hint="default" w:ascii="Times New Roman" w:hAnsi="Times New Roman" w:eastAsia="新宋体"/>
          <w:color w:val="auto"/>
          <w:sz w:val="21"/>
          <w:szCs w:val="21"/>
        </w:rPr>
        <w:t>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项目编号：</w:t>
      </w:r>
      <w:r>
        <w:rPr>
          <w:rFonts w:hint="eastAsia" w:ascii="Times New Roman" w:hAnsi="Times New Roman" w:eastAsia="新宋体"/>
          <w:color w:val="auto"/>
          <w:sz w:val="21"/>
          <w:szCs w:val="21"/>
          <w:lang w:eastAsia="zh-CN"/>
        </w:rPr>
        <w:t>DDZX2023-Y-GK-20</w:t>
      </w:r>
      <w:r>
        <w:rPr>
          <w:rFonts w:hint="default" w:ascii="Times New Roman" w:hAnsi="Times New Roman" w:eastAsia="新宋体"/>
          <w:color w:val="auto"/>
          <w:sz w:val="21"/>
          <w:szCs w:val="21"/>
        </w:rPr>
        <w:t> </w:t>
      </w:r>
    </w:p>
    <w:p>
      <w:pPr>
        <w:pStyle w:val="20"/>
        <w:spacing w:before="0" w:beforeAutospacing="0" w:after="0" w:afterAutospacing="0" w:line="320" w:lineRule="exact"/>
        <w:ind w:firstLine="420" w:firstLineChars="200"/>
        <w:rPr>
          <w:rFonts w:hint="eastAsia" w:ascii="Times New Roman" w:hAnsi="Times New Roman" w:eastAsia="新宋体"/>
          <w:color w:val="auto"/>
          <w:sz w:val="21"/>
          <w:szCs w:val="21"/>
          <w:lang w:eastAsia="zh-CN"/>
        </w:rPr>
      </w:pPr>
      <w:r>
        <w:rPr>
          <w:rFonts w:hint="default" w:ascii="Times New Roman" w:hAnsi="Times New Roman" w:eastAsia="新宋体"/>
          <w:color w:val="auto"/>
          <w:sz w:val="21"/>
          <w:szCs w:val="21"/>
        </w:rPr>
        <w:t>项目名称：</w:t>
      </w:r>
      <w:r>
        <w:rPr>
          <w:rFonts w:hint="eastAsia" w:ascii="Times New Roman" w:hAnsi="Times New Roman" w:eastAsia="新宋体"/>
          <w:color w:val="auto"/>
          <w:sz w:val="21"/>
          <w:szCs w:val="21"/>
          <w:lang w:eastAsia="zh-CN"/>
        </w:rPr>
        <w:t>玉环市人民医院健共体集团厨房设备采购</w:t>
      </w:r>
    </w:p>
    <w:p>
      <w:pPr>
        <w:pStyle w:val="20"/>
        <w:spacing w:before="0" w:beforeAutospacing="0" w:after="0" w:afterAutospacing="0" w:line="320" w:lineRule="exact"/>
        <w:ind w:firstLine="420" w:firstLineChars="200"/>
        <w:rPr>
          <w:rFonts w:hint="default" w:ascii="Times New Roman" w:hAnsi="Times New Roman" w:eastAsia="微软雅黑"/>
          <w:color w:val="auto"/>
          <w:sz w:val="21"/>
          <w:szCs w:val="21"/>
          <w:lang w:val="en-US" w:eastAsia="zh-CN"/>
        </w:rPr>
      </w:pPr>
      <w:r>
        <w:rPr>
          <w:rFonts w:hint="default" w:ascii="Times New Roman" w:hAnsi="Times New Roman" w:eastAsia="新宋体"/>
          <w:color w:val="auto"/>
          <w:sz w:val="21"/>
          <w:szCs w:val="21"/>
        </w:rPr>
        <w:t>预算金额（元）：</w:t>
      </w:r>
      <w:r>
        <w:rPr>
          <w:rFonts w:hint="eastAsia" w:ascii="Times New Roman" w:hAnsi="Times New Roman" w:eastAsia="新宋体"/>
          <w:color w:val="auto"/>
          <w:sz w:val="21"/>
          <w:szCs w:val="21"/>
          <w:lang w:val="en-US" w:eastAsia="zh-CN"/>
        </w:rPr>
        <w:t>5500000.00</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lang w:val="en-US" w:eastAsia="zh-CN"/>
        </w:rPr>
      </w:pPr>
      <w:r>
        <w:rPr>
          <w:rFonts w:hint="default" w:ascii="Times New Roman" w:hAnsi="Times New Roman" w:eastAsia="新宋体"/>
          <w:color w:val="auto"/>
          <w:sz w:val="21"/>
          <w:szCs w:val="21"/>
        </w:rPr>
        <w:t>最高限价（元）：</w:t>
      </w:r>
      <w:r>
        <w:rPr>
          <w:rFonts w:hint="eastAsia" w:ascii="Times New Roman" w:hAnsi="Times New Roman" w:eastAsia="新宋体"/>
          <w:color w:val="auto"/>
          <w:sz w:val="21"/>
          <w:szCs w:val="21"/>
          <w:lang w:val="en-US" w:eastAsia="zh-CN"/>
        </w:rPr>
        <w:t>3800000.00</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采购需求：</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标项一：</w:t>
      </w:r>
    </w:p>
    <w:p>
      <w:pPr>
        <w:pStyle w:val="20"/>
        <w:spacing w:before="0" w:beforeAutospacing="0" w:after="0" w:afterAutospacing="0" w:line="320" w:lineRule="exact"/>
        <w:ind w:firstLine="420" w:firstLineChars="200"/>
        <w:rPr>
          <w:rFonts w:hint="eastAsia" w:ascii="Times New Roman" w:hAnsi="Times New Roman" w:eastAsia="新宋体"/>
          <w:color w:val="auto"/>
          <w:sz w:val="21"/>
          <w:szCs w:val="21"/>
          <w:lang w:eastAsia="zh-CN"/>
        </w:rPr>
      </w:pPr>
      <w:r>
        <w:rPr>
          <w:rFonts w:hint="default" w:ascii="Times New Roman" w:hAnsi="Times New Roman" w:eastAsia="新宋体"/>
          <w:color w:val="auto"/>
          <w:sz w:val="21"/>
          <w:szCs w:val="21"/>
        </w:rPr>
        <w:t>标项名称：</w:t>
      </w:r>
      <w:r>
        <w:rPr>
          <w:rFonts w:hint="eastAsia" w:ascii="Times New Roman" w:hAnsi="Times New Roman" w:eastAsia="新宋体"/>
          <w:color w:val="auto"/>
          <w:sz w:val="21"/>
          <w:szCs w:val="21"/>
          <w:lang w:eastAsia="zh-CN"/>
        </w:rPr>
        <w:t>玉环市人民医院健共体集团厨房设备采购</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数量：1</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预算金额（元）：</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简要规格描述或项目基本概况介绍、用途：具体要求详见招标文件</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备注：</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合同履约期限：标项1：详见招标文件</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本项目不接受联合体投标。</w:t>
      </w:r>
    </w:p>
    <w:p>
      <w:pPr>
        <w:pStyle w:val="20"/>
        <w:spacing w:beforeLines="50" w:beforeAutospacing="0" w:afterLines="50" w:afterAutospacing="0" w:line="320" w:lineRule="exact"/>
        <w:jc w:val="both"/>
        <w:rPr>
          <w:rStyle w:val="29"/>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二、申请人的资格要求</w:t>
      </w:r>
    </w:p>
    <w:p>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right="0"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1.满足《中华人民共和国政府采购法》第二十二条规定；未被“信用中国”（www.creditchina.gov.cn)、中国政府采购网（www.ccgp.gov.cn）列入失信被执行人、重大税收违法</w:t>
      </w:r>
      <w:r>
        <w:rPr>
          <w:rFonts w:hint="default" w:ascii="Times New Roman" w:hAnsi="Times New Roman" w:eastAsia="新宋体" w:cs="Times New Roman"/>
          <w:color w:val="auto"/>
          <w:sz w:val="21"/>
          <w:szCs w:val="21"/>
          <w:highlight w:val="none"/>
          <w:lang w:val="en-US" w:eastAsia="zh-CN"/>
        </w:rPr>
        <w:t>失信主体</w:t>
      </w:r>
      <w:r>
        <w:rPr>
          <w:rFonts w:hint="default" w:ascii="Times New Roman" w:hAnsi="Times New Roman" w:eastAsia="新宋体" w:cs="Times New Roman"/>
          <w:color w:val="auto"/>
          <w:sz w:val="21"/>
          <w:szCs w:val="21"/>
          <w:highlight w:val="none"/>
        </w:rPr>
        <w:t>、政府采购严重违法失信行为记录名单。</w:t>
      </w:r>
    </w:p>
    <w:p>
      <w:pPr>
        <w:pStyle w:val="20"/>
        <w:spacing w:before="0" w:beforeAutospacing="0" w:after="0" w:afterAutospacing="0" w:line="34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s="Times New Roman"/>
          <w:color w:val="auto"/>
          <w:sz w:val="21"/>
          <w:szCs w:val="21"/>
          <w:highlight w:val="none"/>
        </w:rPr>
        <w:t>2.落实政府采购政策需满足的资格要求：</w:t>
      </w:r>
      <w:r>
        <w:rPr>
          <w:rFonts w:hint="default" w:ascii="Times New Roman" w:hAnsi="Times New Roman"/>
          <w:color w:val="auto"/>
          <w:sz w:val="21"/>
          <w:szCs w:val="21"/>
        </w:rPr>
        <w:t>：</w:t>
      </w:r>
      <w:r>
        <w:rPr>
          <w:rFonts w:hint="default" w:ascii="Times New Roman" w:hAnsi="Times New Roman" w:eastAsia="新宋体"/>
          <w:color w:val="auto"/>
          <w:sz w:val="21"/>
          <w:szCs w:val="21"/>
        </w:rPr>
        <w:t>标项1：供应商为中小企业</w:t>
      </w:r>
    </w:p>
    <w:p>
      <w:pPr>
        <w:keepNext w:val="0"/>
        <w:keepLines w:val="0"/>
        <w:pageBreakBefore w:val="0"/>
        <w:widowControl w:val="0"/>
        <w:kinsoku/>
        <w:wordWrap/>
        <w:overflowPunct/>
        <w:topLinePunct w:val="0"/>
        <w:autoSpaceDE/>
        <w:autoSpaceDN/>
        <w:bidi w:val="0"/>
        <w:adjustRightInd/>
        <w:snapToGrid w:val="0"/>
        <w:spacing w:line="340" w:lineRule="exact"/>
        <w:ind w:right="0" w:firstLine="420" w:firstLineChars="200"/>
        <w:textAlignment w:val="auto"/>
        <w:rPr>
          <w:rFonts w:hint="default" w:ascii="Times New Roman" w:hAnsi="Times New Roman" w:cs="Times New Roman"/>
          <w:b w:val="0"/>
          <w:color w:val="auto"/>
          <w:kern w:val="2"/>
          <w:sz w:val="21"/>
          <w:szCs w:val="21"/>
          <w:lang w:val="en-US" w:eastAsia="zh-CN"/>
        </w:rPr>
      </w:pPr>
      <w:r>
        <w:rPr>
          <w:rFonts w:hint="default" w:ascii="Times New Roman" w:hAnsi="Times New Roman" w:eastAsia="新宋体" w:cs="Times New Roman"/>
          <w:color w:val="auto"/>
          <w:sz w:val="21"/>
          <w:szCs w:val="21"/>
          <w:highlight w:val="none"/>
        </w:rPr>
        <w:t>3.本项目的特定资格要求：</w:t>
      </w:r>
    </w:p>
    <w:p>
      <w:pPr>
        <w:pStyle w:val="20"/>
        <w:spacing w:beforeLines="50" w:beforeAutospacing="0" w:afterLines="50" w:afterAutospacing="0" w:line="320" w:lineRule="exact"/>
        <w:jc w:val="both"/>
        <w:rPr>
          <w:rStyle w:val="29"/>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三、获取招标文件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时间：/至</w:t>
      </w:r>
      <w:r>
        <w:rPr>
          <w:rFonts w:hint="eastAsia" w:ascii="Times New Roman" w:hAnsi="Times New Roman"/>
          <w:color w:val="auto"/>
          <w:kern w:val="2"/>
          <w:sz w:val="21"/>
          <w:szCs w:val="21"/>
          <w:lang w:val="en-US" w:eastAsia="zh-CN"/>
        </w:rPr>
        <w:t>2023</w:t>
      </w:r>
      <w:r>
        <w:rPr>
          <w:rFonts w:hint="default" w:ascii="Times New Roman" w:hAnsi="Times New Roman"/>
          <w:color w:val="auto"/>
          <w:kern w:val="2"/>
          <w:sz w:val="21"/>
          <w:szCs w:val="21"/>
        </w:rPr>
        <w:t>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28</w:t>
      </w:r>
      <w:r>
        <w:rPr>
          <w:rFonts w:hint="default" w:ascii="Times New Roman" w:hAnsi="Times New Roman"/>
          <w:color w:val="auto"/>
          <w:kern w:val="2"/>
          <w:sz w:val="21"/>
          <w:szCs w:val="21"/>
        </w:rPr>
        <w:t>日</w:t>
      </w:r>
      <w:r>
        <w:rPr>
          <w:rFonts w:hint="default" w:ascii="Times New Roman" w:hAnsi="Times New Roman" w:eastAsia="新宋体"/>
          <w:color w:val="auto"/>
          <w:sz w:val="21"/>
          <w:szCs w:val="21"/>
        </w:rPr>
        <w:t>，每天上午00:00至12:00 ，下午12:00至23:59（北京时间，线上获取法定节假日均可，线下获取文件法定节假日除外）</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地点（网址）：“政府采购云平台”（https://www.zcygov.cn/）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方式：本项目招标文件在“政府采购云平台”（https://www.zcygov.cn/）进行网上报名后可免费下载。投标人获取招标文件前应先完成“ 政府采购云平台”（https://www.zcygov.cn/）的账号注册。注：请投标人按上述要求获取招标文件，如未在“ 政府采购云平台”（https://www.zcygov.cn/）系统内完成相关流程，引起的投标无效责任自负。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售价（元）：0 </w:t>
      </w:r>
    </w:p>
    <w:p>
      <w:pPr>
        <w:pStyle w:val="20"/>
        <w:spacing w:beforeLines="50" w:beforeAutospacing="0" w:afterLines="50" w:afterAutospacing="0" w:line="320" w:lineRule="exact"/>
        <w:jc w:val="both"/>
        <w:rPr>
          <w:rStyle w:val="29"/>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四、提交投标文件截止时间、开标时间和地点</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提交投标文件截止时间：</w:t>
      </w:r>
      <w:r>
        <w:rPr>
          <w:rFonts w:hint="eastAsia" w:ascii="Times New Roman" w:hAnsi="Times New Roman"/>
          <w:color w:val="auto"/>
          <w:kern w:val="2"/>
          <w:sz w:val="21"/>
          <w:szCs w:val="21"/>
          <w:lang w:val="en-US" w:eastAsia="zh-CN"/>
        </w:rPr>
        <w:t>2023</w:t>
      </w:r>
      <w:r>
        <w:rPr>
          <w:rFonts w:hint="default" w:ascii="Times New Roman" w:hAnsi="Times New Roman"/>
          <w:color w:val="auto"/>
          <w:kern w:val="2"/>
          <w:sz w:val="21"/>
          <w:szCs w:val="21"/>
        </w:rPr>
        <w:t>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28</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0 </w:t>
      </w:r>
      <w:r>
        <w:rPr>
          <w:rFonts w:hint="default" w:ascii="Times New Roman" w:hAnsi="Times New Roman" w:eastAsia="新宋体"/>
          <w:color w:val="auto"/>
          <w:sz w:val="21"/>
          <w:szCs w:val="21"/>
        </w:rPr>
        <w:t>（北京时间）</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投标地点（网址）：电子投标文件上传到“政府采购云平台” （https://www.zcygov.cn/）</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开标时间：</w:t>
      </w:r>
      <w:r>
        <w:rPr>
          <w:rFonts w:hint="eastAsia" w:ascii="Times New Roman" w:hAnsi="Times New Roman"/>
          <w:color w:val="auto"/>
          <w:kern w:val="2"/>
          <w:sz w:val="21"/>
          <w:szCs w:val="21"/>
          <w:lang w:val="en-US" w:eastAsia="zh-CN"/>
        </w:rPr>
        <w:t>2023</w:t>
      </w:r>
      <w:r>
        <w:rPr>
          <w:rFonts w:hint="default" w:ascii="Times New Roman" w:hAnsi="Times New Roman"/>
          <w:color w:val="auto"/>
          <w:kern w:val="2"/>
          <w:sz w:val="21"/>
          <w:szCs w:val="21"/>
        </w:rPr>
        <w:t>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28</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0 </w:t>
      </w:r>
      <w:r>
        <w:rPr>
          <w:rFonts w:hint="default" w:ascii="Times New Roman" w:hAnsi="Times New Roman" w:eastAsia="新宋体"/>
          <w:color w:val="auto"/>
          <w:sz w:val="21"/>
          <w:szCs w:val="21"/>
        </w:rPr>
        <w:t>（北京时间）</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开标地点（网址）：“政府采购云平台” （https://www.zcygov.cn/）在线开标  </w:t>
      </w:r>
    </w:p>
    <w:p>
      <w:pPr>
        <w:pStyle w:val="20"/>
        <w:spacing w:beforeLines="50" w:beforeAutospacing="0" w:afterLines="50" w:afterAutospacing="0" w:line="320" w:lineRule="exact"/>
        <w:jc w:val="both"/>
        <w:rPr>
          <w:rStyle w:val="29"/>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五、公告期限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自本公告发布之日起5个工作日。</w:t>
      </w:r>
    </w:p>
    <w:p>
      <w:pPr>
        <w:pStyle w:val="20"/>
        <w:spacing w:beforeLines="50" w:beforeAutospacing="0" w:afterLines="50" w:afterAutospacing="0" w:line="320" w:lineRule="exact"/>
        <w:jc w:val="both"/>
        <w:rPr>
          <w:rStyle w:val="29"/>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六、其他补充事宜</w:t>
      </w:r>
    </w:p>
    <w:p>
      <w:pPr>
        <w:pStyle w:val="20"/>
        <w:spacing w:before="0" w:beforeAutospacing="0" w:after="0" w:afterAutospacing="0" w:line="320" w:lineRule="exact"/>
        <w:ind w:firstLine="420" w:firstLineChars="200"/>
        <w:rPr>
          <w:rFonts w:hint="eastAsia" w:ascii="Times New Roman" w:hAnsi="Times New Roman" w:eastAsia="新宋体"/>
          <w:color w:val="auto"/>
          <w:sz w:val="21"/>
          <w:szCs w:val="21"/>
          <w:lang w:val="en-US" w:eastAsia="zh-CN"/>
        </w:rPr>
      </w:pPr>
      <w:r>
        <w:rPr>
          <w:rFonts w:hint="default" w:ascii="Times New Roman" w:hAnsi="Times New Roman" w:eastAsia="新宋体"/>
          <w:color w:val="auto"/>
          <w:sz w:val="21"/>
          <w:szCs w:val="21"/>
        </w:rPr>
        <w:t xml:space="preserve">   </w:t>
      </w:r>
      <w:r>
        <w:rPr>
          <w:rFonts w:hint="default" w:ascii="Times New Roman" w:hAnsi="Times New Roman" w:eastAsia="新宋体"/>
          <w:color w:val="auto"/>
          <w:sz w:val="21"/>
          <w:szCs w:val="21"/>
          <w:lang w:val="en-US" w:eastAsia="zh-CN"/>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eastAsia="新宋体"/>
          <w:color w:val="auto"/>
          <w:sz w:val="21"/>
          <w:szCs w:val="21"/>
          <w:lang w:val="en-US" w:eastAsia="zh-CN"/>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4.其他事项</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 xml:space="preserve">在线投标响应（电子投标）说明：本项目采用资格后审，请拟投标人自行核对投标人资格条件，如不符合资格条件者，在资格审查时导致投标被拒绝的，责任自负。 ①本项目实行电子投标，投标人应通过“政府采购云平台”（https://www.zcygov.cn/）实行在线投标响应（电子投标），投标人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政府采购网-下载专区-电子交易客户端”进行下载；电子投标具体操作流程详见《供应商项目采购-电子招投标操作指南》；通过“政府采购云平台”参与在线投标时如遇平台技术问题详询400-881-7190。 ②为确保网上操作合法、有效和安全，投标人应当在投标截止时间前完成在“政府采购云平台”的身份认证，确保在电子投标过程中能够对相关数据电文进行加密和使用电子签章。使用“政采云电子交易客户端”需要提前办理申领CA数字证书，申领流程请自行前往“政府采购网-下载专区-电子交易客户端-CA驱动和申领流程”进行查阅。 ③投标人应当在投标截止时间前，将生成的“电子加密投标文件”上传递交至“政府采购云平台”（https://www.zcygov.cn/）。为确保采购项目顺利实施，避免因政采云上“电子加密投标文件”解密失败导致投标人投标无效，投标人可在投标文件截止时间前将在“政府采购云平台”电子投标工具制作生成的“备份电子加密投标文件”（u盘）以邮件的方式送到招标代理机构，联系人、联系地址及电话见下方。“备份电子加密投标文件”应当密封包装，并在包装上标注投标项目名称、投标人名称并加盖公章。 ④通过“政府采购云平台”（https://www.zcygov.cn/）上传递交的“电子加密投标文件”无法按时解密，投标人递交了“备份电子加密投标文件”的，以“备份电子加密投标文件”为依据，否则视为投标文件撤回。通过“政府采购云平台”上传递交的“电子加密投标文件”已按时解密的，“备份电子加密投标文件”自动失效。投标人仅递交“备份电子加密投标文件”的，投标无效。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 xml:space="preserve">投标人信用信息查询渠道及截止时点、信用信息查询记录和证据留存的具体方式、信用信息的使用规则： ①查询渠道：“信用中国”(www.creditchina.gov.cn)；“中国政府采购网”（http://www.ccgp.gov.cn/）。 ②截止时点：开标后评标前。 ③信用信息查询记录和证据留存的具体方式：由采购组织机构在规定查询时间内打印信用信息查询记录并归入项目档案。 ④使用规则：对列入失信被执行人、重大税收违法案件当事人名单、政府采购严重违法失信行为记录名单及其他不符合《中华人民共和国政府采购法》第二十二条规定条件的投标人，将被拒绝其参与政府采购活动。 </w:t>
      </w:r>
    </w:p>
    <w:p>
      <w:pPr>
        <w:pStyle w:val="20"/>
        <w:spacing w:beforeLines="50" w:beforeAutospacing="0" w:afterLines="50" w:afterAutospacing="0" w:line="320" w:lineRule="exact"/>
        <w:jc w:val="both"/>
        <w:rPr>
          <w:rStyle w:val="29"/>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七、对本次采购提出询问、质疑、投诉，请按以下方式联系</w:t>
      </w:r>
    </w:p>
    <w:p>
      <w:pPr>
        <w:pStyle w:val="20"/>
        <w:spacing w:before="0" w:beforeAutospacing="0" w:after="0" w:afterAutospacing="0" w:line="320" w:lineRule="exact"/>
        <w:ind w:firstLine="422" w:firstLineChars="200"/>
        <w:rPr>
          <w:rFonts w:hint="default" w:ascii="Times New Roman" w:hAnsi="Times New Roman" w:eastAsia="新宋体"/>
          <w:b/>
          <w:bCs/>
          <w:color w:val="auto"/>
          <w:sz w:val="21"/>
          <w:szCs w:val="21"/>
        </w:rPr>
      </w:pPr>
      <w:r>
        <w:rPr>
          <w:rFonts w:hint="default" w:ascii="Times New Roman" w:hAnsi="Times New Roman" w:eastAsia="新宋体"/>
          <w:b/>
          <w:bCs/>
          <w:color w:val="auto"/>
          <w:sz w:val="21"/>
          <w:szCs w:val="21"/>
        </w:rPr>
        <w:t>1.采购人信息</w:t>
      </w:r>
    </w:p>
    <w:p>
      <w:pPr>
        <w:pStyle w:val="20"/>
        <w:spacing w:before="0" w:beforeAutospacing="0" w:after="0" w:afterAutospacing="0" w:line="320" w:lineRule="exact"/>
        <w:ind w:firstLine="420" w:firstLineChars="200"/>
        <w:rPr>
          <w:rFonts w:hint="eastAsia" w:ascii="Times New Roman" w:hAnsi="Times New Roman" w:eastAsia="新宋体"/>
          <w:color w:val="auto"/>
          <w:sz w:val="21"/>
          <w:szCs w:val="21"/>
          <w:lang w:eastAsia="zh-CN"/>
        </w:rPr>
      </w:pPr>
      <w:r>
        <w:rPr>
          <w:rFonts w:hint="default" w:ascii="Times New Roman" w:hAnsi="Times New Roman" w:eastAsia="新宋体"/>
          <w:color w:val="auto"/>
          <w:sz w:val="21"/>
          <w:szCs w:val="21"/>
        </w:rPr>
        <w:t>名    称：</w:t>
      </w:r>
      <w:r>
        <w:rPr>
          <w:rFonts w:hint="eastAsia" w:ascii="Times New Roman" w:hAnsi="Times New Roman" w:cs="Times New Roman"/>
          <w:color w:val="auto"/>
          <w:sz w:val="21"/>
          <w:szCs w:val="21"/>
          <w:lang w:eastAsia="zh-CN"/>
        </w:rPr>
        <w:t>玉环市人民医院（玉环市人民医院健共体集团）</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地    址：</w:t>
      </w:r>
      <w:r>
        <w:rPr>
          <w:rFonts w:hint="default" w:ascii="Times New Roman" w:hAnsi="Times New Roman" w:cs="Times New Roman"/>
          <w:color w:val="auto"/>
          <w:sz w:val="21"/>
          <w:szCs w:val="21"/>
          <w:lang w:eastAsia="zh-CN"/>
        </w:rPr>
        <w:t>玉环市玉城街道长乐路18号</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传    真：/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ascii="Times New Roman" w:hAnsi="Times New Roman" w:eastAsia="新宋体"/>
          <w:color w:val="auto"/>
          <w:sz w:val="21"/>
          <w:szCs w:val="21"/>
        </w:rPr>
        <w:t>项目联系人（询问）：</w:t>
      </w:r>
      <w:r>
        <w:rPr>
          <w:rFonts w:hint="eastAsia" w:ascii="Times New Roman" w:hAnsi="Times New Roman" w:eastAsia="宋体" w:cs="Times New Roman"/>
          <w:color w:val="auto"/>
          <w:sz w:val="21"/>
          <w:szCs w:val="21"/>
          <w:lang w:val="en-US" w:eastAsia="zh-CN"/>
        </w:rPr>
        <w:t>蔡女士</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ascii="Times New Roman" w:hAnsi="Times New Roman" w:eastAsia="新宋体"/>
          <w:color w:val="auto"/>
          <w:sz w:val="21"/>
          <w:szCs w:val="21"/>
        </w:rPr>
        <w:t>项目联系方式（询问）：</w:t>
      </w:r>
      <w:r>
        <w:rPr>
          <w:rFonts w:hint="eastAsia" w:ascii="Times New Roman" w:hAnsi="Times New Roman" w:eastAsia="宋体" w:cs="Times New Roman"/>
          <w:color w:val="auto"/>
          <w:sz w:val="21"/>
          <w:szCs w:val="21"/>
          <w:lang w:val="en-US" w:eastAsia="zh-CN"/>
        </w:rPr>
        <w:t>0576-87236020</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lang w:val="en-US"/>
        </w:rPr>
      </w:pPr>
      <w:r>
        <w:rPr>
          <w:rFonts w:ascii="Times New Roman" w:hAnsi="Times New Roman" w:eastAsia="新宋体"/>
          <w:color w:val="auto"/>
          <w:sz w:val="21"/>
          <w:szCs w:val="21"/>
        </w:rPr>
        <w:t>质疑联系人：</w:t>
      </w:r>
      <w:r>
        <w:rPr>
          <w:rFonts w:hint="eastAsia" w:ascii="Times New Roman" w:hAnsi="Times New Roman" w:cs="Times New Roman"/>
          <w:color w:val="auto"/>
          <w:sz w:val="21"/>
          <w:szCs w:val="21"/>
          <w:lang w:val="en-US" w:eastAsia="zh-CN"/>
        </w:rPr>
        <w:t>潘先生</w:t>
      </w:r>
    </w:p>
    <w:p>
      <w:pPr>
        <w:pStyle w:val="20"/>
        <w:spacing w:before="0" w:beforeAutospacing="0" w:after="0" w:afterAutospacing="0" w:line="320" w:lineRule="exact"/>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新宋体"/>
          <w:color w:val="auto"/>
          <w:sz w:val="21"/>
          <w:szCs w:val="21"/>
        </w:rPr>
        <w:t>质疑联系方式：</w:t>
      </w:r>
      <w:r>
        <w:rPr>
          <w:rFonts w:hint="eastAsia" w:ascii="Times New Roman" w:hAnsi="Times New Roman" w:eastAsia="宋体" w:cs="Times New Roman"/>
          <w:color w:val="auto"/>
          <w:sz w:val="21"/>
          <w:szCs w:val="21"/>
          <w:lang w:val="en-US" w:eastAsia="zh-CN"/>
        </w:rPr>
        <w:t>0576-87236016</w:t>
      </w:r>
    </w:p>
    <w:p>
      <w:pPr>
        <w:pStyle w:val="20"/>
        <w:spacing w:before="0" w:beforeAutospacing="0" w:after="0" w:afterAutospacing="0" w:line="320" w:lineRule="exact"/>
        <w:ind w:firstLine="422" w:firstLineChars="200"/>
        <w:rPr>
          <w:rFonts w:hint="default" w:ascii="Times New Roman" w:hAnsi="Times New Roman" w:eastAsia="新宋体"/>
          <w:color w:val="auto"/>
          <w:sz w:val="21"/>
          <w:szCs w:val="21"/>
        </w:rPr>
      </w:pPr>
      <w:r>
        <w:rPr>
          <w:rFonts w:hint="default" w:ascii="Times New Roman" w:hAnsi="Times New Roman" w:eastAsia="新宋体"/>
          <w:b/>
          <w:bCs/>
          <w:color w:val="auto"/>
          <w:sz w:val="21"/>
          <w:szCs w:val="21"/>
        </w:rPr>
        <w:t>2.采购代理机构信息</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名    称：大地工程咨询有限公司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地    址：浙江省玉环市玉城街道康育南路309号1503室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传    真：/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项目联系人（询问）：赵晓英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项目联系方式（询问）：0576-87237838</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质疑联系人：曾云木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质疑联系方式：13506865339　　　　　     </w:t>
      </w:r>
    </w:p>
    <w:p>
      <w:pPr>
        <w:pStyle w:val="20"/>
        <w:spacing w:before="0" w:beforeAutospacing="0" w:after="0" w:afterAutospacing="0" w:line="320" w:lineRule="exact"/>
        <w:ind w:firstLine="422" w:firstLineChars="200"/>
        <w:rPr>
          <w:rFonts w:hint="default" w:ascii="Times New Roman" w:hAnsi="Times New Roman" w:eastAsia="新宋体"/>
          <w:color w:val="auto"/>
          <w:sz w:val="21"/>
          <w:szCs w:val="21"/>
        </w:rPr>
      </w:pPr>
      <w:r>
        <w:rPr>
          <w:rFonts w:hint="default" w:ascii="Times New Roman" w:hAnsi="Times New Roman" w:eastAsia="新宋体"/>
          <w:b/>
          <w:bCs/>
          <w:color w:val="auto"/>
          <w:sz w:val="21"/>
          <w:szCs w:val="21"/>
        </w:rPr>
        <w:t>3.同级政府采购监督管理部门 </w:t>
      </w:r>
      <w:r>
        <w:rPr>
          <w:rFonts w:hint="default" w:ascii="Times New Roman" w:hAnsi="Times New Roman" w:eastAsia="新宋体"/>
          <w:color w:val="auto"/>
          <w:sz w:val="21"/>
          <w:szCs w:val="21"/>
        </w:rPr>
        <w:t>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名    称：玉环市财政局政府采购监督管理科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地    址：玉环市广陵路130号财政大楼5楼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传    真：/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联系人 ：谢主任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监督投诉电话：0576-87250185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 xml:space="preserve"> 若对项目采购电子交易系统操作有疑问，可登录政采云（https://www.zcygov.cn/），点击右侧咨询小采，获取采小蜜智能服务管家帮助，或拨打政采云服务热线400-881-7190获取热线服务帮助。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CA问题联系电话（人工）：汇信CA 400-888-4636；天谷CA 400-087-8198</w:t>
      </w:r>
    </w:p>
    <w:p>
      <w:pPr>
        <w:tabs>
          <w:tab w:val="left" w:pos="180"/>
          <w:tab w:val="left" w:pos="360"/>
          <w:tab w:val="left" w:pos="540"/>
          <w:tab w:val="left" w:pos="8280"/>
        </w:tabs>
        <w:autoSpaceDE w:val="0"/>
        <w:autoSpaceDN w:val="0"/>
        <w:adjustRightInd w:val="0"/>
        <w:spacing w:line="360" w:lineRule="auto"/>
        <w:ind w:right="23"/>
        <w:jc w:val="center"/>
        <w:rPr>
          <w:b/>
          <w:color w:val="auto"/>
          <w:kern w:val="0"/>
          <w:sz w:val="28"/>
          <w:szCs w:val="28"/>
        </w:rPr>
      </w:pPr>
      <w:r>
        <w:rPr>
          <w:b/>
          <w:color w:val="auto"/>
          <w:kern w:val="0"/>
          <w:sz w:val="28"/>
          <w:szCs w:val="28"/>
        </w:rPr>
        <w:t>第二章  投标人须知</w:t>
      </w:r>
    </w:p>
    <w:p>
      <w:pPr>
        <w:spacing w:line="360" w:lineRule="auto"/>
        <w:jc w:val="center"/>
        <w:rPr>
          <w:b/>
          <w:color w:val="auto"/>
          <w:sz w:val="24"/>
        </w:rPr>
      </w:pPr>
      <w:r>
        <w:rPr>
          <w:b/>
          <w:color w:val="auto"/>
          <w:sz w:val="24"/>
        </w:rPr>
        <w:t>前  附  表</w:t>
      </w:r>
    </w:p>
    <w:tbl>
      <w:tblPr>
        <w:tblStyle w:val="2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30"/>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序号</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项   目</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供应商特定资格要求</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szCs w:val="21"/>
              </w:rPr>
            </w:pPr>
            <w:r>
              <w:rPr>
                <w:color w:val="auto"/>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kern w:val="0"/>
                <w:szCs w:val="21"/>
              </w:rPr>
              <w:t>答疑会或</w:t>
            </w:r>
            <w:r>
              <w:rPr>
                <w:color w:val="auto"/>
                <w:szCs w:val="21"/>
              </w:rPr>
              <w:t>现场踏勘</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kern w:val="0"/>
                <w:szCs w:val="21"/>
              </w:rPr>
            </w:pPr>
            <w:r>
              <w:rPr>
                <w:color w:val="auto"/>
                <w:kern w:val="0"/>
                <w:szCs w:val="21"/>
                <w:lang w:val="zh-CN"/>
              </w:rPr>
              <w:t>投标文件</w:t>
            </w:r>
            <w:r>
              <w:rPr>
                <w:color w:val="auto"/>
                <w:kern w:val="0"/>
                <w:szCs w:val="21"/>
              </w:rPr>
              <w:t>说明</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color w:val="auto"/>
                <w:szCs w:val="21"/>
                <w:lang w:val="zh-CN"/>
              </w:rPr>
            </w:pPr>
            <w:r>
              <w:rPr>
                <w:color w:val="auto"/>
                <w:szCs w:val="21"/>
                <w:lang w:val="zh-CN"/>
              </w:rPr>
              <w:t>1、</w:t>
            </w:r>
            <w:r>
              <w:rPr>
                <w:b/>
                <w:bCs/>
                <w:color w:val="auto"/>
                <w:szCs w:val="21"/>
                <w:lang w:val="zh-CN"/>
              </w:rPr>
              <w:t>投标文件组成：</w:t>
            </w:r>
            <w:r>
              <w:rPr>
                <w:color w:val="auto"/>
                <w:szCs w:val="21"/>
                <w:lang w:val="zh-CN"/>
              </w:rPr>
              <w:t>《资格</w:t>
            </w:r>
            <w:r>
              <w:rPr>
                <w:color w:val="auto"/>
                <w:szCs w:val="21"/>
              </w:rPr>
              <w:t>证明</w:t>
            </w:r>
            <w:r>
              <w:rPr>
                <w:color w:val="auto"/>
                <w:szCs w:val="21"/>
                <w:lang w:val="zh-CN"/>
              </w:rPr>
              <w:t>文件》及《商务</w:t>
            </w:r>
            <w:r>
              <w:rPr>
                <w:color w:val="auto"/>
                <w:szCs w:val="21"/>
              </w:rPr>
              <w:t>与</w:t>
            </w:r>
            <w:r>
              <w:rPr>
                <w:color w:val="auto"/>
                <w:szCs w:val="21"/>
                <w:lang w:val="zh-CN"/>
              </w:rPr>
              <w:t>技术文件》和《报价文件》。</w:t>
            </w:r>
          </w:p>
          <w:p>
            <w:pPr>
              <w:spacing w:line="340" w:lineRule="exact"/>
              <w:ind w:left="17" w:right="199" w:rightChars="95" w:hanging="16" w:hangingChars="8"/>
              <w:rPr>
                <w:color w:val="auto"/>
                <w:szCs w:val="21"/>
                <w:lang w:val="zh-CN"/>
              </w:rPr>
            </w:pPr>
            <w:r>
              <w:rPr>
                <w:color w:val="auto"/>
                <w:szCs w:val="21"/>
              </w:rPr>
              <w:t>2、</w:t>
            </w:r>
            <w:r>
              <w:rPr>
                <w:b/>
                <w:bCs/>
                <w:color w:val="auto"/>
                <w:szCs w:val="21"/>
              </w:rPr>
              <w:t>投标文件编制：</w:t>
            </w:r>
            <w:r>
              <w:rPr>
                <w:bCs/>
                <w:color w:val="auto"/>
                <w:szCs w:val="21"/>
              </w:rPr>
              <w:t>投标人</w:t>
            </w:r>
            <w:r>
              <w:rPr>
                <w:color w:val="auto"/>
                <w:szCs w:val="21"/>
                <w:lang w:val="zh-CN"/>
              </w:rPr>
              <w:t>应先安装“政采云电子交易客户端”，并按照本</w:t>
            </w:r>
            <w:r>
              <w:rPr>
                <w:color w:val="auto"/>
                <w:szCs w:val="21"/>
              </w:rPr>
              <w:t>招标</w:t>
            </w:r>
            <w:r>
              <w:rPr>
                <w:color w:val="auto"/>
                <w:szCs w:val="21"/>
                <w:lang w:val="zh-CN"/>
              </w:rPr>
              <w:t>文件和“政府采购云平台”的要求，通过“政采云电子交易客户端”编制并加密投标文件。</w:t>
            </w:r>
          </w:p>
          <w:p>
            <w:pPr>
              <w:spacing w:line="340" w:lineRule="exact"/>
              <w:ind w:left="17" w:right="199" w:rightChars="95" w:hanging="16" w:hangingChars="8"/>
              <w:rPr>
                <w:color w:val="auto"/>
                <w:szCs w:val="21"/>
              </w:rPr>
            </w:pPr>
            <w:r>
              <w:rPr>
                <w:color w:val="auto"/>
                <w:szCs w:val="21"/>
              </w:rPr>
              <w:t>3、</w:t>
            </w:r>
            <w:r>
              <w:rPr>
                <w:b/>
                <w:bCs/>
                <w:color w:val="auto"/>
                <w:szCs w:val="21"/>
              </w:rPr>
              <w:t>投标文件的签章：</w:t>
            </w:r>
            <w:r>
              <w:rPr>
                <w:color w:val="auto"/>
                <w:szCs w:val="21"/>
                <w:lang w:val="zh-CN"/>
              </w:rPr>
              <w:t>电子签章。</w:t>
            </w:r>
          </w:p>
          <w:p>
            <w:pPr>
              <w:spacing w:line="340" w:lineRule="exact"/>
              <w:ind w:left="17" w:right="199" w:rightChars="95" w:hanging="16" w:hangingChars="8"/>
              <w:rPr>
                <w:color w:val="auto"/>
                <w:szCs w:val="21"/>
                <w:lang w:val="zh-CN"/>
              </w:rPr>
            </w:pPr>
            <w:r>
              <w:rPr>
                <w:color w:val="auto"/>
                <w:szCs w:val="21"/>
              </w:rPr>
              <w:t>4、</w:t>
            </w:r>
            <w:r>
              <w:rPr>
                <w:b/>
                <w:bCs/>
                <w:color w:val="auto"/>
                <w:szCs w:val="21"/>
              </w:rPr>
              <w:t>投标文件的形式：</w:t>
            </w:r>
            <w:r>
              <w:rPr>
                <w:color w:val="auto"/>
                <w:szCs w:val="21"/>
                <w:lang w:val="zh-CN"/>
              </w:rPr>
              <w:t>电子投标文件</w:t>
            </w:r>
            <w:r>
              <w:rPr>
                <w:color w:val="auto"/>
                <w:szCs w:val="21"/>
              </w:rPr>
              <w:t>形式</w:t>
            </w:r>
            <w:r>
              <w:rPr>
                <w:color w:val="auto"/>
                <w:szCs w:val="21"/>
                <w:lang w:val="zh-CN"/>
              </w:rPr>
              <w:t>：</w:t>
            </w:r>
          </w:p>
          <w:p>
            <w:pPr>
              <w:spacing w:line="340" w:lineRule="exact"/>
              <w:ind w:left="17" w:right="199" w:rightChars="95" w:hanging="16" w:hangingChars="8"/>
              <w:rPr>
                <w:color w:val="auto"/>
                <w:szCs w:val="21"/>
              </w:rPr>
            </w:pPr>
            <w:r>
              <w:rPr>
                <w:color w:val="auto"/>
                <w:szCs w:val="21"/>
                <w:lang w:val="zh-CN"/>
              </w:rPr>
              <w:t>（1）“电子加密投标文件”是指通过“政采云电子交易客户端”完成投标文件编制后生成并加密的数据电文形式的投标</w:t>
            </w:r>
            <w:r>
              <w:rPr>
                <w:color w:val="auto"/>
                <w:szCs w:val="21"/>
              </w:rPr>
              <w:t>文件。</w:t>
            </w:r>
          </w:p>
          <w:p>
            <w:pPr>
              <w:spacing w:line="340" w:lineRule="exact"/>
              <w:ind w:left="17" w:right="199" w:rightChars="95" w:hanging="16" w:hangingChars="8"/>
              <w:rPr>
                <w:color w:val="auto"/>
                <w:szCs w:val="21"/>
              </w:rPr>
            </w:pPr>
            <w:r>
              <w:rPr>
                <w:color w:val="auto"/>
                <w:szCs w:val="21"/>
              </w:rPr>
              <w:t>（2）“备份电子加密投标文件”是指与“电子加密投标文件”同时生成的</w:t>
            </w:r>
            <w:r>
              <w:rPr>
                <w:bCs/>
                <w:color w:val="auto"/>
                <w:szCs w:val="21"/>
              </w:rPr>
              <w:t>以介质（U盘）存储</w:t>
            </w:r>
            <w:r>
              <w:rPr>
                <w:color w:val="auto"/>
                <w:szCs w:val="21"/>
              </w:rPr>
              <w:t>数据电文形式的电子文件（备份电子加密投标文件），其他方式编制的备份电子加密投标文件视为无效备份投标文件。</w:t>
            </w:r>
          </w:p>
          <w:p>
            <w:pPr>
              <w:spacing w:line="340" w:lineRule="exact"/>
              <w:ind w:left="17" w:right="199" w:rightChars="95" w:hanging="17" w:hangingChars="8"/>
              <w:rPr>
                <w:color w:val="auto"/>
                <w:szCs w:val="21"/>
              </w:rPr>
            </w:pPr>
            <w:r>
              <w:rPr>
                <w:b/>
                <w:bCs/>
                <w:color w:val="auto"/>
                <w:szCs w:val="21"/>
              </w:rPr>
              <w:t>5、投标文件份数：</w:t>
            </w:r>
            <w:r>
              <w:rPr>
                <w:color w:val="auto"/>
                <w:szCs w:val="21"/>
              </w:rPr>
              <w:t>（1）“电子加密投标文件”：在线上传递交。按政采云平台供应商项目采购-电子招投标操作指南及本项目招标文件要求提交。（2）“备份电子加密投标文件”：一份。</w:t>
            </w:r>
          </w:p>
          <w:p>
            <w:pPr>
              <w:spacing w:line="340" w:lineRule="exact"/>
              <w:ind w:left="17" w:right="199" w:rightChars="95" w:hanging="17" w:hangingChars="8"/>
              <w:rPr>
                <w:b/>
                <w:bCs/>
                <w:color w:val="auto"/>
                <w:szCs w:val="21"/>
              </w:rPr>
            </w:pPr>
            <w:r>
              <w:rPr>
                <w:b/>
                <w:bCs/>
                <w:color w:val="auto"/>
                <w:szCs w:val="21"/>
              </w:rPr>
              <w:t>6、投标文件的上传和递交：</w:t>
            </w:r>
          </w:p>
          <w:p>
            <w:pPr>
              <w:spacing w:line="340" w:lineRule="exact"/>
              <w:ind w:left="17" w:right="199" w:rightChars="95" w:hanging="16" w:hangingChars="8"/>
              <w:rPr>
                <w:color w:val="auto"/>
                <w:szCs w:val="21"/>
              </w:rPr>
            </w:pPr>
            <w:r>
              <w:rPr>
                <w:color w:val="auto"/>
                <w:szCs w:val="21"/>
              </w:rPr>
              <w:t>（1）“电子加密投标文件”的上传、递交：</w:t>
            </w:r>
          </w:p>
          <w:p>
            <w:pPr>
              <w:spacing w:line="340" w:lineRule="exact"/>
              <w:ind w:left="17" w:right="199" w:rightChars="95" w:hanging="16" w:hangingChars="8"/>
              <w:rPr>
                <w:color w:val="auto"/>
                <w:szCs w:val="21"/>
              </w:rPr>
            </w:pPr>
            <w:r>
              <w:rPr>
                <w:bCs/>
                <w:color w:val="auto"/>
                <w:szCs w:val="21"/>
              </w:rPr>
              <w:t>投标人</w:t>
            </w:r>
            <w:r>
              <w:rPr>
                <w:color w:val="auto"/>
                <w:szCs w:val="21"/>
              </w:rPr>
              <w:t>应在投标截止时间前将“电子加密投标文件”成功上传递交至“政府采购云平台”</w:t>
            </w:r>
            <w:r>
              <w:rPr>
                <w:rFonts w:eastAsia="新宋体"/>
                <w:color w:val="auto"/>
                <w:szCs w:val="21"/>
              </w:rPr>
              <w:t>（</w:t>
            </w:r>
            <w:r>
              <w:rPr>
                <w:color w:val="auto"/>
                <w:szCs w:val="21"/>
              </w:rPr>
              <w:t>https://www.zcygov.cn/</w:t>
            </w:r>
            <w:r>
              <w:rPr>
                <w:rFonts w:eastAsia="新宋体"/>
                <w:color w:val="auto"/>
                <w:szCs w:val="21"/>
              </w:rPr>
              <w:t>）</w:t>
            </w:r>
            <w:r>
              <w:rPr>
                <w:color w:val="auto"/>
                <w:szCs w:val="21"/>
              </w:rPr>
              <w:t>。</w:t>
            </w:r>
          </w:p>
          <w:p>
            <w:pPr>
              <w:spacing w:line="340" w:lineRule="exact"/>
              <w:ind w:left="17" w:right="199" w:rightChars="95" w:hanging="16" w:hangingChars="8"/>
              <w:rPr>
                <w:color w:val="auto"/>
                <w:szCs w:val="21"/>
              </w:rPr>
            </w:pPr>
            <w:r>
              <w:rPr>
                <w:color w:val="auto"/>
                <w:szCs w:val="21"/>
              </w:rPr>
              <w:t>（2）“备份电子加密投标文件”的密封包装、递交：</w:t>
            </w:r>
          </w:p>
          <w:p>
            <w:pPr>
              <w:spacing w:line="340" w:lineRule="exact"/>
              <w:ind w:right="199" w:rightChars="95" w:firstLine="420" w:firstLineChars="200"/>
              <w:rPr>
                <w:bCs/>
                <w:color w:val="auto"/>
                <w:szCs w:val="21"/>
              </w:rPr>
            </w:pPr>
            <w:r>
              <w:rPr>
                <w:color w:val="auto"/>
                <w:szCs w:val="21"/>
              </w:rPr>
              <w:t>a.</w:t>
            </w:r>
            <w:r>
              <w:rPr>
                <w:bCs/>
                <w:color w:val="auto"/>
                <w:szCs w:val="21"/>
              </w:rPr>
              <w:t>投标人</w:t>
            </w:r>
            <w:r>
              <w:rPr>
                <w:color w:val="auto"/>
                <w:szCs w:val="21"/>
              </w:rPr>
              <w:t>在“政府采购云平台”</w:t>
            </w:r>
            <w:r>
              <w:rPr>
                <w:rFonts w:eastAsia="新宋体"/>
                <w:color w:val="auto"/>
                <w:szCs w:val="21"/>
              </w:rPr>
              <w:t>（</w:t>
            </w:r>
            <w:r>
              <w:rPr>
                <w:color w:val="auto"/>
                <w:szCs w:val="21"/>
              </w:rPr>
              <w:t>https://www.zcygov.cn/</w:t>
            </w:r>
            <w:r>
              <w:rPr>
                <w:rFonts w:eastAsia="新宋体"/>
                <w:color w:val="auto"/>
                <w:szCs w:val="21"/>
              </w:rPr>
              <w:t>）</w:t>
            </w:r>
            <w:r>
              <w:rPr>
                <w:color w:val="auto"/>
                <w:szCs w:val="21"/>
              </w:rPr>
              <w:t xml:space="preserve">完成“电子加密投标文件”的上传递交后， </w:t>
            </w:r>
            <w:r>
              <w:rPr>
                <w:bCs/>
                <w:color w:val="auto"/>
                <w:szCs w:val="21"/>
              </w:rPr>
              <w:t>投标人</w:t>
            </w:r>
            <w:r>
              <w:rPr>
                <w:color w:val="auto"/>
                <w:szCs w:val="21"/>
              </w:rPr>
              <w:t>可递交“备份电子加密投标文件”的，</w:t>
            </w:r>
            <w:r>
              <w:rPr>
                <w:bCs/>
                <w:color w:val="auto"/>
                <w:szCs w:val="21"/>
              </w:rPr>
              <w:t>在投标文件截止时间前将在“政府采购云平台”电子投标工具制作生成的“备份电子加密投标文件”（u盘）以邮件的方式送到招标代理机构，联系人、联系地址及电话见招标公告。</w:t>
            </w:r>
          </w:p>
          <w:p>
            <w:pPr>
              <w:spacing w:line="340" w:lineRule="exact"/>
              <w:ind w:right="199" w:rightChars="95" w:firstLine="420" w:firstLineChars="200"/>
              <w:rPr>
                <w:color w:val="auto"/>
                <w:szCs w:val="21"/>
              </w:rPr>
            </w:pPr>
            <w:r>
              <w:rPr>
                <w:bCs/>
                <w:color w:val="auto"/>
                <w:szCs w:val="21"/>
              </w:rPr>
              <w:t>b.“备份电子加密投标文件”应当密封包装，并在包装上标注投标项目名称、投标人名称并加盖公章。没有密封包装或者逾期邮寄送达的“备份电子加密投标文件”将不予接受。</w:t>
            </w:r>
          </w:p>
          <w:p>
            <w:pPr>
              <w:spacing w:line="340" w:lineRule="exact"/>
              <w:ind w:right="199" w:rightChars="95" w:firstLine="420" w:firstLineChars="200"/>
              <w:rPr>
                <w:color w:val="auto"/>
                <w:szCs w:val="21"/>
              </w:rPr>
            </w:pPr>
            <w:r>
              <w:rPr>
                <w:color w:val="auto"/>
                <w:szCs w:val="21"/>
              </w:rPr>
              <w:t>c.通过“政府采购云平台”成功上传递交的“电子加密投标文件”已按时解密的，“备份电子加密投标文件”自动失效。投标截止时间前，</w:t>
            </w:r>
            <w:r>
              <w:rPr>
                <w:bCs/>
                <w:color w:val="auto"/>
                <w:szCs w:val="21"/>
              </w:rPr>
              <w:t>投标人</w:t>
            </w:r>
            <w:r>
              <w:rPr>
                <w:color w:val="auto"/>
                <w:szCs w:val="21"/>
              </w:rPr>
              <w:t>仅递交了“备份电子加密投标文件”而未将“电子加密投标文件”成功上传至“政府采购云平台”的，投标无效。</w:t>
            </w:r>
          </w:p>
          <w:p>
            <w:pPr>
              <w:spacing w:line="340" w:lineRule="exact"/>
              <w:ind w:left="17" w:right="199" w:rightChars="95" w:hanging="17" w:hangingChars="8"/>
              <w:rPr>
                <w:b/>
                <w:bCs/>
                <w:color w:val="auto"/>
                <w:szCs w:val="21"/>
              </w:rPr>
            </w:pPr>
            <w:r>
              <w:rPr>
                <w:b/>
                <w:bCs/>
                <w:color w:val="auto"/>
                <w:szCs w:val="21"/>
              </w:rPr>
              <w:t>7、电子加密投标文件的解密和异常情况处理：</w:t>
            </w:r>
          </w:p>
          <w:p>
            <w:pPr>
              <w:spacing w:line="340" w:lineRule="exact"/>
              <w:ind w:left="17" w:right="199" w:rightChars="95" w:hanging="16" w:hangingChars="8"/>
              <w:rPr>
                <w:color w:val="auto"/>
                <w:szCs w:val="21"/>
              </w:rPr>
            </w:pPr>
            <w:r>
              <w:rPr>
                <w:color w:val="auto"/>
                <w:szCs w:val="21"/>
              </w:rPr>
              <w:t>（1）开标后，采购组织机构将向各</w:t>
            </w:r>
            <w:r>
              <w:rPr>
                <w:bCs/>
                <w:color w:val="auto"/>
                <w:szCs w:val="21"/>
              </w:rPr>
              <w:t>投标人</w:t>
            </w:r>
            <w:r>
              <w:rPr>
                <w:color w:val="auto"/>
                <w:szCs w:val="21"/>
              </w:rPr>
              <w:t>发出“电子加密投标文件”的解密通知，各</w:t>
            </w:r>
            <w:r>
              <w:rPr>
                <w:bCs/>
                <w:color w:val="auto"/>
                <w:szCs w:val="21"/>
              </w:rPr>
              <w:t>投标人</w:t>
            </w:r>
            <w:r>
              <w:rPr>
                <w:color w:val="auto"/>
                <w:szCs w:val="21"/>
              </w:rPr>
              <w:t>代表应当在接到解密通知后30分钟内自行完成“电子加密投标文件”的在线解密。</w:t>
            </w:r>
          </w:p>
          <w:p>
            <w:pPr>
              <w:spacing w:line="340" w:lineRule="exact"/>
              <w:ind w:left="17" w:right="199" w:rightChars="95" w:hanging="16" w:hangingChars="8"/>
              <w:rPr>
                <w:color w:val="auto"/>
                <w:szCs w:val="21"/>
              </w:rPr>
            </w:pPr>
            <w:r>
              <w:rPr>
                <w:color w:val="auto"/>
                <w:szCs w:val="21"/>
              </w:rPr>
              <w:t>（2）通过“政府采购云平台”成功上传递交的“电子加密投标文件”无法按时解密，</w:t>
            </w:r>
            <w:r>
              <w:rPr>
                <w:bCs/>
                <w:color w:val="auto"/>
                <w:szCs w:val="21"/>
              </w:rPr>
              <w:t>投标人</w:t>
            </w:r>
            <w:r>
              <w:rPr>
                <w:color w:val="auto"/>
                <w:szCs w:val="21"/>
              </w:rPr>
              <w:t>如按规定递交了“备份电子加密投标文件”的，以“备份电子加密投标文件”为依据（由采购组织机构按“政府采购云平台”操作规范将“备份电子加密投标文件”上传至“政府采购云平台”，上传成功后，“电子加密投标文件”自动失效），否则视为投标文件撤回。</w:t>
            </w:r>
          </w:p>
          <w:p>
            <w:pPr>
              <w:spacing w:line="340" w:lineRule="exact"/>
              <w:ind w:left="17" w:right="199" w:rightChars="95" w:hanging="16" w:hangingChars="8"/>
              <w:rPr>
                <w:color w:val="auto"/>
                <w:szCs w:val="21"/>
              </w:rPr>
            </w:pPr>
            <w:r>
              <w:rPr>
                <w:color w:val="auto"/>
                <w:szCs w:val="21"/>
              </w:rPr>
              <w:t>（3）投标截止时间前，</w:t>
            </w:r>
            <w:r>
              <w:rPr>
                <w:bCs/>
                <w:color w:val="auto"/>
                <w:szCs w:val="21"/>
              </w:rPr>
              <w:t>投标人</w:t>
            </w:r>
            <w:r>
              <w:rPr>
                <w:color w:val="auto"/>
                <w:szCs w:val="21"/>
              </w:rPr>
              <w:t>仅递交了“备份电子加密投标文件”而未将电子加密投标文件上传至“政府采购云平台”的，投标无效。</w:t>
            </w:r>
          </w:p>
          <w:p>
            <w:pPr>
              <w:spacing w:line="340" w:lineRule="exact"/>
              <w:ind w:left="17" w:right="199" w:rightChars="95" w:hanging="16" w:hangingChars="8"/>
              <w:rPr>
                <w:color w:val="auto"/>
                <w:szCs w:val="21"/>
              </w:rPr>
            </w:pPr>
            <w:r>
              <w:rPr>
                <w:color w:val="auto"/>
                <w:szCs w:val="21"/>
              </w:rPr>
              <w:t>（4）投标截止后，在投标有效期内，投标人不能撤销投标文件。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投标文件留档备案</w:t>
            </w:r>
          </w:p>
        </w:tc>
        <w:tc>
          <w:tcPr>
            <w:tcW w:w="6531" w:type="dxa"/>
            <w:tcBorders>
              <w:top w:val="single" w:color="auto" w:sz="4" w:space="0"/>
              <w:left w:val="single" w:color="auto" w:sz="4" w:space="0"/>
              <w:bottom w:val="single" w:color="auto" w:sz="4" w:space="0"/>
              <w:right w:val="single" w:color="auto" w:sz="4" w:space="0"/>
            </w:tcBorders>
            <w:vAlign w:val="center"/>
          </w:tcPr>
          <w:p>
            <w:pPr>
              <w:wordWrap w:val="0"/>
              <w:spacing w:line="340" w:lineRule="exact"/>
              <w:rPr>
                <w:color w:val="auto"/>
                <w:szCs w:val="21"/>
              </w:rPr>
            </w:pPr>
            <w:r>
              <w:rPr>
                <w:color w:val="auto"/>
                <w:kern w:val="0"/>
                <w:szCs w:val="21"/>
              </w:rPr>
              <w:t>中标人需在中标确认后5个工作日内，邮寄5套纸质投标文件（与</w:t>
            </w:r>
            <w:r>
              <w:rPr>
                <w:color w:val="auto"/>
                <w:szCs w:val="21"/>
              </w:rPr>
              <w:t>“电子加密投标文件”保持一致</w:t>
            </w:r>
            <w:r>
              <w:rPr>
                <w:color w:val="auto"/>
                <w:kern w:val="0"/>
                <w:szCs w:val="21"/>
              </w:rPr>
              <w:t>）至招标代理机构（大地工程咨询有限公司：</w:t>
            </w:r>
            <w:r>
              <w:rPr>
                <w:color w:val="auto"/>
                <w:szCs w:val="21"/>
              </w:rPr>
              <w:t>玉环市玉城街道康育南路309号1503室赵晓英收，电话0576-87237838</w:t>
            </w:r>
            <w:r>
              <w:rPr>
                <w:color w:val="auto"/>
                <w:kern w:val="0"/>
                <w:szCs w:val="21"/>
              </w:rPr>
              <w:t>）</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5</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投标有效期</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szCs w:val="21"/>
              </w:rPr>
            </w:pPr>
            <w:r>
              <w:rPr>
                <w:color w:val="auto"/>
                <w:szCs w:val="21"/>
              </w:rPr>
              <w:t>90天，</w:t>
            </w:r>
            <w:r>
              <w:rPr>
                <w:color w:val="auto"/>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6</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投标文件递交</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szCs w:val="21"/>
              </w:rPr>
            </w:pPr>
            <w:r>
              <w:rPr>
                <w:color w:val="auto"/>
                <w:szCs w:val="21"/>
              </w:rPr>
              <w:t>截止时间：</w:t>
            </w:r>
            <w:r>
              <w:rPr>
                <w:rFonts w:hint="eastAsia" w:ascii="Times New Roman" w:hAnsi="Times New Roman"/>
                <w:color w:val="auto"/>
                <w:kern w:val="2"/>
                <w:sz w:val="21"/>
                <w:szCs w:val="21"/>
                <w:lang w:val="en-US" w:eastAsia="zh-CN"/>
              </w:rPr>
              <w:t>2023</w:t>
            </w:r>
            <w:r>
              <w:rPr>
                <w:rFonts w:hint="default" w:ascii="Times New Roman" w:hAnsi="Times New Roman"/>
                <w:color w:val="auto"/>
                <w:kern w:val="2"/>
                <w:sz w:val="21"/>
                <w:szCs w:val="21"/>
              </w:rPr>
              <w:t>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28</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0 </w:t>
            </w:r>
            <w:r>
              <w:rPr>
                <w:rFonts w:eastAsia="新宋体"/>
                <w:color w:val="auto"/>
                <w:szCs w:val="21"/>
              </w:rPr>
              <w:t>（北京时间）</w:t>
            </w:r>
          </w:p>
          <w:p>
            <w:pPr>
              <w:widowControl/>
              <w:spacing w:line="340" w:lineRule="exact"/>
              <w:jc w:val="left"/>
              <w:rPr>
                <w:color w:val="auto"/>
                <w:szCs w:val="21"/>
              </w:rPr>
            </w:pPr>
            <w:r>
              <w:rPr>
                <w:color w:val="auto"/>
                <w:szCs w:val="21"/>
              </w:rPr>
              <w:t>递交地点：通过“政府采购云平台（https://www.zcygov.cn/）”实行在线投标响应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7</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开标时间及地点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szCs w:val="21"/>
              </w:rPr>
            </w:pPr>
            <w:r>
              <w:rPr>
                <w:color w:val="auto"/>
                <w:szCs w:val="21"/>
              </w:rPr>
              <w:t>时间：</w:t>
            </w:r>
            <w:r>
              <w:rPr>
                <w:rFonts w:hint="eastAsia" w:ascii="Times New Roman" w:hAnsi="Times New Roman"/>
                <w:color w:val="auto"/>
                <w:kern w:val="2"/>
                <w:sz w:val="21"/>
                <w:szCs w:val="21"/>
                <w:lang w:val="en-US" w:eastAsia="zh-CN"/>
              </w:rPr>
              <w:t>2023</w:t>
            </w:r>
            <w:r>
              <w:rPr>
                <w:rFonts w:hint="default" w:ascii="Times New Roman" w:hAnsi="Times New Roman"/>
                <w:color w:val="auto"/>
                <w:kern w:val="2"/>
                <w:sz w:val="21"/>
                <w:szCs w:val="21"/>
              </w:rPr>
              <w:t>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28</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0 </w:t>
            </w:r>
            <w:r>
              <w:rPr>
                <w:rFonts w:eastAsia="新宋体"/>
                <w:color w:val="auto"/>
                <w:szCs w:val="21"/>
              </w:rPr>
              <w:t>（北京时间）</w:t>
            </w:r>
          </w:p>
          <w:p>
            <w:pPr>
              <w:spacing w:line="340" w:lineRule="exact"/>
              <w:ind w:right="199" w:rightChars="95"/>
              <w:rPr>
                <w:color w:val="auto"/>
                <w:szCs w:val="21"/>
              </w:rPr>
            </w:pPr>
            <w:r>
              <w:rPr>
                <w:color w:val="auto"/>
                <w:szCs w:val="21"/>
              </w:rPr>
              <w:t>地点：</w:t>
            </w:r>
            <w:r>
              <w:rPr>
                <w:bCs/>
                <w:color w:val="auto"/>
                <w:kern w:val="0"/>
                <w:szCs w:val="21"/>
              </w:rPr>
              <w:t>“政府采购云平台”</w:t>
            </w:r>
            <w:r>
              <w:rPr>
                <w:rFonts w:eastAsia="新宋体"/>
                <w:color w:val="auto"/>
                <w:szCs w:val="21"/>
              </w:rPr>
              <w:t>（</w:t>
            </w:r>
            <w:r>
              <w:rPr>
                <w:color w:val="auto"/>
                <w:szCs w:val="21"/>
              </w:rPr>
              <w:t>https://www.zcygov.cn/</w:t>
            </w:r>
            <w:r>
              <w:rPr>
                <w:rFonts w:eastAsia="新宋体"/>
                <w:color w:val="auto"/>
                <w:szCs w:val="21"/>
              </w:rPr>
              <w:t>）</w:t>
            </w:r>
            <w:r>
              <w:rPr>
                <w:bCs/>
                <w:color w:val="auto"/>
                <w:kern w:val="0"/>
                <w:szCs w:val="21"/>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8</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投标保证金</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szCs w:val="21"/>
              </w:rPr>
            </w:pPr>
            <w:r>
              <w:rPr>
                <w:color w:val="auto"/>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9</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履约保证金</w:t>
            </w:r>
          </w:p>
        </w:tc>
        <w:tc>
          <w:tcPr>
            <w:tcW w:w="6531" w:type="dxa"/>
            <w:tcBorders>
              <w:top w:val="single" w:color="auto" w:sz="4" w:space="0"/>
              <w:left w:val="single" w:color="auto" w:sz="4" w:space="0"/>
              <w:bottom w:val="single" w:color="auto" w:sz="4" w:space="0"/>
              <w:right w:val="single" w:color="auto" w:sz="4" w:space="0"/>
            </w:tcBorders>
            <w:vAlign w:val="center"/>
          </w:tcPr>
          <w:p>
            <w:pPr>
              <w:pStyle w:val="15"/>
              <w:spacing w:line="340" w:lineRule="exact"/>
              <w:ind w:left="0" w:leftChars="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投标人在签订合同前须交纳本项目合同金额的1%作为履约保证金（保函或现金形式）。</w:t>
            </w:r>
            <w:r>
              <w:rPr>
                <w:rFonts w:ascii="Times New Roman" w:hAnsi="Times New Roman" w:eastAsia="宋体" w:cs="Times New Roman"/>
                <w:color w:val="auto"/>
                <w:kern w:val="0"/>
                <w:sz w:val="21"/>
                <w:szCs w:val="21"/>
                <w:lang w:val="zh-CN"/>
              </w:rPr>
              <w:t>履约保证金交至采购人处，</w:t>
            </w:r>
            <w:r>
              <w:rPr>
                <w:rFonts w:hint="default" w:ascii="Times New Roman" w:hAnsi="Times New Roman" w:eastAsia="宋体" w:cs="Times New Roman"/>
                <w:color w:val="auto"/>
                <w:kern w:val="0"/>
                <w:sz w:val="21"/>
                <w:szCs w:val="21"/>
                <w:lang w:val="zh-CN"/>
              </w:rPr>
              <w:t>在</w:t>
            </w:r>
            <w:r>
              <w:rPr>
                <w:rFonts w:hint="eastAsia" w:ascii="Times New Roman" w:hAnsi="Times New Roman" w:eastAsia="宋体" w:cs="Times New Roman"/>
                <w:color w:val="auto"/>
                <w:kern w:val="0"/>
                <w:sz w:val="21"/>
                <w:szCs w:val="21"/>
                <w:lang w:val="en-US" w:eastAsia="zh-CN"/>
              </w:rPr>
              <w:t>项目验收结束</w:t>
            </w:r>
            <w:r>
              <w:rPr>
                <w:rFonts w:hint="default" w:ascii="Times New Roman" w:hAnsi="Times New Roman" w:eastAsia="宋体" w:cs="Times New Roman"/>
                <w:color w:val="auto"/>
                <w:kern w:val="0"/>
                <w:sz w:val="21"/>
                <w:szCs w:val="21"/>
                <w:lang w:val="en-US" w:eastAsia="zh-CN"/>
              </w:rPr>
              <w:t>后</w:t>
            </w:r>
            <w:r>
              <w:rPr>
                <w:rFonts w:hint="default" w:ascii="Times New Roman" w:hAnsi="Times New Roman" w:eastAsia="宋体" w:cs="Times New Roman"/>
                <w:color w:val="auto"/>
                <w:kern w:val="0"/>
                <w:sz w:val="21"/>
                <w:szCs w:val="21"/>
                <w:lang w:val="zh-CN"/>
              </w:rPr>
              <w:t>如无质量、服务投诉和索赔，该款无息返还。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10</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lang w:val="zh-CN"/>
              </w:rPr>
            </w:pPr>
            <w:r>
              <w:rPr>
                <w:color w:val="auto"/>
                <w:szCs w:val="21"/>
                <w:lang w:val="zh-CN"/>
              </w:rPr>
              <w:t>实质性条款</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kern w:val="0"/>
                <w:szCs w:val="21"/>
                <w:lang w:val="zh-CN"/>
              </w:rPr>
            </w:pPr>
            <w:r>
              <w:rPr>
                <w:color w:val="auto"/>
                <w:kern w:val="0"/>
                <w:szCs w:val="21"/>
                <w:lang w:val="zh-CN"/>
              </w:rPr>
              <w:t>带“</w:t>
            </w:r>
            <w:r>
              <w:rPr>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pStyle w:val="13"/>
              <w:spacing w:line="420" w:lineRule="exact"/>
              <w:jc w:val="center"/>
              <w:rPr>
                <w:color w:val="auto"/>
                <w:szCs w:val="21"/>
              </w:rPr>
            </w:pPr>
            <w:r>
              <w:rPr>
                <w:rFonts w:hint="default" w:ascii="Times New Roman" w:hAnsi="Times New Roman" w:eastAsia="宋体" w:cs="Times New Roman"/>
                <w:color w:val="auto"/>
                <w:kern w:val="2"/>
                <w:sz w:val="21"/>
                <w:szCs w:val="21"/>
                <w:highlight w:val="none"/>
                <w:lang w:val="en-US" w:eastAsia="zh-CN" w:bidi="ar-SA"/>
              </w:rPr>
              <w:t>1</w:t>
            </w:r>
            <w:r>
              <w:rPr>
                <w:rFonts w:hint="default" w:ascii="Times New Roman" w:hAnsi="Times New Roman" w:cs="Times New Roman"/>
                <w:color w:val="auto"/>
                <w:kern w:val="2"/>
                <w:sz w:val="21"/>
                <w:szCs w:val="21"/>
                <w:highlight w:val="none"/>
                <w:lang w:val="en-US" w:eastAsia="zh-CN" w:bidi="ar-SA"/>
              </w:rPr>
              <w:t>1</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lang w:val="zh-CN"/>
              </w:rPr>
            </w:pPr>
            <w:r>
              <w:rPr>
                <w:rFonts w:hint="default" w:ascii="Times New Roman" w:hAnsi="Times New Roman" w:eastAsia="宋体" w:cs="Times New Roman"/>
                <w:color w:val="auto"/>
                <w:kern w:val="2"/>
                <w:sz w:val="21"/>
                <w:szCs w:val="21"/>
                <w:highlight w:val="none"/>
                <w:lang w:val="en-US" w:eastAsia="zh-CN" w:bidi="ar-SA"/>
              </w:rPr>
              <w:t>中小企业划分标准所属行业</w:t>
            </w:r>
          </w:p>
        </w:tc>
        <w:tc>
          <w:tcPr>
            <w:tcW w:w="6531" w:type="dxa"/>
            <w:tcBorders>
              <w:top w:val="single" w:color="auto" w:sz="4" w:space="0"/>
              <w:left w:val="single" w:color="auto" w:sz="4" w:space="0"/>
              <w:bottom w:val="single" w:color="auto" w:sz="4" w:space="0"/>
              <w:right w:val="single" w:color="auto" w:sz="4" w:space="0"/>
            </w:tcBorders>
            <w:vAlign w:val="center"/>
          </w:tcPr>
          <w:p>
            <w:pPr>
              <w:rPr>
                <w:color w:val="auto"/>
                <w:kern w:val="0"/>
                <w:szCs w:val="21"/>
                <w:lang w:val="zh-CN"/>
              </w:rPr>
            </w:pPr>
            <w:r>
              <w:rPr>
                <w:rFonts w:hint="default" w:ascii="Times New Roman" w:hAnsi="Times New Roman" w:eastAsia="宋体" w:cs="Times New Roman"/>
                <w:color w:val="auto"/>
                <w:kern w:val="2"/>
                <w:sz w:val="21"/>
                <w:szCs w:val="21"/>
                <w:highlight w:val="none"/>
                <w:lang w:val="en-US" w:eastAsia="zh-CN" w:bidi="ar-SA"/>
              </w:rPr>
              <w:t>按照《关于印发中小企业划型标准规定的通知》（工信部联企业〔2011〕300号）的所属行业规定，本次采购标的为</w:t>
            </w:r>
            <w:r>
              <w:rPr>
                <w:rFonts w:hint="eastAsia" w:cs="Times New Roman"/>
                <w:color w:val="auto"/>
                <w:kern w:val="2"/>
                <w:sz w:val="21"/>
                <w:szCs w:val="21"/>
                <w:highlight w:val="none"/>
                <w:u w:val="single"/>
                <w:lang w:val="en-US" w:eastAsia="zh-CN" w:bidi="ar-SA"/>
              </w:rPr>
              <w:t>玉环市人民医院健共体集团厨房设备采购</w:t>
            </w:r>
            <w:r>
              <w:rPr>
                <w:rFonts w:hint="default" w:ascii="Times New Roman" w:hAnsi="Times New Roman" w:eastAsia="宋体" w:cs="Times New Roman"/>
                <w:color w:val="auto"/>
                <w:kern w:val="2"/>
                <w:sz w:val="21"/>
                <w:szCs w:val="21"/>
                <w:highlight w:val="none"/>
                <w:lang w:val="en-US" w:eastAsia="zh-CN" w:bidi="ar-SA"/>
              </w:rPr>
              <w:t>，对应的中小企业划分标准所属行业是：</w:t>
            </w:r>
            <w:r>
              <w:rPr>
                <w:rFonts w:hint="eastAsia" w:ascii="Times New Roman" w:hAnsi="Times New Roman" w:eastAsia="宋体" w:cs="Times New Roman"/>
                <w:color w:val="auto"/>
                <w:kern w:val="2"/>
                <w:sz w:val="21"/>
                <w:szCs w:val="21"/>
                <w:highlight w:val="none"/>
                <w:u w:val="single"/>
                <w:lang w:val="en-US" w:eastAsia="zh-CN" w:bidi="ar-SA"/>
              </w:rPr>
              <w:t>工业</w:t>
            </w:r>
            <w:r>
              <w:rPr>
                <w:rFonts w:hint="default" w:ascii="Times New Roman" w:hAnsi="Times New Roman" w:eastAsia="宋体" w:cs="Times New Roman"/>
                <w:color w:val="auto"/>
                <w:kern w:val="2"/>
                <w:sz w:val="21"/>
                <w:szCs w:val="21"/>
                <w:highlight w:val="none"/>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color w:val="auto"/>
                <w:szCs w:val="21"/>
                <w:lang w:eastAsia="zh-CN"/>
              </w:rPr>
            </w:pPr>
            <w:r>
              <w:rPr>
                <w:color w:val="auto"/>
                <w:szCs w:val="21"/>
              </w:rPr>
              <w:t>1</w:t>
            </w:r>
            <w:r>
              <w:rPr>
                <w:rFonts w:hint="eastAsia"/>
                <w:color w:val="auto"/>
                <w:szCs w:val="21"/>
                <w:lang w:val="en-US" w:eastAsia="zh-CN"/>
              </w:rPr>
              <w:t>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 w:val="22"/>
                <w:szCs w:val="22"/>
              </w:rPr>
              <w:t>注意事项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color w:val="auto"/>
                <w:szCs w:val="21"/>
              </w:rPr>
            </w:pPr>
            <w:r>
              <w:rPr>
                <w:color w:val="auto"/>
                <w:szCs w:val="21"/>
              </w:rPr>
              <w:t>1.请务必确保投标文件制作客户端为最新版本，旧版本可能导致投标文件解密失败。</w:t>
            </w:r>
          </w:p>
          <w:p>
            <w:pPr>
              <w:spacing w:line="340" w:lineRule="exact"/>
              <w:rPr>
                <w:color w:val="auto"/>
                <w:szCs w:val="21"/>
              </w:rPr>
            </w:pPr>
            <w:r>
              <w:rPr>
                <w:color w:val="auto"/>
                <w:szCs w:val="21"/>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color w:val="auto"/>
                <w:szCs w:val="21"/>
                <w:lang w:eastAsia="zh-CN"/>
              </w:rPr>
            </w:pPr>
            <w:r>
              <w:rPr>
                <w:color w:val="auto"/>
                <w:szCs w:val="21"/>
              </w:rPr>
              <w:t>1</w:t>
            </w:r>
            <w:r>
              <w:rPr>
                <w:rFonts w:hint="eastAsia"/>
                <w:color w:val="auto"/>
                <w:szCs w:val="21"/>
                <w:lang w:val="en-US" w:eastAsia="zh-CN"/>
              </w:rPr>
              <w:t>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auto"/>
                <w:szCs w:val="21"/>
              </w:rPr>
            </w:pPr>
            <w:r>
              <w:rPr>
                <w:color w:val="auto"/>
                <w:szCs w:val="21"/>
              </w:rPr>
              <w:t>解释权</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auto"/>
                <w:szCs w:val="21"/>
              </w:rPr>
            </w:pPr>
            <w:r>
              <w:rPr>
                <w:color w:val="auto"/>
                <w:szCs w:val="21"/>
              </w:rPr>
              <w:t>本招标文件解释权属于采购人和采购代理机构。</w:t>
            </w:r>
          </w:p>
        </w:tc>
      </w:tr>
    </w:tbl>
    <w:p>
      <w:pPr>
        <w:rPr>
          <w:color w:val="auto"/>
        </w:rPr>
      </w:pPr>
    </w:p>
    <w:p>
      <w:pPr>
        <w:pStyle w:val="11"/>
        <w:spacing w:line="560" w:lineRule="exact"/>
        <w:ind w:firstLine="422" w:firstLineChars="200"/>
        <w:rPr>
          <w:b/>
          <w:bCs/>
          <w:color w:val="auto"/>
          <w:sz w:val="21"/>
          <w:szCs w:val="21"/>
        </w:rPr>
      </w:pPr>
      <w:r>
        <w:rPr>
          <w:b/>
          <w:bCs/>
          <w:color w:val="auto"/>
          <w:sz w:val="21"/>
          <w:szCs w:val="21"/>
        </w:rPr>
        <w:t>为优化政府采购营商环境，缓解供应商资金难题，政采云平台已推广应用“政采贷”、</w:t>
      </w:r>
      <w:r>
        <w:rPr>
          <w:b/>
          <w:bCs/>
          <w:color w:val="auto"/>
          <w:spacing w:val="-14"/>
          <w:sz w:val="21"/>
          <w:szCs w:val="21"/>
        </w:rPr>
        <w:t>“政采保”服务，中标供应商如有融资需求，可使用以下金融、保险机构的“政采贷”、“政</w:t>
      </w:r>
      <w:r>
        <w:rPr>
          <w:b/>
          <w:bCs/>
          <w:color w:val="auto"/>
          <w:sz w:val="21"/>
          <w:szCs w:val="21"/>
        </w:rPr>
        <w:t>采保”服务。</w:t>
      </w:r>
    </w:p>
    <w:p>
      <w:pPr>
        <w:spacing w:line="560" w:lineRule="exact"/>
        <w:ind w:firstLine="420" w:firstLineChars="200"/>
        <w:rPr>
          <w:color w:val="auto"/>
          <w:szCs w:val="21"/>
        </w:rPr>
      </w:pPr>
      <w:r>
        <w:rPr>
          <w:color w:val="auto"/>
          <w:szCs w:val="21"/>
        </w:rPr>
        <w:t>政采贷联系方式：</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69" w:type="dxa"/>
            <w:noWrap/>
            <w:vAlign w:val="center"/>
          </w:tcPr>
          <w:p>
            <w:pPr>
              <w:spacing w:line="360" w:lineRule="exact"/>
              <w:jc w:val="center"/>
              <w:rPr>
                <w:color w:val="auto"/>
                <w:kern w:val="21"/>
                <w:szCs w:val="21"/>
              </w:rPr>
            </w:pPr>
            <w:r>
              <w:rPr>
                <w:color w:val="auto"/>
                <w:kern w:val="21"/>
                <w:szCs w:val="21"/>
              </w:rPr>
              <w:t>银行</w:t>
            </w:r>
          </w:p>
        </w:tc>
        <w:tc>
          <w:tcPr>
            <w:tcW w:w="1334" w:type="dxa"/>
            <w:noWrap/>
            <w:vAlign w:val="center"/>
          </w:tcPr>
          <w:p>
            <w:pPr>
              <w:spacing w:line="360" w:lineRule="exact"/>
              <w:jc w:val="center"/>
              <w:rPr>
                <w:color w:val="auto"/>
                <w:kern w:val="21"/>
                <w:szCs w:val="21"/>
              </w:rPr>
            </w:pPr>
            <w:r>
              <w:rPr>
                <w:color w:val="auto"/>
                <w:kern w:val="21"/>
                <w:szCs w:val="21"/>
              </w:rPr>
              <w:t>贷款年利率</w:t>
            </w:r>
          </w:p>
        </w:tc>
        <w:tc>
          <w:tcPr>
            <w:tcW w:w="1688" w:type="dxa"/>
            <w:noWrap/>
            <w:vAlign w:val="center"/>
          </w:tcPr>
          <w:p>
            <w:pPr>
              <w:spacing w:line="360" w:lineRule="exact"/>
              <w:jc w:val="center"/>
              <w:rPr>
                <w:color w:val="auto"/>
                <w:kern w:val="21"/>
                <w:szCs w:val="21"/>
              </w:rPr>
            </w:pPr>
            <w:r>
              <w:rPr>
                <w:color w:val="auto"/>
                <w:kern w:val="21"/>
                <w:szCs w:val="21"/>
              </w:rPr>
              <w:t>联系人</w:t>
            </w:r>
          </w:p>
        </w:tc>
        <w:tc>
          <w:tcPr>
            <w:tcW w:w="2131" w:type="dxa"/>
            <w:noWrap/>
            <w:vAlign w:val="center"/>
          </w:tcPr>
          <w:p>
            <w:pPr>
              <w:spacing w:line="360" w:lineRule="exact"/>
              <w:jc w:val="center"/>
              <w:rPr>
                <w:color w:val="auto"/>
                <w:kern w:val="21"/>
                <w:szCs w:val="21"/>
              </w:rPr>
            </w:pPr>
            <w:r>
              <w:rPr>
                <w:color w:val="auto"/>
                <w:kern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color w:val="auto"/>
                <w:kern w:val="21"/>
                <w:szCs w:val="21"/>
              </w:rPr>
            </w:pPr>
            <w:r>
              <w:rPr>
                <w:color w:val="auto"/>
                <w:kern w:val="21"/>
                <w:szCs w:val="21"/>
              </w:rPr>
              <w:t>中国工商银行</w:t>
            </w:r>
          </w:p>
        </w:tc>
        <w:tc>
          <w:tcPr>
            <w:tcW w:w="1334" w:type="dxa"/>
            <w:noWrap/>
            <w:vAlign w:val="center"/>
          </w:tcPr>
          <w:p>
            <w:pPr>
              <w:spacing w:line="360" w:lineRule="exact"/>
              <w:jc w:val="center"/>
              <w:rPr>
                <w:color w:val="auto"/>
                <w:kern w:val="21"/>
                <w:szCs w:val="21"/>
              </w:rPr>
            </w:pPr>
            <w:r>
              <w:rPr>
                <w:color w:val="auto"/>
                <w:kern w:val="21"/>
                <w:szCs w:val="21"/>
              </w:rPr>
              <w:t>3.8%起</w:t>
            </w:r>
          </w:p>
        </w:tc>
        <w:tc>
          <w:tcPr>
            <w:tcW w:w="1688" w:type="dxa"/>
            <w:noWrap/>
            <w:vAlign w:val="center"/>
          </w:tcPr>
          <w:p>
            <w:pPr>
              <w:spacing w:line="360" w:lineRule="exact"/>
              <w:jc w:val="center"/>
              <w:rPr>
                <w:color w:val="auto"/>
                <w:kern w:val="21"/>
                <w:szCs w:val="21"/>
              </w:rPr>
            </w:pPr>
            <w:r>
              <w:rPr>
                <w:color w:val="auto"/>
                <w:kern w:val="21"/>
                <w:szCs w:val="21"/>
              </w:rPr>
              <w:t>谢美珍</w:t>
            </w:r>
          </w:p>
        </w:tc>
        <w:tc>
          <w:tcPr>
            <w:tcW w:w="2131" w:type="dxa"/>
            <w:noWrap/>
            <w:vAlign w:val="center"/>
          </w:tcPr>
          <w:p>
            <w:pPr>
              <w:spacing w:line="360" w:lineRule="exact"/>
              <w:jc w:val="center"/>
              <w:rPr>
                <w:color w:val="auto"/>
                <w:kern w:val="21"/>
                <w:szCs w:val="21"/>
              </w:rPr>
            </w:pPr>
            <w:r>
              <w:rPr>
                <w:color w:val="auto"/>
                <w:kern w:val="21"/>
                <w:szCs w:val="21"/>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color w:val="auto"/>
                <w:kern w:val="21"/>
                <w:szCs w:val="21"/>
              </w:rPr>
            </w:pPr>
            <w:r>
              <w:rPr>
                <w:color w:val="auto"/>
                <w:kern w:val="21"/>
                <w:szCs w:val="21"/>
              </w:rPr>
              <w:t>中国农业银行</w:t>
            </w:r>
          </w:p>
        </w:tc>
        <w:tc>
          <w:tcPr>
            <w:tcW w:w="1334" w:type="dxa"/>
            <w:noWrap/>
            <w:vAlign w:val="center"/>
          </w:tcPr>
          <w:p>
            <w:pPr>
              <w:spacing w:line="360" w:lineRule="exact"/>
              <w:jc w:val="center"/>
              <w:rPr>
                <w:color w:val="auto"/>
                <w:kern w:val="21"/>
                <w:szCs w:val="21"/>
              </w:rPr>
            </w:pPr>
            <w:r>
              <w:rPr>
                <w:color w:val="auto"/>
                <w:kern w:val="21"/>
                <w:szCs w:val="21"/>
              </w:rPr>
              <w:t>3.8%起</w:t>
            </w:r>
          </w:p>
        </w:tc>
        <w:tc>
          <w:tcPr>
            <w:tcW w:w="1688" w:type="dxa"/>
            <w:noWrap/>
            <w:vAlign w:val="center"/>
          </w:tcPr>
          <w:p>
            <w:pPr>
              <w:spacing w:line="360" w:lineRule="exact"/>
              <w:jc w:val="center"/>
              <w:rPr>
                <w:color w:val="auto"/>
                <w:kern w:val="21"/>
                <w:szCs w:val="21"/>
              </w:rPr>
            </w:pPr>
            <w:r>
              <w:rPr>
                <w:color w:val="auto"/>
                <w:kern w:val="21"/>
                <w:szCs w:val="21"/>
              </w:rPr>
              <w:t>吴佳怡</w:t>
            </w:r>
          </w:p>
        </w:tc>
        <w:tc>
          <w:tcPr>
            <w:tcW w:w="2131" w:type="dxa"/>
            <w:noWrap/>
            <w:vAlign w:val="center"/>
          </w:tcPr>
          <w:p>
            <w:pPr>
              <w:spacing w:line="360" w:lineRule="exact"/>
              <w:jc w:val="center"/>
              <w:rPr>
                <w:color w:val="auto"/>
                <w:kern w:val="21"/>
                <w:szCs w:val="21"/>
              </w:rPr>
            </w:pPr>
            <w:r>
              <w:rPr>
                <w:color w:val="auto"/>
                <w:kern w:val="21"/>
                <w:szCs w:val="21"/>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color w:val="auto"/>
                <w:kern w:val="21"/>
                <w:szCs w:val="21"/>
              </w:rPr>
            </w:pPr>
            <w:r>
              <w:rPr>
                <w:color w:val="auto"/>
                <w:kern w:val="21"/>
                <w:szCs w:val="21"/>
              </w:rPr>
              <w:t>中国建设银行</w:t>
            </w:r>
          </w:p>
        </w:tc>
        <w:tc>
          <w:tcPr>
            <w:tcW w:w="1334" w:type="dxa"/>
            <w:noWrap/>
            <w:vAlign w:val="center"/>
          </w:tcPr>
          <w:p>
            <w:pPr>
              <w:spacing w:line="360" w:lineRule="exact"/>
              <w:jc w:val="center"/>
              <w:rPr>
                <w:color w:val="auto"/>
                <w:kern w:val="21"/>
                <w:szCs w:val="21"/>
              </w:rPr>
            </w:pPr>
            <w:r>
              <w:rPr>
                <w:color w:val="auto"/>
                <w:kern w:val="21"/>
                <w:szCs w:val="21"/>
              </w:rPr>
              <w:t>3.85%起</w:t>
            </w:r>
          </w:p>
        </w:tc>
        <w:tc>
          <w:tcPr>
            <w:tcW w:w="1688" w:type="dxa"/>
            <w:noWrap/>
            <w:vAlign w:val="center"/>
          </w:tcPr>
          <w:p>
            <w:pPr>
              <w:spacing w:line="360" w:lineRule="exact"/>
              <w:jc w:val="center"/>
              <w:rPr>
                <w:color w:val="auto"/>
                <w:kern w:val="21"/>
                <w:szCs w:val="21"/>
              </w:rPr>
            </w:pPr>
            <w:r>
              <w:rPr>
                <w:color w:val="auto"/>
                <w:kern w:val="21"/>
                <w:szCs w:val="21"/>
              </w:rPr>
              <w:t>刘伟</w:t>
            </w:r>
          </w:p>
        </w:tc>
        <w:tc>
          <w:tcPr>
            <w:tcW w:w="2131" w:type="dxa"/>
            <w:noWrap/>
            <w:vAlign w:val="center"/>
          </w:tcPr>
          <w:p>
            <w:pPr>
              <w:spacing w:line="360" w:lineRule="exact"/>
              <w:jc w:val="center"/>
              <w:rPr>
                <w:color w:val="auto"/>
                <w:kern w:val="21"/>
                <w:szCs w:val="21"/>
              </w:rPr>
            </w:pPr>
            <w:r>
              <w:rPr>
                <w:color w:val="auto"/>
                <w:kern w:val="21"/>
                <w:szCs w:val="21"/>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color w:val="auto"/>
                <w:kern w:val="21"/>
                <w:szCs w:val="21"/>
              </w:rPr>
            </w:pPr>
            <w:r>
              <w:rPr>
                <w:color w:val="auto"/>
                <w:kern w:val="21"/>
                <w:szCs w:val="21"/>
              </w:rPr>
              <w:t>中国银行</w:t>
            </w:r>
          </w:p>
        </w:tc>
        <w:tc>
          <w:tcPr>
            <w:tcW w:w="1334" w:type="dxa"/>
            <w:noWrap/>
            <w:vAlign w:val="center"/>
          </w:tcPr>
          <w:p>
            <w:pPr>
              <w:spacing w:line="360" w:lineRule="exact"/>
              <w:jc w:val="center"/>
              <w:rPr>
                <w:color w:val="auto"/>
                <w:kern w:val="21"/>
                <w:szCs w:val="21"/>
              </w:rPr>
            </w:pPr>
            <w:r>
              <w:rPr>
                <w:color w:val="auto"/>
                <w:kern w:val="21"/>
                <w:szCs w:val="21"/>
              </w:rPr>
              <w:t>3.8%起</w:t>
            </w:r>
          </w:p>
        </w:tc>
        <w:tc>
          <w:tcPr>
            <w:tcW w:w="1688" w:type="dxa"/>
            <w:noWrap/>
            <w:vAlign w:val="center"/>
          </w:tcPr>
          <w:p>
            <w:pPr>
              <w:spacing w:line="360" w:lineRule="exact"/>
              <w:jc w:val="center"/>
              <w:rPr>
                <w:color w:val="auto"/>
                <w:kern w:val="21"/>
                <w:szCs w:val="21"/>
              </w:rPr>
            </w:pPr>
            <w:r>
              <w:rPr>
                <w:color w:val="auto"/>
                <w:kern w:val="21"/>
                <w:szCs w:val="21"/>
              </w:rPr>
              <w:t>张才国</w:t>
            </w:r>
          </w:p>
        </w:tc>
        <w:tc>
          <w:tcPr>
            <w:tcW w:w="2131" w:type="dxa"/>
            <w:noWrap/>
            <w:vAlign w:val="center"/>
          </w:tcPr>
          <w:p>
            <w:pPr>
              <w:spacing w:line="360" w:lineRule="exact"/>
              <w:jc w:val="center"/>
              <w:rPr>
                <w:color w:val="auto"/>
                <w:kern w:val="21"/>
                <w:szCs w:val="21"/>
              </w:rPr>
            </w:pPr>
            <w:r>
              <w:rPr>
                <w:color w:val="auto"/>
                <w:kern w:val="21"/>
                <w:szCs w:val="21"/>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color w:val="auto"/>
                <w:kern w:val="21"/>
                <w:szCs w:val="21"/>
              </w:rPr>
            </w:pPr>
            <w:r>
              <w:rPr>
                <w:color w:val="auto"/>
                <w:kern w:val="21"/>
                <w:szCs w:val="21"/>
              </w:rPr>
              <w:t>浙商银行</w:t>
            </w:r>
          </w:p>
        </w:tc>
        <w:tc>
          <w:tcPr>
            <w:tcW w:w="1334" w:type="dxa"/>
            <w:noWrap/>
            <w:vAlign w:val="center"/>
          </w:tcPr>
          <w:p>
            <w:pPr>
              <w:spacing w:line="360" w:lineRule="exact"/>
              <w:jc w:val="center"/>
              <w:rPr>
                <w:color w:val="auto"/>
                <w:kern w:val="21"/>
                <w:szCs w:val="21"/>
              </w:rPr>
            </w:pPr>
            <w:r>
              <w:rPr>
                <w:color w:val="auto"/>
                <w:kern w:val="21"/>
                <w:szCs w:val="21"/>
              </w:rPr>
              <w:t>6.01%起</w:t>
            </w:r>
          </w:p>
        </w:tc>
        <w:tc>
          <w:tcPr>
            <w:tcW w:w="1688" w:type="dxa"/>
            <w:noWrap/>
            <w:vAlign w:val="center"/>
          </w:tcPr>
          <w:p>
            <w:pPr>
              <w:spacing w:line="360" w:lineRule="exact"/>
              <w:jc w:val="center"/>
              <w:rPr>
                <w:color w:val="auto"/>
                <w:kern w:val="21"/>
                <w:szCs w:val="21"/>
              </w:rPr>
            </w:pPr>
            <w:r>
              <w:rPr>
                <w:color w:val="auto"/>
                <w:kern w:val="21"/>
                <w:szCs w:val="21"/>
              </w:rPr>
              <w:t>梅淑华</w:t>
            </w:r>
          </w:p>
        </w:tc>
        <w:tc>
          <w:tcPr>
            <w:tcW w:w="2131" w:type="dxa"/>
            <w:noWrap/>
            <w:vAlign w:val="center"/>
          </w:tcPr>
          <w:p>
            <w:pPr>
              <w:spacing w:line="360" w:lineRule="exact"/>
              <w:jc w:val="center"/>
              <w:rPr>
                <w:color w:val="auto"/>
                <w:kern w:val="21"/>
                <w:szCs w:val="21"/>
              </w:rPr>
            </w:pPr>
            <w:r>
              <w:rPr>
                <w:color w:val="auto"/>
                <w:kern w:val="21"/>
                <w:szCs w:val="21"/>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color w:val="auto"/>
                <w:kern w:val="21"/>
                <w:szCs w:val="21"/>
              </w:rPr>
            </w:pPr>
            <w:r>
              <w:rPr>
                <w:color w:val="auto"/>
                <w:kern w:val="21"/>
                <w:szCs w:val="21"/>
              </w:rPr>
              <w:t>农商银行</w:t>
            </w:r>
          </w:p>
        </w:tc>
        <w:tc>
          <w:tcPr>
            <w:tcW w:w="1334" w:type="dxa"/>
            <w:noWrap/>
            <w:vAlign w:val="center"/>
          </w:tcPr>
          <w:p>
            <w:pPr>
              <w:spacing w:line="360" w:lineRule="exact"/>
              <w:jc w:val="center"/>
              <w:rPr>
                <w:color w:val="auto"/>
                <w:kern w:val="21"/>
                <w:szCs w:val="21"/>
              </w:rPr>
            </w:pPr>
            <w:r>
              <w:rPr>
                <w:color w:val="auto"/>
                <w:kern w:val="21"/>
                <w:szCs w:val="21"/>
              </w:rPr>
              <w:t>4.35%起</w:t>
            </w:r>
          </w:p>
        </w:tc>
        <w:tc>
          <w:tcPr>
            <w:tcW w:w="1688" w:type="dxa"/>
            <w:noWrap/>
            <w:vAlign w:val="center"/>
          </w:tcPr>
          <w:p>
            <w:pPr>
              <w:spacing w:line="360" w:lineRule="exact"/>
              <w:jc w:val="center"/>
              <w:rPr>
                <w:color w:val="auto"/>
                <w:kern w:val="21"/>
                <w:szCs w:val="21"/>
              </w:rPr>
            </w:pPr>
            <w:r>
              <w:rPr>
                <w:color w:val="auto"/>
                <w:kern w:val="21"/>
                <w:szCs w:val="21"/>
              </w:rPr>
              <w:t>陈辉</w:t>
            </w:r>
          </w:p>
        </w:tc>
        <w:tc>
          <w:tcPr>
            <w:tcW w:w="2131" w:type="dxa"/>
            <w:noWrap/>
            <w:vAlign w:val="center"/>
          </w:tcPr>
          <w:p>
            <w:pPr>
              <w:spacing w:line="360" w:lineRule="exact"/>
              <w:jc w:val="center"/>
              <w:rPr>
                <w:color w:val="auto"/>
                <w:kern w:val="21"/>
                <w:szCs w:val="21"/>
              </w:rPr>
            </w:pPr>
            <w:r>
              <w:rPr>
                <w:color w:val="auto"/>
                <w:kern w:val="21"/>
                <w:szCs w:val="21"/>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color w:val="auto"/>
                <w:kern w:val="21"/>
                <w:szCs w:val="21"/>
              </w:rPr>
            </w:pPr>
            <w:r>
              <w:rPr>
                <w:color w:val="auto"/>
                <w:kern w:val="21"/>
                <w:szCs w:val="21"/>
              </w:rPr>
              <w:t>泰隆银行</w:t>
            </w:r>
          </w:p>
        </w:tc>
        <w:tc>
          <w:tcPr>
            <w:tcW w:w="1334" w:type="dxa"/>
            <w:noWrap/>
            <w:vAlign w:val="center"/>
          </w:tcPr>
          <w:p>
            <w:pPr>
              <w:spacing w:line="360" w:lineRule="exact"/>
              <w:jc w:val="center"/>
              <w:rPr>
                <w:color w:val="auto"/>
                <w:kern w:val="21"/>
                <w:szCs w:val="21"/>
              </w:rPr>
            </w:pPr>
            <w:r>
              <w:rPr>
                <w:color w:val="auto"/>
                <w:kern w:val="21"/>
                <w:szCs w:val="21"/>
              </w:rPr>
              <w:t>6.00%起</w:t>
            </w:r>
          </w:p>
        </w:tc>
        <w:tc>
          <w:tcPr>
            <w:tcW w:w="1688" w:type="dxa"/>
            <w:noWrap/>
            <w:vAlign w:val="center"/>
          </w:tcPr>
          <w:p>
            <w:pPr>
              <w:spacing w:line="360" w:lineRule="exact"/>
              <w:jc w:val="center"/>
              <w:rPr>
                <w:color w:val="auto"/>
                <w:kern w:val="21"/>
                <w:szCs w:val="21"/>
              </w:rPr>
            </w:pPr>
            <w:r>
              <w:rPr>
                <w:color w:val="auto"/>
                <w:kern w:val="21"/>
                <w:szCs w:val="21"/>
              </w:rPr>
              <w:t>许超</w:t>
            </w:r>
          </w:p>
        </w:tc>
        <w:tc>
          <w:tcPr>
            <w:tcW w:w="2131" w:type="dxa"/>
            <w:noWrap/>
            <w:vAlign w:val="center"/>
          </w:tcPr>
          <w:p>
            <w:pPr>
              <w:spacing w:line="360" w:lineRule="exact"/>
              <w:jc w:val="center"/>
              <w:rPr>
                <w:color w:val="auto"/>
                <w:kern w:val="21"/>
                <w:szCs w:val="21"/>
              </w:rPr>
            </w:pPr>
            <w:r>
              <w:rPr>
                <w:color w:val="auto"/>
                <w:kern w:val="21"/>
                <w:szCs w:val="21"/>
              </w:rPr>
              <w:t>17858683351</w:t>
            </w:r>
          </w:p>
        </w:tc>
      </w:tr>
    </w:tbl>
    <w:p>
      <w:pPr>
        <w:spacing w:line="560" w:lineRule="exact"/>
        <w:ind w:firstLine="420" w:firstLineChars="200"/>
        <w:rPr>
          <w:color w:val="auto"/>
          <w:szCs w:val="21"/>
        </w:rPr>
      </w:pPr>
      <w:r>
        <w:rPr>
          <w:color w:val="auto"/>
          <w:szCs w:val="21"/>
        </w:rPr>
        <w:t>政采保联系方式：</w:t>
      </w:r>
    </w:p>
    <w:tbl>
      <w:tblPr>
        <w:tblStyle w:val="2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25"/>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36" w:type="dxa"/>
            <w:noWrap/>
            <w:vAlign w:val="center"/>
          </w:tcPr>
          <w:p>
            <w:pPr>
              <w:spacing w:line="360" w:lineRule="exact"/>
              <w:jc w:val="center"/>
              <w:rPr>
                <w:color w:val="auto"/>
                <w:szCs w:val="21"/>
              </w:rPr>
            </w:pPr>
            <w:r>
              <w:rPr>
                <w:color w:val="auto"/>
                <w:szCs w:val="21"/>
              </w:rPr>
              <w:t>保险机构</w:t>
            </w:r>
          </w:p>
        </w:tc>
        <w:tc>
          <w:tcPr>
            <w:tcW w:w="3025" w:type="dxa"/>
            <w:noWrap/>
            <w:vAlign w:val="center"/>
          </w:tcPr>
          <w:p>
            <w:pPr>
              <w:spacing w:line="360" w:lineRule="exact"/>
              <w:jc w:val="center"/>
              <w:rPr>
                <w:color w:val="auto"/>
                <w:szCs w:val="21"/>
              </w:rPr>
            </w:pPr>
            <w:r>
              <w:rPr>
                <w:color w:val="auto"/>
                <w:szCs w:val="21"/>
              </w:rPr>
              <w:t>承保方案</w:t>
            </w:r>
          </w:p>
        </w:tc>
        <w:tc>
          <w:tcPr>
            <w:tcW w:w="1327" w:type="dxa"/>
            <w:noWrap/>
            <w:vAlign w:val="center"/>
          </w:tcPr>
          <w:p>
            <w:pPr>
              <w:spacing w:line="360" w:lineRule="exact"/>
              <w:jc w:val="center"/>
              <w:rPr>
                <w:color w:val="auto"/>
                <w:szCs w:val="21"/>
              </w:rPr>
            </w:pPr>
            <w:r>
              <w:rPr>
                <w:color w:val="auto"/>
                <w:szCs w:val="21"/>
              </w:rPr>
              <w:t>联系人</w:t>
            </w:r>
          </w:p>
        </w:tc>
        <w:tc>
          <w:tcPr>
            <w:tcW w:w="1980" w:type="dxa"/>
            <w:noWrap/>
            <w:vAlign w:val="center"/>
          </w:tcPr>
          <w:p>
            <w:pPr>
              <w:spacing w:line="360" w:lineRule="exact"/>
              <w:jc w:val="center"/>
              <w:rPr>
                <w:color w:val="auto"/>
                <w:szCs w:val="21"/>
              </w:rPr>
            </w:pPr>
            <w:r>
              <w:rPr>
                <w:color w:val="auto"/>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236" w:type="dxa"/>
            <w:noWrap/>
            <w:vAlign w:val="center"/>
          </w:tcPr>
          <w:p>
            <w:pPr>
              <w:spacing w:line="360" w:lineRule="exact"/>
              <w:jc w:val="center"/>
              <w:rPr>
                <w:color w:val="auto"/>
                <w:szCs w:val="21"/>
              </w:rPr>
            </w:pPr>
            <w:r>
              <w:rPr>
                <w:color w:val="auto"/>
                <w:szCs w:val="21"/>
              </w:rPr>
              <w:t>阳光财产保险股份有限公司玉环支公司</w:t>
            </w:r>
          </w:p>
        </w:tc>
        <w:tc>
          <w:tcPr>
            <w:tcW w:w="3025" w:type="dxa"/>
            <w:noWrap/>
            <w:vAlign w:val="center"/>
          </w:tcPr>
          <w:p>
            <w:pPr>
              <w:spacing w:line="360" w:lineRule="exact"/>
              <w:jc w:val="center"/>
              <w:rPr>
                <w:color w:val="auto"/>
                <w:szCs w:val="21"/>
              </w:rPr>
            </w:pPr>
            <w:r>
              <w:rPr>
                <w:color w:val="auto"/>
                <w:szCs w:val="21"/>
              </w:rPr>
              <w:t>合同（质量）履约按履约保证金年费率1%（1.5%），每单保函最低保险费为500元（300元）</w:t>
            </w:r>
          </w:p>
        </w:tc>
        <w:tc>
          <w:tcPr>
            <w:tcW w:w="1327" w:type="dxa"/>
            <w:noWrap/>
            <w:vAlign w:val="center"/>
          </w:tcPr>
          <w:p>
            <w:pPr>
              <w:spacing w:line="360" w:lineRule="exact"/>
              <w:jc w:val="center"/>
              <w:rPr>
                <w:color w:val="auto"/>
                <w:szCs w:val="21"/>
              </w:rPr>
            </w:pPr>
            <w:r>
              <w:rPr>
                <w:color w:val="auto"/>
                <w:szCs w:val="21"/>
              </w:rPr>
              <w:t>梁英超</w:t>
            </w:r>
          </w:p>
        </w:tc>
        <w:tc>
          <w:tcPr>
            <w:tcW w:w="1980" w:type="dxa"/>
            <w:noWrap/>
            <w:vAlign w:val="center"/>
          </w:tcPr>
          <w:p>
            <w:pPr>
              <w:spacing w:line="360" w:lineRule="exact"/>
              <w:jc w:val="center"/>
              <w:rPr>
                <w:color w:val="auto"/>
                <w:szCs w:val="21"/>
              </w:rPr>
            </w:pPr>
            <w:r>
              <w:rPr>
                <w:color w:val="auto"/>
                <w:szCs w:val="21"/>
              </w:rPr>
              <w:t>18067723172（微信同号）</w:t>
            </w:r>
          </w:p>
        </w:tc>
      </w:tr>
    </w:tbl>
    <w:p>
      <w:pPr>
        <w:pStyle w:val="12"/>
        <w:rPr>
          <w:color w:val="auto"/>
        </w:rPr>
      </w:pPr>
    </w:p>
    <w:p>
      <w:pPr>
        <w:pStyle w:val="23"/>
        <w:ind w:left="420" w:firstLine="344"/>
        <w:rPr>
          <w:rFonts w:hint="default" w:ascii="Times New Roman" w:hAnsi="Times New Roman"/>
          <w:color w:val="auto"/>
        </w:rPr>
      </w:pPr>
    </w:p>
    <w:p>
      <w:pPr>
        <w:pStyle w:val="24"/>
        <w:rPr>
          <w:rFonts w:cs="Times New Roman"/>
          <w:color w:val="auto"/>
        </w:rPr>
      </w:pPr>
    </w:p>
    <w:p>
      <w:pPr>
        <w:pStyle w:val="13"/>
        <w:keepNext w:val="0"/>
        <w:keepLines w:val="0"/>
        <w:pageBreakBefore w:val="0"/>
        <w:kinsoku/>
        <w:wordWrap/>
        <w:overflowPunct/>
        <w:topLinePunct w:val="0"/>
        <w:bidi w:val="0"/>
        <w:snapToGrid w:val="0"/>
        <w:spacing w:line="370" w:lineRule="exact"/>
        <w:textAlignment w:val="auto"/>
        <w:rPr>
          <w:rFonts w:ascii="Times New Roman" w:hAnsi="Times New Roman" w:cs="Times New Roman"/>
          <w:b/>
          <w:color w:val="auto"/>
          <w:szCs w:val="21"/>
        </w:rPr>
      </w:pPr>
      <w:r>
        <w:rPr>
          <w:rFonts w:ascii="Times New Roman" w:hAnsi="Times New Roman" w:cs="Times New Roman"/>
          <w:b/>
          <w:color w:val="auto"/>
          <w:szCs w:val="21"/>
        </w:rPr>
        <w:t>一 、总  则</w:t>
      </w:r>
    </w:p>
    <w:p>
      <w:pPr>
        <w:keepNext w:val="0"/>
        <w:keepLines w:val="0"/>
        <w:pageBreakBefore w:val="0"/>
        <w:kinsoku/>
        <w:wordWrap/>
        <w:overflowPunct/>
        <w:topLinePunct w:val="0"/>
        <w:bidi w:val="0"/>
        <w:snapToGrid w:val="0"/>
        <w:spacing w:line="370" w:lineRule="exact"/>
        <w:ind w:firstLine="422" w:firstLineChars="200"/>
        <w:jc w:val="left"/>
        <w:textAlignment w:val="auto"/>
        <w:outlineLvl w:val="1"/>
        <w:rPr>
          <w:b/>
          <w:color w:val="auto"/>
          <w:szCs w:val="21"/>
        </w:rPr>
      </w:pPr>
      <w:r>
        <w:rPr>
          <w:b/>
          <w:color w:val="auto"/>
          <w:szCs w:val="21"/>
        </w:rPr>
        <w:t>（一） 适用范围</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本招标文件适用于</w:t>
      </w:r>
      <w:r>
        <w:rPr>
          <w:bCs/>
          <w:color w:val="auto"/>
          <w:szCs w:val="21"/>
        </w:rPr>
        <w:t>本次</w:t>
      </w:r>
      <w:r>
        <w:rPr>
          <w:color w:val="auto"/>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370" w:lineRule="exact"/>
        <w:ind w:firstLine="422" w:firstLineChars="200"/>
        <w:jc w:val="left"/>
        <w:textAlignment w:val="auto"/>
        <w:outlineLvl w:val="1"/>
        <w:rPr>
          <w:b/>
          <w:color w:val="auto"/>
          <w:szCs w:val="21"/>
        </w:rPr>
      </w:pPr>
      <w:r>
        <w:rPr>
          <w:b/>
          <w:color w:val="auto"/>
          <w:szCs w:val="21"/>
        </w:rPr>
        <w:t>（二）定义</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w:t>
      </w:r>
      <w:r>
        <w:rPr>
          <w:color w:val="auto"/>
          <w:szCs w:val="21"/>
          <w:lang w:val="zh-CN"/>
        </w:rPr>
        <w:t>“采购组织机构”指采购人委托组织招标的集中采购机构</w:t>
      </w:r>
      <w:r>
        <w:rPr>
          <w:color w:val="auto"/>
          <w:szCs w:val="21"/>
        </w:rPr>
        <w:t>/</w:t>
      </w:r>
      <w:r>
        <w:rPr>
          <w:color w:val="auto"/>
          <w:szCs w:val="21"/>
          <w:lang w:val="zh-CN"/>
        </w:rPr>
        <w:t>采购代理机构。</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2、采购人：是指委托采购代理机构采购本次项目的国家机关、事业单位和团体组织。</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3、投标人：是指向采购</w:t>
      </w:r>
      <w:r>
        <w:rPr>
          <w:color w:val="auto"/>
          <w:szCs w:val="21"/>
          <w:lang w:val="zh-CN"/>
        </w:rPr>
        <w:t>组织</w:t>
      </w:r>
      <w:r>
        <w:rPr>
          <w:color w:val="auto"/>
          <w:szCs w:val="21"/>
        </w:rPr>
        <w:t>机构提交投标文件的单位或个人。</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4、货物：是指各种形态和种类的物品，包括原材料、燃料、设备、产品等。</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6、“书面形式”包括信函、传真等。</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7、“▲”系指实质性要求条款。</w:t>
      </w:r>
    </w:p>
    <w:p>
      <w:pPr>
        <w:keepNext w:val="0"/>
        <w:keepLines w:val="0"/>
        <w:pageBreakBefore w:val="0"/>
        <w:kinsoku/>
        <w:wordWrap/>
        <w:overflowPunct/>
        <w:topLinePunct w:val="0"/>
        <w:bidi w:val="0"/>
        <w:snapToGrid w:val="0"/>
        <w:spacing w:line="370" w:lineRule="exact"/>
        <w:ind w:firstLine="422" w:firstLineChars="200"/>
        <w:jc w:val="left"/>
        <w:textAlignment w:val="auto"/>
        <w:outlineLvl w:val="1"/>
        <w:rPr>
          <w:b/>
          <w:color w:val="auto"/>
          <w:szCs w:val="21"/>
        </w:rPr>
      </w:pPr>
      <w:r>
        <w:rPr>
          <w:b/>
          <w:color w:val="auto"/>
          <w:szCs w:val="21"/>
        </w:rPr>
        <w:t>（三）投标费用</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不论投标结果如何，投标人均应自行承担所有与投标有关的全部费用（招标文件有相关规定除外）。</w:t>
      </w:r>
    </w:p>
    <w:p>
      <w:pPr>
        <w:pStyle w:val="13"/>
        <w:keepNext w:val="0"/>
        <w:keepLines w:val="0"/>
        <w:pageBreakBefore w:val="0"/>
        <w:kinsoku/>
        <w:wordWrap/>
        <w:overflowPunct/>
        <w:topLinePunct w:val="0"/>
        <w:bidi w:val="0"/>
        <w:snapToGrid w:val="0"/>
        <w:spacing w:line="370" w:lineRule="exact"/>
        <w:ind w:left="2" w:leftChars="1" w:firstLine="422" w:firstLineChars="200"/>
        <w:textAlignment w:val="auto"/>
        <w:rPr>
          <w:rFonts w:ascii="Times New Roman" w:hAnsi="Times New Roman" w:cs="Times New Roman"/>
          <w:b/>
          <w:color w:val="auto"/>
          <w:szCs w:val="21"/>
        </w:rPr>
      </w:pPr>
      <w:r>
        <w:rPr>
          <w:rFonts w:ascii="Times New Roman" w:hAnsi="Times New Roman" w:cs="Times New Roman"/>
          <w:b/>
          <w:color w:val="auto"/>
          <w:szCs w:val="21"/>
        </w:rPr>
        <w:t>（四）特别说明</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投标认为中标人所投产品、投标文件技术参数与招标需求存在重大偏离、错误、甚至造假的情况，应提供具体有效的证明材料。</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▲5、为采购项目提供整体设计、规范编制或者项目管理、监理、检测等服务的投标人，不得再参加该采购项目的其他采购活动。</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6、电子投标文件格式中的表格式样可以根据项目差别做适当调整，但应当保持表格样式基本形态不变。</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▲7、单位负责人为同一人或者存在直接控股、管理关系的不同投标人，不得参加同一合同项下的政府采购活动。</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8、本项目不允许分包。</w:t>
      </w:r>
    </w:p>
    <w:p>
      <w:pPr>
        <w:pStyle w:val="13"/>
        <w:keepNext w:val="0"/>
        <w:keepLines w:val="0"/>
        <w:pageBreakBefore w:val="0"/>
        <w:kinsoku/>
        <w:wordWrap/>
        <w:overflowPunct/>
        <w:topLinePunct w:val="0"/>
        <w:bidi w:val="0"/>
        <w:snapToGrid w:val="0"/>
        <w:spacing w:line="370" w:lineRule="exact"/>
        <w:textAlignment w:val="auto"/>
        <w:rPr>
          <w:rFonts w:ascii="Times New Roman" w:hAnsi="Times New Roman" w:cs="Times New Roman"/>
          <w:b/>
          <w:color w:val="auto"/>
          <w:szCs w:val="21"/>
        </w:rPr>
      </w:pPr>
      <w:r>
        <w:rPr>
          <w:rFonts w:ascii="Times New Roman" w:hAnsi="Times New Roman" w:cs="Times New Roman"/>
          <w:b/>
          <w:color w:val="auto"/>
          <w:szCs w:val="21"/>
        </w:rPr>
        <w:t>二、招标文件</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（一）招标文件由招标文件总目录所列内容组成。</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（二）招标文件的澄清或修改</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3"/>
        <w:keepNext w:val="0"/>
        <w:keepLines w:val="0"/>
        <w:pageBreakBefore w:val="0"/>
        <w:kinsoku/>
        <w:wordWrap/>
        <w:overflowPunct/>
        <w:topLinePunct w:val="0"/>
        <w:bidi w:val="0"/>
        <w:snapToGrid w:val="0"/>
        <w:spacing w:line="370" w:lineRule="exact"/>
        <w:textAlignment w:val="auto"/>
        <w:rPr>
          <w:rFonts w:ascii="Times New Roman" w:hAnsi="Times New Roman" w:cs="Times New Roman"/>
          <w:b/>
          <w:color w:val="auto"/>
          <w:szCs w:val="21"/>
        </w:rPr>
      </w:pPr>
      <w:r>
        <w:rPr>
          <w:rFonts w:ascii="Times New Roman" w:hAnsi="Times New Roman" w:cs="Times New Roman"/>
          <w:b/>
          <w:color w:val="auto"/>
          <w:szCs w:val="21"/>
        </w:rPr>
        <w:t>三、投标文件</w:t>
      </w:r>
    </w:p>
    <w:p>
      <w:pPr>
        <w:keepNext w:val="0"/>
        <w:keepLines w:val="0"/>
        <w:pageBreakBefore w:val="0"/>
        <w:kinsoku/>
        <w:wordWrap/>
        <w:overflowPunct/>
        <w:topLinePunct w:val="0"/>
        <w:autoSpaceDE w:val="0"/>
        <w:autoSpaceDN w:val="0"/>
        <w:bidi w:val="0"/>
        <w:adjustRightInd w:val="0"/>
        <w:spacing w:line="370" w:lineRule="exact"/>
        <w:ind w:firstLine="422" w:firstLineChars="200"/>
        <w:textAlignment w:val="auto"/>
        <w:rPr>
          <w:b/>
          <w:bCs/>
          <w:color w:val="auto"/>
          <w:kern w:val="0"/>
          <w:szCs w:val="21"/>
        </w:rPr>
      </w:pPr>
      <w:r>
        <w:rPr>
          <w:b/>
          <w:color w:val="auto"/>
          <w:szCs w:val="21"/>
          <w:lang w:val="zh-CN"/>
        </w:rPr>
        <w:t>（一）</w:t>
      </w:r>
      <w:r>
        <w:rPr>
          <w:b/>
          <w:bCs/>
          <w:color w:val="auto"/>
          <w:kern w:val="0"/>
          <w:szCs w:val="21"/>
        </w:rPr>
        <w:t>投标文件的组成</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lang w:val="zh-CN"/>
        </w:rPr>
      </w:pPr>
      <w:r>
        <w:rPr>
          <w:color w:val="auto"/>
          <w:szCs w:val="21"/>
        </w:rPr>
        <w:t>投标人网上报名下载招标文件后，按照采购组织机构的要求提供：资格证明文件、商务与技术文件、报价文件（特别提示：如在投标时要求提供资料原件的，将原件扫描放入电子投标文件）。</w:t>
      </w:r>
    </w:p>
    <w:p>
      <w:pPr>
        <w:keepNext w:val="0"/>
        <w:keepLines w:val="0"/>
        <w:pageBreakBefore w:val="0"/>
        <w:kinsoku/>
        <w:wordWrap/>
        <w:overflowPunct/>
        <w:topLinePunct w:val="0"/>
        <w:bidi w:val="0"/>
        <w:snapToGrid w:val="0"/>
        <w:spacing w:line="370" w:lineRule="exact"/>
        <w:ind w:firstLine="422" w:firstLineChars="200"/>
        <w:textAlignment w:val="auto"/>
        <w:rPr>
          <w:color w:val="auto"/>
          <w:kern w:val="0"/>
          <w:szCs w:val="21"/>
        </w:rPr>
      </w:pPr>
      <w:r>
        <w:rPr>
          <w:b/>
          <w:color w:val="auto"/>
          <w:szCs w:val="21"/>
        </w:rPr>
        <w:t>▲1、资格证明文件的组成：</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（1）投标声明书；</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（2）授权委托书（法定代表人亲自办理投标事宜的，则无需提交）；</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（3）法人或者其他组织的营业执照等证明文件，自然人的身份证明；</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rPr>
      </w:pPr>
      <w:r>
        <w:rPr>
          <w:color w:val="auto"/>
          <w:szCs w:val="21"/>
        </w:rPr>
        <w:t>（4）符合参加政府采购活动应当具备的一般条件的承诺函；</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（5）落实政府采购政策需满足的资格要求（中小企业声明函）；</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（6）提供采购公告中符合投标人特定条件的有效资质证书扫描件（投标人特定条件中有要求的必须提供），以及需要说明的其他资料。</w:t>
      </w:r>
    </w:p>
    <w:p>
      <w:pPr>
        <w:keepNext w:val="0"/>
        <w:keepLines w:val="0"/>
        <w:pageBreakBefore w:val="0"/>
        <w:kinsoku/>
        <w:wordWrap/>
        <w:overflowPunct/>
        <w:topLinePunct w:val="0"/>
        <w:bidi w:val="0"/>
        <w:snapToGrid w:val="0"/>
        <w:spacing w:line="370" w:lineRule="exact"/>
        <w:ind w:firstLine="422" w:firstLineChars="200"/>
        <w:textAlignment w:val="auto"/>
        <w:rPr>
          <w:color w:val="auto"/>
          <w:szCs w:val="21"/>
          <w:u w:val="single"/>
        </w:rPr>
      </w:pPr>
      <w:r>
        <w:rPr>
          <w:b/>
          <w:color w:val="auto"/>
          <w:szCs w:val="21"/>
        </w:rPr>
        <w:t>2、商务与技术文件的组成：</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（1）投标人情况介绍（人员与技术力量、企业规模、经营业绩等）。</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（2）投标方案描述：</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B.项目组织实施方案（包括项目工期、确保项目供货的措施或方案、项目实施进度安排、项目实施人员及项目负责人的资质、类似经验及社保证明等）。</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C.</w:t>
      </w:r>
      <w:r>
        <w:rPr>
          <w:rFonts w:hint="default" w:eastAsia="宋体"/>
          <w:color w:val="auto"/>
          <w:szCs w:val="21"/>
        </w:rPr>
        <w:t>安装、调试及验收方案</w:t>
      </w:r>
      <w:r>
        <w:rPr>
          <w:rFonts w:hint="eastAsia" w:eastAsia="宋体"/>
          <w:color w:val="auto"/>
          <w:szCs w:val="21"/>
        </w:rPr>
        <w:t>（包括项目验收标准和验收方法等）和措施；</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（3）投标产品描述及相关资料：</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A.</w:t>
      </w:r>
      <w:r>
        <w:rPr>
          <w:rFonts w:hint="default" w:eastAsia="宋体"/>
          <w:color w:val="auto"/>
          <w:szCs w:val="21"/>
        </w:rPr>
        <w:t>设备配置清单（</w:t>
      </w:r>
      <w:r>
        <w:rPr>
          <w:rFonts w:hint="eastAsia" w:eastAsia="宋体"/>
          <w:color w:val="auto"/>
          <w:szCs w:val="21"/>
        </w:rPr>
        <w:t>均</w:t>
      </w:r>
      <w:r>
        <w:rPr>
          <w:rFonts w:hint="default" w:eastAsia="宋体"/>
          <w:color w:val="auto"/>
          <w:szCs w:val="21"/>
        </w:rPr>
        <w:t>不含报价）</w:t>
      </w:r>
      <w:r>
        <w:rPr>
          <w:rFonts w:hint="eastAsia" w:eastAsia="宋体"/>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B.产品品牌及型号、技术参数指标、性能特点、图片资料以及所遵循的技术规范、产品质保期、出厂标准、产品质量相关检测报告等内容。</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C.商务及技术响应表。</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【特别提示：节能和环境标志产品最新一期政府采购清单，可在“中国政府采购网”中查看】</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（4）</w:t>
      </w:r>
      <w:r>
        <w:rPr>
          <w:rFonts w:hint="default" w:eastAsia="宋体"/>
          <w:color w:val="auto"/>
          <w:szCs w:val="21"/>
        </w:rPr>
        <w:t>投标人通过的</w:t>
      </w:r>
      <w:r>
        <w:rPr>
          <w:rFonts w:hint="eastAsia" w:eastAsia="宋体"/>
          <w:color w:val="auto"/>
          <w:szCs w:val="21"/>
        </w:rPr>
        <w:t>质量管理和</w:t>
      </w:r>
      <w:r>
        <w:rPr>
          <w:rFonts w:hint="default" w:eastAsia="宋体"/>
          <w:color w:val="auto"/>
          <w:szCs w:val="21"/>
        </w:rPr>
        <w:t>质量</w:t>
      </w:r>
      <w:r>
        <w:rPr>
          <w:rFonts w:hint="eastAsia" w:eastAsia="宋体"/>
          <w:color w:val="auto"/>
          <w:szCs w:val="21"/>
        </w:rPr>
        <w:t>保证</w:t>
      </w:r>
      <w:r>
        <w:rPr>
          <w:rFonts w:hint="default" w:eastAsia="宋体"/>
          <w:color w:val="auto"/>
          <w:szCs w:val="21"/>
        </w:rPr>
        <w:t>体系、环保体系、</w:t>
      </w:r>
      <w:r>
        <w:rPr>
          <w:rFonts w:hint="eastAsia" w:eastAsia="宋体"/>
          <w:color w:val="auto"/>
          <w:szCs w:val="21"/>
        </w:rPr>
        <w:t>自主创新相关证书、软件著作权证等等与本项目相关</w:t>
      </w:r>
      <w:r>
        <w:rPr>
          <w:rFonts w:hint="default" w:eastAsia="宋体"/>
          <w:color w:val="auto"/>
          <w:szCs w:val="21"/>
        </w:rPr>
        <w:t>的认证证书</w:t>
      </w:r>
      <w:r>
        <w:rPr>
          <w:rFonts w:hint="eastAsia" w:eastAsia="宋体"/>
          <w:color w:val="auto"/>
          <w:szCs w:val="21"/>
        </w:rPr>
        <w:t>或文件；</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（5）近三年来类似项目的成功案例（投标人类似项目实施情况一览表、合同复印件及其相应的发票、用户验收报告等；</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lang w:val="zh-CN"/>
        </w:rPr>
      </w:pPr>
      <w:r>
        <w:rPr>
          <w:rFonts w:hint="eastAsia" w:eastAsia="宋体"/>
          <w:color w:val="auto"/>
          <w:szCs w:val="21"/>
        </w:rPr>
        <w:t>（6）投标人认为需要提供的其他资料（包括可能影响投标人商务与技术文件评分的各类证明材料）。</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（7）售后服务描述及承诺：</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A.距采购人最近的服务网点详细介绍（包括地理位置、资质资格、技术力量、工作业绩、服务内容及联系电话等）。</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eastAsia" w:eastAsia="宋体"/>
          <w:color w:val="auto"/>
          <w:szCs w:val="21"/>
        </w:rPr>
        <w:t>B.针对本项目的售后服务措施及承诺（售后技术服务方案、人员配备、故障响应时间、技术培训方案等）。</w:t>
      </w:r>
    </w:p>
    <w:p>
      <w:pPr>
        <w:keepNext w:val="0"/>
        <w:keepLines w:val="0"/>
        <w:pageBreakBefore w:val="0"/>
        <w:kinsoku/>
        <w:wordWrap/>
        <w:overflowPunct/>
        <w:topLinePunct w:val="0"/>
        <w:bidi w:val="0"/>
        <w:snapToGrid w:val="0"/>
        <w:spacing w:line="370" w:lineRule="exact"/>
        <w:ind w:firstLine="420" w:firstLineChars="200"/>
        <w:jc w:val="left"/>
        <w:textAlignment w:val="auto"/>
        <w:rPr>
          <w:rFonts w:hint="default" w:eastAsia="宋体"/>
          <w:color w:val="auto"/>
          <w:szCs w:val="21"/>
        </w:rPr>
      </w:pPr>
      <w:r>
        <w:rPr>
          <w:rFonts w:hint="default" w:eastAsia="宋体"/>
          <w:color w:val="auto"/>
          <w:szCs w:val="21"/>
        </w:rPr>
        <w:t>（8）评标办法中的评分内容章节描述及需要提供的其他材料。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line="370" w:lineRule="exact"/>
        <w:ind w:firstLine="422" w:firstLineChars="200"/>
        <w:textAlignment w:val="auto"/>
        <w:rPr>
          <w:b/>
          <w:color w:val="auto"/>
          <w:kern w:val="0"/>
          <w:szCs w:val="21"/>
        </w:rPr>
      </w:pPr>
      <w:r>
        <w:rPr>
          <w:b/>
          <w:color w:val="auto"/>
          <w:kern w:val="0"/>
          <w:szCs w:val="21"/>
        </w:rPr>
        <w:t>3、报价文件的组成</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（1）报价文件由开标一览表、报价明细表以及投标人认为其他需要说明的内容组成。</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（2）此报价为投标人一次性报出唯一的最终价格，包含其它一切所要涉及到的费用，有选择的报价将被拒绝。</w:t>
      </w:r>
    </w:p>
    <w:p>
      <w:pPr>
        <w:keepNext w:val="0"/>
        <w:keepLines w:val="0"/>
        <w:pageBreakBefore w:val="0"/>
        <w:widowControl w:val="0"/>
        <w:kinsoku/>
        <w:wordWrap/>
        <w:overflowPunct/>
        <w:topLinePunct w:val="0"/>
        <w:autoSpaceDE/>
        <w:autoSpaceDN/>
        <w:bidi w:val="0"/>
        <w:adjustRightInd/>
        <w:snapToGrid w:val="0"/>
        <w:spacing w:line="370" w:lineRule="exact"/>
        <w:ind w:firstLine="420" w:firstLineChars="200"/>
        <w:jc w:val="left"/>
        <w:textAlignment w:val="auto"/>
        <w:rPr>
          <w:rFonts w:hint="default" w:ascii="Times New Roman" w:hAnsi="Times New Roman" w:eastAsia="宋体" w:cs="Times New Roman"/>
          <w:color w:val="auto"/>
          <w:szCs w:val="21"/>
          <w:highlight w:val="none"/>
        </w:rPr>
      </w:pPr>
      <w:r>
        <w:rPr>
          <w:rStyle w:val="31"/>
          <w:color w:val="auto"/>
          <w:szCs w:val="21"/>
          <w:lang w:val="zh-CN"/>
        </w:rPr>
        <w:t>（</w:t>
      </w:r>
      <w:r>
        <w:rPr>
          <w:rFonts w:eastAsia="宋体"/>
          <w:color w:val="auto"/>
          <w:szCs w:val="21"/>
        </w:rPr>
        <w:t>3</w:t>
      </w:r>
      <w:r>
        <w:rPr>
          <w:rFonts w:eastAsia="宋体"/>
          <w:color w:val="auto"/>
          <w:szCs w:val="21"/>
          <w:lang w:val="zh-CN"/>
        </w:rPr>
        <w:t>）</w:t>
      </w:r>
      <w:r>
        <w:rPr>
          <w:rFonts w:hint="default" w:eastAsia="宋体"/>
          <w:color w:val="auto"/>
          <w:szCs w:val="21"/>
          <w:lang w:val="zh-CN"/>
        </w:rPr>
        <w:t>总报价</w:t>
      </w:r>
      <w:r>
        <w:rPr>
          <w:rFonts w:hint="default" w:eastAsia="宋体"/>
          <w:color w:val="auto"/>
          <w:szCs w:val="21"/>
        </w:rPr>
        <w:t>是履行合同的最终价格，应包括货款、标准附件、备品备件、专用工具、包装、运输、装卸、</w:t>
      </w:r>
      <w:r>
        <w:rPr>
          <w:rFonts w:hint="eastAsia"/>
          <w:color w:val="auto"/>
          <w:szCs w:val="21"/>
          <w:lang w:val="en-US" w:eastAsia="zh-CN"/>
        </w:rPr>
        <w:t>仓储、</w:t>
      </w:r>
      <w:r>
        <w:rPr>
          <w:rFonts w:hint="default" w:eastAsia="宋体"/>
          <w:color w:val="auto"/>
          <w:szCs w:val="21"/>
        </w:rPr>
        <w:t>货到就位以及安装、</w:t>
      </w:r>
      <w:r>
        <w:rPr>
          <w:rFonts w:hint="eastAsia"/>
          <w:color w:val="auto"/>
          <w:szCs w:val="21"/>
          <w:lang w:val="en-US" w:eastAsia="zh-CN"/>
        </w:rPr>
        <w:t>验收检验、</w:t>
      </w:r>
      <w:r>
        <w:rPr>
          <w:rFonts w:hint="default" w:eastAsia="宋体"/>
          <w:color w:val="auto"/>
          <w:szCs w:val="21"/>
        </w:rPr>
        <w:t>调试</w:t>
      </w:r>
      <w:r>
        <w:rPr>
          <w:rFonts w:hint="eastAsia"/>
          <w:color w:val="auto"/>
          <w:szCs w:val="21"/>
          <w:lang w:eastAsia="zh-CN"/>
        </w:rPr>
        <w:t>（</w:t>
      </w:r>
      <w:r>
        <w:rPr>
          <w:rFonts w:hint="eastAsia"/>
          <w:color w:val="auto"/>
          <w:szCs w:val="21"/>
          <w:lang w:val="en-US" w:eastAsia="zh-CN"/>
        </w:rPr>
        <w:t>试剂</w:t>
      </w:r>
      <w:r>
        <w:rPr>
          <w:rFonts w:hint="eastAsia"/>
          <w:color w:val="auto"/>
          <w:szCs w:val="21"/>
          <w:lang w:eastAsia="zh-CN"/>
        </w:rPr>
        <w:t>）</w:t>
      </w:r>
      <w:r>
        <w:rPr>
          <w:rFonts w:hint="default" w:eastAsia="宋体"/>
          <w:color w:val="auto"/>
          <w:szCs w:val="21"/>
        </w:rPr>
        <w:t>、培训、保修</w:t>
      </w:r>
      <w:r>
        <w:rPr>
          <w:rFonts w:hint="eastAsia" w:eastAsia="宋体"/>
          <w:color w:val="auto"/>
          <w:szCs w:val="21"/>
          <w:lang w:eastAsia="zh-CN"/>
        </w:rPr>
        <w:t>、</w:t>
      </w:r>
      <w:r>
        <w:rPr>
          <w:rFonts w:hint="default" w:eastAsia="宋体"/>
          <w:color w:val="auto"/>
          <w:szCs w:val="21"/>
        </w:rPr>
        <w:t>保险、税金、</w:t>
      </w:r>
      <w:r>
        <w:rPr>
          <w:rFonts w:hint="eastAsia" w:eastAsia="宋体"/>
          <w:color w:val="auto"/>
          <w:szCs w:val="21"/>
          <w:lang w:val="en-US" w:eastAsia="zh-CN"/>
        </w:rPr>
        <w:t>招标</w:t>
      </w:r>
      <w:r>
        <w:rPr>
          <w:rFonts w:hint="default" w:eastAsia="宋体"/>
          <w:color w:val="auto"/>
          <w:szCs w:val="21"/>
        </w:rPr>
        <w:t>代理服务费、合同包含的所有风险责任等各项费用及不可预见费等所需的全部费用。</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lang w:val="zh-CN"/>
        </w:rPr>
        <w:t>（</w:t>
      </w:r>
      <w:r>
        <w:rPr>
          <w:color w:val="auto"/>
          <w:szCs w:val="21"/>
        </w:rPr>
        <w:t>4</w:t>
      </w:r>
      <w:r>
        <w:rPr>
          <w:color w:val="auto"/>
          <w:szCs w:val="21"/>
          <w:lang w:val="zh-CN"/>
        </w:rPr>
        <w:t>）</w:t>
      </w:r>
      <w:r>
        <w:rPr>
          <w:color w:val="auto"/>
          <w:szCs w:val="21"/>
        </w:rPr>
        <w:t>相关报价单需打印或用不退色的墨水填写，投标报价单不得涂改和增删，如有错漏必须修改，修改处须由同一签署人签字或盖章。由于字迹模糊或表达不清引起的后果由投标人负责。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（5）投标报价应按招标文件中相关附表格式填写。</w:t>
      </w:r>
    </w:p>
    <w:p>
      <w:pPr>
        <w:keepNext w:val="0"/>
        <w:keepLines w:val="0"/>
        <w:pageBreakBefore w:val="0"/>
        <w:kinsoku/>
        <w:wordWrap/>
        <w:overflowPunct/>
        <w:topLinePunct w:val="0"/>
        <w:autoSpaceDE w:val="0"/>
        <w:autoSpaceDN w:val="0"/>
        <w:bidi w:val="0"/>
        <w:adjustRightInd w:val="0"/>
        <w:spacing w:line="370" w:lineRule="exact"/>
        <w:ind w:firstLine="422" w:firstLineChars="200"/>
        <w:textAlignment w:val="auto"/>
        <w:rPr>
          <w:b/>
          <w:bCs/>
          <w:color w:val="auto"/>
          <w:kern w:val="0"/>
          <w:szCs w:val="21"/>
        </w:rPr>
      </w:pPr>
      <w:r>
        <w:rPr>
          <w:b/>
          <w:bCs/>
          <w:color w:val="auto"/>
          <w:kern w:val="0"/>
          <w:szCs w:val="21"/>
        </w:rPr>
        <w:t>（二）电子投标文件的制作及递交要求</w:t>
      </w:r>
    </w:p>
    <w:p>
      <w:pPr>
        <w:keepNext w:val="0"/>
        <w:keepLines w:val="0"/>
        <w:pageBreakBefore w:val="0"/>
        <w:kinsoku/>
        <w:wordWrap/>
        <w:overflowPunct/>
        <w:topLinePunct w:val="0"/>
        <w:autoSpaceDE w:val="0"/>
        <w:autoSpaceDN w:val="0"/>
        <w:bidi w:val="0"/>
        <w:adjustRightInd w:val="0"/>
        <w:spacing w:line="370" w:lineRule="exact"/>
        <w:ind w:firstLine="422" w:firstLineChars="200"/>
        <w:textAlignment w:val="auto"/>
        <w:rPr>
          <w:b/>
          <w:bCs/>
          <w:color w:val="auto"/>
          <w:szCs w:val="21"/>
        </w:rPr>
      </w:pPr>
      <w:r>
        <w:rPr>
          <w:b/>
          <w:bCs/>
          <w:color w:val="auto"/>
          <w:szCs w:val="21"/>
        </w:rPr>
        <w:t>1、电子投标文件的制作要求</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（1）本项目通过“政府采购云平台”（https://www.zcygov.cn/）实行在线投标响应（电子投标）。投标人应通过“政采云电子交易客服端”，并按照本招标文件和“政府采购云平台”的要求编制并加密电子投标文件。</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（2）投标人应当按照本章节“投标文件组成”规定的内容及顺序在“政采云电子交易客服端”编制电子投标文件。其中</w:t>
      </w:r>
      <w:r>
        <w:rPr>
          <w:color w:val="auto"/>
          <w:szCs w:val="21"/>
          <w:lang w:val="zh-CN"/>
        </w:rPr>
        <w:t>《资格</w:t>
      </w:r>
      <w:r>
        <w:rPr>
          <w:color w:val="auto"/>
          <w:szCs w:val="21"/>
        </w:rPr>
        <w:t>证明</w:t>
      </w:r>
      <w:r>
        <w:rPr>
          <w:color w:val="auto"/>
          <w:szCs w:val="21"/>
          <w:lang w:val="zh-CN"/>
        </w:rPr>
        <w:t>文件》</w:t>
      </w:r>
      <w:r>
        <w:rPr>
          <w:color w:val="auto"/>
          <w:szCs w:val="21"/>
        </w:rPr>
        <w:t>和</w:t>
      </w:r>
      <w:r>
        <w:rPr>
          <w:color w:val="auto"/>
          <w:szCs w:val="21"/>
          <w:lang w:val="zh-CN"/>
        </w:rPr>
        <w:t>《商务</w:t>
      </w:r>
      <w:r>
        <w:rPr>
          <w:color w:val="auto"/>
          <w:szCs w:val="21"/>
        </w:rPr>
        <w:t>与</w:t>
      </w:r>
      <w:r>
        <w:rPr>
          <w:color w:val="auto"/>
          <w:szCs w:val="21"/>
          <w:lang w:val="zh-CN"/>
        </w:rPr>
        <w:t>技术文件》</w:t>
      </w:r>
      <w:r>
        <w:rPr>
          <w:color w:val="auto"/>
          <w:szCs w:val="21"/>
        </w:rPr>
        <w:t>中不得出现本项目投标报价，如因投标人原因提前泄露投标报价，是投标人的责任。</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投标人应对所提供的全部资料的真实性承担法律责任，本文件中有提供格式的，投标人须参照格式进行编制（格式中要求提供相关证明材料的还需后附相关证明材料），并按格式要求在指定位置根据要求进行签章（电子签章）；本文件未提供格式的，请各投标单位自行拟定格式，并加盖单位公章（电子签章）。</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lang w:val="zh-CN"/>
        </w:rPr>
        <w:t>（</w:t>
      </w:r>
      <w:r>
        <w:rPr>
          <w:color w:val="auto"/>
          <w:szCs w:val="21"/>
        </w:rPr>
        <w:t>4</w:t>
      </w:r>
      <w:r>
        <w:rPr>
          <w:color w:val="auto"/>
          <w:szCs w:val="21"/>
          <w:lang w:val="zh-CN"/>
        </w:rPr>
        <w:t>）</w:t>
      </w:r>
      <w:r>
        <w:rPr>
          <w:color w:val="auto"/>
          <w:szCs w:val="21"/>
        </w:rPr>
        <w:t>电子投标文件以及投标人与采购组织机构就有关投标事宜的所有来往函电，均应以中文汉语书写。除签字、盖章、专用名称等特殊情形外，以中文汉语以外的文字表述的投标文件视同未提供。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（5）投标计量单位，招标文件已有明确规定的，使用招标文件规定的计量单位；招标文件没有规定的，应采用中华人民共和国法定计量单位（货币单位：人民币元）。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（6）若投标人不按招标文件的要求提供资格审查材料，其风险由投标人自行承担。</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（7）与本次投标无关的内容请不要制作在内，确保投标文件有针对性、简洁明了。</w:t>
      </w:r>
    </w:p>
    <w:p>
      <w:pPr>
        <w:keepNext w:val="0"/>
        <w:keepLines w:val="0"/>
        <w:pageBreakBefore w:val="0"/>
        <w:kinsoku/>
        <w:wordWrap/>
        <w:overflowPunct/>
        <w:topLinePunct w:val="0"/>
        <w:autoSpaceDE w:val="0"/>
        <w:autoSpaceDN w:val="0"/>
        <w:bidi w:val="0"/>
        <w:adjustRightInd w:val="0"/>
        <w:spacing w:line="370" w:lineRule="exact"/>
        <w:ind w:firstLine="422" w:firstLineChars="200"/>
        <w:textAlignment w:val="auto"/>
        <w:rPr>
          <w:b/>
          <w:bCs/>
          <w:color w:val="auto"/>
          <w:szCs w:val="21"/>
        </w:rPr>
      </w:pPr>
      <w:r>
        <w:rPr>
          <w:b/>
          <w:bCs/>
          <w:color w:val="auto"/>
          <w:szCs w:val="21"/>
        </w:rPr>
        <w:t>2、电子投标文件的递交要求</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（1）电子投标文件的上传、递交：见《前附表》。</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（2）“电子加密投标文件”解密和异常情况处理：见《前附表》。</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（3）电子投标文件的补充、修改或撤回</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投标人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政府采购云平台”将予以拒收;投标截止时间后，投标人不得撤回、修改“电子加密投标文件”。</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（4）投标文件的备选方案</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投标人不得递交任何的投标备选（替代）方案，否则其投标文件将作无效标处理。与“电子加密投标文件”同时生成的“备份电子加密投标文件”不是投标备选（替代）方案。</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（5）投标截止期</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投标人应按前附表中规定的时间、地点将电子投标文件递交给采购人，采购人或采购代理机构将拒绝接受逾期送达的电子投标文件；</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370" w:lineRule="exact"/>
        <w:ind w:firstLine="422" w:firstLineChars="200"/>
        <w:textAlignment w:val="auto"/>
        <w:rPr>
          <w:b/>
          <w:color w:val="auto"/>
          <w:kern w:val="0"/>
          <w:szCs w:val="21"/>
        </w:rPr>
      </w:pPr>
      <w:r>
        <w:rPr>
          <w:b/>
          <w:color w:val="auto"/>
          <w:kern w:val="0"/>
          <w:szCs w:val="21"/>
        </w:rPr>
        <w:t>（三）投标文件的有效期</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lang w:val="en-GB"/>
        </w:rPr>
      </w:pPr>
      <w:r>
        <w:rPr>
          <w:color w:val="auto"/>
          <w:szCs w:val="21"/>
        </w:rPr>
        <w:t>1、</w:t>
      </w:r>
      <w:r>
        <w:rPr>
          <w:color w:val="auto"/>
          <w:szCs w:val="21"/>
          <w:lang w:val="en-GB"/>
        </w:rPr>
        <w:t>自投标截止日起90天</w:t>
      </w:r>
      <w:r>
        <w:rPr>
          <w:color w:val="auto"/>
          <w:szCs w:val="21"/>
        </w:rPr>
        <w:t>电子</w:t>
      </w:r>
      <w:r>
        <w:rPr>
          <w:color w:val="auto"/>
          <w:szCs w:val="21"/>
          <w:lang w:val="en-GB"/>
        </w:rPr>
        <w:t>投标文件应保持有效。有效期不足的</w:t>
      </w:r>
      <w:r>
        <w:rPr>
          <w:color w:val="auto"/>
          <w:szCs w:val="21"/>
        </w:rPr>
        <w:t>电子</w:t>
      </w:r>
      <w:r>
        <w:rPr>
          <w:color w:val="auto"/>
          <w:szCs w:val="21"/>
          <w:lang w:val="en-GB"/>
        </w:rPr>
        <w:t>投标文件将被拒绝。</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lang w:val="en-GB"/>
        </w:rPr>
      </w:pPr>
      <w:r>
        <w:rPr>
          <w:color w:val="auto"/>
          <w:szCs w:val="21"/>
        </w:rPr>
        <w:t>2、</w:t>
      </w:r>
      <w:r>
        <w:rPr>
          <w:color w:val="auto"/>
          <w:szCs w:val="21"/>
          <w:lang w:val="en-GB"/>
        </w:rPr>
        <w:t>在特殊情况下，采购人可与投标人协商延长</w:t>
      </w:r>
      <w:r>
        <w:rPr>
          <w:color w:val="auto"/>
          <w:szCs w:val="21"/>
        </w:rPr>
        <w:t>电子</w:t>
      </w:r>
      <w:r>
        <w:rPr>
          <w:color w:val="auto"/>
          <w:szCs w:val="21"/>
          <w:lang w:val="en-GB"/>
        </w:rPr>
        <w:t>投标文件的有效期，这种要求和答复均以书面形式进行。</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3、中标人的电子投标文件自开标之日起至合同履行完毕均应保持有效。</w:t>
      </w:r>
    </w:p>
    <w:p>
      <w:pPr>
        <w:keepNext w:val="0"/>
        <w:keepLines w:val="0"/>
        <w:pageBreakBefore w:val="0"/>
        <w:kinsoku/>
        <w:wordWrap/>
        <w:overflowPunct/>
        <w:topLinePunct w:val="0"/>
        <w:autoSpaceDE w:val="0"/>
        <w:autoSpaceDN w:val="0"/>
        <w:bidi w:val="0"/>
        <w:adjustRightInd w:val="0"/>
        <w:spacing w:line="370" w:lineRule="exact"/>
        <w:textAlignment w:val="auto"/>
        <w:rPr>
          <w:rFonts w:eastAsiaTheme="minorEastAsia"/>
          <w:b/>
          <w:color w:val="auto"/>
          <w:kern w:val="0"/>
          <w:szCs w:val="21"/>
          <w:lang w:val="en-GB"/>
        </w:rPr>
      </w:pPr>
      <w:r>
        <w:rPr>
          <w:rFonts w:eastAsiaTheme="minorEastAsia"/>
          <w:b/>
          <w:color w:val="auto"/>
          <w:kern w:val="0"/>
          <w:szCs w:val="21"/>
          <w:lang w:val="en-GB"/>
        </w:rPr>
        <w:t>四、开标</w:t>
      </w:r>
    </w:p>
    <w:p>
      <w:pPr>
        <w:keepNext w:val="0"/>
        <w:keepLines w:val="0"/>
        <w:pageBreakBefore w:val="0"/>
        <w:tabs>
          <w:tab w:val="left" w:pos="1898"/>
        </w:tabs>
        <w:kinsoku/>
        <w:wordWrap/>
        <w:overflowPunct/>
        <w:topLinePunct w:val="0"/>
        <w:autoSpaceDE w:val="0"/>
        <w:autoSpaceDN w:val="0"/>
        <w:bidi w:val="0"/>
        <w:adjustRightInd w:val="0"/>
        <w:spacing w:line="370" w:lineRule="exact"/>
        <w:ind w:firstLine="211" w:firstLineChars="100"/>
        <w:textAlignment w:val="auto"/>
        <w:rPr>
          <w:b/>
          <w:color w:val="auto"/>
          <w:kern w:val="0"/>
          <w:szCs w:val="21"/>
        </w:rPr>
      </w:pPr>
      <w:r>
        <w:rPr>
          <w:b/>
          <w:color w:val="auto"/>
          <w:kern w:val="0"/>
          <w:szCs w:val="21"/>
        </w:rPr>
        <w:t>（一）开标形式</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采购组织机构将按照采购文件规定的时间通过“政府采购云平台”组织开标、开启投标文件，所有投标人均应当准时在线参加。</w:t>
      </w:r>
    </w:p>
    <w:p>
      <w:pPr>
        <w:pStyle w:val="13"/>
        <w:keepNext w:val="0"/>
        <w:keepLines w:val="0"/>
        <w:pageBreakBefore w:val="0"/>
        <w:kinsoku/>
        <w:wordWrap/>
        <w:overflowPunct/>
        <w:topLinePunct w:val="0"/>
        <w:bidi w:val="0"/>
        <w:snapToGrid w:val="0"/>
        <w:spacing w:line="370" w:lineRule="exact"/>
        <w:ind w:right="199" w:rightChars="95" w:firstLine="211" w:firstLineChars="100"/>
        <w:textAlignment w:val="auto"/>
        <w:outlineLvl w:val="1"/>
        <w:rPr>
          <w:rFonts w:ascii="Times New Roman" w:hAnsi="Times New Roman" w:cs="Times New Roman"/>
          <w:b/>
          <w:color w:val="auto"/>
          <w:kern w:val="0"/>
          <w:szCs w:val="21"/>
        </w:rPr>
      </w:pPr>
      <w:r>
        <w:rPr>
          <w:rFonts w:ascii="Times New Roman" w:hAnsi="Times New Roman" w:cs="Times New Roman"/>
          <w:b/>
          <w:color w:val="auto"/>
          <w:kern w:val="0"/>
          <w:szCs w:val="21"/>
        </w:rPr>
        <w:t>（二） 开标准备</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1、开标的准备工作由采购组织机构负责落实；</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采购组织机构将按照采购文件规定的时间通过“政府采购云平台”组织开标、开启投标文件，所有投标人均应当准时在线参加。投标人如不参加开标的，视同认可开标结果，事后不得对采购相关人员、开标过程和开标结果提出异议，同时投标人因未在线参加开标而导致电子投标文件无法按时解密等一切后果由投标人自己承担。</w:t>
      </w:r>
    </w:p>
    <w:p>
      <w:pPr>
        <w:pStyle w:val="13"/>
        <w:keepNext w:val="0"/>
        <w:keepLines w:val="0"/>
        <w:pageBreakBefore w:val="0"/>
        <w:kinsoku/>
        <w:wordWrap/>
        <w:overflowPunct/>
        <w:topLinePunct w:val="0"/>
        <w:bidi w:val="0"/>
        <w:snapToGrid w:val="0"/>
        <w:spacing w:line="370" w:lineRule="exact"/>
        <w:ind w:right="199" w:rightChars="95" w:firstLine="211" w:firstLineChars="100"/>
        <w:textAlignment w:val="auto"/>
        <w:outlineLvl w:val="1"/>
        <w:rPr>
          <w:rFonts w:ascii="Times New Roman" w:hAnsi="Times New Roman" w:cs="Times New Roman"/>
          <w:b/>
          <w:bCs/>
          <w:color w:val="auto"/>
          <w:kern w:val="0"/>
          <w:szCs w:val="21"/>
        </w:rPr>
      </w:pPr>
      <w:r>
        <w:rPr>
          <w:rFonts w:ascii="Times New Roman" w:hAnsi="Times New Roman" w:cs="Times New Roman"/>
          <w:b/>
          <w:bCs/>
          <w:color w:val="auto"/>
          <w:kern w:val="0"/>
          <w:szCs w:val="21"/>
        </w:rPr>
        <w:t>（三）开标流程（两阶段）</w:t>
      </w:r>
    </w:p>
    <w:p>
      <w:pPr>
        <w:keepNext w:val="0"/>
        <w:keepLines w:val="0"/>
        <w:pageBreakBefore w:val="0"/>
        <w:kinsoku/>
        <w:wordWrap/>
        <w:overflowPunct/>
        <w:topLinePunct w:val="0"/>
        <w:bidi w:val="0"/>
        <w:snapToGrid w:val="0"/>
        <w:spacing w:line="370" w:lineRule="exact"/>
        <w:ind w:firstLine="422" w:firstLineChars="200"/>
        <w:jc w:val="left"/>
        <w:textAlignment w:val="auto"/>
        <w:rPr>
          <w:b/>
          <w:bCs/>
          <w:color w:val="auto"/>
          <w:szCs w:val="21"/>
        </w:rPr>
      </w:pPr>
      <w:r>
        <w:rPr>
          <w:b/>
          <w:bCs/>
          <w:color w:val="auto"/>
          <w:szCs w:val="21"/>
        </w:rPr>
        <w:t>1、开标第一阶段</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向各投标人发出电子加密投标文件【开始解密】通知，由投标人按采购文件规定的时间内自行进行投标文件解密。投标人在规定的时间内无法完成已递交的“电子加密投标文件”解密的或解密失败，如已按规定递交了“备份电子加密投标文件”的，将由采购组织机构按“政府采购云平台”操作规范将“备份电子加密投标文件”上传至“政府采购云平台”，以完成开标，“电子加密投标文件”自动失效；</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（2）进入资格审查；</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（3）资格审查结束后投标人的商务与技术文件进入符合性审查、商务技术评审；</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（4）第一阶段开标结束。</w:t>
      </w:r>
    </w:p>
    <w:p>
      <w:pPr>
        <w:keepNext w:val="0"/>
        <w:keepLines w:val="0"/>
        <w:pageBreakBefore w:val="0"/>
        <w:kinsoku/>
        <w:wordWrap/>
        <w:overflowPunct/>
        <w:topLinePunct w:val="0"/>
        <w:bidi w:val="0"/>
        <w:snapToGrid w:val="0"/>
        <w:spacing w:line="370" w:lineRule="exact"/>
        <w:ind w:firstLine="422" w:firstLineChars="200"/>
        <w:jc w:val="left"/>
        <w:textAlignment w:val="auto"/>
        <w:rPr>
          <w:b/>
          <w:bCs/>
          <w:color w:val="auto"/>
          <w:szCs w:val="21"/>
        </w:rPr>
      </w:pPr>
      <w:r>
        <w:rPr>
          <w:b/>
          <w:bCs/>
          <w:color w:val="auto"/>
          <w:szCs w:val="21"/>
        </w:rPr>
        <w:t>2、开标第二阶段</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（1）符合性审查、资信技术评审结束后，公布符合性审查、资信技术评审无效投标人名称及理由；公布经资信技术评审后有效投标人的名单，同时公布其资信技术得分情况</w:t>
      </w:r>
      <w:r>
        <w:rPr>
          <w:rFonts w:hint="eastAsia"/>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（2）开启符合性审查、资信技术评审有效投标人的《报价文件》，公布开标一览表有关内容，同时当场制作开标记录表。唱标结束后，由评标委员会对报价的合理性、准确性等进行审查核实</w:t>
      </w:r>
      <w:r>
        <w:rPr>
          <w:rFonts w:hint="eastAsia"/>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（3）评审结束后，公布中标（成交）候选供应商名单，及采购人最终确定中标或成交供应商名单的时间和公告方式等。</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特别说明：开标细则按政采云电子评标流程进行。如遇“政府采购云平台”电子化开标或评审程序调整的，按调整后程序执行。</w:t>
      </w:r>
    </w:p>
    <w:p>
      <w:pPr>
        <w:pStyle w:val="13"/>
        <w:keepNext w:val="0"/>
        <w:keepLines w:val="0"/>
        <w:pageBreakBefore w:val="0"/>
        <w:kinsoku/>
        <w:wordWrap/>
        <w:overflowPunct/>
        <w:topLinePunct w:val="0"/>
        <w:bidi w:val="0"/>
        <w:snapToGrid w:val="0"/>
        <w:spacing w:line="370" w:lineRule="exact"/>
        <w:textAlignment w:val="auto"/>
        <w:rPr>
          <w:rFonts w:ascii="Times New Roman" w:hAnsi="Times New Roman" w:cs="Times New Roman"/>
          <w:b/>
          <w:color w:val="auto"/>
          <w:szCs w:val="21"/>
        </w:rPr>
      </w:pPr>
      <w:r>
        <w:rPr>
          <w:rFonts w:ascii="Times New Roman" w:hAnsi="Times New Roman" w:cs="Times New Roman"/>
          <w:b/>
          <w:color w:val="auto"/>
          <w:szCs w:val="21"/>
        </w:rPr>
        <w:t>五、评标</w:t>
      </w:r>
    </w:p>
    <w:p>
      <w:pPr>
        <w:pStyle w:val="13"/>
        <w:keepNext w:val="0"/>
        <w:keepLines w:val="0"/>
        <w:pageBreakBefore w:val="0"/>
        <w:kinsoku/>
        <w:wordWrap/>
        <w:overflowPunct/>
        <w:topLinePunct w:val="0"/>
        <w:bidi w:val="0"/>
        <w:snapToGrid w:val="0"/>
        <w:spacing w:line="370" w:lineRule="exact"/>
        <w:ind w:firstLine="422" w:firstLineChars="200"/>
        <w:textAlignment w:val="auto"/>
        <w:rPr>
          <w:rFonts w:ascii="Times New Roman" w:hAnsi="Times New Roman" w:cs="Times New Roman"/>
          <w:b/>
          <w:color w:val="auto"/>
          <w:szCs w:val="21"/>
        </w:rPr>
      </w:pPr>
      <w:r>
        <w:rPr>
          <w:rFonts w:ascii="Times New Roman" w:hAnsi="Times New Roman" w:cs="Times New Roman"/>
          <w:b/>
          <w:color w:val="auto"/>
          <w:szCs w:val="21"/>
        </w:rPr>
        <w:t>（一）组建评标委员会</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本项目评标委员会由</w:t>
      </w:r>
      <w:r>
        <w:rPr>
          <w:rFonts w:hint="eastAsia"/>
          <w:color w:val="auto"/>
          <w:szCs w:val="21"/>
        </w:rPr>
        <w:t>政府采购评审专家和采购单位评审代表</w:t>
      </w:r>
      <w:r>
        <w:rPr>
          <w:color w:val="auto"/>
          <w:szCs w:val="21"/>
        </w:rPr>
        <w:t>组成。</w:t>
      </w:r>
    </w:p>
    <w:p>
      <w:pPr>
        <w:pStyle w:val="13"/>
        <w:keepNext w:val="0"/>
        <w:keepLines w:val="0"/>
        <w:pageBreakBefore w:val="0"/>
        <w:kinsoku/>
        <w:wordWrap/>
        <w:overflowPunct/>
        <w:topLinePunct w:val="0"/>
        <w:bidi w:val="0"/>
        <w:snapToGrid w:val="0"/>
        <w:spacing w:line="370" w:lineRule="exact"/>
        <w:ind w:firstLine="422" w:firstLineChars="200"/>
        <w:textAlignment w:val="auto"/>
        <w:rPr>
          <w:rFonts w:ascii="Times New Roman" w:hAnsi="Times New Roman" w:cs="Times New Roman"/>
          <w:b/>
          <w:color w:val="auto"/>
          <w:szCs w:val="21"/>
        </w:rPr>
      </w:pPr>
      <w:r>
        <w:rPr>
          <w:rFonts w:ascii="Times New Roman" w:hAnsi="Times New Roman" w:cs="Times New Roman"/>
          <w:b/>
          <w:color w:val="auto"/>
          <w:szCs w:val="21"/>
        </w:rPr>
        <w:t>（二）</w:t>
      </w:r>
      <w:r>
        <w:rPr>
          <w:rFonts w:ascii="Times New Roman" w:hAnsi="Times New Roman" w:cs="Times New Roman"/>
          <w:b/>
          <w:bCs/>
          <w:color w:val="auto"/>
          <w:szCs w:val="21"/>
        </w:rPr>
        <w:t>评标程序</w:t>
      </w:r>
    </w:p>
    <w:p>
      <w:pPr>
        <w:keepNext w:val="0"/>
        <w:keepLines w:val="0"/>
        <w:pageBreakBefore w:val="0"/>
        <w:kinsoku/>
        <w:wordWrap/>
        <w:overflowPunct/>
        <w:topLinePunct w:val="0"/>
        <w:bidi w:val="0"/>
        <w:snapToGrid w:val="0"/>
        <w:spacing w:line="370" w:lineRule="exact"/>
        <w:ind w:firstLine="413" w:firstLineChars="196"/>
        <w:textAlignment w:val="auto"/>
        <w:rPr>
          <w:b/>
          <w:bCs/>
          <w:color w:val="auto"/>
          <w:szCs w:val="21"/>
        </w:rPr>
      </w:pPr>
      <w:r>
        <w:rPr>
          <w:b/>
          <w:bCs/>
          <w:color w:val="auto"/>
          <w:szCs w:val="21"/>
        </w:rPr>
        <w:t>1、资格审查</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公开招标采购项目开标结束后，采购人或者采购组织机构应当依法对投标人的资格进行审查，对审查发现无效的进行必要的询标，结束后在线公布无效投标的投标人名单、投标无效的原因。</w:t>
      </w:r>
    </w:p>
    <w:p>
      <w:pPr>
        <w:pStyle w:val="20"/>
        <w:keepNext w:val="0"/>
        <w:keepLines w:val="0"/>
        <w:pageBreakBefore w:val="0"/>
        <w:kinsoku/>
        <w:wordWrap/>
        <w:overflowPunct/>
        <w:topLinePunct w:val="0"/>
        <w:bidi w:val="0"/>
        <w:spacing w:before="0" w:beforeAutospacing="0" w:after="0" w:afterAutospacing="0" w:line="370" w:lineRule="exact"/>
        <w:ind w:firstLine="413" w:firstLineChars="196"/>
        <w:jc w:val="both"/>
        <w:textAlignment w:val="auto"/>
        <w:rPr>
          <w:rFonts w:hint="default" w:ascii="Times New Roman" w:hAnsi="Times New Roman"/>
          <w:b/>
          <w:bCs/>
          <w:color w:val="auto"/>
          <w:sz w:val="21"/>
          <w:szCs w:val="21"/>
        </w:rPr>
      </w:pPr>
      <w:r>
        <w:rPr>
          <w:rFonts w:hint="default" w:ascii="Times New Roman" w:hAnsi="Times New Roman"/>
          <w:b/>
          <w:bCs/>
          <w:color w:val="auto"/>
          <w:sz w:val="21"/>
          <w:szCs w:val="21"/>
        </w:rPr>
        <w:t>2、符合性审查</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评标委员会应当对符合资格的投标人的电子投标文件进行符合性审查，以确定其是否满足招标文件的实质性要求，对审查发现无效的进行必要的询标，结束后在线公布无效投标的投标人名单、投标无效的原因。</w:t>
      </w:r>
    </w:p>
    <w:p>
      <w:pPr>
        <w:pStyle w:val="20"/>
        <w:keepNext w:val="0"/>
        <w:keepLines w:val="0"/>
        <w:pageBreakBefore w:val="0"/>
        <w:kinsoku/>
        <w:wordWrap/>
        <w:overflowPunct/>
        <w:topLinePunct w:val="0"/>
        <w:bidi w:val="0"/>
        <w:spacing w:before="0" w:beforeAutospacing="0" w:after="0" w:afterAutospacing="0" w:line="370" w:lineRule="exact"/>
        <w:ind w:firstLine="422" w:firstLineChars="200"/>
        <w:jc w:val="both"/>
        <w:textAlignment w:val="auto"/>
        <w:rPr>
          <w:rFonts w:hint="default" w:ascii="Times New Roman" w:hAnsi="Times New Roman"/>
          <w:color w:val="auto"/>
          <w:sz w:val="21"/>
          <w:szCs w:val="21"/>
        </w:rPr>
      </w:pPr>
      <w:r>
        <w:rPr>
          <w:rFonts w:hint="default" w:ascii="Times New Roman" w:hAnsi="Times New Roman"/>
          <w:b/>
          <w:bCs/>
          <w:color w:val="auto"/>
          <w:sz w:val="21"/>
          <w:szCs w:val="21"/>
        </w:rPr>
        <w:t>3、综合比较与评价</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（1）对于电子投标文件中含义不明确、同类问题表述不一致或者有明显文字和计算错误的内容，评标委员会应当以在线形式要求投标人作出必要的澄清、说明或者补正。</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（2）评标委员会应当按照招标文件中规定的评标方法和标准，对符合性审查合格的电子投标文件进行商务和技术评估，综合比较与评价。</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（3）评标时，评标委员会各成员应当独立对每个投标人的电子投标文件进行评价，并汇总每个投标人的得分。</w:t>
      </w:r>
    </w:p>
    <w:p>
      <w:pPr>
        <w:keepNext w:val="0"/>
        <w:keepLines w:val="0"/>
        <w:pageBreakBefore w:val="0"/>
        <w:numPr>
          <w:ilvl w:val="255"/>
          <w:numId w:val="0"/>
        </w:numPr>
        <w:kinsoku/>
        <w:wordWrap/>
        <w:overflowPunct/>
        <w:topLinePunct w:val="0"/>
        <w:bidi w:val="0"/>
        <w:snapToGrid w:val="0"/>
        <w:spacing w:line="370" w:lineRule="exact"/>
        <w:ind w:firstLine="422" w:firstLineChars="200"/>
        <w:textAlignment w:val="auto"/>
        <w:rPr>
          <w:b/>
          <w:bCs/>
          <w:color w:val="auto"/>
          <w:szCs w:val="21"/>
        </w:rPr>
      </w:pPr>
      <w:r>
        <w:rPr>
          <w:b/>
          <w:bCs/>
          <w:color w:val="auto"/>
          <w:szCs w:val="21"/>
        </w:rPr>
        <w:t>4、得分确认及评审报告编写</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（1）评标委员会对报价文件进行复核，对于系统计算出的价格分及总得分进行确认。</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（2）评标委员会应当按照招标文件中规定的评标方法和标准，对符合性审查合格的电子投标文件进行商务和技术评估，综合比较与评价。</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（3）评标委员会按评标原则及得分情况编写评审报告。</w:t>
      </w:r>
    </w:p>
    <w:p>
      <w:pPr>
        <w:keepNext w:val="0"/>
        <w:keepLines w:val="0"/>
        <w:pageBreakBefore w:val="0"/>
        <w:numPr>
          <w:ilvl w:val="255"/>
          <w:numId w:val="0"/>
        </w:numPr>
        <w:kinsoku/>
        <w:wordWrap/>
        <w:overflowPunct/>
        <w:topLinePunct w:val="0"/>
        <w:bidi w:val="0"/>
        <w:snapToGrid w:val="0"/>
        <w:spacing w:line="370" w:lineRule="exact"/>
        <w:ind w:firstLine="422" w:firstLineChars="200"/>
        <w:textAlignment w:val="auto"/>
        <w:rPr>
          <w:b/>
          <w:bCs/>
          <w:color w:val="auto"/>
          <w:szCs w:val="21"/>
        </w:rPr>
      </w:pPr>
      <w:r>
        <w:rPr>
          <w:b/>
          <w:bCs/>
          <w:color w:val="auto"/>
          <w:szCs w:val="21"/>
        </w:rPr>
        <w:t>5、评价</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采购组织机构对评标委员会评审专家进行评价。</w:t>
      </w:r>
    </w:p>
    <w:p>
      <w:pPr>
        <w:keepNext w:val="0"/>
        <w:keepLines w:val="0"/>
        <w:pageBreakBefore w:val="0"/>
        <w:kinsoku/>
        <w:wordWrap/>
        <w:overflowPunct/>
        <w:topLinePunct w:val="0"/>
        <w:bidi w:val="0"/>
        <w:snapToGrid w:val="0"/>
        <w:spacing w:line="370" w:lineRule="exact"/>
        <w:ind w:firstLine="422" w:firstLineChars="200"/>
        <w:textAlignment w:val="auto"/>
        <w:rPr>
          <w:b/>
          <w:color w:val="auto"/>
          <w:szCs w:val="21"/>
        </w:rPr>
      </w:pPr>
      <w:r>
        <w:rPr>
          <w:b/>
          <w:color w:val="auto"/>
          <w:szCs w:val="21"/>
        </w:rPr>
        <w:t>（三）澄清问题的形式</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对于电子投标文件中含义不明确、同类问题表述不一致或者有明显文字和计算错误的内容，评标委员会将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2、投标人的澄清、说明或者补正应当通过“政府采购云平台”在线答复的形式提交，并加盖公章（电子签章）。投标人的澄清、说明或者补正不得超出电子投标文件的范围或者改变电子投标文件的实质性内容。</w:t>
      </w:r>
    </w:p>
    <w:p>
      <w:pPr>
        <w:pStyle w:val="13"/>
        <w:keepNext w:val="0"/>
        <w:keepLines w:val="0"/>
        <w:pageBreakBefore w:val="0"/>
        <w:kinsoku/>
        <w:wordWrap/>
        <w:overflowPunct/>
        <w:topLinePunct w:val="0"/>
        <w:bidi w:val="0"/>
        <w:snapToGrid w:val="0"/>
        <w:spacing w:line="370" w:lineRule="exact"/>
        <w:ind w:left="690" w:leftChars="228" w:hanging="211" w:hangingChars="100"/>
        <w:textAlignment w:val="auto"/>
        <w:rPr>
          <w:rFonts w:ascii="Times New Roman" w:hAnsi="Times New Roman" w:cs="Times New Roman"/>
          <w:b/>
          <w:color w:val="auto"/>
          <w:szCs w:val="21"/>
        </w:rPr>
      </w:pPr>
      <w:r>
        <w:rPr>
          <w:rFonts w:ascii="Times New Roman" w:hAnsi="Times New Roman" w:cs="Times New Roman"/>
          <w:b/>
          <w:color w:val="auto"/>
          <w:szCs w:val="21"/>
        </w:rPr>
        <w:t>（四）错误修正</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电子投标文件报价出现前后不一致的，除招标文件另有规定外，按照下列规定修正：</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1、电子投标文件中开标一览表（报价表）内容与电子投标文件中相应内容不一致的，以开标一览表（报价表）为准</w:t>
      </w:r>
      <w:r>
        <w:rPr>
          <w:rFonts w:hint="eastAsia"/>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2、大写金额和小写金额不一致的，以大写金额为准</w:t>
      </w:r>
      <w:r>
        <w:rPr>
          <w:rFonts w:hint="eastAsia"/>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3、单价金额小数点或者百分比有明显错位的，以开标一览表的总价为准，并修改单价</w:t>
      </w:r>
      <w:r>
        <w:rPr>
          <w:rFonts w:hint="eastAsia"/>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4、总价金额与按单价汇总金额不一致的，以单价金额计算结果为准。</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同时出现两种以上不一致的，按照前款规定的顺序修正。修正应当采用电子询标，并加盖公章（电子签章）。修正后的报价经投标人确认后产生约束力，投标人不确认的，其投标无效。</w:t>
      </w:r>
    </w:p>
    <w:p>
      <w:pPr>
        <w:pStyle w:val="20"/>
        <w:keepNext w:val="0"/>
        <w:keepLines w:val="0"/>
        <w:pageBreakBefore w:val="0"/>
        <w:kinsoku/>
        <w:wordWrap/>
        <w:overflowPunct/>
        <w:topLinePunct w:val="0"/>
        <w:bidi w:val="0"/>
        <w:spacing w:before="0" w:beforeAutospacing="0" w:after="0" w:afterAutospacing="0" w:line="370" w:lineRule="exact"/>
        <w:ind w:firstLine="316" w:firstLineChars="150"/>
        <w:jc w:val="both"/>
        <w:textAlignment w:val="auto"/>
        <w:rPr>
          <w:rFonts w:hint="default" w:ascii="Times New Roman" w:hAnsi="Times New Roman"/>
          <w:b/>
          <w:color w:val="auto"/>
          <w:sz w:val="21"/>
          <w:szCs w:val="21"/>
        </w:rPr>
      </w:pPr>
      <w:r>
        <w:rPr>
          <w:rFonts w:hint="default" w:ascii="Times New Roman" w:hAnsi="Times New Roman"/>
          <w:b/>
          <w:bCs/>
          <w:color w:val="auto"/>
          <w:sz w:val="21"/>
          <w:szCs w:val="21"/>
        </w:rPr>
        <w:t>（五）</w:t>
      </w:r>
      <w:r>
        <w:rPr>
          <w:rFonts w:hint="default" w:ascii="Times New Roman" w:hAnsi="Times New Roman"/>
          <w:b/>
          <w:color w:val="auto"/>
          <w:sz w:val="21"/>
          <w:szCs w:val="21"/>
        </w:rPr>
        <w:t>投标人存在下列情况之一的，投标无效</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1、在资格证明文件或商务与技术文件中出现投标报价的，或者报价文件中报价的货物跟商务与技术文件中的投标货物出现重大偏差的。</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2、不具备招标文件中规定的资格要求的。</w:t>
      </w:r>
      <w:r>
        <w:rPr>
          <w:color w:val="auto"/>
          <w:szCs w:val="21"/>
        </w:rPr>
        <w:tab/>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3、电子投标文件含有采购人不能接受的附加条件的。</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评标委员会认为投标人的报价明显低于其他通过符合性审查投标人的报价，有可能影响产品质量或者不能诚信履约的，应当要求其在评标现场合理的时间内提供电子答复，必要时提交相关证明材料；投标人不能证明其报价合理性的，评标委员会应当将其作为无效投标处理。</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 xml:space="preserve">5、报价超过招标文件中规定的预算金额/最高限价。 </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6、投标参数未如实填写，完全复制粘贴招标参数的。</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 xml:space="preserve">7、电子投标文件提供虚假材料的。 </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8、不符合中华人民共和国财政部令第87号《政府采购货物和服务招标投标管理办法》第三十七条情形之一的，视为投标人串通投标，其投标无效，并移送采购监管部门：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（1）不同投标人的电子投标文件由同一单位或者个人编制；</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（2）不同投标人委托同一单位或者个人办理投标事宜；</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（3）不同投标人的电子投标文件载明的项目管理成员或者联系人员为同一人；</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（4）不同投标人的电子投标文件异常一致或者投标报价呈规律性差异。</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9、不符合法律、法规和招标文件中规定的其他实质性要求的（招标文件中打“▲”内容及被拒绝的条款）。</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10、商务条款不响应。</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11、“电子加密投标文件”未按时解密，又未提供“备份电子加密投标文件”的。</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12、投标人仅提交“备份电子加密投标文件”的。</w:t>
      </w:r>
    </w:p>
    <w:p>
      <w:pPr>
        <w:keepNext w:val="0"/>
        <w:keepLines w:val="0"/>
        <w:pageBreakBefore w:val="0"/>
        <w:kinsoku/>
        <w:wordWrap/>
        <w:overflowPunct/>
        <w:topLinePunct w:val="0"/>
        <w:autoSpaceDE w:val="0"/>
        <w:autoSpaceDN w:val="0"/>
        <w:bidi w:val="0"/>
        <w:adjustRightInd w:val="0"/>
        <w:spacing w:line="370" w:lineRule="exact"/>
        <w:ind w:left="480"/>
        <w:textAlignment w:val="auto"/>
        <w:rPr>
          <w:color w:val="auto"/>
          <w:kern w:val="0"/>
          <w:szCs w:val="21"/>
        </w:rPr>
      </w:pPr>
      <w:r>
        <w:rPr>
          <w:b/>
          <w:color w:val="auto"/>
          <w:kern w:val="0"/>
          <w:szCs w:val="21"/>
        </w:rPr>
        <w:t>（六）有下列情况之一的，本次招标作为废标处理</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1、出现影响采购公正的违法、违规行为的</w:t>
      </w:r>
      <w:r>
        <w:rPr>
          <w:rFonts w:hint="eastAsia"/>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2、评标委员会发现招标文件存在歧义、重大缺陷导致评标工作无法进行，或者招标文件内容违反国家有关强制性规定的</w:t>
      </w:r>
      <w:r>
        <w:rPr>
          <w:rFonts w:hint="eastAsia"/>
          <w:color w:val="auto"/>
          <w:szCs w:val="21"/>
        </w:rPr>
        <w:t>。</w:t>
      </w:r>
      <w:r>
        <w:rPr>
          <w:color w:val="auto"/>
          <w:szCs w:val="21"/>
        </w:rPr>
        <w:t xml:space="preserve"> </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3、因重大变故，采购任务取消的</w:t>
      </w:r>
      <w:r>
        <w:rPr>
          <w:rFonts w:hint="eastAsia"/>
          <w:color w:val="auto"/>
          <w:szCs w:val="21"/>
        </w:rPr>
        <w:t>。</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4、法律、法规和招标文件规定的其他导致评标结果无效的。</w:t>
      </w:r>
    </w:p>
    <w:p>
      <w:pPr>
        <w:pStyle w:val="13"/>
        <w:keepNext w:val="0"/>
        <w:keepLines w:val="0"/>
        <w:pageBreakBefore w:val="0"/>
        <w:tabs>
          <w:tab w:val="left" w:pos="630"/>
        </w:tabs>
        <w:kinsoku/>
        <w:wordWrap/>
        <w:overflowPunct/>
        <w:topLinePunct w:val="0"/>
        <w:bidi w:val="0"/>
        <w:snapToGrid w:val="0"/>
        <w:spacing w:line="370" w:lineRule="exact"/>
        <w:ind w:firstLine="413" w:firstLineChars="196"/>
        <w:textAlignment w:val="auto"/>
        <w:rPr>
          <w:rFonts w:ascii="Times New Roman" w:hAnsi="Times New Roman" w:cs="Times New Roman"/>
          <w:b/>
          <w:color w:val="auto"/>
          <w:szCs w:val="21"/>
        </w:rPr>
      </w:pPr>
      <w:r>
        <w:rPr>
          <w:rFonts w:ascii="Times New Roman" w:hAnsi="Times New Roman" w:cs="Times New Roman"/>
          <w:b/>
          <w:color w:val="auto"/>
          <w:szCs w:val="21"/>
        </w:rPr>
        <w:t>（七）评标原则和评标办法</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2、评标办法。具体评标内容及评分标准等详见《第三章：评标方法及评分标准》。</w:t>
      </w:r>
    </w:p>
    <w:p>
      <w:pPr>
        <w:pStyle w:val="13"/>
        <w:keepNext w:val="0"/>
        <w:keepLines w:val="0"/>
        <w:pageBreakBefore w:val="0"/>
        <w:kinsoku/>
        <w:wordWrap/>
        <w:overflowPunct/>
        <w:topLinePunct w:val="0"/>
        <w:bidi w:val="0"/>
        <w:snapToGrid w:val="0"/>
        <w:spacing w:line="370" w:lineRule="exact"/>
        <w:ind w:firstLine="413" w:firstLineChars="196"/>
        <w:textAlignment w:val="auto"/>
        <w:rPr>
          <w:rFonts w:ascii="Times New Roman" w:hAnsi="Times New Roman" w:cs="Times New Roman"/>
          <w:b/>
          <w:color w:val="auto"/>
          <w:szCs w:val="21"/>
        </w:rPr>
      </w:pPr>
      <w:r>
        <w:rPr>
          <w:rFonts w:ascii="Times New Roman" w:hAnsi="Times New Roman" w:cs="Times New Roman"/>
          <w:b/>
          <w:color w:val="auto"/>
          <w:szCs w:val="21"/>
        </w:rPr>
        <w:t>（八）评标过程的监控</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本项目评标过程实行全程录音、录像监控，政府采购监管部门视情进行现场监督，投标人在评标过程中所进行的试图影响评标结果的不公正活动，可能导致其投标被拒绝。</w:t>
      </w:r>
    </w:p>
    <w:p>
      <w:pPr>
        <w:pStyle w:val="13"/>
        <w:keepNext w:val="0"/>
        <w:keepLines w:val="0"/>
        <w:pageBreakBefore w:val="0"/>
        <w:kinsoku/>
        <w:wordWrap/>
        <w:overflowPunct/>
        <w:topLinePunct w:val="0"/>
        <w:bidi w:val="0"/>
        <w:snapToGrid w:val="0"/>
        <w:spacing w:line="370" w:lineRule="exact"/>
        <w:textAlignment w:val="auto"/>
        <w:rPr>
          <w:rFonts w:ascii="Times New Roman" w:hAnsi="Times New Roman" w:cs="Times New Roman"/>
          <w:b/>
          <w:color w:val="auto"/>
          <w:szCs w:val="21"/>
        </w:rPr>
      </w:pPr>
      <w:r>
        <w:rPr>
          <w:rFonts w:ascii="Times New Roman" w:hAnsi="Times New Roman" w:cs="Times New Roman"/>
          <w:b/>
          <w:color w:val="auto"/>
          <w:szCs w:val="21"/>
        </w:rPr>
        <w:t>六、定标</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1、确定中标供应商。评标委员会根据采购单位的</w:t>
      </w:r>
      <w:r>
        <w:rPr>
          <w:rFonts w:hint="eastAsia"/>
          <w:color w:val="auto"/>
          <w:szCs w:val="21"/>
          <w:lang w:eastAsia="zh-CN"/>
        </w:rPr>
        <w:t>《授权意见确认书》</w:t>
      </w:r>
      <w:r>
        <w:rPr>
          <w:color w:val="auto"/>
          <w:szCs w:val="21"/>
        </w:rPr>
        <w:t>，推荐中标候选人或确定中标人。其中推荐中标候选人的，</w:t>
      </w:r>
      <w:r>
        <w:rPr>
          <w:rFonts w:hint="eastAsia"/>
          <w:color w:val="auto"/>
          <w:szCs w:val="21"/>
          <w:lang w:eastAsia="zh-CN"/>
        </w:rPr>
        <w:t>采购组织机构</w:t>
      </w:r>
      <w:r>
        <w:rPr>
          <w:color w:val="auto"/>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2、发布中标结果公告。采购组织机构应当自中标人确定之日起2个工作日内，在省级以上财政部门指定的媒体及相关网站上公告中标结果，招标文件应当随中标结果同时公告。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3、发出中标通知书。采购组织机构在发布中标结果的同时，向中标人发出中标通知书。</w:t>
      </w:r>
    </w:p>
    <w:p>
      <w:pPr>
        <w:pStyle w:val="13"/>
        <w:keepNext w:val="0"/>
        <w:keepLines w:val="0"/>
        <w:pageBreakBefore w:val="0"/>
        <w:kinsoku/>
        <w:wordWrap/>
        <w:overflowPunct/>
        <w:topLinePunct w:val="0"/>
        <w:bidi w:val="0"/>
        <w:snapToGrid w:val="0"/>
        <w:spacing w:line="370" w:lineRule="exact"/>
        <w:textAlignment w:val="auto"/>
        <w:rPr>
          <w:rFonts w:ascii="Times New Roman" w:hAnsi="Times New Roman" w:cs="Times New Roman"/>
          <w:b/>
          <w:color w:val="auto"/>
          <w:szCs w:val="21"/>
        </w:rPr>
      </w:pPr>
      <w:r>
        <w:rPr>
          <w:rFonts w:ascii="Times New Roman" w:hAnsi="Times New Roman" w:cs="Times New Roman"/>
          <w:b/>
          <w:color w:val="auto"/>
          <w:szCs w:val="21"/>
        </w:rPr>
        <w:t>七、合同签订及公告</w:t>
      </w:r>
    </w:p>
    <w:p>
      <w:pPr>
        <w:keepNext w:val="0"/>
        <w:keepLines w:val="0"/>
        <w:pageBreakBefore w:val="0"/>
        <w:kinsoku/>
        <w:wordWrap/>
        <w:overflowPunct/>
        <w:topLinePunct w:val="0"/>
        <w:bidi w:val="0"/>
        <w:spacing w:line="370" w:lineRule="exact"/>
        <w:ind w:firstLine="422" w:firstLineChars="200"/>
        <w:textAlignment w:val="auto"/>
        <w:rPr>
          <w:b/>
          <w:color w:val="auto"/>
          <w:kern w:val="0"/>
          <w:szCs w:val="21"/>
        </w:rPr>
      </w:pPr>
      <w:r>
        <w:rPr>
          <w:b/>
          <w:color w:val="auto"/>
          <w:szCs w:val="21"/>
        </w:rPr>
        <w:t>（一）签订合同</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1、采购人应当自中标通知书发出之日起10个工作日内，按照招标文件和中标人电子投标文件的规定，与中标人签订书面合同。所签订的合同不得对招标文件确定的事项和中标人投标文件作实质性修改。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2、采购人不得向中标人提出任何不合理的要求作为签订合同的条件。</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3、中标人无故拖延、拒签合同的,取消中标资格。</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4、中标人拒绝与采购人签订合同的，采购人可以按照评审报告推荐的中标候选人名单排序，确定下一候选人为中标人，也可以重新开展政府采购活动。同时，拒绝与采购人签订合同的投标人，由同级财政部门依法作出处理。</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5、询问或者质疑事项可能影响中标结果的，采购人应当暂停签订合同，已经签订合同的，应当中止履行合同（中标结果的质疑期为中标结果公告期限届满之日起七个工作日）。</w:t>
      </w:r>
    </w:p>
    <w:p>
      <w:pPr>
        <w:pStyle w:val="20"/>
        <w:keepNext w:val="0"/>
        <w:keepLines w:val="0"/>
        <w:pageBreakBefore w:val="0"/>
        <w:kinsoku/>
        <w:wordWrap/>
        <w:overflowPunct/>
        <w:topLinePunct w:val="0"/>
        <w:bidi w:val="0"/>
        <w:spacing w:before="0" w:beforeAutospacing="0" w:after="0" w:afterAutospacing="0" w:line="370" w:lineRule="exact"/>
        <w:ind w:firstLine="371" w:firstLineChars="176"/>
        <w:textAlignment w:val="auto"/>
        <w:rPr>
          <w:rFonts w:hint="default" w:ascii="Times New Roman" w:hAnsi="Times New Roman"/>
          <w:b/>
          <w:color w:val="auto"/>
          <w:sz w:val="21"/>
          <w:szCs w:val="21"/>
        </w:rPr>
      </w:pPr>
      <w:r>
        <w:rPr>
          <w:rFonts w:hint="default" w:ascii="Times New Roman" w:hAnsi="Times New Roman"/>
          <w:b/>
          <w:color w:val="auto"/>
          <w:sz w:val="21"/>
          <w:szCs w:val="21"/>
        </w:rPr>
        <w:t>（二）合同公告及备案</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napToGrid w:val="0"/>
        <w:spacing w:line="370" w:lineRule="exact"/>
        <w:ind w:firstLine="420" w:firstLineChars="200"/>
        <w:jc w:val="left"/>
        <w:textAlignment w:val="auto"/>
        <w:rPr>
          <w:color w:val="auto"/>
          <w:szCs w:val="21"/>
        </w:rPr>
      </w:pPr>
      <w:r>
        <w:rPr>
          <w:color w:val="auto"/>
          <w:szCs w:val="21"/>
        </w:rPr>
        <w:t>2、采购人应当自政府采购合同签订之日起7个工作日内，将政府采购合同通过政采云网站提交至同级人民政府财政部门备案以及采购组织机构存档。</w:t>
      </w:r>
    </w:p>
    <w:p>
      <w:pPr>
        <w:pStyle w:val="13"/>
        <w:keepNext w:val="0"/>
        <w:keepLines w:val="0"/>
        <w:pageBreakBefore w:val="0"/>
        <w:kinsoku/>
        <w:wordWrap/>
        <w:overflowPunct/>
        <w:topLinePunct w:val="0"/>
        <w:bidi w:val="0"/>
        <w:snapToGrid w:val="0"/>
        <w:spacing w:line="370" w:lineRule="exact"/>
        <w:textAlignment w:val="auto"/>
        <w:rPr>
          <w:rFonts w:ascii="Times New Roman" w:hAnsi="Times New Roman" w:cs="Times New Roman"/>
          <w:b/>
          <w:color w:val="auto"/>
          <w:szCs w:val="21"/>
        </w:rPr>
      </w:pPr>
      <w:r>
        <w:rPr>
          <w:rFonts w:ascii="Times New Roman" w:hAnsi="Times New Roman" w:cs="Times New Roman"/>
          <w:b/>
          <w:color w:val="auto"/>
          <w:szCs w:val="21"/>
        </w:rPr>
        <w:t>八、招标代理服务费</w:t>
      </w:r>
    </w:p>
    <w:p>
      <w:pPr>
        <w:spacing w:line="400" w:lineRule="exact"/>
        <w:ind w:firstLine="422" w:firstLineChars="200"/>
        <w:jc w:val="left"/>
        <w:rPr>
          <w:rFonts w:ascii="Times New Roman" w:hAnsi="Times New Roman" w:cs="Times New Roman"/>
          <w:b/>
          <w:bCs/>
          <w:color w:val="auto"/>
          <w:szCs w:val="21"/>
        </w:rPr>
      </w:pPr>
      <w:r>
        <w:rPr>
          <w:rFonts w:ascii="Times New Roman" w:hAnsi="Times New Roman" w:cs="Times New Roman"/>
          <w:b/>
          <w:bCs/>
          <w:color w:val="auto"/>
          <w:szCs w:val="21"/>
        </w:rPr>
        <w:t>中标人在领取中标通知书前向招标代理机构支付招标代理服务费</w:t>
      </w:r>
      <w:r>
        <w:rPr>
          <w:rFonts w:hint="eastAsia" w:cs="Times New Roman"/>
          <w:b/>
          <w:bCs/>
          <w:color w:val="auto"/>
          <w:szCs w:val="21"/>
          <w:lang w:eastAsia="zh-CN"/>
        </w:rPr>
        <w:t>（</w:t>
      </w:r>
      <w:r>
        <w:rPr>
          <w:rFonts w:ascii="Times New Roman" w:hAnsi="Times New Roman" w:cs="Times New Roman"/>
          <w:b/>
          <w:bCs/>
          <w:color w:val="auto"/>
          <w:szCs w:val="21"/>
        </w:rPr>
        <w:t>招标代理服务费</w:t>
      </w:r>
      <w:r>
        <w:rPr>
          <w:rFonts w:hint="eastAsia" w:ascii="Times New Roman" w:hAnsi="Times New Roman" w:cs="Times New Roman"/>
          <w:b/>
          <w:bCs/>
          <w:color w:val="auto"/>
          <w:szCs w:val="21"/>
          <w:lang w:val="en-US" w:eastAsia="zh-CN"/>
        </w:rPr>
        <w:t>按</w:t>
      </w:r>
      <w:r>
        <w:rPr>
          <w:rFonts w:hint="eastAsia" w:ascii="Times New Roman" w:hAnsi="Times New Roman" w:cs="Times New Roman"/>
          <w:b/>
          <w:bCs/>
          <w:color w:val="auto"/>
          <w:szCs w:val="21"/>
        </w:rPr>
        <w:t>国家计委计价格[2002]1980号文件规定的招标费率标准</w:t>
      </w:r>
      <w:r>
        <w:rPr>
          <w:rFonts w:hint="eastAsia" w:ascii="Times New Roman" w:hAnsi="Times New Roman" w:cs="Times New Roman"/>
          <w:b/>
          <w:bCs/>
          <w:color w:val="auto"/>
          <w:szCs w:val="21"/>
          <w:lang w:val="en-US" w:eastAsia="zh-CN"/>
        </w:rPr>
        <w:t>收取</w:t>
      </w:r>
      <w:r>
        <w:rPr>
          <w:rFonts w:hint="eastAsia" w:ascii="Times New Roman" w:hAnsi="Times New Roman" w:cs="Times New Roman"/>
          <w:b/>
          <w:bCs/>
          <w:color w:val="auto"/>
          <w:szCs w:val="21"/>
          <w:lang w:eastAsia="zh-CN"/>
        </w:rPr>
        <w:t>）</w:t>
      </w:r>
      <w:r>
        <w:rPr>
          <w:rFonts w:hint="eastAsia" w:cs="Times New Roman"/>
          <w:b/>
          <w:bCs/>
          <w:color w:val="auto"/>
          <w:szCs w:val="21"/>
          <w:lang w:eastAsia="zh-CN"/>
        </w:rPr>
        <w:t>，</w:t>
      </w:r>
      <w:r>
        <w:rPr>
          <w:rFonts w:ascii="Times New Roman" w:hAnsi="Times New Roman" w:cs="Times New Roman"/>
          <w:b/>
          <w:bCs/>
          <w:color w:val="auto"/>
          <w:szCs w:val="21"/>
        </w:rPr>
        <w:t>招标代理服务费已包含在投标总报价中。</w:t>
      </w:r>
    </w:p>
    <w:p>
      <w:pPr>
        <w:snapToGrid w:val="0"/>
        <w:spacing w:line="380" w:lineRule="exact"/>
        <w:ind w:firstLine="420" w:firstLineChars="200"/>
        <w:jc w:val="left"/>
        <w:rPr>
          <w:color w:val="auto"/>
          <w:szCs w:val="21"/>
        </w:rPr>
      </w:pPr>
    </w:p>
    <w:p>
      <w:pPr>
        <w:spacing w:line="700" w:lineRule="exact"/>
        <w:jc w:val="center"/>
        <w:rPr>
          <w:rFonts w:eastAsiaTheme="minorEastAsia"/>
          <w:b/>
          <w:color w:val="auto"/>
          <w:sz w:val="32"/>
          <w:szCs w:val="32"/>
        </w:rPr>
      </w:pPr>
      <w:r>
        <w:rPr>
          <w:rFonts w:hint="eastAsia" w:eastAsiaTheme="minorEastAsia"/>
          <w:b/>
          <w:color w:val="auto"/>
          <w:sz w:val="32"/>
          <w:szCs w:val="32"/>
        </w:rPr>
        <w:t>第三章</w:t>
      </w:r>
      <w:r>
        <w:rPr>
          <w:rFonts w:eastAsiaTheme="minorEastAsia"/>
          <w:b/>
          <w:color w:val="auto"/>
          <w:sz w:val="32"/>
          <w:szCs w:val="32"/>
        </w:rPr>
        <w:t xml:space="preserve">  </w:t>
      </w:r>
      <w:r>
        <w:rPr>
          <w:rFonts w:hint="eastAsia" w:eastAsiaTheme="minorEastAsia"/>
          <w:b/>
          <w:color w:val="auto"/>
          <w:sz w:val="32"/>
          <w:szCs w:val="32"/>
        </w:rPr>
        <w:t>评标办法及评分标准</w:t>
      </w:r>
    </w:p>
    <w:p>
      <w:pPr>
        <w:autoSpaceDE w:val="0"/>
        <w:autoSpaceDN w:val="0"/>
        <w:spacing w:line="100" w:lineRule="exact"/>
        <w:ind w:firstLine="482" w:firstLineChars="200"/>
        <w:rPr>
          <w:rFonts w:eastAsiaTheme="minorEastAsia"/>
          <w:b/>
          <w:color w:val="auto"/>
          <w:kern w:val="0"/>
          <w:sz w:val="24"/>
        </w:rPr>
      </w:pPr>
    </w:p>
    <w:p>
      <w:pPr>
        <w:keepNext w:val="0"/>
        <w:keepLines w:val="0"/>
        <w:pageBreakBefore w:val="0"/>
        <w:kinsoku/>
        <w:wordWrap/>
        <w:overflowPunct/>
        <w:topLinePunct w:val="0"/>
        <w:autoSpaceDE w:val="0"/>
        <w:autoSpaceDN w:val="0"/>
        <w:bidi w:val="0"/>
        <w:spacing w:line="380" w:lineRule="exact"/>
        <w:ind w:firstLine="420" w:firstLineChars="200"/>
        <w:textAlignment w:val="auto"/>
        <w:rPr>
          <w:b w:val="0"/>
          <w:bCs/>
          <w:i/>
          <w:color w:val="auto"/>
          <w:kern w:val="0"/>
          <w:szCs w:val="21"/>
        </w:rPr>
      </w:pPr>
      <w:r>
        <w:rPr>
          <w:rFonts w:hint="eastAsia"/>
          <w:bCs/>
          <w:color w:val="auto"/>
          <w:kern w:val="0"/>
          <w:szCs w:val="21"/>
        </w:rPr>
        <w:t>一、采购组织机构将组织评标委员会，对投标人提供的电子投标文件进行综合评审。</w:t>
      </w:r>
    </w:p>
    <w:p>
      <w:pPr>
        <w:keepNext w:val="0"/>
        <w:keepLines w:val="0"/>
        <w:pageBreakBefore w:val="0"/>
        <w:kinsoku/>
        <w:wordWrap/>
        <w:overflowPunct/>
        <w:topLinePunct w:val="0"/>
        <w:bidi w:val="0"/>
        <w:spacing w:line="380" w:lineRule="exact"/>
        <w:ind w:firstLine="420" w:firstLineChars="200"/>
        <w:contextualSpacing/>
        <w:textAlignment w:val="auto"/>
        <w:rPr>
          <w:bCs/>
          <w:color w:val="auto"/>
          <w:kern w:val="0"/>
          <w:szCs w:val="21"/>
          <w:lang w:val="zh-CN"/>
        </w:rPr>
      </w:pPr>
      <w:r>
        <w:rPr>
          <w:rFonts w:hint="eastAsia"/>
          <w:bCs/>
          <w:color w:val="auto"/>
          <w:kern w:val="0"/>
          <w:szCs w:val="21"/>
        </w:rPr>
        <w:t>二、本次招标项目的评标方法为综合评分法，总计100分，</w:t>
      </w:r>
      <w:r>
        <w:rPr>
          <w:rFonts w:hint="eastAsia"/>
          <w:bCs/>
          <w:color w:val="auto"/>
          <w:szCs w:val="21"/>
        </w:rPr>
        <w:t>最终得分为商务与技术文件得分+投标报价得分，以四舍五入法整合到小数点后二位</w:t>
      </w:r>
      <w:r>
        <w:rPr>
          <w:rFonts w:hint="eastAsia"/>
          <w:bCs/>
          <w:color w:val="auto"/>
          <w:kern w:val="0"/>
          <w:szCs w:val="21"/>
        </w:rPr>
        <w:t>。</w:t>
      </w:r>
    </w:p>
    <w:p>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bCs/>
          <w:color w:val="auto"/>
          <w:kern w:val="0"/>
          <w:szCs w:val="21"/>
          <w:lang w:val="zh-CN"/>
        </w:rPr>
      </w:pPr>
      <w:r>
        <w:rPr>
          <w:rFonts w:hint="eastAsia"/>
          <w:bCs/>
          <w:color w:val="auto"/>
          <w:kern w:val="0"/>
          <w:szCs w:val="21"/>
          <w:lang w:val="zh-CN"/>
        </w:rPr>
        <w:t>（一）商务与技术文件中的客观分由评标委员会讨论后统一打分；其余在规定的分值内单独评定打分。</w:t>
      </w:r>
    </w:p>
    <w:p>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bCs/>
          <w:color w:val="auto"/>
          <w:kern w:val="0"/>
          <w:szCs w:val="21"/>
          <w:lang w:val="zh-CN"/>
        </w:rPr>
      </w:pPr>
      <w:r>
        <w:rPr>
          <w:rFonts w:hint="eastAsia"/>
          <w:bCs/>
          <w:color w:val="auto"/>
          <w:kern w:val="0"/>
          <w:szCs w:val="21"/>
          <w:lang w:val="zh-CN"/>
        </w:rPr>
        <w:t>（二）各投标人商务与技术文件得分按照评标委员会成员的独立评分结果汇总后的算术平均分计算，计算公式为：</w:t>
      </w:r>
    </w:p>
    <w:p>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bCs/>
          <w:color w:val="auto"/>
          <w:kern w:val="0"/>
          <w:szCs w:val="21"/>
          <w:lang w:val="zh-CN"/>
        </w:rPr>
      </w:pPr>
      <w:r>
        <w:rPr>
          <w:rFonts w:hint="eastAsia"/>
          <w:bCs/>
          <w:color w:val="auto"/>
          <w:kern w:val="0"/>
          <w:szCs w:val="21"/>
          <w:lang w:val="zh-CN"/>
        </w:rPr>
        <w:t>商务与技术文件得分=评标委员会所有成员评分合计数/评标委员会组成人员数。</w:t>
      </w:r>
    </w:p>
    <w:p>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bCs/>
          <w:color w:val="auto"/>
          <w:kern w:val="0"/>
          <w:szCs w:val="21"/>
          <w:lang w:val="zh-CN"/>
        </w:rPr>
      </w:pPr>
      <w:r>
        <w:rPr>
          <w:rFonts w:hint="eastAsia"/>
          <w:bCs/>
          <w:color w:val="auto"/>
          <w:kern w:val="0"/>
          <w:szCs w:val="21"/>
          <w:lang w:val="zh-CN"/>
        </w:rPr>
        <w:t>（三）投标报价得分采用低价优先法计算，即满足招标文件要求且投标价格最低的投标报价为评标基准价，其报价得满分。其他投标人的投标报价得分按下列公式计算：</w:t>
      </w:r>
    </w:p>
    <w:p>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bCs/>
          <w:color w:val="auto"/>
          <w:szCs w:val="21"/>
          <w:u w:val="single"/>
        </w:rPr>
      </w:pPr>
      <w:r>
        <w:rPr>
          <w:rFonts w:hint="eastAsia"/>
          <w:bCs/>
          <w:color w:val="auto"/>
          <w:szCs w:val="21"/>
          <w:u w:val="single"/>
        </w:rPr>
        <w:t>投标报价得分=（评标基准价／投标报价）×</w:t>
      </w:r>
      <w:r>
        <w:rPr>
          <w:rFonts w:hint="eastAsia"/>
          <w:bCs/>
          <w:color w:val="auto"/>
          <w:szCs w:val="21"/>
          <w:u w:val="single"/>
          <w:lang w:val="en-US" w:eastAsia="zh-CN"/>
        </w:rPr>
        <w:t>30</w:t>
      </w:r>
      <w:r>
        <w:rPr>
          <w:bCs/>
          <w:color w:val="auto"/>
          <w:szCs w:val="21"/>
          <w:u w:val="single"/>
        </w:rPr>
        <w:t>%×100</w:t>
      </w:r>
      <w:r>
        <w:rPr>
          <w:rFonts w:hint="eastAsia"/>
          <w:bCs/>
          <w:color w:val="auto"/>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bCs/>
          <w:color w:val="auto"/>
          <w:szCs w:val="21"/>
          <w:lang w:val="zh-CN"/>
        </w:rPr>
      </w:pPr>
      <w:r>
        <w:rPr>
          <w:rFonts w:hint="eastAsia"/>
          <w:bCs/>
          <w:color w:val="auto"/>
          <w:szCs w:val="21"/>
          <w:lang w:val="zh-CN"/>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bCs/>
          <w:color w:val="auto"/>
          <w:szCs w:val="21"/>
          <w:lang w:val="zh-CN"/>
        </w:rPr>
      </w:pPr>
      <w:r>
        <w:rPr>
          <w:rFonts w:hint="eastAsia"/>
          <w:bCs/>
          <w:color w:val="auto"/>
          <w:szCs w:val="21"/>
          <w:lang w:val="zh-CN"/>
        </w:rPr>
        <w:t>五、提供相同品牌产品的不同投标人参加同一合同项下投标的，按一家</w:t>
      </w:r>
      <w:r>
        <w:rPr>
          <w:rFonts w:hint="eastAsia"/>
          <w:bCs/>
          <w:color w:val="auto"/>
          <w:szCs w:val="21"/>
        </w:rPr>
        <w:t>投标人</w:t>
      </w:r>
      <w:r>
        <w:rPr>
          <w:rFonts w:hint="eastAsia"/>
          <w:bCs/>
          <w:color w:val="auto"/>
          <w:szCs w:val="21"/>
          <w:lang w:val="zh-CN"/>
        </w:rPr>
        <w:t>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bCs/>
          <w:color w:val="auto"/>
          <w:szCs w:val="21"/>
        </w:rPr>
      </w:pPr>
      <w:r>
        <w:rPr>
          <w:rFonts w:hint="eastAsia"/>
          <w:bCs/>
          <w:color w:val="auto"/>
          <w:kern w:val="0"/>
          <w:szCs w:val="21"/>
        </w:rPr>
        <w:t>六、本次评分具体分值细化条款如下表</w:t>
      </w:r>
      <w:r>
        <w:rPr>
          <w:rFonts w:hint="eastAsia"/>
          <w:bCs/>
          <w:color w:val="auto"/>
          <w:szCs w:val="21"/>
        </w:rPr>
        <w:t>：</w:t>
      </w:r>
    </w:p>
    <w:tbl>
      <w:tblPr>
        <w:tblStyle w:val="26"/>
        <w:tblpPr w:leftFromText="180" w:rightFromText="180" w:vertAnchor="text" w:horzAnchor="page" w:tblpX="1042" w:tblpY="579"/>
        <w:tblOverlap w:val="never"/>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690"/>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ascii="宋体" w:hAnsi="宋体" w:eastAsia="宋体" w:cs="Times New Roman"/>
                <w:bCs/>
                <w:color w:val="auto"/>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ascii="宋体" w:hAnsi="宋体" w:eastAsia="宋体" w:cs="Times New Roman"/>
                <w:bCs/>
                <w:color w:val="auto"/>
                <w:szCs w:val="21"/>
              </w:rPr>
              <w:t>评审因素</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ascii="宋体" w:hAnsi="宋体" w:eastAsia="宋体" w:cs="Times New Roman"/>
                <w:bCs/>
                <w:color w:val="auto"/>
                <w:szCs w:val="21"/>
              </w:rPr>
              <w:t>分值</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ascii="宋体" w:hAnsi="宋体" w:eastAsia="宋体" w:cs="Times New Roman"/>
                <w:bCs/>
                <w:color w:val="auto"/>
                <w:szCs w:val="21"/>
              </w:rPr>
              <w:t>评分标准</w:t>
            </w:r>
          </w:p>
          <w:p>
            <w:pPr>
              <w:autoSpaceDE w:val="0"/>
              <w:adjustRightInd w:val="0"/>
              <w:snapToGrid w:val="0"/>
              <w:spacing w:line="380" w:lineRule="exact"/>
              <w:jc w:val="center"/>
              <w:rPr>
                <w:rFonts w:ascii="Times New Roman" w:hAnsi="Times New Roman" w:eastAsia="宋体" w:cs="Times New Roman"/>
                <w:bCs/>
                <w:color w:val="auto"/>
                <w:szCs w:val="21"/>
              </w:rPr>
            </w:pPr>
            <w:r>
              <w:rPr>
                <w:rFonts w:ascii="宋体" w:hAnsi="宋体" w:eastAsia="宋体" w:cs="Times New Roman"/>
                <w:bCs/>
                <w:color w:val="auto"/>
                <w:szCs w:val="21"/>
              </w:rPr>
              <w:t>（以下要求提供证书、证件、文件资料等可以以电子文件或扫描形式）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企业综合实力</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3分</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宋体" w:hAnsi="宋体" w:eastAsia="宋体" w:cs="Times New Roman"/>
                <w:color w:val="auto"/>
                <w:szCs w:val="21"/>
              </w:rPr>
            </w:pPr>
            <w:r>
              <w:rPr>
                <w:rFonts w:hint="eastAsia" w:ascii="宋体" w:hAnsi="宋体" w:eastAsia="宋体" w:cs="Times New Roman"/>
                <w:color w:val="auto"/>
                <w:szCs w:val="21"/>
              </w:rPr>
              <w:t>投标人通过质量管理体系认证的得1分，通过职业健康安全管理体系认证的得1分， 通过环境管理体系认证的得1分，本项最高3分。</w:t>
            </w:r>
          </w:p>
          <w:p>
            <w:pPr>
              <w:autoSpaceDE w:val="0"/>
              <w:spacing w:line="380" w:lineRule="exact"/>
              <w:rPr>
                <w:rFonts w:ascii="宋体" w:hAnsi="宋体" w:eastAsia="宋体" w:cs="Times New Roman"/>
                <w:color w:val="auto"/>
                <w:szCs w:val="21"/>
              </w:rPr>
            </w:pPr>
            <w:r>
              <w:rPr>
                <w:rFonts w:hint="eastAsia" w:ascii="宋体" w:hAnsi="宋体" w:eastAsia="宋体" w:cs="Times New Roman"/>
                <w:color w:val="auto"/>
                <w:szCs w:val="21"/>
              </w:rPr>
              <w:t>备注：提供有效期内的证书等证明材料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rPr>
                <w:rFonts w:ascii="Times New Roman" w:hAnsi="Times New Roman" w:eastAsia="宋体" w:cs="Times New Roman"/>
                <w:bCs/>
                <w:color w:val="auto"/>
                <w:szCs w:val="21"/>
              </w:rPr>
            </w:pPr>
          </w:p>
          <w:p>
            <w:pPr>
              <w:autoSpaceDE w:val="0"/>
              <w:adjustRightInd w:val="0"/>
              <w:snapToGrid w:val="0"/>
              <w:spacing w:line="380" w:lineRule="exact"/>
              <w:rPr>
                <w:rFonts w:ascii="Times New Roman" w:hAnsi="Times New Roman" w:eastAsia="宋体" w:cs="Times New Roman"/>
                <w:bCs/>
                <w:color w:val="auto"/>
                <w:szCs w:val="21"/>
              </w:rPr>
            </w:pPr>
            <w:r>
              <w:rPr>
                <w:rFonts w:ascii="宋体" w:hAnsi="宋体" w:eastAsia="宋体" w:cs="Times New Roman"/>
                <w:bCs/>
                <w:color w:val="auto"/>
                <w:szCs w:val="21"/>
              </w:rPr>
              <w:t>同类业绩</w:t>
            </w:r>
          </w:p>
          <w:p>
            <w:pPr>
              <w:autoSpaceDE w:val="0"/>
              <w:adjustRightInd w:val="0"/>
              <w:snapToGrid w:val="0"/>
              <w:spacing w:line="380" w:lineRule="exact"/>
              <w:rPr>
                <w:rFonts w:ascii="Times New Roman" w:hAnsi="Times New Roman" w:eastAsia="宋体" w:cs="Times New Roman"/>
                <w:bCs/>
                <w:color w:val="auto"/>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3</w:t>
            </w:r>
            <w:r>
              <w:rPr>
                <w:rFonts w:hint="eastAsia" w:ascii="宋体" w:hAnsi="宋体" w:eastAsia="宋体" w:cs="Times New Roman"/>
                <w:bCs/>
                <w:color w:val="auto"/>
                <w:szCs w:val="21"/>
              </w:rPr>
              <w:t>分</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Times New Roman" w:hAnsi="Times New Roman" w:eastAsia="宋体" w:cs="Times New Roman"/>
                <w:color w:val="auto"/>
                <w:szCs w:val="21"/>
              </w:rPr>
            </w:pPr>
            <w:r>
              <w:rPr>
                <w:rFonts w:ascii="宋体" w:hAnsi="宋体" w:eastAsia="宋体" w:cs="Times New Roman"/>
                <w:color w:val="auto"/>
                <w:szCs w:val="21"/>
              </w:rPr>
              <w:t>投标人自</w:t>
            </w:r>
            <w:r>
              <w:rPr>
                <w:rFonts w:ascii="Times New Roman" w:hAnsi="Times New Roman" w:eastAsia="宋体" w:cs="Times New Roman"/>
                <w:color w:val="auto"/>
                <w:szCs w:val="21"/>
              </w:rPr>
              <w:t>2019</w:t>
            </w:r>
            <w:r>
              <w:rPr>
                <w:rFonts w:ascii="宋体" w:hAnsi="宋体" w:eastAsia="宋体" w:cs="Times New Roman"/>
                <w:color w:val="auto"/>
                <w:szCs w:val="21"/>
              </w:rPr>
              <w:t>年</w:t>
            </w:r>
            <w:r>
              <w:rPr>
                <w:rFonts w:ascii="Times New Roman" w:hAnsi="Times New Roman" w:eastAsia="宋体" w:cs="Times New Roman"/>
                <w:color w:val="auto"/>
                <w:szCs w:val="21"/>
              </w:rPr>
              <w:t>1</w:t>
            </w:r>
            <w:r>
              <w:rPr>
                <w:rFonts w:ascii="宋体" w:hAnsi="宋体" w:eastAsia="宋体" w:cs="Times New Roman"/>
                <w:color w:val="auto"/>
                <w:szCs w:val="21"/>
              </w:rPr>
              <w:t>月</w:t>
            </w:r>
            <w:r>
              <w:rPr>
                <w:rFonts w:ascii="Times New Roman" w:hAnsi="Times New Roman" w:eastAsia="宋体" w:cs="Times New Roman"/>
                <w:color w:val="auto"/>
                <w:szCs w:val="21"/>
              </w:rPr>
              <w:t>1</w:t>
            </w:r>
            <w:r>
              <w:rPr>
                <w:rFonts w:ascii="宋体" w:hAnsi="宋体" w:eastAsia="宋体" w:cs="Times New Roman"/>
                <w:color w:val="auto"/>
                <w:szCs w:val="21"/>
              </w:rPr>
              <w:t>日以来（以合同签订时间或中标通知书时间为准）承担过有同类项目业绩每提供一个合同得</w:t>
            </w:r>
            <w:r>
              <w:rPr>
                <w:rFonts w:ascii="Times New Roman" w:hAnsi="Times New Roman" w:eastAsia="宋体" w:cs="Times New Roman"/>
                <w:color w:val="auto"/>
                <w:szCs w:val="21"/>
              </w:rPr>
              <w:t>1</w:t>
            </w:r>
            <w:r>
              <w:rPr>
                <w:rFonts w:ascii="宋体" w:hAnsi="宋体" w:eastAsia="宋体" w:cs="Times New Roman"/>
                <w:color w:val="auto"/>
                <w:szCs w:val="21"/>
              </w:rPr>
              <w:t>分，</w:t>
            </w:r>
            <w:r>
              <w:rPr>
                <w:rFonts w:hint="eastAsia" w:ascii="宋体" w:hAnsi="宋体" w:eastAsia="宋体" w:cs="Times New Roman"/>
                <w:color w:val="auto"/>
                <w:szCs w:val="21"/>
              </w:rPr>
              <w:t>本项最高</w:t>
            </w:r>
            <w:r>
              <w:rPr>
                <w:rFonts w:hint="eastAsia" w:ascii="Times New Roman" w:hAnsi="Times New Roman" w:eastAsia="宋体" w:cs="Times New Roman"/>
                <w:color w:val="auto"/>
                <w:szCs w:val="21"/>
              </w:rPr>
              <w:t>3</w:t>
            </w:r>
            <w:r>
              <w:rPr>
                <w:rFonts w:hint="eastAsia" w:ascii="宋体" w:hAnsi="宋体" w:eastAsia="宋体" w:cs="Times New Roman"/>
                <w:color w:val="auto"/>
                <w:szCs w:val="21"/>
              </w:rPr>
              <w:t>分。</w:t>
            </w:r>
          </w:p>
          <w:p>
            <w:pPr>
              <w:autoSpaceDE w:val="0"/>
              <w:spacing w:line="380" w:lineRule="exact"/>
              <w:rPr>
                <w:rFonts w:ascii="Times New Roman" w:hAnsi="Times New Roman" w:eastAsia="宋体" w:cs="Times New Roman"/>
                <w:color w:val="auto"/>
                <w:sz w:val="24"/>
                <w:szCs w:val="24"/>
              </w:rPr>
            </w:pPr>
            <w:r>
              <w:rPr>
                <w:rFonts w:hint="eastAsia" w:ascii="宋体" w:hAnsi="宋体" w:eastAsia="宋体" w:cs="Times New Roman"/>
                <w:color w:val="auto"/>
                <w:szCs w:val="21"/>
              </w:rPr>
              <w:t>备注：提供合同及中标通知书等证明材料。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3</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rPr>
                <w:rFonts w:ascii="Times New Roman" w:hAnsi="Times New Roman" w:eastAsia="宋体" w:cs="Times New Roman"/>
                <w:bCs/>
                <w:color w:val="auto"/>
                <w:szCs w:val="21"/>
              </w:rPr>
            </w:pPr>
            <w:r>
              <w:rPr>
                <w:rFonts w:ascii="宋体" w:hAnsi="宋体" w:eastAsia="宋体" w:cs="Times New Roman"/>
                <w:color w:val="auto"/>
                <w:szCs w:val="21"/>
              </w:rPr>
              <w:t>产品性能、技术指标</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25</w:t>
            </w:r>
            <w:r>
              <w:rPr>
                <w:rFonts w:hint="eastAsia" w:ascii="宋体" w:hAnsi="宋体" w:eastAsia="宋体" w:cs="Times New Roman"/>
                <w:bCs/>
                <w:color w:val="auto"/>
                <w:szCs w:val="21"/>
              </w:rPr>
              <w:t>分</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Times New Roman" w:hAnsi="Times New Roman" w:eastAsia="宋体" w:cs="Times New Roman"/>
                <w:color w:val="auto"/>
                <w:szCs w:val="21"/>
              </w:rPr>
            </w:pPr>
            <w:r>
              <w:rPr>
                <w:rFonts w:hint="eastAsia" w:ascii="宋体" w:hAnsi="宋体" w:eastAsia="宋体" w:cs="Times New Roman"/>
                <w:color w:val="auto"/>
                <w:szCs w:val="21"/>
              </w:rPr>
              <w:t>满足招标货物的所有性能及技术指标要求得</w:t>
            </w:r>
            <w:r>
              <w:rPr>
                <w:rFonts w:hint="eastAsia" w:ascii="Times New Roman" w:hAnsi="Times New Roman" w:eastAsia="宋体" w:cs="Times New Roman"/>
                <w:color w:val="auto"/>
                <w:szCs w:val="21"/>
              </w:rPr>
              <w:t>25</w:t>
            </w:r>
            <w:r>
              <w:rPr>
                <w:rFonts w:hint="eastAsia" w:ascii="宋体" w:hAnsi="宋体" w:eastAsia="宋体" w:cs="Times New Roman"/>
                <w:color w:val="auto"/>
                <w:szCs w:val="21"/>
              </w:rPr>
              <w:t>分。</w:t>
            </w:r>
          </w:p>
          <w:p>
            <w:pPr>
              <w:autoSpaceDE w:val="0"/>
              <w:spacing w:line="380" w:lineRule="exact"/>
              <w:rPr>
                <w:rFonts w:hint="eastAsia" w:ascii="Times New Roman" w:hAnsi="Times New Roman" w:eastAsia="宋体" w:cs="Times New Roman"/>
                <w:color w:val="auto"/>
                <w:szCs w:val="21"/>
              </w:rPr>
            </w:pPr>
            <w:r>
              <w:rPr>
                <w:rFonts w:hint="eastAsia" w:ascii="宋体" w:hAnsi="宋体" w:eastAsia="宋体" w:cs="Times New Roman"/>
                <w:color w:val="auto"/>
                <w:szCs w:val="21"/>
              </w:rPr>
              <w:t>投标文件对招标文件中“技术性能指标”部分的响应情况，每</w:t>
            </w:r>
            <w:r>
              <w:rPr>
                <w:rFonts w:hint="eastAsia" w:ascii="Times New Roman" w:hAnsi="Times New Roman" w:eastAsia="宋体" w:cs="Times New Roman"/>
                <w:color w:val="auto"/>
                <w:szCs w:val="21"/>
              </w:rPr>
              <w:t>1</w:t>
            </w:r>
            <w:r>
              <w:rPr>
                <w:rFonts w:hint="eastAsia" w:ascii="宋体" w:hAnsi="宋体" w:eastAsia="宋体" w:cs="Times New Roman"/>
                <w:color w:val="auto"/>
                <w:szCs w:val="21"/>
              </w:rPr>
              <w:t>项不能满足招标文件要求（负偏离）的扣</w:t>
            </w:r>
            <w:r>
              <w:rPr>
                <w:rFonts w:hint="eastAsia" w:ascii="Times New Roman" w:hAnsi="Times New Roman" w:eastAsia="宋体" w:cs="Times New Roman"/>
                <w:color w:val="auto"/>
                <w:szCs w:val="21"/>
              </w:rPr>
              <w:t>1</w:t>
            </w:r>
            <w:r>
              <w:rPr>
                <w:rFonts w:hint="eastAsia" w:ascii="宋体" w:hAnsi="宋体" w:eastAsia="宋体" w:cs="Times New Roman"/>
                <w:color w:val="auto"/>
                <w:szCs w:val="21"/>
              </w:rPr>
              <w:t>分，扣完为止。</w:t>
            </w:r>
          </w:p>
          <w:p>
            <w:pPr>
              <w:autoSpaceDE w:val="0"/>
              <w:spacing w:before="100" w:beforeAutospacing="1" w:line="380" w:lineRule="exact"/>
              <w:rPr>
                <w:rFonts w:ascii="宋体" w:hAnsi="Courier New" w:eastAsia="宋体" w:cs="Times New Roman"/>
                <w:color w:val="auto"/>
                <w:spacing w:val="-4"/>
                <w:sz w:val="18"/>
                <w:szCs w:val="18"/>
              </w:rPr>
            </w:pPr>
            <w:r>
              <w:rPr>
                <w:rFonts w:hint="eastAsia" w:ascii="宋体" w:hAnsi="宋体" w:eastAsia="宋体" w:cs="Times New Roman"/>
                <w:color w:val="auto"/>
                <w:szCs w:val="21"/>
              </w:rPr>
              <w:t>备注：提供相关报告、证书等证明材料。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4</w:t>
            </w:r>
          </w:p>
        </w:tc>
        <w:tc>
          <w:tcPr>
            <w:tcW w:w="162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80" w:lineRule="exact"/>
              <w:jc w:val="left"/>
              <w:rPr>
                <w:rFonts w:ascii="宋体" w:hAnsi="宋体" w:eastAsia="宋体" w:cs="Times New Roman"/>
                <w:color w:val="auto"/>
                <w:szCs w:val="21"/>
              </w:rPr>
            </w:pPr>
            <w:r>
              <w:rPr>
                <w:rFonts w:hint="eastAsia" w:ascii="宋体" w:hAnsi="宋体" w:eastAsia="宋体" w:cs="Times New Roman"/>
                <w:color w:val="auto"/>
                <w:kern w:val="0"/>
                <w:szCs w:val="21"/>
              </w:rPr>
              <w:t>不锈钢及设备检测报告</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1分</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投标人具有不锈钢板材及管材依据GB/T10125-2012 《人造气氛腐蚀试验 盐雾试验》通过96小时及以上酸性盐雾试验的每提供一项得0.5分，最多1分；</w:t>
            </w:r>
          </w:p>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szCs w:val="21"/>
              </w:rPr>
              <w:t>备注：提供相关报告等证明材料。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bCs/>
                <w:color w:val="auto"/>
                <w:szCs w:val="21"/>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1分</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投标人具有不锈钢板材及管材通过依据GB4806.9-2016 《食品安全国家标准食品接触用金属材料及制品»的检测报告》,每提供一项得0.5分，最高1分；</w:t>
            </w:r>
          </w:p>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szCs w:val="21"/>
              </w:rPr>
              <w:t>备注：提供相关报告等证明材料。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bCs/>
                <w:color w:val="auto"/>
                <w:szCs w:val="21"/>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2分</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投标人具有推车类、台类、柜类、架类、水池类的检测报告，每提供一项得0.5分，最高不超过2分。</w:t>
            </w:r>
          </w:p>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szCs w:val="21"/>
              </w:rPr>
              <w:t>备注：提供相关报告等证明材料。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4"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样品</w:t>
            </w:r>
            <w:r>
              <w:rPr>
                <w:rFonts w:hint="eastAsia" w:ascii="宋体" w:hAnsi="宋体" w:eastAsia="宋体" w:cs="宋体"/>
                <w:bCs/>
                <w:color w:val="auto"/>
                <w:sz w:val="21"/>
                <w:szCs w:val="21"/>
                <w:lang w:val="en-US" w:eastAsia="zh-CN"/>
              </w:rPr>
              <w:t>演示</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宋体" w:hAnsi="宋体" w:eastAsia="宋体" w:cs="Times New Roman"/>
                <w:color w:val="auto"/>
                <w:kern w:val="0"/>
                <w:szCs w:val="21"/>
              </w:rPr>
            </w:pPr>
            <w:r>
              <w:rPr>
                <w:rFonts w:hint="eastAsia" w:ascii="宋体" w:hAnsi="宋体" w:eastAsia="宋体" w:cs="Times New Roman"/>
                <w:color w:val="auto"/>
                <w:kern w:val="0"/>
                <w:szCs w:val="21"/>
              </w:rPr>
              <w:t>15分</w:t>
            </w:r>
          </w:p>
        </w:tc>
        <w:tc>
          <w:tcPr>
            <w:tcW w:w="7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投标人需对</w:t>
            </w:r>
            <w:r>
              <w:rPr>
                <w:rFonts w:hint="eastAsia" w:ascii="宋体" w:hAnsi="宋体" w:eastAsia="宋体" w:cs="宋体"/>
                <w:color w:val="auto"/>
                <w:sz w:val="21"/>
                <w:szCs w:val="21"/>
                <w:lang w:val="en-US" w:eastAsia="zh-CN"/>
              </w:rPr>
              <w:t>以下样品及功能</w:t>
            </w:r>
            <w:r>
              <w:rPr>
                <w:rFonts w:hint="eastAsia" w:ascii="宋体" w:hAnsi="宋体" w:eastAsia="宋体" w:cs="宋体"/>
                <w:color w:val="auto"/>
                <w:sz w:val="21"/>
                <w:szCs w:val="21"/>
              </w:rPr>
              <w:t>进行视频演示，由评审小组对演示情况进行评定，根据具体评分标准进行打分，演示时间控制在15分钟以内，需使用DEMO进行演示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不得PPT演示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p>
          <w:p>
            <w:pPr>
              <w:rPr>
                <w:rFonts w:ascii="宋体" w:hAnsi="宋体" w:eastAsia="宋体" w:cs="Times New Roman"/>
                <w:color w:val="auto"/>
                <w:szCs w:val="21"/>
              </w:rPr>
            </w:pPr>
            <w:r>
              <w:rPr>
                <w:rFonts w:hint="eastAsia" w:ascii="宋体" w:hAnsi="宋体" w:eastAsia="宋体" w:cs="Times New Roman"/>
                <w:color w:val="auto"/>
                <w:kern w:val="0"/>
                <w:szCs w:val="21"/>
              </w:rPr>
              <w:t>一、保温售菜台（</w:t>
            </w:r>
            <w:r>
              <w:rPr>
                <w:rFonts w:hint="eastAsia" w:ascii="宋体" w:hAnsi="宋体" w:cs="Times New Roman"/>
                <w:color w:val="auto"/>
                <w:kern w:val="0"/>
                <w:szCs w:val="21"/>
                <w:lang w:val="en-US" w:eastAsia="zh-CN"/>
              </w:rPr>
              <w:t>5</w:t>
            </w:r>
            <w:r>
              <w:rPr>
                <w:rFonts w:hint="eastAsia" w:ascii="宋体" w:hAnsi="宋体" w:eastAsia="宋体" w:cs="Times New Roman"/>
                <w:color w:val="auto"/>
                <w:kern w:val="0"/>
                <w:szCs w:val="21"/>
              </w:rPr>
              <w:t>分）：</w:t>
            </w:r>
            <w:r>
              <w:rPr>
                <w:rFonts w:hint="eastAsia" w:ascii="宋体" w:hAnsi="宋体" w:eastAsia="宋体" w:cs="Times New Roman"/>
                <w:color w:val="auto"/>
                <w:szCs w:val="21"/>
              </w:rPr>
              <w:t>现场展示保温台的性能，根据保温台</w:t>
            </w:r>
            <w:r>
              <w:rPr>
                <w:rFonts w:hint="eastAsia" w:ascii="宋体" w:hAnsi="宋体" w:eastAsia="宋体" w:cs="Times New Roman"/>
                <w:color w:val="auto"/>
                <w:kern w:val="0"/>
                <w:szCs w:val="21"/>
              </w:rPr>
              <w:t>①</w:t>
            </w:r>
            <w:r>
              <w:rPr>
                <w:rFonts w:hint="eastAsia" w:ascii="宋体" w:hAnsi="宋体" w:eastAsia="宋体" w:cs="Times New Roman"/>
                <w:color w:val="auto"/>
                <w:szCs w:val="21"/>
              </w:rPr>
              <w:t>整体制作工艺、先进行、实用性及外观的美观性②正常工作所需的用水量及加热30分钟后份数盘的水温进行综合评定。</w:t>
            </w:r>
          </w:p>
          <w:p>
            <w:pPr>
              <w:rPr>
                <w:rFonts w:hint="eastAsia" w:ascii="宋体" w:hAnsi="宋体" w:eastAsia="宋体" w:cs="Times New Roman"/>
                <w:color w:val="auto"/>
                <w:szCs w:val="21"/>
              </w:rPr>
            </w:pPr>
            <w:r>
              <w:rPr>
                <w:rFonts w:hint="eastAsia" w:ascii="宋体" w:hAnsi="宋体" w:eastAsia="宋体" w:cs="Times New Roman"/>
                <w:color w:val="auto"/>
                <w:szCs w:val="21"/>
              </w:rPr>
              <w:t>1. 整体制作工艺、先进行、实用性及外观的美观性最好的得2分，其他依次递减0.5分；</w:t>
            </w:r>
          </w:p>
          <w:p>
            <w:pPr>
              <w:rPr>
                <w:rFonts w:hint="eastAsia" w:ascii="Times New Roman" w:hAnsi="Times New Roman" w:eastAsia="宋体" w:cs="Times New Roman"/>
                <w:color w:val="auto"/>
                <w:szCs w:val="21"/>
              </w:rPr>
            </w:pPr>
            <w:r>
              <w:rPr>
                <w:rFonts w:hint="eastAsia" w:ascii="宋体" w:hAnsi="宋体" w:eastAsia="宋体" w:cs="Times New Roman"/>
                <w:color w:val="auto"/>
                <w:szCs w:val="21"/>
              </w:rPr>
              <w:t>2.设备所需的用水量最少且份数盘里的水温最高的得</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分，其他依次递减0.5分.</w:t>
            </w:r>
          </w:p>
          <w:p>
            <w:pPr>
              <w:rPr>
                <w:rFonts w:hint="eastAsia" w:ascii="宋体" w:hAnsi="宋体" w:eastAsia="宋体" w:cs="Times New Roman"/>
                <w:color w:val="auto"/>
                <w:kern w:val="0"/>
                <w:szCs w:val="21"/>
              </w:rPr>
            </w:pPr>
            <w:r>
              <w:rPr>
                <w:rFonts w:hint="eastAsia" w:ascii="宋体" w:hAnsi="宋体" w:eastAsia="宋体" w:cs="Times New Roman"/>
                <w:color w:val="auto"/>
                <w:kern w:val="0"/>
                <w:szCs w:val="21"/>
              </w:rPr>
              <w:t>二、电动保温送餐车（</w:t>
            </w:r>
            <w:r>
              <w:rPr>
                <w:rFonts w:hint="eastAsia" w:ascii="宋体" w:hAnsi="宋体" w:cs="Times New Roman"/>
                <w:color w:val="auto"/>
                <w:kern w:val="0"/>
                <w:szCs w:val="21"/>
                <w:lang w:val="en-US" w:eastAsia="zh-CN"/>
              </w:rPr>
              <w:t>5</w:t>
            </w:r>
            <w:r>
              <w:rPr>
                <w:rFonts w:hint="eastAsia" w:ascii="宋体" w:hAnsi="宋体" w:eastAsia="宋体" w:cs="Times New Roman"/>
                <w:color w:val="auto"/>
                <w:kern w:val="0"/>
                <w:szCs w:val="21"/>
              </w:rPr>
              <w:t xml:space="preserve">分）                                        </w:t>
            </w:r>
          </w:p>
          <w:p>
            <w:pPr>
              <w:rPr>
                <w:rFonts w:hint="eastAsia" w:ascii="宋体" w:hAnsi="宋体" w:eastAsia="宋体" w:cs="Times New Roman"/>
                <w:color w:val="auto"/>
                <w:szCs w:val="21"/>
              </w:rPr>
            </w:pPr>
            <w:r>
              <w:rPr>
                <w:rFonts w:hint="eastAsia" w:ascii="宋体" w:hAnsi="宋体" w:eastAsia="宋体" w:cs="Times New Roman"/>
                <w:color w:val="auto"/>
                <w:szCs w:val="21"/>
              </w:rPr>
              <w:t>1.根据设备整体制作工艺、先进行、实用性及外观的美观性最好的得</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分，其他依次递减0.5分；</w:t>
            </w:r>
          </w:p>
          <w:p>
            <w:pPr>
              <w:rPr>
                <w:rFonts w:hint="eastAsia" w:ascii="Times New Roman" w:hAnsi="Times New Roman" w:eastAsia="宋体" w:cs="Times New Roman"/>
                <w:color w:val="auto"/>
                <w:szCs w:val="21"/>
              </w:rPr>
            </w:pPr>
            <w:r>
              <w:rPr>
                <w:rFonts w:hint="eastAsia" w:ascii="宋体" w:hAnsi="宋体" w:eastAsia="宋体" w:cs="Times New Roman"/>
                <w:color w:val="auto"/>
                <w:szCs w:val="21"/>
              </w:rPr>
              <w:t>2.根据设备的机动性能、保温性能最高的得</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分，其他依次递减0.5分.</w:t>
            </w:r>
          </w:p>
          <w:p>
            <w:pPr>
              <w:autoSpaceDE w:val="0"/>
              <w:adjustRightInd w:val="0"/>
              <w:snapToGrid w:val="0"/>
              <w:spacing w:line="380" w:lineRule="exac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三、</w:t>
            </w:r>
            <w:r>
              <w:rPr>
                <w:rFonts w:hint="eastAsia" w:ascii="宋体" w:hAnsi="宋体" w:cs="Times New Roman"/>
                <w:color w:val="auto"/>
                <w:kern w:val="0"/>
                <w:szCs w:val="21"/>
                <w:lang w:val="en-US" w:eastAsia="zh-CN"/>
              </w:rPr>
              <w:t>单星盆台</w:t>
            </w:r>
            <w:r>
              <w:rPr>
                <w:rFonts w:hint="eastAsia" w:ascii="宋体" w:hAnsi="宋体" w:eastAsia="宋体" w:cs="Times New Roman"/>
                <w:color w:val="auto"/>
                <w:kern w:val="0"/>
                <w:szCs w:val="21"/>
              </w:rPr>
              <w:t>（</w:t>
            </w:r>
            <w:r>
              <w:rPr>
                <w:rFonts w:hint="eastAsia" w:ascii="宋体" w:hAnsi="宋体" w:cs="Times New Roman"/>
                <w:color w:val="auto"/>
                <w:kern w:val="0"/>
                <w:szCs w:val="21"/>
                <w:lang w:val="en-US" w:eastAsia="zh-CN"/>
              </w:rPr>
              <w:t>2.5</w:t>
            </w:r>
            <w:r>
              <w:rPr>
                <w:rFonts w:hint="eastAsia" w:ascii="宋体" w:hAnsi="宋体" w:eastAsia="宋体" w:cs="Times New Roman"/>
                <w:color w:val="auto"/>
                <w:kern w:val="0"/>
                <w:szCs w:val="21"/>
              </w:rPr>
              <w:t>分）</w:t>
            </w:r>
          </w:p>
          <w:p>
            <w:pPr>
              <w:rPr>
                <w:rFonts w:hint="eastAsia" w:ascii="宋体" w:hAnsi="宋体" w:eastAsia="宋体" w:cs="Times New Roman"/>
                <w:color w:val="auto"/>
                <w:szCs w:val="21"/>
              </w:rPr>
            </w:pPr>
            <w:r>
              <w:rPr>
                <w:rFonts w:hint="eastAsia" w:ascii="宋体" w:hAnsi="宋体" w:eastAsia="宋体" w:cs="Times New Roman"/>
                <w:color w:val="auto"/>
                <w:szCs w:val="21"/>
              </w:rPr>
              <w:t>1.根据设备整体制作工艺、先进行、实用性及外观的美观性最好的得</w:t>
            </w:r>
            <w:r>
              <w:rPr>
                <w:rFonts w:hint="eastAsia" w:ascii="宋体" w:hAnsi="宋体" w:cs="Times New Roman"/>
                <w:color w:val="auto"/>
                <w:szCs w:val="21"/>
                <w:lang w:val="en-US" w:eastAsia="zh-CN"/>
              </w:rPr>
              <w:t>2.5</w:t>
            </w:r>
            <w:r>
              <w:rPr>
                <w:rFonts w:hint="eastAsia" w:ascii="宋体" w:hAnsi="宋体" w:eastAsia="宋体" w:cs="Times New Roman"/>
                <w:color w:val="auto"/>
                <w:szCs w:val="21"/>
              </w:rPr>
              <w:t>分，其他依次递减1分；</w:t>
            </w:r>
          </w:p>
          <w:p>
            <w:pP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四、双层工作台</w:t>
            </w:r>
            <w:r>
              <w:rPr>
                <w:rFonts w:hint="eastAsia" w:ascii="宋体" w:hAnsi="宋体" w:eastAsia="宋体" w:cs="Times New Roman"/>
                <w:color w:val="auto"/>
                <w:kern w:val="0"/>
                <w:szCs w:val="21"/>
              </w:rPr>
              <w:t>（</w:t>
            </w:r>
            <w:r>
              <w:rPr>
                <w:rFonts w:hint="eastAsia" w:ascii="宋体" w:hAnsi="宋体" w:cs="Times New Roman"/>
                <w:color w:val="auto"/>
                <w:kern w:val="0"/>
                <w:szCs w:val="21"/>
                <w:lang w:val="en-US" w:eastAsia="zh-CN"/>
              </w:rPr>
              <w:t>2.5</w:t>
            </w:r>
            <w:r>
              <w:rPr>
                <w:rFonts w:hint="eastAsia" w:ascii="宋体" w:hAnsi="宋体" w:eastAsia="宋体" w:cs="Times New Roman"/>
                <w:color w:val="auto"/>
                <w:kern w:val="0"/>
                <w:szCs w:val="21"/>
              </w:rPr>
              <w:t>分）</w:t>
            </w:r>
          </w:p>
          <w:p>
            <w:pPr>
              <w:rPr>
                <w:rFonts w:hint="eastAsia" w:ascii="宋体" w:hAnsi="宋体" w:eastAsia="宋体" w:cs="Times New Roman"/>
                <w:color w:val="auto"/>
                <w:szCs w:val="21"/>
              </w:rPr>
            </w:pPr>
            <w:r>
              <w:rPr>
                <w:rFonts w:hint="eastAsia" w:ascii="宋体" w:hAnsi="宋体" w:eastAsia="宋体" w:cs="Times New Roman"/>
                <w:color w:val="auto"/>
                <w:szCs w:val="21"/>
              </w:rPr>
              <w:t>1.根据设备整体制作工艺、先进行、实用性及外观的美观性最好的得</w:t>
            </w:r>
            <w:r>
              <w:rPr>
                <w:rFonts w:hint="eastAsia" w:ascii="宋体" w:hAnsi="宋体" w:cs="Times New Roman"/>
                <w:color w:val="auto"/>
                <w:szCs w:val="21"/>
                <w:lang w:val="en-US" w:eastAsia="zh-CN"/>
              </w:rPr>
              <w:t>2.5</w:t>
            </w:r>
            <w:r>
              <w:rPr>
                <w:rFonts w:hint="eastAsia" w:ascii="宋体" w:hAnsi="宋体" w:eastAsia="宋体" w:cs="Times New Roman"/>
                <w:color w:val="auto"/>
                <w:szCs w:val="21"/>
              </w:rPr>
              <w:t>分，其他依次递减1分；</w:t>
            </w:r>
          </w:p>
          <w:p>
            <w:pPr>
              <w:rPr>
                <w:rFonts w:ascii="宋体" w:hAnsi="宋体" w:eastAsia="宋体" w:cs="Times New Roman"/>
                <w:color w:val="auto"/>
                <w:kern w:val="0"/>
                <w:szCs w:val="21"/>
              </w:rPr>
            </w:pPr>
            <w:r>
              <w:rPr>
                <w:rFonts w:hint="eastAsia" w:ascii="宋体" w:hAnsi="宋体" w:eastAsia="宋体" w:cs="宋体"/>
                <w:b/>
                <w:bCs/>
                <w:color w:val="auto"/>
                <w:kern w:val="2"/>
                <w:sz w:val="21"/>
                <w:szCs w:val="21"/>
                <w:lang w:val="en-US" w:eastAsia="zh-CN" w:bidi="ar-SA"/>
              </w:rPr>
              <w:t>注：演示视频须存放在U盘中，且U盘应当密封包装并在包装上标注投标项目名称、供应商名称并加盖投标人单位公章。U盘以邮递方式递交：收件地址为浙江省玉环市玉城街道康育南路309号503室（大地工程咨询有限公司，联系人：赵晓英，电话：0576-87237838。</w:t>
            </w:r>
            <w:r>
              <w:rPr>
                <w:rFonts w:hint="eastAsia" w:ascii="宋体" w:hAnsi="宋体" w:cs="宋体"/>
                <w:b/>
                <w:bCs/>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投标人应充分考虑邮寄时间，如因邮寄原因造成采购人或采购代理机构未能在投标文件递交截止时间前收到U盘的，责任由投标人自负（投标人寄出邮件后须与大地工程咨询有限公司保持联系，查询邮件是否已及时送达至大地工程咨询有限公司。否则，因邮件漏送、错送或延期投送等原因引起的延误责任均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6</w:t>
            </w:r>
          </w:p>
        </w:tc>
        <w:tc>
          <w:tcPr>
            <w:tcW w:w="162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left"/>
              <w:rPr>
                <w:rFonts w:ascii="Times New Roman" w:hAnsi="Times New Roman" w:eastAsia="宋体" w:cs="Times New Roman"/>
                <w:bCs/>
                <w:color w:val="auto"/>
                <w:szCs w:val="21"/>
              </w:rPr>
            </w:pPr>
            <w:r>
              <w:rPr>
                <w:rFonts w:hint="eastAsia" w:ascii="宋体" w:hAnsi="宋体" w:cs="Times New Roman"/>
                <w:color w:val="auto"/>
                <w:szCs w:val="21"/>
                <w:lang w:val="en-US" w:eastAsia="zh-CN"/>
              </w:rPr>
              <w:t>项目</w:t>
            </w:r>
            <w:r>
              <w:rPr>
                <w:rFonts w:hint="eastAsia" w:ascii="宋体" w:hAnsi="宋体" w:eastAsia="宋体" w:cs="Times New Roman"/>
                <w:color w:val="auto"/>
                <w:szCs w:val="21"/>
              </w:rPr>
              <w:t>方案</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ascii="Times New Roman" w:hAnsi="Times New Roman" w:eastAsia="宋体" w:cs="Times New Roman"/>
                <w:bCs/>
                <w:color w:val="auto"/>
                <w:szCs w:val="21"/>
              </w:rPr>
            </w:pPr>
            <w:r>
              <w:rPr>
                <w:rFonts w:hint="eastAsia" w:ascii="宋体" w:hAnsi="宋体" w:eastAsia="宋体" w:cs="Times New Roman"/>
                <w:bCs/>
                <w:color w:val="auto"/>
                <w:szCs w:val="21"/>
              </w:rPr>
              <w:t>5分</w:t>
            </w:r>
          </w:p>
        </w:tc>
        <w:tc>
          <w:tcPr>
            <w:tcW w:w="715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rPr>
                <w:rFonts w:ascii="Times New Roman" w:hAnsi="Times New Roman" w:eastAsia="宋体" w:cs="Times New Roman"/>
                <w:bCs/>
                <w:color w:val="auto"/>
                <w:szCs w:val="21"/>
              </w:rPr>
            </w:pPr>
            <w:r>
              <w:rPr>
                <w:rFonts w:hint="eastAsia" w:ascii="宋体" w:hAnsi="宋体" w:eastAsia="宋体" w:cs="Times New Roman"/>
                <w:color w:val="auto"/>
                <w:kern w:val="0"/>
                <w:szCs w:val="21"/>
              </w:rPr>
              <w:t>根据投标人提供的</w:t>
            </w:r>
            <w:r>
              <w:rPr>
                <w:rFonts w:hint="eastAsia" w:ascii="宋体" w:hAnsi="宋体" w:cs="Times New Roman"/>
                <w:color w:val="auto"/>
                <w:kern w:val="0"/>
                <w:szCs w:val="21"/>
                <w:lang w:val="en-US" w:eastAsia="zh-CN"/>
              </w:rPr>
              <w:t>项目</w:t>
            </w:r>
            <w:r>
              <w:rPr>
                <w:rFonts w:hint="eastAsia" w:ascii="宋体" w:hAnsi="宋体" w:eastAsia="宋体" w:cs="Times New Roman"/>
                <w:color w:val="auto"/>
                <w:kern w:val="0"/>
                <w:szCs w:val="21"/>
              </w:rPr>
              <w:t>方案的详细描述（含施工地过程中难点分析）进行综合评分（0-5分）：</w:t>
            </w:r>
            <w:r>
              <w:rPr>
                <w:rFonts w:ascii="宋体" w:hAnsi="宋体" w:eastAsia="宋体" w:cs="Times New Roman"/>
                <w:color w:val="auto"/>
                <w:szCs w:val="21"/>
              </w:rPr>
              <w:t>内容具有针对性强、分析透彻准确得</w:t>
            </w:r>
            <w:r>
              <w:rPr>
                <w:rFonts w:hint="eastAsia" w:ascii="Times New Roman" w:hAnsi="Times New Roman" w:eastAsia="宋体" w:cs="Times New Roman"/>
                <w:color w:val="auto"/>
                <w:szCs w:val="21"/>
              </w:rPr>
              <w:t>5</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4</w:t>
            </w:r>
            <w:r>
              <w:rPr>
                <w:rFonts w:ascii="宋体" w:hAnsi="宋体" w:eastAsia="宋体" w:cs="Times New Roman"/>
                <w:color w:val="auto"/>
                <w:szCs w:val="21"/>
              </w:rPr>
              <w:t>分；分析基本到位得</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宋体" w:hAnsi="宋体" w:eastAsia="宋体" w:cs="Times New Roman"/>
                <w:color w:val="auto"/>
                <w:szCs w:val="21"/>
              </w:rPr>
              <w:t>分；分析不足欠缺</w:t>
            </w:r>
            <w:r>
              <w:rPr>
                <w:rFonts w:hint="eastAsia" w:ascii="Times New Roman" w:hAnsi="Times New Roman" w:eastAsia="宋体" w:cs="Times New Roman"/>
                <w:color w:val="auto"/>
                <w:szCs w:val="21"/>
              </w:rPr>
              <w:t>1</w:t>
            </w:r>
            <w:r>
              <w:rPr>
                <w:rFonts w:ascii="宋体" w:hAnsi="宋体" w:eastAsia="宋体" w:cs="Times New Roman"/>
                <w:color w:val="auto"/>
                <w:szCs w:val="21"/>
              </w:rPr>
              <w:t>－</w:t>
            </w:r>
            <w:r>
              <w:rPr>
                <w:rFonts w:hint="eastAsia" w:ascii="Times New Roman" w:hAnsi="Times New Roman" w:eastAsia="宋体" w:cs="Times New Roman"/>
                <w:color w:val="auto"/>
                <w:szCs w:val="21"/>
              </w:rPr>
              <w:t>0.5</w:t>
            </w:r>
            <w:r>
              <w:rPr>
                <w:rFonts w:ascii="宋体" w:hAnsi="宋体" w:eastAsia="宋体" w:cs="Times New Roman"/>
                <w:color w:val="auto"/>
                <w:szCs w:val="21"/>
              </w:rPr>
              <w:t>分；未提及不得分。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40"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7</w:t>
            </w:r>
          </w:p>
        </w:tc>
        <w:tc>
          <w:tcPr>
            <w:tcW w:w="1620" w:type="dxa"/>
            <w:vMerge w:val="restart"/>
            <w:tcBorders>
              <w:top w:val="nil"/>
              <w:left w:val="single" w:color="auto" w:sz="4" w:space="0"/>
              <w:bottom w:val="single" w:color="auto" w:sz="4" w:space="0"/>
              <w:right w:val="single" w:color="auto" w:sz="4" w:space="0"/>
            </w:tcBorders>
            <w:vAlign w:val="center"/>
          </w:tcPr>
          <w:p>
            <w:pPr>
              <w:widowControl/>
              <w:autoSpaceDE w:val="0"/>
              <w:spacing w:line="380" w:lineRule="exact"/>
              <w:jc w:val="left"/>
              <w:rPr>
                <w:rFonts w:ascii="宋体" w:hAnsi="宋体" w:eastAsia="宋体" w:cs="Times New Roman"/>
                <w:bCs/>
                <w:color w:val="auto"/>
                <w:szCs w:val="21"/>
              </w:rPr>
            </w:pPr>
            <w:r>
              <w:rPr>
                <w:rFonts w:hint="eastAsia" w:ascii="宋体" w:hAnsi="宋体" w:eastAsia="宋体" w:cs="Times New Roman"/>
                <w:color w:val="auto"/>
                <w:kern w:val="0"/>
                <w:szCs w:val="21"/>
              </w:rPr>
              <w:t>项目维护计划</w:t>
            </w:r>
          </w:p>
        </w:tc>
        <w:tc>
          <w:tcPr>
            <w:tcW w:w="6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3分</w:t>
            </w:r>
          </w:p>
        </w:tc>
        <w:tc>
          <w:tcPr>
            <w:tcW w:w="715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rPr>
                <w:rFonts w:ascii="宋体" w:hAnsi="宋体" w:eastAsia="宋体" w:cs="Times New Roman"/>
                <w:bCs/>
                <w:color w:val="auto"/>
                <w:szCs w:val="21"/>
              </w:rPr>
            </w:pPr>
            <w:r>
              <w:rPr>
                <w:rFonts w:hint="eastAsia" w:ascii="宋体" w:hAnsi="宋体" w:eastAsia="宋体" w:cs="Times New Roman"/>
                <w:color w:val="auto"/>
                <w:szCs w:val="21"/>
              </w:rPr>
              <w:t>提供详细完整的“三包”措施（0-3分）：，</w:t>
            </w:r>
            <w:r>
              <w:rPr>
                <w:rFonts w:hint="eastAsia" w:ascii="宋体" w:hAnsi="宋体" w:eastAsia="宋体" w:cs="Times New Roman"/>
                <w:iCs/>
                <w:color w:val="auto"/>
                <w:szCs w:val="21"/>
              </w:rPr>
              <w:t>措施方案详细、符合项目实际需求得3-2.5分；售后服务措施方案内容基本齐全，方案内容基本符合项目要求得2-1.5分；售后服务措施方案内容明显缺漏、且所述内容与实际不符得1-0.5分；</w:t>
            </w:r>
            <w:r>
              <w:rPr>
                <w:rFonts w:hint="eastAsia" w:ascii="宋体" w:hAnsi="宋体" w:eastAsia="宋体" w:cs="Times New Roman"/>
                <w:color w:val="auto"/>
                <w:szCs w:val="21"/>
              </w:rPr>
              <w:t>未提及不得分。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bCs/>
                <w:color w:val="auto"/>
                <w:szCs w:val="21"/>
              </w:rPr>
            </w:pPr>
          </w:p>
        </w:tc>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bCs/>
                <w:color w:val="auto"/>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1分</w:t>
            </w:r>
          </w:p>
        </w:tc>
        <w:tc>
          <w:tcPr>
            <w:tcW w:w="715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rPr>
                <w:rFonts w:ascii="宋体" w:hAnsi="宋体" w:eastAsia="宋体" w:cs="Times New Roman"/>
                <w:color w:val="auto"/>
                <w:szCs w:val="21"/>
              </w:rPr>
            </w:pPr>
            <w:r>
              <w:rPr>
                <w:rFonts w:hint="eastAsia" w:ascii="宋体" w:hAnsi="宋体" w:eastAsia="宋体" w:cs="Times New Roman"/>
                <w:color w:val="auto"/>
                <w:szCs w:val="21"/>
              </w:rPr>
              <w:t>根据投标人日常售后服务人员配备、定期回访、应急维修能力、售后服务网点介绍等进行评分（0-1分）。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8</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left"/>
              <w:rPr>
                <w:rFonts w:ascii="宋体" w:hAnsi="宋体" w:eastAsia="宋体" w:cs="Times New Roman"/>
                <w:bCs/>
                <w:color w:val="auto"/>
                <w:szCs w:val="21"/>
              </w:rPr>
            </w:pPr>
            <w:r>
              <w:rPr>
                <w:rFonts w:hint="eastAsia" w:ascii="宋体" w:hAnsi="宋体" w:eastAsia="宋体" w:cs="Times New Roman"/>
                <w:color w:val="auto"/>
                <w:szCs w:val="21"/>
              </w:rPr>
              <w:t>验收方案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4分</w:t>
            </w:r>
          </w:p>
        </w:tc>
        <w:tc>
          <w:tcPr>
            <w:tcW w:w="715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rPr>
                <w:rFonts w:ascii="宋体" w:hAnsi="宋体" w:eastAsia="宋体" w:cs="Times New Roman"/>
                <w:bCs/>
                <w:color w:val="auto"/>
                <w:szCs w:val="21"/>
              </w:rPr>
            </w:pPr>
            <w:r>
              <w:rPr>
                <w:rFonts w:hint="eastAsia" w:ascii="宋体" w:hAnsi="宋体" w:eastAsia="宋体" w:cs="Times New Roman"/>
                <w:color w:val="auto"/>
                <w:kern w:val="0"/>
                <w:szCs w:val="21"/>
              </w:rPr>
              <w:t>对调试及验收的方案和措施的有效性与合理性进行综合评分（0-4分）：方案</w:t>
            </w:r>
            <w:r>
              <w:rPr>
                <w:rFonts w:ascii="宋体" w:hAnsi="宋体" w:eastAsia="宋体" w:cs="Times New Roman"/>
                <w:iCs/>
                <w:color w:val="auto"/>
                <w:szCs w:val="21"/>
              </w:rPr>
              <w:t>措施得力切合实际得</w:t>
            </w:r>
            <w:r>
              <w:rPr>
                <w:rFonts w:hint="eastAsia" w:ascii="Times New Roman" w:hAnsi="Times New Roman" w:eastAsia="宋体" w:cs="Times New Roman"/>
                <w:iCs/>
                <w:color w:val="auto"/>
                <w:szCs w:val="21"/>
              </w:rPr>
              <w:t>4</w:t>
            </w:r>
            <w:r>
              <w:rPr>
                <w:rFonts w:ascii="Times New Roman" w:hAnsi="Times New Roman" w:eastAsia="宋体" w:cs="Times New Roman"/>
                <w:iCs/>
                <w:color w:val="auto"/>
                <w:szCs w:val="21"/>
              </w:rPr>
              <w:t>-</w:t>
            </w:r>
            <w:r>
              <w:rPr>
                <w:rFonts w:hint="eastAsia" w:ascii="Times New Roman" w:hAnsi="Times New Roman" w:eastAsia="宋体" w:cs="Times New Roman"/>
                <w:iCs/>
                <w:color w:val="auto"/>
                <w:szCs w:val="21"/>
              </w:rPr>
              <w:t>3</w:t>
            </w:r>
            <w:r>
              <w:rPr>
                <w:rFonts w:ascii="宋体" w:hAnsi="宋体" w:eastAsia="宋体" w:cs="Times New Roman"/>
                <w:iCs/>
                <w:color w:val="auto"/>
                <w:szCs w:val="21"/>
              </w:rPr>
              <w:t>；</w:t>
            </w:r>
            <w:r>
              <w:rPr>
                <w:rFonts w:hint="eastAsia" w:ascii="宋体" w:hAnsi="宋体" w:eastAsia="宋体" w:cs="Times New Roman"/>
                <w:iCs/>
                <w:color w:val="auto"/>
                <w:szCs w:val="21"/>
              </w:rPr>
              <w:t>方案</w:t>
            </w:r>
            <w:r>
              <w:rPr>
                <w:rFonts w:ascii="宋体" w:hAnsi="宋体" w:eastAsia="宋体" w:cs="Times New Roman"/>
                <w:iCs/>
                <w:color w:val="auto"/>
                <w:szCs w:val="21"/>
              </w:rPr>
              <w:t>措施基本满足得</w:t>
            </w:r>
            <w:r>
              <w:rPr>
                <w:rFonts w:ascii="Times New Roman" w:hAnsi="Times New Roman" w:eastAsia="宋体" w:cs="Times New Roman"/>
                <w:iCs/>
                <w:color w:val="auto"/>
                <w:szCs w:val="21"/>
              </w:rPr>
              <w:t>2-1.5</w:t>
            </w:r>
            <w:r>
              <w:rPr>
                <w:rFonts w:ascii="宋体" w:hAnsi="宋体" w:eastAsia="宋体" w:cs="Times New Roman"/>
                <w:iCs/>
                <w:color w:val="auto"/>
                <w:szCs w:val="21"/>
              </w:rPr>
              <w:t>；措施不到位</w:t>
            </w:r>
            <w:r>
              <w:rPr>
                <w:rFonts w:ascii="Times New Roman" w:hAnsi="Times New Roman" w:eastAsia="宋体" w:cs="Times New Roman"/>
                <w:iCs/>
                <w:color w:val="auto"/>
                <w:szCs w:val="21"/>
              </w:rPr>
              <w:t>1-0.5</w:t>
            </w:r>
            <w:r>
              <w:rPr>
                <w:rFonts w:ascii="宋体" w:hAnsi="宋体" w:eastAsia="宋体" w:cs="Times New Roman"/>
                <w:iCs/>
                <w:color w:val="auto"/>
                <w:szCs w:val="21"/>
              </w:rPr>
              <w:t>；</w:t>
            </w:r>
            <w:r>
              <w:rPr>
                <w:rFonts w:ascii="宋体" w:hAnsi="宋体" w:eastAsia="宋体" w:cs="Times New Roman"/>
                <w:color w:val="auto"/>
                <w:szCs w:val="21"/>
              </w:rPr>
              <w:t>未提及不得分。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9</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left"/>
              <w:rPr>
                <w:rFonts w:ascii="宋体" w:hAnsi="宋体" w:eastAsia="宋体" w:cs="Times New Roman"/>
                <w:bCs/>
                <w:color w:val="auto"/>
                <w:szCs w:val="21"/>
              </w:rPr>
            </w:pPr>
            <w:r>
              <w:rPr>
                <w:rFonts w:hint="eastAsia" w:ascii="宋体" w:hAnsi="宋体" w:eastAsia="宋体" w:cs="Times New Roman"/>
                <w:color w:val="auto"/>
                <w:szCs w:val="21"/>
              </w:rPr>
              <w:t>培训方案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3分</w:t>
            </w:r>
          </w:p>
        </w:tc>
        <w:tc>
          <w:tcPr>
            <w:tcW w:w="715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rPr>
                <w:rFonts w:ascii="宋体" w:hAnsi="宋体" w:eastAsia="宋体" w:cs="Times New Roman"/>
                <w:bCs/>
                <w:color w:val="auto"/>
                <w:szCs w:val="21"/>
              </w:rPr>
            </w:pPr>
            <w:r>
              <w:rPr>
                <w:rFonts w:hint="eastAsia" w:ascii="宋体" w:hAnsi="宋体" w:eastAsia="宋体" w:cs="Times New Roman"/>
                <w:color w:val="auto"/>
                <w:kern w:val="0"/>
                <w:szCs w:val="21"/>
              </w:rPr>
              <w:t>投标人对整套厨房设备的综合培训服务方案（提供技术咨询答疑、电话远程技术支持、使用培训教学、现场技术支持、设备保障、现场故障诊断、客户服务等）进行综合打分（0-3分）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10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left"/>
              <w:rPr>
                <w:rFonts w:ascii="Times New Roman" w:hAnsi="Times New Roman" w:eastAsia="宋体" w:cs="Times New Roman"/>
                <w:color w:val="auto"/>
                <w:szCs w:val="21"/>
              </w:rPr>
            </w:pPr>
            <w:r>
              <w:rPr>
                <w:rFonts w:hint="eastAsia" w:ascii="宋体" w:hAnsi="宋体" w:eastAsia="宋体" w:cs="Times New Roman"/>
                <w:bCs/>
                <w:color w:val="auto"/>
                <w:szCs w:val="21"/>
              </w:rPr>
              <w:t>免费质保期</w:t>
            </w:r>
          </w:p>
        </w:tc>
        <w:tc>
          <w:tcPr>
            <w:tcW w:w="6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4</w:t>
            </w:r>
            <w:r>
              <w:rPr>
                <w:rFonts w:hint="eastAsia" w:ascii="宋体" w:hAnsi="宋体" w:eastAsia="宋体" w:cs="Times New Roman"/>
                <w:bCs/>
                <w:color w:val="auto"/>
                <w:szCs w:val="21"/>
              </w:rPr>
              <w:t>分</w:t>
            </w:r>
          </w:p>
        </w:tc>
        <w:tc>
          <w:tcPr>
            <w:tcW w:w="715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rPr>
                <w:rFonts w:ascii="Times New Roman" w:hAnsi="Times New Roman" w:eastAsia="宋体" w:cs="Times New Roman"/>
                <w:bCs/>
                <w:color w:val="auto"/>
                <w:szCs w:val="21"/>
              </w:rPr>
            </w:pPr>
            <w:r>
              <w:rPr>
                <w:rFonts w:ascii="宋体" w:hAnsi="宋体" w:eastAsia="宋体" w:cs="Calibri"/>
                <w:color w:val="auto"/>
                <w:szCs w:val="21"/>
              </w:rPr>
              <w:t>本项目免费质保期不低于</w:t>
            </w:r>
            <w:r>
              <w:rPr>
                <w:rFonts w:hint="eastAsia" w:ascii="Times New Roman" w:hAnsi="Times New Roman" w:eastAsia="宋体" w:cs="Times New Roman"/>
                <w:color w:val="auto"/>
                <w:szCs w:val="21"/>
              </w:rPr>
              <w:t>12</w:t>
            </w:r>
            <w:r>
              <w:rPr>
                <w:rFonts w:hint="eastAsia" w:ascii="宋体" w:hAnsi="宋体" w:eastAsia="宋体" w:cs="Calibri"/>
                <w:color w:val="auto"/>
                <w:szCs w:val="21"/>
              </w:rPr>
              <w:t>个月</w:t>
            </w:r>
            <w:r>
              <w:rPr>
                <w:rFonts w:ascii="宋体" w:hAnsi="宋体" w:eastAsia="宋体" w:cs="Calibri"/>
                <w:color w:val="auto"/>
                <w:szCs w:val="21"/>
              </w:rPr>
              <w:t>，在</w:t>
            </w:r>
            <w:r>
              <w:rPr>
                <w:rFonts w:hint="eastAsia" w:ascii="Times New Roman" w:hAnsi="Times New Roman" w:eastAsia="宋体" w:cs="Times New Roman"/>
                <w:color w:val="auto"/>
                <w:szCs w:val="21"/>
              </w:rPr>
              <w:t>12</w:t>
            </w:r>
            <w:r>
              <w:rPr>
                <w:rFonts w:hint="eastAsia" w:ascii="宋体" w:hAnsi="宋体" w:eastAsia="宋体" w:cs="Calibri"/>
                <w:color w:val="auto"/>
                <w:szCs w:val="21"/>
              </w:rPr>
              <w:t>个月的</w:t>
            </w:r>
            <w:r>
              <w:rPr>
                <w:rFonts w:ascii="宋体" w:hAnsi="宋体" w:eastAsia="宋体" w:cs="Calibri"/>
                <w:color w:val="auto"/>
                <w:szCs w:val="21"/>
              </w:rPr>
              <w:t>基础上，每延长</w:t>
            </w:r>
            <w:r>
              <w:rPr>
                <w:rFonts w:hint="eastAsia" w:ascii="Times New Roman" w:hAnsi="Times New Roman" w:eastAsia="宋体" w:cs="Times New Roman"/>
                <w:color w:val="auto"/>
                <w:szCs w:val="21"/>
              </w:rPr>
              <w:t>6</w:t>
            </w:r>
            <w:r>
              <w:rPr>
                <w:rFonts w:hint="eastAsia" w:ascii="宋体" w:hAnsi="宋体" w:eastAsia="宋体" w:cs="Calibri"/>
                <w:color w:val="auto"/>
                <w:szCs w:val="21"/>
              </w:rPr>
              <w:t>个月</w:t>
            </w:r>
            <w:r>
              <w:rPr>
                <w:rFonts w:ascii="宋体" w:hAnsi="宋体" w:eastAsia="宋体" w:cs="Calibri"/>
                <w:color w:val="auto"/>
                <w:szCs w:val="21"/>
              </w:rPr>
              <w:t>得</w:t>
            </w:r>
            <w:r>
              <w:rPr>
                <w:rFonts w:hint="eastAsia" w:ascii="Times New Roman" w:hAnsi="Times New Roman" w:eastAsia="宋体" w:cs="Times New Roman"/>
                <w:color w:val="auto"/>
                <w:szCs w:val="21"/>
              </w:rPr>
              <w:t>1</w:t>
            </w:r>
            <w:r>
              <w:rPr>
                <w:rFonts w:ascii="宋体" w:hAnsi="宋体" w:eastAsia="宋体" w:cs="Calibri"/>
                <w:color w:val="auto"/>
                <w:szCs w:val="21"/>
              </w:rPr>
              <w:t>分，</w:t>
            </w:r>
            <w:r>
              <w:rPr>
                <w:rFonts w:hint="eastAsia" w:ascii="宋体" w:hAnsi="宋体" w:eastAsia="宋体" w:cs="Times New Roman"/>
                <w:color w:val="auto"/>
                <w:szCs w:val="21"/>
              </w:rPr>
              <w:t>最高得</w:t>
            </w:r>
            <w:r>
              <w:rPr>
                <w:rFonts w:hint="eastAsia" w:ascii="Times New Roman" w:hAnsi="Times New Roman" w:eastAsia="宋体" w:cs="Times New Roman"/>
                <w:color w:val="auto"/>
                <w:szCs w:val="21"/>
              </w:rPr>
              <w:t>4</w:t>
            </w:r>
            <w:r>
              <w:rPr>
                <w:rFonts w:hint="eastAsia" w:ascii="宋体" w:hAnsi="宋体"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4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8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left"/>
              <w:rPr>
                <w:rFonts w:ascii="Times New Roman" w:hAnsi="Times New Roman" w:eastAsia="宋体" w:cs="Times New Roman"/>
                <w:bCs/>
                <w:color w:val="auto"/>
                <w:szCs w:val="21"/>
              </w:rPr>
            </w:pPr>
            <w:r>
              <w:rPr>
                <w:rFonts w:ascii="宋体" w:hAnsi="宋体" w:eastAsia="宋体" w:cs="Times New Roman"/>
                <w:bCs/>
                <w:color w:val="auto"/>
                <w:szCs w:val="21"/>
              </w:rPr>
              <w:t>价格</w:t>
            </w:r>
          </w:p>
        </w:tc>
        <w:tc>
          <w:tcPr>
            <w:tcW w:w="690"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30</w:t>
            </w:r>
          </w:p>
        </w:tc>
        <w:tc>
          <w:tcPr>
            <w:tcW w:w="715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rPr>
                <w:rFonts w:ascii="Times New Roman" w:hAnsi="Times New Roman" w:eastAsia="宋体" w:cs="Times New Roman"/>
                <w:bCs/>
                <w:color w:val="auto"/>
                <w:szCs w:val="21"/>
              </w:rPr>
            </w:pPr>
            <w:r>
              <w:rPr>
                <w:rFonts w:ascii="宋体" w:hAnsi="宋体" w:eastAsia="宋体" w:cs="Times New Roman"/>
                <w:bCs/>
                <w:color w:val="auto"/>
                <w:kern w:val="0"/>
                <w:szCs w:val="21"/>
              </w:rPr>
              <w:t>满足投标文件要求且投标价格最低的投标报价为评标基准价，其价格分</w:t>
            </w:r>
            <w:r>
              <w:rPr>
                <w:rFonts w:ascii="Times New Roman" w:hAnsi="Times New Roman" w:eastAsia="宋体" w:cs="Times New Roman"/>
                <w:bCs/>
                <w:color w:val="auto"/>
                <w:kern w:val="0"/>
                <w:szCs w:val="21"/>
              </w:rPr>
              <w:t>30</w:t>
            </w:r>
            <w:r>
              <w:rPr>
                <w:rFonts w:ascii="宋体" w:hAnsi="宋体" w:eastAsia="宋体" w:cs="Times New Roman"/>
                <w:bCs/>
                <w:color w:val="auto"/>
                <w:kern w:val="0"/>
                <w:szCs w:val="21"/>
              </w:rPr>
              <w:t>分，其他投标人的价格分按下列公式计算：价格得分＝（评标基准价</w:t>
            </w:r>
            <w:r>
              <w:rPr>
                <w:rFonts w:ascii="Times New Roman" w:hAnsi="Times New Roman" w:eastAsia="宋体" w:cs="Times New Roman"/>
                <w:bCs/>
                <w:color w:val="auto"/>
                <w:kern w:val="0"/>
                <w:szCs w:val="21"/>
              </w:rPr>
              <w:t>/</w:t>
            </w:r>
            <w:r>
              <w:rPr>
                <w:rFonts w:ascii="宋体" w:hAnsi="宋体" w:eastAsia="宋体" w:cs="Times New Roman"/>
                <w:bCs/>
                <w:color w:val="auto"/>
                <w:kern w:val="0"/>
                <w:szCs w:val="21"/>
              </w:rPr>
              <w:t>投标报价）</w:t>
            </w:r>
            <w:r>
              <w:rPr>
                <w:rFonts w:ascii="Times New Roman" w:hAnsi="Times New Roman" w:eastAsia="宋体" w:cs="Times New Roman"/>
                <w:bCs/>
                <w:color w:val="auto"/>
                <w:kern w:val="0"/>
                <w:szCs w:val="21"/>
              </w:rPr>
              <w:t>×30%×100</w:t>
            </w:r>
            <w:r>
              <w:rPr>
                <w:rFonts w:ascii="宋体" w:hAnsi="宋体" w:eastAsia="宋体" w:cs="Times New Roman"/>
                <w:bCs/>
                <w:color w:val="auto"/>
                <w:kern w:val="0"/>
                <w:szCs w:val="21"/>
              </w:rPr>
              <w:t>。</w:t>
            </w:r>
            <w:r>
              <w:rPr>
                <w:rFonts w:ascii="宋体" w:hAnsi="宋体" w:eastAsia="宋体" w:cs="Times New Roman"/>
                <w:bCs/>
                <w:color w:val="auto"/>
                <w:szCs w:val="21"/>
              </w:rPr>
              <w:t>（小数点后保留</w:t>
            </w:r>
            <w:r>
              <w:rPr>
                <w:rFonts w:ascii="Times New Roman" w:hAnsi="Times New Roman" w:eastAsia="宋体" w:cs="Times New Roman"/>
                <w:bCs/>
                <w:color w:val="auto"/>
                <w:szCs w:val="21"/>
              </w:rPr>
              <w:t>2</w:t>
            </w:r>
            <w:r>
              <w:rPr>
                <w:rFonts w:ascii="宋体" w:hAnsi="宋体" w:eastAsia="宋体" w:cs="Times New Roman"/>
                <w:bCs/>
                <w:color w:val="auto"/>
                <w:szCs w:val="21"/>
              </w:rPr>
              <w:t>位小数）。</w:t>
            </w:r>
          </w:p>
        </w:tc>
      </w:tr>
    </w:tbl>
    <w:p>
      <w:pPr>
        <w:spacing w:line="360" w:lineRule="auto"/>
        <w:jc w:val="center"/>
        <w:rPr>
          <w:rFonts w:hint="eastAsia"/>
          <w:b w:val="0"/>
          <w:bCs/>
          <w:color w:val="auto"/>
          <w:sz w:val="32"/>
          <w:szCs w:val="32"/>
        </w:rPr>
      </w:pPr>
    </w:p>
    <w:p>
      <w:pPr>
        <w:spacing w:line="360" w:lineRule="auto"/>
        <w:jc w:val="center"/>
        <w:rPr>
          <w:rFonts w:hint="eastAsia"/>
          <w:b w:val="0"/>
          <w:bCs/>
          <w:color w:val="auto"/>
          <w:sz w:val="32"/>
          <w:szCs w:val="32"/>
        </w:rPr>
      </w:pPr>
    </w:p>
    <w:p>
      <w:pPr>
        <w:spacing w:line="360" w:lineRule="auto"/>
        <w:jc w:val="center"/>
        <w:rPr>
          <w:rFonts w:hint="eastAsia"/>
          <w:b w:val="0"/>
          <w:bCs/>
          <w:color w:val="auto"/>
          <w:sz w:val="32"/>
          <w:szCs w:val="32"/>
        </w:rPr>
      </w:pPr>
    </w:p>
    <w:p>
      <w:pPr>
        <w:spacing w:line="360" w:lineRule="auto"/>
        <w:jc w:val="center"/>
        <w:rPr>
          <w:rFonts w:hint="eastAsia"/>
          <w:b w:val="0"/>
          <w:bCs/>
          <w:color w:val="auto"/>
          <w:sz w:val="32"/>
          <w:szCs w:val="32"/>
        </w:rPr>
      </w:pPr>
    </w:p>
    <w:p>
      <w:pPr>
        <w:spacing w:line="360" w:lineRule="auto"/>
        <w:jc w:val="center"/>
        <w:rPr>
          <w:rFonts w:hint="eastAsia"/>
          <w:b w:val="0"/>
          <w:bCs/>
          <w:color w:val="auto"/>
          <w:sz w:val="32"/>
          <w:szCs w:val="32"/>
        </w:rPr>
      </w:pPr>
    </w:p>
    <w:p>
      <w:pPr>
        <w:spacing w:line="360" w:lineRule="auto"/>
        <w:jc w:val="center"/>
        <w:rPr>
          <w:rFonts w:hint="eastAsia"/>
          <w:b w:val="0"/>
          <w:bCs/>
          <w:color w:val="auto"/>
          <w:sz w:val="32"/>
          <w:szCs w:val="32"/>
        </w:rPr>
      </w:pPr>
    </w:p>
    <w:p>
      <w:pPr>
        <w:spacing w:line="360" w:lineRule="auto"/>
        <w:jc w:val="center"/>
        <w:rPr>
          <w:rFonts w:hint="eastAsia"/>
          <w:b w:val="0"/>
          <w:bCs/>
          <w:color w:val="auto"/>
          <w:sz w:val="32"/>
          <w:szCs w:val="32"/>
        </w:rPr>
      </w:pPr>
    </w:p>
    <w:p>
      <w:pPr>
        <w:spacing w:line="360" w:lineRule="auto"/>
        <w:jc w:val="center"/>
        <w:rPr>
          <w:rFonts w:hint="eastAsia"/>
          <w:b w:val="0"/>
          <w:bCs/>
          <w:color w:val="auto"/>
          <w:sz w:val="32"/>
          <w:szCs w:val="32"/>
        </w:rPr>
      </w:pPr>
    </w:p>
    <w:p>
      <w:pPr>
        <w:spacing w:line="360" w:lineRule="auto"/>
        <w:jc w:val="center"/>
        <w:rPr>
          <w:b w:val="0"/>
          <w:bCs/>
          <w:color w:val="auto"/>
          <w:sz w:val="32"/>
          <w:szCs w:val="32"/>
        </w:rPr>
      </w:pPr>
      <w:r>
        <w:rPr>
          <w:rFonts w:hint="eastAsia"/>
          <w:b w:val="0"/>
          <w:bCs/>
          <w:color w:val="auto"/>
          <w:sz w:val="32"/>
          <w:szCs w:val="32"/>
        </w:rPr>
        <w:t>第四章</w:t>
      </w:r>
      <w:r>
        <w:rPr>
          <w:b w:val="0"/>
          <w:bCs/>
          <w:color w:val="auto"/>
          <w:sz w:val="32"/>
          <w:szCs w:val="32"/>
        </w:rPr>
        <w:t xml:space="preserve">  </w:t>
      </w:r>
      <w:r>
        <w:rPr>
          <w:rFonts w:hint="eastAsia"/>
          <w:b w:val="0"/>
          <w:bCs/>
          <w:color w:val="auto"/>
          <w:sz w:val="32"/>
          <w:szCs w:val="32"/>
        </w:rPr>
        <w:t>公开招标需求</w:t>
      </w:r>
    </w:p>
    <w:p>
      <w:pPr>
        <w:pStyle w:val="35"/>
        <w:spacing w:before="156" w:afterLines="50" w:line="520" w:lineRule="exact"/>
        <w:ind w:firstLine="0"/>
        <w:rPr>
          <w:rFonts w:ascii="Times New Roman" w:hAnsi="Times New Roman"/>
          <w:b w:val="0"/>
          <w:bCs/>
          <w:color w:val="auto"/>
          <w:kern w:val="2"/>
        </w:rPr>
      </w:pPr>
      <w:r>
        <w:rPr>
          <w:rFonts w:hint="eastAsia" w:ascii="Times New Roman" w:hAnsi="Times New Roman"/>
          <w:b w:val="0"/>
          <w:bCs/>
          <w:color w:val="auto"/>
          <w:kern w:val="2"/>
        </w:rPr>
        <w:t>一、招标项目一览表</w:t>
      </w:r>
    </w:p>
    <w:p>
      <w:pPr>
        <w:tabs>
          <w:tab w:val="left" w:pos="8280"/>
        </w:tabs>
        <w:autoSpaceDE w:val="0"/>
        <w:autoSpaceDN w:val="0"/>
        <w:adjustRightInd w:val="0"/>
        <w:spacing w:line="400" w:lineRule="exact"/>
        <w:ind w:firstLine="420" w:firstLineChars="200"/>
        <w:rPr>
          <w:bCs/>
          <w:color w:val="auto"/>
          <w:szCs w:val="21"/>
        </w:rPr>
      </w:pPr>
      <w:r>
        <w:rPr>
          <w:rFonts w:hint="eastAsia"/>
          <w:bCs/>
          <w:color w:val="auto"/>
          <w:szCs w:val="21"/>
        </w:rPr>
        <w:t>本次招标共</w:t>
      </w:r>
      <w:r>
        <w:rPr>
          <w:bCs/>
          <w:color w:val="auto"/>
          <w:szCs w:val="21"/>
          <w:u w:val="single"/>
        </w:rPr>
        <w:t>1</w:t>
      </w:r>
      <w:r>
        <w:rPr>
          <w:rFonts w:hint="eastAsia"/>
          <w:bCs/>
          <w:color w:val="auto"/>
          <w:szCs w:val="21"/>
        </w:rPr>
        <w:t>个标段，具体内容如下表：</w:t>
      </w:r>
    </w:p>
    <w:tbl>
      <w:tblPr>
        <w:tblStyle w:val="27"/>
        <w:tblW w:w="885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20"/>
        <w:gridCol w:w="718"/>
        <w:gridCol w:w="682"/>
        <w:gridCol w:w="1315"/>
        <w:gridCol w:w="163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5" w:type="dxa"/>
            <w:vAlign w:val="center"/>
          </w:tcPr>
          <w:p>
            <w:pPr>
              <w:tabs>
                <w:tab w:val="left" w:pos="8280"/>
              </w:tabs>
              <w:autoSpaceDE w:val="0"/>
              <w:autoSpaceDN w:val="0"/>
              <w:adjustRightInd w:val="0"/>
              <w:spacing w:line="370" w:lineRule="exact"/>
              <w:jc w:val="center"/>
              <w:rPr>
                <w:b w:val="0"/>
                <w:bCs/>
                <w:color w:val="auto"/>
                <w:szCs w:val="21"/>
              </w:rPr>
            </w:pPr>
            <w:r>
              <w:rPr>
                <w:rFonts w:hint="eastAsia"/>
                <w:b w:val="0"/>
                <w:bCs/>
                <w:color w:val="auto"/>
                <w:szCs w:val="21"/>
              </w:rPr>
              <w:t>序号</w:t>
            </w:r>
          </w:p>
        </w:tc>
        <w:tc>
          <w:tcPr>
            <w:tcW w:w="2220" w:type="dxa"/>
            <w:vAlign w:val="center"/>
          </w:tcPr>
          <w:p>
            <w:pPr>
              <w:tabs>
                <w:tab w:val="left" w:pos="8280"/>
              </w:tabs>
              <w:autoSpaceDE w:val="0"/>
              <w:autoSpaceDN w:val="0"/>
              <w:adjustRightInd w:val="0"/>
              <w:spacing w:line="370" w:lineRule="exact"/>
              <w:jc w:val="center"/>
              <w:rPr>
                <w:b w:val="0"/>
                <w:bCs/>
                <w:color w:val="auto"/>
                <w:szCs w:val="21"/>
              </w:rPr>
            </w:pPr>
            <w:r>
              <w:rPr>
                <w:rFonts w:hint="eastAsia"/>
                <w:b w:val="0"/>
                <w:bCs/>
                <w:color w:val="auto"/>
                <w:szCs w:val="21"/>
              </w:rPr>
              <w:t>项目名称</w:t>
            </w:r>
          </w:p>
        </w:tc>
        <w:tc>
          <w:tcPr>
            <w:tcW w:w="718" w:type="dxa"/>
            <w:vAlign w:val="center"/>
          </w:tcPr>
          <w:p>
            <w:pPr>
              <w:tabs>
                <w:tab w:val="left" w:pos="8280"/>
              </w:tabs>
              <w:autoSpaceDE w:val="0"/>
              <w:autoSpaceDN w:val="0"/>
              <w:adjustRightInd w:val="0"/>
              <w:spacing w:line="370" w:lineRule="exact"/>
              <w:jc w:val="center"/>
              <w:rPr>
                <w:b w:val="0"/>
                <w:bCs/>
                <w:color w:val="auto"/>
                <w:szCs w:val="21"/>
              </w:rPr>
            </w:pPr>
            <w:r>
              <w:rPr>
                <w:rFonts w:hint="eastAsia"/>
                <w:b w:val="0"/>
                <w:bCs/>
                <w:color w:val="auto"/>
                <w:szCs w:val="21"/>
              </w:rPr>
              <w:t>数量</w:t>
            </w:r>
          </w:p>
        </w:tc>
        <w:tc>
          <w:tcPr>
            <w:tcW w:w="682" w:type="dxa"/>
            <w:vAlign w:val="center"/>
          </w:tcPr>
          <w:p>
            <w:pPr>
              <w:tabs>
                <w:tab w:val="left" w:pos="8280"/>
              </w:tabs>
              <w:autoSpaceDE w:val="0"/>
              <w:autoSpaceDN w:val="0"/>
              <w:adjustRightInd w:val="0"/>
              <w:spacing w:line="370" w:lineRule="exact"/>
              <w:jc w:val="center"/>
              <w:rPr>
                <w:b w:val="0"/>
                <w:bCs/>
                <w:color w:val="auto"/>
                <w:szCs w:val="21"/>
              </w:rPr>
            </w:pPr>
            <w:r>
              <w:rPr>
                <w:rFonts w:hint="eastAsia"/>
                <w:b w:val="0"/>
                <w:bCs/>
                <w:color w:val="auto"/>
                <w:szCs w:val="21"/>
              </w:rPr>
              <w:t>单位</w:t>
            </w:r>
          </w:p>
        </w:tc>
        <w:tc>
          <w:tcPr>
            <w:tcW w:w="1315" w:type="dxa"/>
            <w:vAlign w:val="center"/>
          </w:tcPr>
          <w:p>
            <w:pPr>
              <w:tabs>
                <w:tab w:val="left" w:pos="8280"/>
              </w:tabs>
              <w:autoSpaceDE w:val="0"/>
              <w:autoSpaceDN w:val="0"/>
              <w:adjustRightInd w:val="0"/>
              <w:spacing w:line="370" w:lineRule="exact"/>
              <w:jc w:val="center"/>
              <w:rPr>
                <w:rFonts w:hint="eastAsia"/>
                <w:b w:val="0"/>
                <w:bCs/>
                <w:color w:val="auto"/>
                <w:szCs w:val="21"/>
              </w:rPr>
            </w:pPr>
            <w:r>
              <w:rPr>
                <w:rFonts w:hint="eastAsia"/>
                <w:b w:val="0"/>
                <w:bCs/>
                <w:color w:val="auto"/>
                <w:szCs w:val="21"/>
              </w:rPr>
              <w:t>预算</w:t>
            </w:r>
            <w:r>
              <w:rPr>
                <w:rFonts w:hint="eastAsia"/>
                <w:b w:val="0"/>
                <w:bCs/>
                <w:color w:val="auto"/>
                <w:szCs w:val="21"/>
                <w:lang w:val="en-US" w:eastAsia="zh-CN"/>
              </w:rPr>
              <w:t xml:space="preserve"> </w:t>
            </w:r>
            <w:r>
              <w:rPr>
                <w:rFonts w:hint="eastAsia"/>
                <w:b w:val="0"/>
                <w:bCs/>
                <w:color w:val="auto"/>
                <w:szCs w:val="21"/>
              </w:rPr>
              <w:t>（元）</w:t>
            </w:r>
          </w:p>
        </w:tc>
        <w:tc>
          <w:tcPr>
            <w:tcW w:w="1635" w:type="dxa"/>
            <w:vAlign w:val="center"/>
          </w:tcPr>
          <w:p>
            <w:pPr>
              <w:tabs>
                <w:tab w:val="left" w:pos="8280"/>
              </w:tabs>
              <w:autoSpaceDE w:val="0"/>
              <w:autoSpaceDN w:val="0"/>
              <w:adjustRightInd w:val="0"/>
              <w:spacing w:line="370" w:lineRule="exact"/>
              <w:jc w:val="center"/>
              <w:rPr>
                <w:rFonts w:hint="default" w:eastAsia="宋体"/>
                <w:bCs/>
                <w:color w:val="auto"/>
                <w:szCs w:val="21"/>
                <w:lang w:val="en-US" w:eastAsia="zh-CN"/>
              </w:rPr>
            </w:pPr>
            <w:r>
              <w:rPr>
                <w:rFonts w:hint="eastAsia" w:eastAsia="宋体"/>
                <w:bCs/>
                <w:color w:val="auto"/>
                <w:szCs w:val="21"/>
                <w:lang w:val="en-US" w:eastAsia="zh-CN"/>
              </w:rPr>
              <w:t>最高限价（元）</w:t>
            </w:r>
          </w:p>
        </w:tc>
        <w:tc>
          <w:tcPr>
            <w:tcW w:w="1605" w:type="dxa"/>
            <w:vAlign w:val="center"/>
          </w:tcPr>
          <w:p>
            <w:pPr>
              <w:tabs>
                <w:tab w:val="left" w:pos="8280"/>
              </w:tabs>
              <w:autoSpaceDE w:val="0"/>
              <w:autoSpaceDN w:val="0"/>
              <w:adjustRightInd w:val="0"/>
              <w:spacing w:line="370" w:lineRule="exact"/>
              <w:jc w:val="center"/>
              <w:rPr>
                <w:b w:val="0"/>
                <w:bCs/>
                <w:color w:val="auto"/>
                <w:szCs w:val="21"/>
              </w:rPr>
            </w:pPr>
            <w:r>
              <w:rPr>
                <w:rFonts w:hint="eastAsia"/>
                <w:b w:val="0"/>
                <w:bCs/>
                <w:color w:val="auto"/>
                <w:kern w:val="0"/>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75" w:type="dxa"/>
            <w:vAlign w:val="center"/>
          </w:tcPr>
          <w:p>
            <w:pPr>
              <w:tabs>
                <w:tab w:val="left" w:pos="8280"/>
              </w:tabs>
              <w:autoSpaceDE w:val="0"/>
              <w:autoSpaceDN w:val="0"/>
              <w:adjustRightInd w:val="0"/>
              <w:spacing w:line="370" w:lineRule="exact"/>
              <w:jc w:val="center"/>
              <w:rPr>
                <w:bCs/>
                <w:color w:val="auto"/>
                <w:szCs w:val="21"/>
              </w:rPr>
            </w:pPr>
            <w:r>
              <w:rPr>
                <w:bCs/>
                <w:color w:val="auto"/>
                <w:szCs w:val="21"/>
              </w:rPr>
              <w:t>1</w:t>
            </w:r>
          </w:p>
        </w:tc>
        <w:tc>
          <w:tcPr>
            <w:tcW w:w="2220" w:type="dxa"/>
            <w:vAlign w:val="center"/>
          </w:tcPr>
          <w:p>
            <w:pPr>
              <w:tabs>
                <w:tab w:val="left" w:pos="8280"/>
              </w:tabs>
              <w:autoSpaceDE w:val="0"/>
              <w:autoSpaceDN w:val="0"/>
              <w:adjustRightInd w:val="0"/>
              <w:spacing w:line="370" w:lineRule="exact"/>
              <w:jc w:val="center"/>
              <w:rPr>
                <w:rFonts w:hint="eastAsia" w:eastAsia="宋体"/>
                <w:bCs/>
                <w:color w:val="auto"/>
                <w:szCs w:val="21"/>
                <w:lang w:eastAsia="zh-CN"/>
              </w:rPr>
            </w:pPr>
            <w:r>
              <w:rPr>
                <w:rFonts w:hint="eastAsia"/>
                <w:bCs/>
                <w:color w:val="auto"/>
                <w:szCs w:val="21"/>
                <w:lang w:eastAsia="zh-CN"/>
              </w:rPr>
              <w:t>玉环市人民医院健共体集团厨房设备采购</w:t>
            </w:r>
          </w:p>
        </w:tc>
        <w:tc>
          <w:tcPr>
            <w:tcW w:w="718" w:type="dxa"/>
            <w:vAlign w:val="center"/>
          </w:tcPr>
          <w:p>
            <w:pPr>
              <w:tabs>
                <w:tab w:val="left" w:pos="8280"/>
              </w:tabs>
              <w:autoSpaceDE w:val="0"/>
              <w:autoSpaceDN w:val="0"/>
              <w:adjustRightInd w:val="0"/>
              <w:spacing w:line="370" w:lineRule="exact"/>
              <w:jc w:val="center"/>
              <w:rPr>
                <w:bCs/>
                <w:color w:val="auto"/>
                <w:szCs w:val="21"/>
              </w:rPr>
            </w:pPr>
            <w:r>
              <w:rPr>
                <w:bCs/>
                <w:color w:val="auto"/>
                <w:szCs w:val="21"/>
              </w:rPr>
              <w:t>1</w:t>
            </w:r>
          </w:p>
        </w:tc>
        <w:tc>
          <w:tcPr>
            <w:tcW w:w="682" w:type="dxa"/>
            <w:vAlign w:val="center"/>
          </w:tcPr>
          <w:p>
            <w:pPr>
              <w:tabs>
                <w:tab w:val="left" w:pos="8280"/>
              </w:tabs>
              <w:autoSpaceDE w:val="0"/>
              <w:autoSpaceDN w:val="0"/>
              <w:adjustRightInd w:val="0"/>
              <w:spacing w:line="370" w:lineRule="exact"/>
              <w:jc w:val="center"/>
              <w:rPr>
                <w:bCs/>
                <w:color w:val="auto"/>
                <w:szCs w:val="21"/>
              </w:rPr>
            </w:pPr>
            <w:r>
              <w:rPr>
                <w:rFonts w:hint="eastAsia"/>
                <w:bCs/>
                <w:color w:val="auto"/>
                <w:szCs w:val="21"/>
              </w:rPr>
              <w:t>项</w:t>
            </w:r>
          </w:p>
        </w:tc>
        <w:tc>
          <w:tcPr>
            <w:tcW w:w="1315" w:type="dxa"/>
            <w:vAlign w:val="center"/>
          </w:tcPr>
          <w:p>
            <w:pPr>
              <w:tabs>
                <w:tab w:val="left" w:pos="8280"/>
              </w:tabs>
              <w:autoSpaceDE w:val="0"/>
              <w:autoSpaceDN w:val="0"/>
              <w:adjustRightInd w:val="0"/>
              <w:spacing w:line="370" w:lineRule="exact"/>
              <w:jc w:val="center"/>
              <w:rPr>
                <w:rFonts w:hint="default" w:ascii="Times New Roman" w:hAnsi="Times New Roman" w:eastAsia="新宋体"/>
                <w:color w:val="auto"/>
                <w:sz w:val="21"/>
                <w:szCs w:val="21"/>
                <w:lang w:val="en-US" w:eastAsia="zh-CN"/>
              </w:rPr>
            </w:pPr>
            <w:r>
              <w:rPr>
                <w:rFonts w:hint="eastAsia" w:ascii="Times New Roman" w:hAnsi="Times New Roman" w:eastAsia="新宋体"/>
                <w:color w:val="auto"/>
                <w:sz w:val="21"/>
                <w:szCs w:val="21"/>
                <w:lang w:val="en-US" w:eastAsia="zh-CN"/>
              </w:rPr>
              <w:t>5500000.00</w:t>
            </w:r>
          </w:p>
        </w:tc>
        <w:tc>
          <w:tcPr>
            <w:tcW w:w="1635" w:type="dxa"/>
            <w:vAlign w:val="center"/>
          </w:tcPr>
          <w:p>
            <w:pPr>
              <w:tabs>
                <w:tab w:val="left" w:pos="8280"/>
              </w:tabs>
              <w:autoSpaceDE w:val="0"/>
              <w:autoSpaceDN w:val="0"/>
              <w:adjustRightInd w:val="0"/>
              <w:spacing w:line="370" w:lineRule="exact"/>
              <w:jc w:val="center"/>
              <w:rPr>
                <w:rFonts w:hint="default" w:eastAsia="宋体"/>
                <w:bCs/>
                <w:color w:val="auto"/>
                <w:szCs w:val="21"/>
                <w:lang w:val="en-US" w:eastAsia="zh-CN"/>
              </w:rPr>
            </w:pPr>
            <w:r>
              <w:rPr>
                <w:rFonts w:hint="eastAsia"/>
                <w:bCs/>
                <w:color w:val="auto"/>
                <w:szCs w:val="21"/>
                <w:lang w:val="en-US" w:eastAsia="zh-CN"/>
              </w:rPr>
              <w:t>3800000.00</w:t>
            </w:r>
          </w:p>
        </w:tc>
        <w:tc>
          <w:tcPr>
            <w:tcW w:w="1605" w:type="dxa"/>
            <w:vAlign w:val="center"/>
          </w:tcPr>
          <w:p>
            <w:pPr>
              <w:tabs>
                <w:tab w:val="left" w:pos="8280"/>
              </w:tabs>
              <w:autoSpaceDE w:val="0"/>
              <w:autoSpaceDN w:val="0"/>
              <w:adjustRightInd w:val="0"/>
              <w:spacing w:line="370" w:lineRule="exact"/>
              <w:jc w:val="center"/>
              <w:rPr>
                <w:bCs/>
                <w:color w:val="auto"/>
                <w:szCs w:val="21"/>
              </w:rPr>
            </w:pPr>
            <w:r>
              <w:rPr>
                <w:rFonts w:hint="eastAsia"/>
                <w:bCs/>
                <w:color w:val="auto"/>
                <w:szCs w:val="21"/>
              </w:rPr>
              <w:t>具体技术参数详见招标需求</w:t>
            </w:r>
          </w:p>
        </w:tc>
      </w:tr>
    </w:tbl>
    <w:p>
      <w:pPr>
        <w:tabs>
          <w:tab w:val="left" w:pos="8280"/>
        </w:tabs>
        <w:autoSpaceDE w:val="0"/>
        <w:autoSpaceDN w:val="0"/>
        <w:adjustRightInd w:val="0"/>
        <w:spacing w:line="360" w:lineRule="auto"/>
        <w:ind w:right="25"/>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二、技术需求</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Style w:val="57"/>
          <w:rFonts w:hint="eastAsia" w:asciiTheme="minorEastAsia" w:hAnsiTheme="minorEastAsia" w:eastAsiaTheme="minorEastAsia" w:cstheme="minorEastAsia"/>
          <w:b/>
          <w:bCs/>
          <w:color w:val="auto"/>
          <w:sz w:val="21"/>
          <w:szCs w:val="21"/>
          <w:lang w:val="en-US" w:eastAsia="zh-CN"/>
        </w:rPr>
      </w:pPr>
      <w:r>
        <w:rPr>
          <w:rStyle w:val="57"/>
          <w:rFonts w:hint="eastAsia" w:asciiTheme="minorEastAsia" w:hAnsiTheme="minorEastAsia" w:eastAsiaTheme="minorEastAsia" w:cstheme="minorEastAsia"/>
          <w:b/>
          <w:bCs/>
          <w:color w:val="auto"/>
          <w:sz w:val="21"/>
          <w:szCs w:val="21"/>
          <w:lang w:eastAsia="zh-CN"/>
        </w:rPr>
        <w:t>（</w:t>
      </w:r>
      <w:r>
        <w:rPr>
          <w:rStyle w:val="57"/>
          <w:rFonts w:hint="eastAsia" w:asciiTheme="minorEastAsia" w:hAnsiTheme="minorEastAsia" w:eastAsiaTheme="minorEastAsia" w:cstheme="minorEastAsia"/>
          <w:b/>
          <w:bCs/>
          <w:color w:val="auto"/>
          <w:sz w:val="21"/>
          <w:szCs w:val="21"/>
          <w:lang w:val="en-US" w:eastAsia="zh-CN"/>
        </w:rPr>
        <w:t>一</w:t>
      </w:r>
      <w:r>
        <w:rPr>
          <w:rStyle w:val="57"/>
          <w:rFonts w:hint="eastAsia" w:asciiTheme="minorEastAsia" w:hAnsiTheme="minorEastAsia" w:eastAsiaTheme="minorEastAsia" w:cstheme="minorEastAsia"/>
          <w:b/>
          <w:bCs/>
          <w:color w:val="auto"/>
          <w:sz w:val="21"/>
          <w:szCs w:val="21"/>
          <w:lang w:eastAsia="zh-CN"/>
        </w:rPr>
        <w:t>）</w:t>
      </w:r>
      <w:r>
        <w:rPr>
          <w:rStyle w:val="57"/>
          <w:rFonts w:hint="eastAsia" w:asciiTheme="minorEastAsia" w:hAnsiTheme="minorEastAsia" w:eastAsiaTheme="minorEastAsia" w:cstheme="minorEastAsia"/>
          <w:b/>
          <w:bCs/>
          <w:color w:val="auto"/>
          <w:sz w:val="21"/>
          <w:szCs w:val="21"/>
          <w:lang w:val="en-US" w:eastAsia="zh-CN"/>
        </w:rPr>
        <w:t>总体要求：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Style w:val="57"/>
          <w:rFonts w:hint="eastAsia" w:asciiTheme="minorEastAsia" w:hAnsiTheme="minorEastAsia" w:eastAsiaTheme="minorEastAsia" w:cstheme="minorEastAsia"/>
          <w:color w:val="auto"/>
          <w:sz w:val="21"/>
          <w:szCs w:val="21"/>
        </w:rPr>
      </w:pPr>
      <w:r>
        <w:rPr>
          <w:rStyle w:val="57"/>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玉环市人民医院健共体集团</w:t>
      </w:r>
      <w:r>
        <w:rPr>
          <w:rFonts w:hint="eastAsia" w:asciiTheme="minorEastAsia" w:hAnsiTheme="minorEastAsia" w:eastAsiaTheme="minorEastAsia" w:cstheme="minorEastAsia"/>
          <w:color w:val="auto"/>
          <w:sz w:val="21"/>
          <w:szCs w:val="21"/>
        </w:rPr>
        <w:t>厨房设备及相关附件的</w:t>
      </w:r>
      <w:r>
        <w:rPr>
          <w:rFonts w:hint="eastAsia" w:asciiTheme="minorEastAsia" w:hAnsiTheme="minorEastAsia" w:eastAsiaTheme="minorEastAsia" w:cstheme="minorEastAsia"/>
          <w:color w:val="auto"/>
          <w:sz w:val="21"/>
          <w:szCs w:val="21"/>
          <w:lang w:val="en-US" w:eastAsia="zh-CN"/>
        </w:rPr>
        <w:t>供货</w:t>
      </w:r>
      <w:r>
        <w:rPr>
          <w:rFonts w:hint="eastAsia" w:asciiTheme="minorEastAsia" w:hAnsiTheme="minorEastAsia" w:eastAsiaTheme="minorEastAsia" w:cstheme="minorEastAsia"/>
          <w:color w:val="auto"/>
          <w:sz w:val="21"/>
          <w:szCs w:val="21"/>
        </w:rPr>
        <w:t>、运输、装卸、就位、安装、调试、检验、</w:t>
      </w:r>
      <w:r>
        <w:rPr>
          <w:rFonts w:hint="eastAsia" w:asciiTheme="minorEastAsia" w:hAnsiTheme="minorEastAsia" w:eastAsiaTheme="minorEastAsia" w:cstheme="minorEastAsia"/>
          <w:color w:val="auto"/>
          <w:sz w:val="21"/>
          <w:szCs w:val="21"/>
          <w:lang w:val="en-US" w:eastAsia="zh-CN"/>
        </w:rPr>
        <w:t>培训、</w:t>
      </w:r>
      <w:r>
        <w:rPr>
          <w:rFonts w:hint="eastAsia" w:asciiTheme="minorEastAsia" w:hAnsiTheme="minorEastAsia" w:eastAsiaTheme="minorEastAsia" w:cstheme="minorEastAsia"/>
          <w:color w:val="auto"/>
          <w:sz w:val="21"/>
          <w:szCs w:val="21"/>
        </w:rPr>
        <w:t>通过验收相关服务。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Style w:val="57"/>
          <w:rFonts w:hint="eastAsia" w:asciiTheme="minorEastAsia" w:hAnsiTheme="minorEastAsia" w:eastAsiaTheme="minorEastAsia" w:cstheme="minorEastAsia"/>
          <w:color w:val="auto"/>
          <w:sz w:val="21"/>
          <w:szCs w:val="21"/>
          <w:lang w:val="en-US" w:eastAsia="zh-CN"/>
        </w:rPr>
        <w:t>2</w:t>
      </w:r>
      <w:r>
        <w:rPr>
          <w:rStyle w:val="57"/>
          <w:rFonts w:hint="eastAsia" w:asciiTheme="minorEastAsia" w:hAnsiTheme="minorEastAsia" w:eastAsiaTheme="minorEastAsia" w:cstheme="minorEastAsia"/>
          <w:color w:val="auto"/>
          <w:sz w:val="21"/>
          <w:szCs w:val="21"/>
        </w:rPr>
        <w:t>、质量要求：质量达到国家规定的验收合格标准，符合国家技术规范和质量标准，满足</w:t>
      </w:r>
      <w:r>
        <w:rPr>
          <w:rStyle w:val="57"/>
          <w:rFonts w:hint="eastAsia" w:asciiTheme="minorEastAsia" w:hAnsiTheme="minorEastAsia" w:eastAsiaTheme="minorEastAsia" w:cstheme="minorEastAsia"/>
          <w:color w:val="auto"/>
          <w:sz w:val="21"/>
          <w:szCs w:val="21"/>
          <w:lang w:val="en-US" w:eastAsia="zh-CN"/>
        </w:rPr>
        <w:t>采购</w:t>
      </w:r>
      <w:r>
        <w:rPr>
          <w:rStyle w:val="57"/>
          <w:rFonts w:hint="eastAsia" w:asciiTheme="minorEastAsia" w:hAnsiTheme="minorEastAsia" w:eastAsiaTheme="minorEastAsia" w:cstheme="minorEastAsia"/>
          <w:color w:val="auto"/>
          <w:sz w:val="21"/>
          <w:szCs w:val="21"/>
        </w:rPr>
        <w:t>人的使用需求。</w:t>
      </w:r>
      <w:r>
        <w:rPr>
          <w:rFonts w:hint="eastAsia" w:asciiTheme="minorEastAsia" w:hAnsiTheme="minorEastAsia" w:eastAsiaTheme="minorEastAsia" w:cstheme="minorEastAsia"/>
          <w:color w:val="auto"/>
          <w:sz w:val="21"/>
          <w:szCs w:val="21"/>
        </w:rPr>
        <w:t>所有报价的产品，各项</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"http://www.baidu.com/s?wd=%E6%8A%80%E6%9C%AF%E6%A0%87&amp;hl_tag=textlink&amp;tn=SE_hldp01350_v6v6zkg6"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技术标</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准应当符合国家标准及各项强制性规范要求，国家没有相应标准、规范的，可使用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"http://www.baidu.com/s?wd=%E8%A1%8C%E4%B8%9A%E6%A0%87%E5%87%86&amp;hl_tag=textlink&amp;tn=SE_hldp01350_v6v6zkg6"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行业标准</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规定。并且通过相关部门的验收</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本次采购的所有产品必须是全新的、品质一流的、美观的、精工制作。</w:t>
      </w:r>
      <w:r>
        <w:rPr>
          <w:rFonts w:hint="eastAsia" w:asciiTheme="minorEastAsia" w:hAnsiTheme="minorEastAsia" w:eastAsiaTheme="minorEastAsia" w:cstheme="minorEastAsia"/>
          <w:color w:val="auto"/>
          <w:sz w:val="21"/>
          <w:szCs w:val="21"/>
          <w:lang w:val="en-US" w:eastAsia="zh-CN"/>
        </w:rPr>
        <w:t>投标人</w:t>
      </w:r>
      <w:r>
        <w:rPr>
          <w:rFonts w:hint="eastAsia" w:asciiTheme="minorEastAsia" w:hAnsiTheme="minorEastAsia" w:eastAsiaTheme="minorEastAsia" w:cstheme="minorEastAsia"/>
          <w:color w:val="auto"/>
          <w:sz w:val="21"/>
          <w:szCs w:val="21"/>
        </w:rPr>
        <w:t>应按要求提供设备使采购人满意，所有产品应易于检验、清洗、消毒及维修；所有用电、燃油、燃气设备产品应符合相关规定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并配合工程总承包人工程质量创杯质量标准及工程。</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、采购人有权按实际需求增加或减少厨房设备数量。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、现场条件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项目现状安装条件，中标人必须服从施工总承包人的质量、安全、进度等管理，并积极配合</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Style w:val="57"/>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（2）采购人</w:t>
      </w:r>
      <w:r>
        <w:rPr>
          <w:rFonts w:hint="eastAsia" w:asciiTheme="minorEastAsia" w:hAnsiTheme="minorEastAsia" w:eastAsiaTheme="minorEastAsia" w:cstheme="minorEastAsia"/>
          <w:color w:val="auto"/>
          <w:sz w:val="21"/>
          <w:szCs w:val="21"/>
          <w:lang w:val="en-US" w:eastAsia="zh-CN"/>
        </w:rPr>
        <w:t>统一</w:t>
      </w:r>
      <w:r>
        <w:rPr>
          <w:rFonts w:hint="eastAsia" w:asciiTheme="minorEastAsia" w:hAnsiTheme="minorEastAsia" w:eastAsiaTheme="minorEastAsia" w:cstheme="minorEastAsia"/>
          <w:color w:val="auto"/>
          <w:sz w:val="21"/>
          <w:szCs w:val="21"/>
        </w:rPr>
        <w:t>不组织现场踏勘，投标人应自行对现场和周围环境进行踏勘和了解，以获取有关编制投标文件和签署合同所需的各种资料，并应充分考虑影响本次报价的</w:t>
      </w:r>
      <w:r>
        <w:rPr>
          <w:rFonts w:hint="eastAsia" w:asciiTheme="minorEastAsia" w:hAnsiTheme="minorEastAsia" w:eastAsiaTheme="minorEastAsia" w:cstheme="minorEastAsia"/>
          <w:color w:val="auto"/>
          <w:sz w:val="21"/>
          <w:szCs w:val="21"/>
          <w:lang w:val="en-US" w:eastAsia="zh-CN"/>
        </w:rPr>
        <w:t>不利</w:t>
      </w:r>
      <w:r>
        <w:rPr>
          <w:rFonts w:hint="eastAsia" w:asciiTheme="minorEastAsia" w:hAnsiTheme="minorEastAsia" w:eastAsiaTheme="minorEastAsia" w:cstheme="minorEastAsia"/>
          <w:color w:val="auto"/>
          <w:sz w:val="21"/>
          <w:szCs w:val="21"/>
        </w:rPr>
        <w:t>因素、预计实施过程中</w:t>
      </w:r>
      <w:r>
        <w:rPr>
          <w:rFonts w:hint="eastAsia" w:asciiTheme="minorEastAsia" w:hAnsiTheme="minorEastAsia" w:eastAsiaTheme="minorEastAsia" w:cstheme="minorEastAsia"/>
          <w:color w:val="auto"/>
          <w:sz w:val="21"/>
          <w:szCs w:val="21"/>
          <w:lang w:val="en-US" w:eastAsia="zh-CN"/>
        </w:rPr>
        <w:t>材料设备进行安装交叉施工等</w:t>
      </w:r>
      <w:r>
        <w:rPr>
          <w:rFonts w:hint="eastAsia" w:asciiTheme="minorEastAsia" w:hAnsiTheme="minorEastAsia" w:eastAsiaTheme="minorEastAsia" w:cstheme="minorEastAsia"/>
          <w:color w:val="auto"/>
          <w:sz w:val="21"/>
          <w:szCs w:val="21"/>
        </w:rPr>
        <w:t>各种不利因素，由此可能发</w:t>
      </w:r>
      <w:r>
        <w:rPr>
          <w:rStyle w:val="57"/>
          <w:rFonts w:hint="eastAsia" w:asciiTheme="minorEastAsia" w:hAnsiTheme="minorEastAsia" w:eastAsiaTheme="minorEastAsia" w:cstheme="minorEastAsia"/>
          <w:color w:val="auto"/>
          <w:sz w:val="21"/>
          <w:szCs w:val="21"/>
        </w:rPr>
        <w:t>生的费用均由投标人考虑并包含在投标报价中。中标后，投标人不得再以不完全了解现场情况等为理由而提出额外付款或延长工期等的要求，若有此类要求，采购人将不作任何答复与考虑，投标人应承担现场踏勘的责任和风险，踏勘现场的费用由投标人自行承担。</w:t>
      </w:r>
    </w:p>
    <w:p>
      <w:pPr>
        <w:numPr>
          <w:ilvl w:val="0"/>
          <w:numId w:val="0"/>
        </w:numPr>
        <w:rPr>
          <w:rStyle w:val="57"/>
          <w:rFonts w:hint="eastAsia" w:asciiTheme="minorEastAsia" w:hAnsiTheme="minorEastAsia" w:eastAsiaTheme="minorEastAsia" w:cstheme="minorEastAsia"/>
          <w:b/>
          <w:bCs/>
          <w:color w:val="auto"/>
          <w:sz w:val="21"/>
          <w:szCs w:val="21"/>
          <w:lang w:eastAsia="zh-CN"/>
        </w:rPr>
      </w:pPr>
      <w:r>
        <w:rPr>
          <w:rStyle w:val="57"/>
          <w:rFonts w:hint="eastAsia" w:asciiTheme="minorEastAsia" w:hAnsiTheme="minorEastAsia" w:eastAsiaTheme="minorEastAsia" w:cstheme="minorEastAsia"/>
          <w:b/>
          <w:bCs/>
          <w:color w:val="auto"/>
          <w:sz w:val="21"/>
          <w:szCs w:val="21"/>
          <w:lang w:eastAsia="zh-CN"/>
        </w:rPr>
        <w:t>（二）技术性能指标</w:t>
      </w:r>
    </w:p>
    <w:tbl>
      <w:tblPr>
        <w:tblStyle w:val="26"/>
        <w:tblpPr w:leftFromText="180" w:rightFromText="180" w:vertAnchor="text" w:horzAnchor="page" w:tblpX="1001" w:tblpY="603"/>
        <w:tblOverlap w:val="never"/>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46"/>
        <w:gridCol w:w="5445"/>
        <w:gridCol w:w="720"/>
        <w:gridCol w:w="69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编号</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品牌/型号/技术参数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auto"/>
                <w:sz w:val="20"/>
                <w:szCs w:val="20"/>
                <w:u w:val="none"/>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病区食堂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拖把水池连架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说明：采用304优质发纹贴塑不锈钢板制造，星盆斗δ1.0mm，配置Φ50mmδ1.0mm不锈钢可调节重力子弹脚，配304不锈钢落水器、拦渣斗。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规格：1500×600×500+800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247650</wp:posOffset>
                  </wp:positionV>
                  <wp:extent cx="666750" cy="742315"/>
                  <wp:effectExtent l="0" t="0" r="0" b="635"/>
                  <wp:wrapNone/>
                  <wp:docPr id="43" name="图片_2"/>
                  <wp:cNvGraphicFramePr/>
                  <a:graphic xmlns:a="http://schemas.openxmlformats.org/drawingml/2006/main">
                    <a:graphicData uri="http://schemas.openxmlformats.org/drawingml/2006/picture">
                      <pic:pic xmlns:pic="http://schemas.openxmlformats.org/drawingml/2006/picture">
                        <pic:nvPicPr>
                          <pic:cNvPr id="43" name="图片_2"/>
                          <pic:cNvPicPr/>
                        </pic:nvPicPr>
                        <pic:blipFill>
                          <a:blip r:embed="rId14"/>
                          <a:stretch>
                            <a:fillRect/>
                          </a:stretch>
                        </pic:blipFill>
                        <pic:spPr>
                          <a:xfrm>
                            <a:off x="0" y="0"/>
                            <a:ext cx="666750" cy="7423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诱捕式灭蝇灯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1.散发光波引诱蚊蝇，蚊蝇靠近停下就会被粘板粘住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2.壁挂式设计，易于安装及维护。输入电压(V) 220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功率：16W/220V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规格：380×170×200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331470</wp:posOffset>
                  </wp:positionV>
                  <wp:extent cx="610870" cy="494030"/>
                  <wp:effectExtent l="0" t="0" r="17780" b="1270"/>
                  <wp:wrapNone/>
                  <wp:docPr id="44" name="Picture_1"/>
                  <wp:cNvGraphicFramePr/>
                  <a:graphic xmlns:a="http://schemas.openxmlformats.org/drawingml/2006/main">
                    <a:graphicData uri="http://schemas.openxmlformats.org/drawingml/2006/picture">
                      <pic:pic xmlns:pic="http://schemas.openxmlformats.org/drawingml/2006/picture">
                        <pic:nvPicPr>
                          <pic:cNvPr id="44" name="Picture_1"/>
                          <pic:cNvPicPr/>
                        </pic:nvPicPr>
                        <pic:blipFill>
                          <a:blip r:embed="rId15"/>
                          <a:stretch>
                            <a:fillRect/>
                          </a:stretch>
                        </pic:blipFill>
                        <pic:spPr>
                          <a:xfrm>
                            <a:off x="0" y="0"/>
                            <a:ext cx="610870" cy="4940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六格更衣柜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说明：采用国标Q235优质碳钢冷轧铁板，喷塑后厚度0.95mm的，门内挂衣杆及格板，转舌锁、扣手、表面喷塑，颜色灰白。。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规格：900×400×1800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198120</wp:posOffset>
                  </wp:positionH>
                  <wp:positionV relativeFrom="paragraph">
                    <wp:posOffset>267970</wp:posOffset>
                  </wp:positionV>
                  <wp:extent cx="438785" cy="525145"/>
                  <wp:effectExtent l="0" t="0" r="18415" b="8255"/>
                  <wp:wrapNone/>
                  <wp:docPr id="40" name="图片_10"/>
                  <wp:cNvGraphicFramePr/>
                  <a:graphic xmlns:a="http://schemas.openxmlformats.org/drawingml/2006/main">
                    <a:graphicData uri="http://schemas.openxmlformats.org/drawingml/2006/picture">
                      <pic:pic xmlns:pic="http://schemas.openxmlformats.org/drawingml/2006/picture">
                        <pic:nvPicPr>
                          <pic:cNvPr id="40" name="图片_10"/>
                          <pic:cNvPicPr/>
                        </pic:nvPicPr>
                        <pic:blipFill>
                          <a:blip r:embed="rId16"/>
                          <a:stretch>
                            <a:fillRect/>
                          </a:stretch>
                        </pic:blipFill>
                        <pic:spPr>
                          <a:xfrm>
                            <a:off x="0" y="0"/>
                            <a:ext cx="438785" cy="5251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单层低搁架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说明：采用304优质发纹贴塑不锈钢板制造，δ1.0mm，30*30全不锈钢方管制作。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规格：1200×500×250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102235</wp:posOffset>
                  </wp:positionV>
                  <wp:extent cx="561975" cy="470535"/>
                  <wp:effectExtent l="0" t="0" r="9525" b="5715"/>
                  <wp:wrapNone/>
                  <wp:docPr id="41" name="图片_282"/>
                  <wp:cNvGraphicFramePr/>
                  <a:graphic xmlns:a="http://schemas.openxmlformats.org/drawingml/2006/main">
                    <a:graphicData uri="http://schemas.openxmlformats.org/drawingml/2006/picture">
                      <pic:pic xmlns:pic="http://schemas.openxmlformats.org/drawingml/2006/picture">
                        <pic:nvPicPr>
                          <pic:cNvPr id="41" name="图片_282"/>
                          <pic:cNvPicPr/>
                        </pic:nvPicPr>
                        <pic:blipFill>
                          <a:blip r:embed="rId17"/>
                          <a:stretch>
                            <a:fillRect/>
                          </a:stretch>
                        </pic:blipFill>
                        <pic:spPr>
                          <a:xfrm>
                            <a:off x="0" y="0"/>
                            <a:ext cx="561975" cy="4705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四层平板货架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说明：采用304优质发纹贴塑不锈钢板制作，Φ38mm骨架δ=1.0mm, 平板δ=1.0mm；配置φ38mm不锈钢可调节重力子弹脚。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规格：1200×500×1800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134620</wp:posOffset>
                  </wp:positionV>
                  <wp:extent cx="439420" cy="492760"/>
                  <wp:effectExtent l="0" t="0" r="17780" b="2540"/>
                  <wp:wrapNone/>
                  <wp:docPr id="45" name="图片_163"/>
                  <wp:cNvGraphicFramePr/>
                  <a:graphic xmlns:a="http://schemas.openxmlformats.org/drawingml/2006/main">
                    <a:graphicData uri="http://schemas.openxmlformats.org/drawingml/2006/picture">
                      <pic:pic xmlns:pic="http://schemas.openxmlformats.org/drawingml/2006/picture">
                        <pic:nvPicPr>
                          <pic:cNvPr id="45" name="图片_163"/>
                          <pic:cNvPicPr/>
                        </pic:nvPicPr>
                        <pic:blipFill>
                          <a:blip r:embed="rId18"/>
                          <a:stretch>
                            <a:fillRect/>
                          </a:stretch>
                        </pic:blipFill>
                        <pic:spPr>
                          <a:xfrm>
                            <a:off x="0" y="0"/>
                            <a:ext cx="439420" cy="4927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电量：0.3KW/1PH/220V。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1.LED显示屏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2.采用高精度传感器，ACS传感器支承架，稳定可靠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3.不锈钢称面，不易变形，防腐防锈。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最大称重：300KG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450850</wp:posOffset>
                  </wp:positionV>
                  <wp:extent cx="666750" cy="570230"/>
                  <wp:effectExtent l="0" t="0" r="0" b="1270"/>
                  <wp:wrapNone/>
                  <wp:docPr id="42" name="Picture_1_SpCnt_1"/>
                  <wp:cNvGraphicFramePr/>
                  <a:graphic xmlns:a="http://schemas.openxmlformats.org/drawingml/2006/main">
                    <a:graphicData uri="http://schemas.openxmlformats.org/drawingml/2006/picture">
                      <pic:pic xmlns:pic="http://schemas.openxmlformats.org/drawingml/2006/picture">
                        <pic:nvPicPr>
                          <pic:cNvPr id="42" name="Picture_1_SpCnt_1"/>
                          <pic:cNvPicPr/>
                        </pic:nvPicPr>
                        <pic:blipFill>
                          <a:blip r:embed="rId19"/>
                          <a:stretch>
                            <a:fillRect/>
                          </a:stretch>
                        </pic:blipFill>
                        <pic:spPr>
                          <a:xfrm>
                            <a:off x="0" y="0"/>
                            <a:ext cx="666750" cy="5702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双星水池连平台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说明：采用304优质发纹贴塑不锈钢板制造，台面一次成型，台面δ=1.0mm，星盆斗δ=1.0mm，加强筋δ1.0mm；配置Φ38mm不锈钢可调节重力子弹脚，配优质不锈钢落水器、拦渣斗；。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285115</wp:posOffset>
                  </wp:positionV>
                  <wp:extent cx="514985" cy="516255"/>
                  <wp:effectExtent l="0" t="0" r="18415" b="17145"/>
                  <wp:wrapNone/>
                  <wp:docPr id="62" name="图片_59"/>
                  <wp:cNvGraphicFramePr/>
                  <a:graphic xmlns:a="http://schemas.openxmlformats.org/drawingml/2006/main">
                    <a:graphicData uri="http://schemas.openxmlformats.org/drawingml/2006/picture">
                      <pic:pic xmlns:pic="http://schemas.openxmlformats.org/drawingml/2006/picture">
                        <pic:nvPicPr>
                          <pic:cNvPr id="62" name="图片_59"/>
                          <pic:cNvPicPr/>
                        </pic:nvPicPr>
                        <pic:blipFill>
                          <a:blip r:embed="rId20"/>
                          <a:stretch>
                            <a:fillRect/>
                          </a:stretch>
                        </pic:blipFill>
                        <pic:spPr>
                          <a:xfrm>
                            <a:off x="0" y="0"/>
                            <a:ext cx="514985" cy="5162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说明：采用304采用优质发纹贴塑不锈钢板制作，δ=1.0mm。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规格：900×500×900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94615</wp:posOffset>
                  </wp:positionV>
                  <wp:extent cx="521970" cy="502920"/>
                  <wp:effectExtent l="0" t="0" r="11430" b="11430"/>
                  <wp:wrapNone/>
                  <wp:docPr id="68" name="图片_118"/>
                  <wp:cNvGraphicFramePr/>
                  <a:graphic xmlns:a="http://schemas.openxmlformats.org/drawingml/2006/main">
                    <a:graphicData uri="http://schemas.openxmlformats.org/drawingml/2006/picture">
                      <pic:pic xmlns:pic="http://schemas.openxmlformats.org/drawingml/2006/picture">
                        <pic:nvPicPr>
                          <pic:cNvPr id="68" name="图片_118"/>
                          <pic:cNvPicPr/>
                        </pic:nvPicPr>
                        <pic:blipFill>
                          <a:blip r:embed="rId21"/>
                          <a:stretch>
                            <a:fillRect/>
                          </a:stretch>
                        </pic:blipFill>
                        <pic:spPr>
                          <a:xfrm>
                            <a:off x="0" y="0"/>
                            <a:ext cx="521970" cy="5029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双星水池</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说明：采用304优质发纹贴塑不锈钢板制造，台面一次成型，台面δ=1.0mm，星盆斗δ=1.0mm，加强筋δ1.0mm；配置Φ38mm不锈钢可调节重力子弹脚，配优质不锈钢落水器、拦渣斗；。规格：1500×700×(800+150)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285115</wp:posOffset>
                  </wp:positionV>
                  <wp:extent cx="533400" cy="495300"/>
                  <wp:effectExtent l="0" t="0" r="0" b="0"/>
                  <wp:wrapNone/>
                  <wp:docPr id="69" name="图片_57"/>
                  <wp:cNvGraphicFramePr/>
                  <a:graphic xmlns:a="http://schemas.openxmlformats.org/drawingml/2006/main">
                    <a:graphicData uri="http://schemas.openxmlformats.org/drawingml/2006/picture">
                      <pic:pic xmlns:pic="http://schemas.openxmlformats.org/drawingml/2006/picture">
                        <pic:nvPicPr>
                          <pic:cNvPr id="69" name="图片_57"/>
                          <pic:cNvPicPr/>
                        </pic:nvPicPr>
                        <pic:blipFill>
                          <a:blip r:embed="rId22"/>
                          <a:stretch>
                            <a:fillRect/>
                          </a:stretch>
                        </pic:blipFill>
                        <pic:spPr>
                          <a:xfrm>
                            <a:off x="0" y="0"/>
                            <a:ext cx="533400" cy="4953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四层格栅货架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说明：采用304优质发纹贴塑不锈钢板制造，Φ38mm骨架δ=1.0mm, 25×38方管，格栅方管δ=1.0mm；配置φ38mm不锈钢可调节重力子弹脚。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规格：1200×500×1800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241935</wp:posOffset>
                  </wp:positionV>
                  <wp:extent cx="408940" cy="508000"/>
                  <wp:effectExtent l="0" t="0" r="10160" b="6350"/>
                  <wp:wrapNone/>
                  <wp:docPr id="55" name="图片_283"/>
                  <wp:cNvGraphicFramePr/>
                  <a:graphic xmlns:a="http://schemas.openxmlformats.org/drawingml/2006/main">
                    <a:graphicData uri="http://schemas.openxmlformats.org/drawingml/2006/picture">
                      <pic:pic xmlns:pic="http://schemas.openxmlformats.org/drawingml/2006/picture">
                        <pic:nvPicPr>
                          <pic:cNvPr id="55" name="图片_283"/>
                          <pic:cNvPicPr/>
                        </pic:nvPicPr>
                        <pic:blipFill>
                          <a:blip r:embed="rId23"/>
                          <a:stretch>
                            <a:fillRect/>
                          </a:stretch>
                        </pic:blipFill>
                        <pic:spPr>
                          <a:xfrm>
                            <a:off x="0" y="0"/>
                            <a:ext cx="408940" cy="5080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双层工作台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说明：采用304优质发纹贴塑不锈钢板制造，台面δ=1.0mm（下衬12mm防潮板减噪+不锈钢底板）。下层平板δ=0.8mm。加强筋δ=1.0mm，脚φ38×1.0mm（配有可调子弹脚）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220345</wp:posOffset>
                  </wp:positionV>
                  <wp:extent cx="657225" cy="504825"/>
                  <wp:effectExtent l="0" t="0" r="9525" b="9525"/>
                  <wp:wrapNone/>
                  <wp:docPr id="63" name="图片_822"/>
                  <wp:cNvGraphicFramePr/>
                  <a:graphic xmlns:a="http://schemas.openxmlformats.org/drawingml/2006/main">
                    <a:graphicData uri="http://schemas.openxmlformats.org/drawingml/2006/picture">
                      <pic:pic xmlns:pic="http://schemas.openxmlformats.org/drawingml/2006/picture">
                        <pic:nvPicPr>
                          <pic:cNvPr id="63" name="图片_822"/>
                          <pic:cNvPicPr/>
                        </pic:nvPicPr>
                        <pic:blipFill>
                          <a:blip r:embed="rId24"/>
                          <a:stretch>
                            <a:fillRect/>
                          </a:stretch>
                        </pic:blipFill>
                        <pic:spPr>
                          <a:xfrm>
                            <a:off x="0" y="0"/>
                            <a:ext cx="657225" cy="504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单星盆台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说明：采用304优质发纹贴塑不锈钢板制造，台面一次成型，台面δ=1.0mm，星盆斗δ=1.0mm，加强筋δ1.0mm；配置Φ38mm不锈钢可调节重力子弹脚，配优质不锈钢落水器、拦渣斗。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规格：1000*850×980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169545</wp:posOffset>
                  </wp:positionH>
                  <wp:positionV relativeFrom="paragraph">
                    <wp:posOffset>271780</wp:posOffset>
                  </wp:positionV>
                  <wp:extent cx="559435" cy="483235"/>
                  <wp:effectExtent l="0" t="0" r="12065" b="12065"/>
                  <wp:wrapNone/>
                  <wp:docPr id="72" name="图片_342"/>
                  <wp:cNvGraphicFramePr/>
                  <a:graphic xmlns:a="http://schemas.openxmlformats.org/drawingml/2006/main">
                    <a:graphicData uri="http://schemas.openxmlformats.org/drawingml/2006/picture">
                      <pic:pic xmlns:pic="http://schemas.openxmlformats.org/drawingml/2006/picture">
                        <pic:nvPicPr>
                          <pic:cNvPr id="72" name="图片_342"/>
                          <pic:cNvPicPr/>
                        </pic:nvPicPr>
                        <pic:blipFill>
                          <a:blip r:embed="rId25"/>
                          <a:stretch>
                            <a:fillRect/>
                          </a:stretch>
                        </pic:blipFill>
                        <pic:spPr>
                          <a:xfrm>
                            <a:off x="0" y="0"/>
                            <a:ext cx="559435" cy="4832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柜式净食机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1、采用SUS-304不锈钢板制作；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2、额定功率：1.5KW/220V；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3、高能离子功能团与细菌、病毒细胞外壳的脂蛋白与内表的脂多糖发生双链反应，并穿破细菌、病毒的细胞壁，破坏其代谢和繁殖过程，杀菌率达99.99%；</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4、高能离子功能团打断紧密相连的农药、激素、抗生素等有机化合物元素之间的共价键，农药、激素、抗生素等化合物被彻底降解为二氧化碳、水、无机盐，对人体和环境无害，农残降解达90%以上；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5、无管道泵清洗：采用无管道泵进行食材和水的翻滚搅动，翻滚均匀，每次清洗后不会因为有管道而在管道中藏有污水而形成二次残留污水，不会藏污藏水形成二次污染；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6、符合GB/T10125-2021《人造气氛腐蚀试验 盐雾试验》中性盐雾720H以上标准, 测试等级为9级；（提供具有CMA标志的检测报告）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7、符合GB/T2423.16-2022《环境试验 第2部分：试验方法 试验J和导则：长霉》长霉等级试验，长霉等级为0级；（提供具有CMAS标志的检测报告）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8、设备槽体/沥水篮/下水器符合GB-806.9-2016食品安全国家标准和食品接触安全认证；（提供带CMA标识的检测报告）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规格：1000*850*800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624840</wp:posOffset>
                  </wp:positionV>
                  <wp:extent cx="714375" cy="562610"/>
                  <wp:effectExtent l="0" t="0" r="9525" b="8890"/>
                  <wp:wrapNone/>
                  <wp:docPr id="56" name="图片_127"/>
                  <wp:cNvGraphicFramePr/>
                  <a:graphic xmlns:a="http://schemas.openxmlformats.org/drawingml/2006/main">
                    <a:graphicData uri="http://schemas.openxmlformats.org/drawingml/2006/picture">
                      <pic:pic xmlns:pic="http://schemas.openxmlformats.org/drawingml/2006/picture">
                        <pic:nvPicPr>
                          <pic:cNvPr id="56" name="图片_127"/>
                          <pic:cNvPicPr/>
                        </pic:nvPicPr>
                        <pic:blipFill>
                          <a:blip r:embed="rId26"/>
                          <a:stretch>
                            <a:fillRect/>
                          </a:stretch>
                        </pic:blipFill>
                        <pic:spPr>
                          <a:xfrm>
                            <a:off x="0" y="0"/>
                            <a:ext cx="714375" cy="5626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双星剖鱼台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说明：采用304优质发纹贴塑不锈钢板制造，台面一次成型，台面δ=1.0mm，星盆斗δ=1.0mm，加强筋δ1.0mm；侧板δ0.8mm；门面δ0.8mm；底板、层板δ0.8mm；加强筋δ1.0mm；重力脚Φ50*150不锈钢重力脚。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364490</wp:posOffset>
                  </wp:positionV>
                  <wp:extent cx="534035" cy="450215"/>
                  <wp:effectExtent l="0" t="0" r="18415" b="6985"/>
                  <wp:wrapNone/>
                  <wp:docPr id="53" name="图片_14"/>
                  <wp:cNvGraphicFramePr/>
                  <a:graphic xmlns:a="http://schemas.openxmlformats.org/drawingml/2006/main">
                    <a:graphicData uri="http://schemas.openxmlformats.org/drawingml/2006/picture">
                      <pic:pic xmlns:pic="http://schemas.openxmlformats.org/drawingml/2006/picture">
                        <pic:nvPicPr>
                          <pic:cNvPr id="53" name="图片_14"/>
                          <pic:cNvPicPr/>
                        </pic:nvPicPr>
                        <pic:blipFill>
                          <a:blip r:embed="rId27"/>
                          <a:stretch>
                            <a:fillRect/>
                          </a:stretch>
                        </pic:blipFill>
                        <pic:spPr>
                          <a:xfrm>
                            <a:off x="0" y="0"/>
                            <a:ext cx="534035" cy="4502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拼台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说明：采用304优质发纹贴塑不锈钢板制作，台面δ=1.0mmφ38mm厚度1.0mm不锈钢圆通腿，加强码用1.0mm不锈钢板，配不锈钢可调式子弹脚。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规格：1500×800×800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214630</wp:posOffset>
                  </wp:positionV>
                  <wp:extent cx="619125" cy="495935"/>
                  <wp:effectExtent l="0" t="0" r="9525" b="18415"/>
                  <wp:wrapNone/>
                  <wp:docPr id="71" name="图片_322"/>
                  <wp:cNvGraphicFramePr/>
                  <a:graphic xmlns:a="http://schemas.openxmlformats.org/drawingml/2006/main">
                    <a:graphicData uri="http://schemas.openxmlformats.org/drawingml/2006/picture">
                      <pic:pic xmlns:pic="http://schemas.openxmlformats.org/drawingml/2006/picture">
                        <pic:nvPicPr>
                          <pic:cNvPr id="71" name="图片_322"/>
                          <pic:cNvPicPr/>
                        </pic:nvPicPr>
                        <pic:blipFill>
                          <a:blip r:embed="rId28"/>
                          <a:stretch>
                            <a:fillRect/>
                          </a:stretch>
                        </pic:blipFill>
                        <pic:spPr>
                          <a:xfrm>
                            <a:off x="0" y="0"/>
                            <a:ext cx="619125" cy="4959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说明：台面鹅颈龙头，主体采用优质不锈钢制造，表面拉丝处理，内置陶瓷片阀芯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规格：双温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231775</wp:posOffset>
                  </wp:positionH>
                  <wp:positionV relativeFrom="paragraph">
                    <wp:posOffset>78105</wp:posOffset>
                  </wp:positionV>
                  <wp:extent cx="384810" cy="487680"/>
                  <wp:effectExtent l="0" t="0" r="15240" b="7620"/>
                  <wp:wrapNone/>
                  <wp:docPr id="57" name="图片_303"/>
                  <wp:cNvGraphicFramePr/>
                  <a:graphic xmlns:a="http://schemas.openxmlformats.org/drawingml/2006/main">
                    <a:graphicData uri="http://schemas.openxmlformats.org/drawingml/2006/picture">
                      <pic:pic xmlns:pic="http://schemas.openxmlformats.org/drawingml/2006/picture">
                        <pic:nvPicPr>
                          <pic:cNvPr id="57" name="图片_303"/>
                          <pic:cNvPicPr/>
                        </pic:nvPicPr>
                        <pic:blipFill>
                          <a:blip r:embed="rId29"/>
                          <a:stretch>
                            <a:fillRect/>
                          </a:stretch>
                        </pic:blipFill>
                        <pic:spPr>
                          <a:xfrm>
                            <a:off x="0" y="0"/>
                            <a:ext cx="384810" cy="4876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砧板连刀具消毒柜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说明：采用304优质发纹贴塑不锈钢板制造，δ=1.0mm，紫外线杀菌消毒；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规格：1200×600×1200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93980</wp:posOffset>
                  </wp:positionH>
                  <wp:positionV relativeFrom="paragraph">
                    <wp:posOffset>213360</wp:posOffset>
                  </wp:positionV>
                  <wp:extent cx="667385" cy="556260"/>
                  <wp:effectExtent l="0" t="0" r="18415" b="15240"/>
                  <wp:wrapNone/>
                  <wp:docPr id="60" name="Picture_21"/>
                  <wp:cNvGraphicFramePr/>
                  <a:graphic xmlns:a="http://schemas.openxmlformats.org/drawingml/2006/main">
                    <a:graphicData uri="http://schemas.openxmlformats.org/drawingml/2006/picture">
                      <pic:pic xmlns:pic="http://schemas.openxmlformats.org/drawingml/2006/picture">
                        <pic:nvPicPr>
                          <pic:cNvPr id="60" name="Picture_21"/>
                          <pic:cNvPicPr/>
                        </pic:nvPicPr>
                        <pic:blipFill>
                          <a:blip r:embed="rId30"/>
                          <a:stretch>
                            <a:fillRect/>
                          </a:stretch>
                        </pic:blipFill>
                        <pic:spPr>
                          <a:xfrm>
                            <a:off x="0" y="0"/>
                            <a:ext cx="667385" cy="556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挂壁式工具消毒柜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说明：采用304优质发纹贴塑不锈钢板制作.δ=1.0mm.采用紫外线消毒。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规格：1200×250×1500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292735</wp:posOffset>
                  </wp:positionV>
                  <wp:extent cx="492125" cy="371475"/>
                  <wp:effectExtent l="0" t="0" r="3175" b="9525"/>
                  <wp:wrapNone/>
                  <wp:docPr id="48" name="图片_7"/>
                  <wp:cNvGraphicFramePr/>
                  <a:graphic xmlns:a="http://schemas.openxmlformats.org/drawingml/2006/main">
                    <a:graphicData uri="http://schemas.openxmlformats.org/drawingml/2006/picture">
                      <pic:pic xmlns:pic="http://schemas.openxmlformats.org/drawingml/2006/picture">
                        <pic:nvPicPr>
                          <pic:cNvPr id="48" name="图片_7"/>
                          <pic:cNvPicPr/>
                        </pic:nvPicPr>
                        <pic:blipFill>
                          <a:blip r:embed="rId31"/>
                          <a:stretch>
                            <a:fillRect/>
                          </a:stretch>
                        </pic:blipFill>
                        <pic:spPr>
                          <a:xfrm>
                            <a:off x="0" y="0"/>
                            <a:ext cx="492125" cy="3714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砧墩架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说明：采用304优质发纹贴塑不锈钢板制造，三角形，骨架δ1.0mm Φ30不锈钢管；横档Φ25不锈钢管。可配Φ500砧板。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规格：Δ550×760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182245</wp:posOffset>
                  </wp:positionV>
                  <wp:extent cx="475615" cy="610870"/>
                  <wp:effectExtent l="0" t="0" r="635" b="17780"/>
                  <wp:wrapNone/>
                  <wp:docPr id="70" name="图片_285"/>
                  <wp:cNvGraphicFramePr/>
                  <a:graphic xmlns:a="http://schemas.openxmlformats.org/drawingml/2006/main">
                    <a:graphicData uri="http://schemas.openxmlformats.org/drawingml/2006/picture">
                      <pic:pic xmlns:pic="http://schemas.openxmlformats.org/drawingml/2006/picture">
                        <pic:nvPicPr>
                          <pic:cNvPr id="70" name="图片_285"/>
                          <pic:cNvPicPr/>
                        </pic:nvPicPr>
                        <pic:blipFill>
                          <a:blip r:embed="rId32"/>
                          <a:stretch>
                            <a:fillRect/>
                          </a:stretch>
                        </pic:blipFill>
                        <pic:spPr>
                          <a:xfrm>
                            <a:off x="0" y="0"/>
                            <a:ext cx="475615" cy="6108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绞切两用机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电量：1.1KW/380V；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1、绞肉产量:300KG/H（绞肉）、料口直径：55mm（绞肉）；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2、孔板尺寸：6mm/8mm（绞肉）、切片产量:500KG/H（切肉）；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3、切割厚度:3/4.5/6/8/10（切肉）、上入料口:130*110MM （切肉）；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下出料口:165*165MM（切肉）、机身钢板厚度:3MM(加厚不锈钢)；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4、主要核心配件为台湾品牌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5、绞肉端盖通过GB4806.9-2016食品接触检验，检验结果合格；</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6、绞肉输送螺杆通过GB4806.9-2016食品接触检验，检验结果合格；</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注：以上5-6条需提供经国家认可的检测机构出具的在其“认可的检测能力范围”内带“CMA,CNSA，SGS”标识的检测报告。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370840</wp:posOffset>
                  </wp:positionV>
                  <wp:extent cx="584200" cy="612140"/>
                  <wp:effectExtent l="0" t="0" r="6350" b="16510"/>
                  <wp:wrapNone/>
                  <wp:docPr id="58" name="图片_313"/>
                  <wp:cNvGraphicFramePr/>
                  <a:graphic xmlns:a="http://schemas.openxmlformats.org/drawingml/2006/main">
                    <a:graphicData uri="http://schemas.openxmlformats.org/drawingml/2006/picture">
                      <pic:pic xmlns:pic="http://schemas.openxmlformats.org/drawingml/2006/picture">
                        <pic:nvPicPr>
                          <pic:cNvPr id="58" name="图片_313"/>
                          <pic:cNvPicPr/>
                        </pic:nvPicPr>
                        <pic:blipFill>
                          <a:blip r:embed="rId33"/>
                          <a:stretch>
                            <a:fillRect/>
                          </a:stretch>
                        </pic:blipFill>
                        <pic:spPr>
                          <a:xfrm>
                            <a:off x="0" y="0"/>
                            <a:ext cx="584200" cy="6121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双头多功能切菜机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1、电源电压：220V/1.5kw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2、主要核心配件为台湾品牌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3、生产能力：300-1000KG/H</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4、叶菜切段规格：1-60mm(可调)</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5、传送带宽：120mm  机器需加大料斗，便于入料，加高机身，便于出料</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6、球茎切菜规格：可订做，切片2-10mm，切丝2-10mm，切丁6/8/10/12/15/20/25（mm)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7、产品通过GB4706.1-2005《家用和类 似用途电器的安全第1部分:通用要求》和GB 4706.38-2008《家用和类似用途电器的安全商用电动饮食加工机械的特殊要求》等18项安全检验，检验结果合格。(需提供经国家认可的检测机构出具的在其“认可的检测能力范围”内带“CMA,CNSA，CAL”标识的检测报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8、切菜机不锈钢内壁，传送带和刀片，符合GB4806.1-2016，GB4806.7-2016，GB4806.9-2016食品接触安全检测标准，检验结果合格。 (需提供经国家认可的检测机构出具的在其“认可的检测能力范围”内带“CMA,CNSA，CAL”标识的检测报告）。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110490</wp:posOffset>
                  </wp:positionH>
                  <wp:positionV relativeFrom="paragraph">
                    <wp:posOffset>426085</wp:posOffset>
                  </wp:positionV>
                  <wp:extent cx="643255" cy="555625"/>
                  <wp:effectExtent l="0" t="0" r="4445" b="15875"/>
                  <wp:wrapNone/>
                  <wp:docPr id="52" name="图片_316"/>
                  <wp:cNvGraphicFramePr/>
                  <a:graphic xmlns:a="http://schemas.openxmlformats.org/drawingml/2006/main">
                    <a:graphicData uri="http://schemas.openxmlformats.org/drawingml/2006/picture">
                      <pic:pic xmlns:pic="http://schemas.openxmlformats.org/drawingml/2006/picture">
                        <pic:nvPicPr>
                          <pic:cNvPr id="52" name="图片_316"/>
                          <pic:cNvPicPr/>
                        </pic:nvPicPr>
                        <pic:blipFill>
                          <a:blip r:embed="rId34"/>
                          <a:stretch>
                            <a:fillRect/>
                          </a:stretch>
                        </pic:blipFill>
                        <pic:spPr>
                          <a:xfrm>
                            <a:off x="0" y="0"/>
                            <a:ext cx="643255" cy="5556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四门冰箱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说明：1.内置蒸发器管，科学有效盘管，不易泄露，使用寿命长：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2.加厚发泡层，保温隔热效果好，能耗低：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3.采用绿色环保环戊烷发泡剂整体发泡，密度佳保温效果好；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4.内箱底板采用圆弧拉伸工艺，配合围板大圆孤设计，美观更易清洁：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5.采用优质加厚不锈钢正材制作，坚固耐用。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规格：1210×700×1915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174625</wp:posOffset>
                  </wp:positionH>
                  <wp:positionV relativeFrom="paragraph">
                    <wp:posOffset>398780</wp:posOffset>
                  </wp:positionV>
                  <wp:extent cx="531495" cy="718820"/>
                  <wp:effectExtent l="0" t="0" r="1905" b="5080"/>
                  <wp:wrapNone/>
                  <wp:docPr id="67" name="Picture_1_SpCnt_2"/>
                  <wp:cNvGraphicFramePr/>
                  <a:graphic xmlns:a="http://schemas.openxmlformats.org/drawingml/2006/main">
                    <a:graphicData uri="http://schemas.openxmlformats.org/drawingml/2006/picture">
                      <pic:pic xmlns:pic="http://schemas.openxmlformats.org/drawingml/2006/picture">
                        <pic:nvPicPr>
                          <pic:cNvPr id="67" name="Picture_1_SpCnt_2"/>
                          <pic:cNvPicPr/>
                        </pic:nvPicPr>
                        <pic:blipFill>
                          <a:blip r:embed="rId35"/>
                          <a:stretch>
                            <a:fillRect/>
                          </a:stretch>
                        </pic:blipFill>
                        <pic:spPr>
                          <a:xfrm>
                            <a:off x="0" y="0"/>
                            <a:ext cx="531495" cy="7188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智能热风双门消毒柜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面板δ1.0mm；侧板δ1.0mm；门面δ1.0mm；后板δ1.0mm；加强筋δ1.0mm；重力脚Φ50*150不锈钢重力脚。隔热保温层、热风风道、消毒室四层设计；柜内装有热风扇；设备能够在线检测所消毒餐具表面微生物细菌含量，检测范围:0-9999RLUs;检测时间：15秒；检测干扰：＋－5%；可储存2000个检测结果。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1、所投产品通过依据 GB/T36004食品接触表面清洗消毒效果试验方法三磷酸腺苷生物发光法的检测。（提供带有CMA标识检测报告进行佐证）</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规格：1250*650*1920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158115</wp:posOffset>
                  </wp:positionH>
                  <wp:positionV relativeFrom="paragraph">
                    <wp:posOffset>328930</wp:posOffset>
                  </wp:positionV>
                  <wp:extent cx="451485" cy="692785"/>
                  <wp:effectExtent l="0" t="0" r="5715" b="12065"/>
                  <wp:wrapNone/>
                  <wp:docPr id="61" name="图片_96"/>
                  <wp:cNvGraphicFramePr/>
                  <a:graphic xmlns:a="http://schemas.openxmlformats.org/drawingml/2006/main">
                    <a:graphicData uri="http://schemas.openxmlformats.org/drawingml/2006/picture">
                      <pic:pic xmlns:pic="http://schemas.openxmlformats.org/drawingml/2006/picture">
                        <pic:nvPicPr>
                          <pic:cNvPr id="61" name="图片_96"/>
                          <pic:cNvPicPr/>
                        </pic:nvPicPr>
                        <pic:blipFill>
                          <a:blip r:embed="rId36"/>
                          <a:stretch>
                            <a:fillRect/>
                          </a:stretch>
                        </pic:blipFill>
                        <pic:spPr>
                          <a:xfrm>
                            <a:off x="0" y="0"/>
                            <a:ext cx="451485" cy="692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高温冷藏库</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配法国爱默生压缩机，库板厚度为100mm聚胺基甲酸乙脂发泡料并贴SUS304-0.8mm厚不锈钢板，底板采用SUS304-1.2mm厚不锈钢板，丹佛斯膨胀阀、微电脑电控箱，丹佛斯电磁阀，化霜水管加电热丝冷库门配以自动回归门；内部安全式拉手门锁及防潮胶边；行针式温度表及冷库防雾灯等。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421005</wp:posOffset>
                  </wp:positionV>
                  <wp:extent cx="628650" cy="467360"/>
                  <wp:effectExtent l="0" t="0" r="0" b="8890"/>
                  <wp:wrapNone/>
                  <wp:docPr id="66" name="图片_322_SpCnt_1"/>
                  <wp:cNvGraphicFramePr/>
                  <a:graphic xmlns:a="http://schemas.openxmlformats.org/drawingml/2006/main">
                    <a:graphicData uri="http://schemas.openxmlformats.org/drawingml/2006/picture">
                      <pic:pic xmlns:pic="http://schemas.openxmlformats.org/drawingml/2006/picture">
                        <pic:nvPicPr>
                          <pic:cNvPr id="66" name="图片_322_SpCnt_1"/>
                          <pic:cNvPicPr/>
                        </pic:nvPicPr>
                        <pic:blipFill>
                          <a:blip r:embed="rId37"/>
                          <a:stretch>
                            <a:fillRect/>
                          </a:stretch>
                        </pic:blipFill>
                        <pic:spPr>
                          <a:xfrm>
                            <a:off x="0" y="0"/>
                            <a:ext cx="628650" cy="467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单向掀门调理台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 (下衬10.0密度板减噪)；侧板δ0.8mm；门面δ0.8mm；底板、层板δ0.8mm；加强筋δ1.0mm；重力脚Φ50*150不锈钢重力脚。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309245</wp:posOffset>
                  </wp:positionV>
                  <wp:extent cx="685165" cy="341630"/>
                  <wp:effectExtent l="0" t="0" r="635" b="1270"/>
                  <wp:wrapNone/>
                  <wp:docPr id="65" name="图片_32"/>
                  <wp:cNvGraphicFramePr/>
                  <a:graphic xmlns:a="http://schemas.openxmlformats.org/drawingml/2006/main">
                    <a:graphicData uri="http://schemas.openxmlformats.org/drawingml/2006/picture">
                      <pic:pic xmlns:pic="http://schemas.openxmlformats.org/drawingml/2006/picture">
                        <pic:nvPicPr>
                          <pic:cNvPr id="65" name="图片_32"/>
                          <pic:cNvPicPr/>
                        </pic:nvPicPr>
                        <pic:blipFill>
                          <a:blip r:embed="rId38"/>
                          <a:stretch>
                            <a:fillRect/>
                          </a:stretch>
                        </pic:blipFill>
                        <pic:spPr>
                          <a:xfrm>
                            <a:off x="0" y="0"/>
                            <a:ext cx="685165" cy="3416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双眼大锅灶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1、优质不锈钢板制造，面板、前脸板厚δ=1.2，台面一次压制成型；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2、外旁板、后立板201J1/J4板厚δ=1.0,龙骨架国标不锈钢方管25﹡38厚1.2,衬板电解镀锌钢板厚δ=1.5mm，灶身双层热轧钢板，隔热层厚40，炉膛50厚耐高温材料及50厚耐高温泥；</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3、配全预混式节能炉头，43V42W直流风机；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4、燃气泄漏报警自动关闭；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规格：2000×1200×(800+400)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135255</wp:posOffset>
                  </wp:positionH>
                  <wp:positionV relativeFrom="paragraph">
                    <wp:posOffset>803910</wp:posOffset>
                  </wp:positionV>
                  <wp:extent cx="611505" cy="525780"/>
                  <wp:effectExtent l="0" t="0" r="17145" b="7620"/>
                  <wp:wrapNone/>
                  <wp:docPr id="73" name="图片_14_SpCnt_1"/>
                  <wp:cNvGraphicFramePr/>
                  <a:graphic xmlns:a="http://schemas.openxmlformats.org/drawingml/2006/main">
                    <a:graphicData uri="http://schemas.openxmlformats.org/drawingml/2006/picture">
                      <pic:pic xmlns:pic="http://schemas.openxmlformats.org/drawingml/2006/picture">
                        <pic:nvPicPr>
                          <pic:cNvPr id="73" name="图片_14_SpCnt_1"/>
                          <pic:cNvPicPr/>
                        </pic:nvPicPr>
                        <pic:blipFill>
                          <a:blip r:embed="rId39"/>
                          <a:stretch>
                            <a:fillRect/>
                          </a:stretch>
                        </pic:blipFill>
                        <pic:spPr>
                          <a:xfrm>
                            <a:off x="0" y="0"/>
                            <a:ext cx="611505" cy="525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调料平台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 (下衬10.0密度板减噪)；加强筋δ1.0mm；脚Φ40*0.8mm (配有可调子弹脚)脚杯Φ50*100*0.8mm；横通Φ25*0.8mm。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规格：500×1200×(800+400)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216535</wp:posOffset>
                  </wp:positionV>
                  <wp:extent cx="613410" cy="478155"/>
                  <wp:effectExtent l="0" t="0" r="15240" b="17145"/>
                  <wp:wrapNone/>
                  <wp:docPr id="50" name="图片_54"/>
                  <wp:cNvGraphicFramePr/>
                  <a:graphic xmlns:a="http://schemas.openxmlformats.org/drawingml/2006/main">
                    <a:graphicData uri="http://schemas.openxmlformats.org/drawingml/2006/picture">
                      <pic:pic xmlns:pic="http://schemas.openxmlformats.org/drawingml/2006/picture">
                        <pic:nvPicPr>
                          <pic:cNvPr id="50" name="图片_54"/>
                          <pic:cNvPicPr/>
                        </pic:nvPicPr>
                        <pic:blipFill>
                          <a:blip r:embed="rId40"/>
                          <a:stretch>
                            <a:fillRect/>
                          </a:stretch>
                        </pic:blipFill>
                        <pic:spPr>
                          <a:xfrm>
                            <a:off x="0" y="0"/>
                            <a:ext cx="613410" cy="478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双眼炒灶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1、优质不锈钢板制造，面板、前脸板厚δ=1.2，台面一次压制成型：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2、外旁板、后立板201J1/J4板厚δ=1.0,龙骨架国标不锈钢方管25﹡38厚1.2,衬板电解镀锌钢板厚δ=1.2mm，灶身双层热轧钢板，隔热层厚40，炉膛50厚耐高温材料：</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3、炉膛采用不锈钢合金材料，一次成型，厚度2.0;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4、配全预混式节能炉头，43V42W直流风机；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5、燃气泄漏报警自动关闭；</w:t>
            </w:r>
            <w:bookmarkStart w:id="0" w:name="_GoBack"/>
            <w:bookmarkEnd w:id="0"/>
            <w:r>
              <w:rPr>
                <w:rFonts w:hint="eastAsia" w:ascii="宋体" w:hAnsi="宋体" w:eastAsia="宋体" w:cs="宋体"/>
                <w:i w:val="0"/>
                <w:iCs w:val="0"/>
                <w:color w:val="auto"/>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规格：2000×1200×(800+400)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653415</wp:posOffset>
                  </wp:positionV>
                  <wp:extent cx="739140" cy="773430"/>
                  <wp:effectExtent l="0" t="0" r="3810" b="7620"/>
                  <wp:wrapNone/>
                  <wp:docPr id="74" name="图片_16"/>
                  <wp:cNvGraphicFramePr/>
                  <a:graphic xmlns:a="http://schemas.openxmlformats.org/drawingml/2006/main">
                    <a:graphicData uri="http://schemas.openxmlformats.org/drawingml/2006/picture">
                      <pic:pic xmlns:pic="http://schemas.openxmlformats.org/drawingml/2006/picture">
                        <pic:nvPicPr>
                          <pic:cNvPr id="74" name="图片_16"/>
                          <pic:cNvPicPr/>
                        </pic:nvPicPr>
                        <pic:blipFill>
                          <a:blip r:embed="rId41"/>
                          <a:stretch>
                            <a:fillRect/>
                          </a:stretch>
                        </pic:blipFill>
                        <pic:spPr>
                          <a:xfrm>
                            <a:off x="0" y="0"/>
                            <a:ext cx="739140" cy="7734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单头矮仔炉</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电量：42W/1PH/220V；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1、优质SUS304-2B不锈钢板制造，面板板厚δ＝1.2,台面一次压制成型；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2、外旁板、门及后立板板厚δ＝1.0,龙骨架国标不锈钢方管25*38厚1.2，炉膛10厚陶瓷纤维隔热棉耐高温材料；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3、配全预混式节能炉头，36V42W直流风机。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4、燃气泄漏报警自动关闭；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5、火力为5档，火力大小数字可视化显示器，故障代码显示；规格：650×700×600+720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640715</wp:posOffset>
                  </wp:positionV>
                  <wp:extent cx="686435" cy="734695"/>
                  <wp:effectExtent l="0" t="0" r="18415" b="8255"/>
                  <wp:wrapNone/>
                  <wp:docPr id="51" name="图片_22"/>
                  <wp:cNvGraphicFramePr/>
                  <a:graphic xmlns:a="http://schemas.openxmlformats.org/drawingml/2006/main">
                    <a:graphicData uri="http://schemas.openxmlformats.org/drawingml/2006/picture">
                      <pic:pic xmlns:pic="http://schemas.openxmlformats.org/drawingml/2006/picture">
                        <pic:nvPicPr>
                          <pic:cNvPr id="51" name="图片_22"/>
                          <pic:cNvPicPr/>
                        </pic:nvPicPr>
                        <pic:blipFill>
                          <a:blip r:embed="rId42"/>
                          <a:stretch>
                            <a:fillRect/>
                          </a:stretch>
                        </pic:blipFill>
                        <pic:spPr>
                          <a:xfrm>
                            <a:off x="0" y="0"/>
                            <a:ext cx="686435" cy="734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双门蒸饭柜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盘数：24盘；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说明：采用304优质发纹贴塑不锈钢板制造，面板δ=1.0mm；侧板δ1.0mm；门面δ1.0mm；后板δ1.0mm；加强筋δ1.0mm；重力脚Φ50*150不锈钢重力脚。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规格：1380*610*1750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299085</wp:posOffset>
                  </wp:positionV>
                  <wp:extent cx="589280" cy="732790"/>
                  <wp:effectExtent l="0" t="0" r="1270" b="10160"/>
                  <wp:wrapNone/>
                  <wp:docPr id="49" name="图片_1"/>
                  <wp:cNvGraphicFramePr/>
                  <a:graphic xmlns:a="http://schemas.openxmlformats.org/drawingml/2006/main">
                    <a:graphicData uri="http://schemas.openxmlformats.org/drawingml/2006/picture">
                      <pic:pic xmlns:pic="http://schemas.openxmlformats.org/drawingml/2006/picture">
                        <pic:nvPicPr>
                          <pic:cNvPr id="49" name="图片_1"/>
                          <pic:cNvPicPr/>
                        </pic:nvPicPr>
                        <pic:blipFill>
                          <a:blip r:embed="rId43"/>
                          <a:stretch>
                            <a:fillRect/>
                          </a:stretch>
                        </pic:blipFill>
                        <pic:spPr>
                          <a:xfrm>
                            <a:off x="0" y="0"/>
                            <a:ext cx="589280" cy="7327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可倾式燃气夹层锅</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容量：200L；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说明：1.全不锈钢结构，锅体采用加厚不锈钢板模压成型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2.内装耐热保温装置，使用更节能，热效率可达80％以上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3.废气从背面集中排出，作业舒适安全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4.配压力表、安全阀。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规格：1470×1170×970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349885</wp:posOffset>
                  </wp:positionV>
                  <wp:extent cx="694690" cy="598805"/>
                  <wp:effectExtent l="0" t="0" r="10160" b="10795"/>
                  <wp:wrapNone/>
                  <wp:docPr id="46" name="Picture_14"/>
                  <wp:cNvGraphicFramePr/>
                  <a:graphic xmlns:a="http://schemas.openxmlformats.org/drawingml/2006/main">
                    <a:graphicData uri="http://schemas.openxmlformats.org/drawingml/2006/picture">
                      <pic:pic xmlns:pic="http://schemas.openxmlformats.org/drawingml/2006/picture">
                        <pic:nvPicPr>
                          <pic:cNvPr id="46" name="Picture_14"/>
                          <pic:cNvPicPr/>
                        </pic:nvPicPr>
                        <pic:blipFill>
                          <a:blip r:embed="rId44"/>
                          <a:stretch>
                            <a:fillRect/>
                          </a:stretch>
                        </pic:blipFill>
                        <pic:spPr>
                          <a:xfrm>
                            <a:off x="0" y="0"/>
                            <a:ext cx="694690" cy="5988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电磁单头56防积垢蒸炉</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、规格：≥800*800*（800+60）mm；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2、额定电压、功率：380V~、≥15kW；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3、汤锅：1个，≥Φ（D560`d450)*h（250+60）mm，容量：≥33L；</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4、汤锅材质：采用≧厚1.5~3.0mm的耐冲击、耐磨损、无涂层，经过PVD氮气沉相渗透技术处理的Q235#防积垢板材制作；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5、进水系统：1个，采用Ф4分304#300高弯龙头进水，龙头主体采用不锈钢06Cr19Ni10（SUS304#）材质，水龙头过滤网采用POM材质，水龙头密封硅胶垫采用硅胶材质；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6、整机采用SUS304#不锈钢板材制作：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A、面板、框架：釆用≥1.2mm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B、侧板、底板、门板：釆用≥1.0mm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7、质量要求：设备符合相关卫生、安全、节能、环保相关国家标准；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8、电磁单头56防积垢煮面炉（蒸炉）整机须同时具有：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①符合GB 4806.7-2016、GB 4806.9-2016、GB 4806.11-2016标准的食品接触安全认证标志试验报告和认证证书；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②符合GB4706.1-2005、GB4706.34-2008标准的≧26项安全型式试验报告和产品认证证书；</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（须提供相关材料进行佐证）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1280160</wp:posOffset>
                  </wp:positionV>
                  <wp:extent cx="561340" cy="507365"/>
                  <wp:effectExtent l="0" t="0" r="10160" b="6985"/>
                  <wp:wrapNone/>
                  <wp:docPr id="47" name="图片_7_SpCnt_1"/>
                  <wp:cNvGraphicFramePr/>
                  <a:graphic xmlns:a="http://schemas.openxmlformats.org/drawingml/2006/main">
                    <a:graphicData uri="http://schemas.openxmlformats.org/drawingml/2006/picture">
                      <pic:pic xmlns:pic="http://schemas.openxmlformats.org/drawingml/2006/picture">
                        <pic:nvPicPr>
                          <pic:cNvPr id="47" name="图片_7_SpCnt_1"/>
                          <pic:cNvPicPr/>
                        </pic:nvPicPr>
                        <pic:blipFill>
                          <a:blip r:embed="rId45"/>
                          <a:stretch>
                            <a:fillRect/>
                          </a:stretch>
                        </pic:blipFill>
                        <pic:spPr>
                          <a:xfrm>
                            <a:off x="0" y="0"/>
                            <a:ext cx="561340" cy="5073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暖饭/汤车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1、采用304优质发纹贴塑不锈钢板制造，δ=1.0mm，配减震静音轮；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2、减震静音轮的转向性能、转动性能、 抗静压能力等符合 GB/T 14687-2011 工业脚轮和车轮 标准的要求（提供带有CMA标识的检测报告）；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规格：600×600×700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276225</wp:posOffset>
                  </wp:positionV>
                  <wp:extent cx="513715" cy="486410"/>
                  <wp:effectExtent l="0" t="0" r="635" b="8890"/>
                  <wp:wrapNone/>
                  <wp:docPr id="83" name="图片_74"/>
                  <wp:cNvGraphicFramePr/>
                  <a:graphic xmlns:a="http://schemas.openxmlformats.org/drawingml/2006/main">
                    <a:graphicData uri="http://schemas.openxmlformats.org/drawingml/2006/picture">
                      <pic:pic xmlns:pic="http://schemas.openxmlformats.org/drawingml/2006/picture">
                        <pic:nvPicPr>
                          <pic:cNvPr id="83" name="图片_74"/>
                          <pic:cNvPicPr/>
                        </pic:nvPicPr>
                        <pic:blipFill>
                          <a:blip r:embed="rId46"/>
                          <a:stretch>
                            <a:fillRect/>
                          </a:stretch>
                        </pic:blipFill>
                        <pic:spPr>
                          <a:xfrm>
                            <a:off x="0" y="0"/>
                            <a:ext cx="513715" cy="4864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三层电烤箱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说明：1.烤盘升级,采用铝质,板材厚度至1.2mm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2.采用国内大厂家电脑板控制器,引进国外技术设计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4444365</wp:posOffset>
                  </wp:positionH>
                  <wp:positionV relativeFrom="paragraph">
                    <wp:posOffset>630555</wp:posOffset>
                  </wp:positionV>
                  <wp:extent cx="614680" cy="845185"/>
                  <wp:effectExtent l="0" t="0" r="13970" b="12065"/>
                  <wp:wrapNone/>
                  <wp:docPr id="81" name="Picture_8"/>
                  <wp:cNvGraphicFramePr/>
                  <a:graphic xmlns:a="http://schemas.openxmlformats.org/drawingml/2006/main">
                    <a:graphicData uri="http://schemas.openxmlformats.org/drawingml/2006/picture">
                      <pic:pic xmlns:pic="http://schemas.openxmlformats.org/drawingml/2006/picture">
                        <pic:nvPicPr>
                          <pic:cNvPr id="81" name="Picture_8"/>
                          <pic:cNvPicPr/>
                        </pic:nvPicPr>
                        <pic:blipFill>
                          <a:blip r:embed="rId47"/>
                          <a:stretch>
                            <a:fillRect/>
                          </a:stretch>
                        </pic:blipFill>
                        <pic:spPr>
                          <a:xfrm>
                            <a:off x="0" y="0"/>
                            <a:ext cx="614680" cy="84518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3.脚轮带刹车设计,方便推拉及固定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4.沾塑把手,手感细腻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5.后通风隔板夹层设计,防止打开排烟阀后箱体内温度急降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6.增加电子式控温模块,相比传统限温器,控温更加精准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7.微电脑控制器，控温更精准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8.加热管选自国内大厂家,效率高、升温快,304#材质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9.接电时零线火线接错后,控制器会显示报警,不会损坏线路及电器件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10.脚轮带刹车设计，方便推拉及固定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功率：14KW/380V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使用温度：0～380℃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规格；1200*1400*2000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万能蒸烤箱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功率：10KW/380V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说明：1.全不锈钢机身结构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内部为弧形转角不锈钢内胆，方便清洁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可容纳多种盘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微电脑自动控制集干蒸、湿蒸和烘烤等功能于一体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可自行设定多种程序,能减少繁复操作，提高工作效率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设有缓冲加热、门开关安全、蒸汽反馈等功能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缺水保护，防止发磁管干烧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 设有耐高温玻璃门及柜内照明灯，容易检视操作情况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可24小時連續烹煮功能及1/2節省能源烹煮法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 干蒸温度:30℃~300℃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 湿蒸温度:30℃~130℃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 烘烤温度:30℃~300℃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规格：870*770*1050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824865</wp:posOffset>
                  </wp:positionV>
                  <wp:extent cx="581660" cy="756285"/>
                  <wp:effectExtent l="0" t="0" r="8890" b="5715"/>
                  <wp:wrapNone/>
                  <wp:docPr id="77" name="图片_232"/>
                  <wp:cNvGraphicFramePr/>
                  <a:graphic xmlns:a="http://schemas.openxmlformats.org/drawingml/2006/main">
                    <a:graphicData uri="http://schemas.openxmlformats.org/drawingml/2006/picture">
                      <pic:pic xmlns:pic="http://schemas.openxmlformats.org/drawingml/2006/picture">
                        <pic:nvPicPr>
                          <pic:cNvPr id="77" name="图片_232"/>
                          <pic:cNvPicPr/>
                        </pic:nvPicPr>
                        <pic:blipFill>
                          <a:blip r:embed="rId48"/>
                          <a:stretch>
                            <a:fillRect/>
                          </a:stretch>
                        </pic:blipFill>
                        <pic:spPr>
                          <a:xfrm>
                            <a:off x="0" y="0"/>
                            <a:ext cx="581660" cy="7562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w:t>
            </w:r>
            <w:r>
              <w:rPr>
                <w:rFonts w:hint="eastAsia" w:ascii="宋体" w:hAnsi="宋体" w:cs="宋体"/>
                <w:i w:val="0"/>
                <w:iCs w:val="0"/>
                <w:color w:val="auto"/>
                <w:kern w:val="0"/>
                <w:sz w:val="20"/>
                <w:szCs w:val="20"/>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多功能搅拌机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1.精工电机，精铸机身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2.高强度齿轮，经久耐磨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3.机械式旋钮，安全耐用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4.渐进式微动开关支架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5.快接式搅拌器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6.摇杆式桶升降结构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7.旋压式固定把手，工作稳定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功率：1.5KW/3PH/380V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规格：620×620×1100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749935</wp:posOffset>
                  </wp:positionV>
                  <wp:extent cx="557530" cy="586105"/>
                  <wp:effectExtent l="0" t="0" r="13970" b="4445"/>
                  <wp:wrapNone/>
                  <wp:docPr id="78" name="Picture_1_SpCnt_3"/>
                  <wp:cNvGraphicFramePr/>
                  <a:graphic xmlns:a="http://schemas.openxmlformats.org/drawingml/2006/main">
                    <a:graphicData uri="http://schemas.openxmlformats.org/drawingml/2006/picture">
                      <pic:pic xmlns:pic="http://schemas.openxmlformats.org/drawingml/2006/picture">
                        <pic:nvPicPr>
                          <pic:cNvPr id="78" name="Picture_1_SpCnt_3"/>
                          <pic:cNvPicPr/>
                        </pic:nvPicPr>
                        <pic:blipFill>
                          <a:blip r:embed="rId49"/>
                          <a:stretch>
                            <a:fillRect/>
                          </a:stretch>
                        </pic:blipFill>
                        <pic:spPr>
                          <a:xfrm>
                            <a:off x="0" y="0"/>
                            <a:ext cx="557530" cy="5861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双速双动和面机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1.定时功能，省时省力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2.不锈钢护网，掀盖停机，安全防护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3.加重结构，坚固不断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4.带传动设计，防过载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5.加装电源开关，安全简便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6.不锈钢面桶，坚固耐用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面粉搅拌量：50Kg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功率：3/4.5+0.55KW/3PH/380V；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规格：1050×630×1250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709930</wp:posOffset>
                  </wp:positionV>
                  <wp:extent cx="428625" cy="504825"/>
                  <wp:effectExtent l="0" t="0" r="9525" b="9525"/>
                  <wp:wrapNone/>
                  <wp:docPr id="86" name="图片_2_SpCnt_1"/>
                  <wp:cNvGraphicFramePr/>
                  <a:graphic xmlns:a="http://schemas.openxmlformats.org/drawingml/2006/main">
                    <a:graphicData uri="http://schemas.openxmlformats.org/drawingml/2006/picture">
                      <pic:pic xmlns:pic="http://schemas.openxmlformats.org/drawingml/2006/picture">
                        <pic:nvPicPr>
                          <pic:cNvPr id="86" name="图片_2_SpCnt_1"/>
                          <pic:cNvPicPr/>
                        </pic:nvPicPr>
                        <pic:blipFill>
                          <a:blip r:embed="rId50"/>
                          <a:stretch>
                            <a:fillRect/>
                          </a:stretch>
                        </pic:blipFill>
                        <pic:spPr>
                          <a:xfrm>
                            <a:off x="0" y="0"/>
                            <a:ext cx="428625" cy="504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自动揉压面机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1.面团自动揉压折叠，面皮成型快，色泽好；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2.压辊表面做特殊处理，不易生锈；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3.厚度5-25mm手轮调节；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4.链条传动，噪音低；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防水等级：IPX1。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压辊调整范围：5-25mm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功率：3KW/3PH/380V；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规格：1220×700×1150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110490</wp:posOffset>
                  </wp:positionH>
                  <wp:positionV relativeFrom="paragraph">
                    <wp:posOffset>541655</wp:posOffset>
                  </wp:positionV>
                  <wp:extent cx="579755" cy="678180"/>
                  <wp:effectExtent l="0" t="0" r="10795" b="7620"/>
                  <wp:wrapNone/>
                  <wp:docPr id="87" name="Picture_79"/>
                  <wp:cNvGraphicFramePr/>
                  <a:graphic xmlns:a="http://schemas.openxmlformats.org/drawingml/2006/main">
                    <a:graphicData uri="http://schemas.openxmlformats.org/drawingml/2006/picture">
                      <pic:pic xmlns:pic="http://schemas.openxmlformats.org/drawingml/2006/picture">
                        <pic:nvPicPr>
                          <pic:cNvPr id="87" name="Picture_79"/>
                          <pic:cNvPicPr/>
                        </pic:nvPicPr>
                        <pic:blipFill>
                          <a:blip r:embed="rId51"/>
                          <a:stretch>
                            <a:fillRect/>
                          </a:stretch>
                        </pic:blipFill>
                        <pic:spPr>
                          <a:xfrm>
                            <a:off x="0" y="0"/>
                            <a:ext cx="579755" cy="6781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立式酥皮机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六极电机，设备结构牢固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砂瓦和转盘为金刚砂材质，永不脱砂、掀盖停机，自动出料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预留观察孔，自动定时、水箱内附滤网，防止堵塞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功率：0.75KW/3PH/380V；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规格：3450×950×1200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454025</wp:posOffset>
                  </wp:positionV>
                  <wp:extent cx="782955" cy="647700"/>
                  <wp:effectExtent l="0" t="0" r="17145" b="0"/>
                  <wp:wrapNone/>
                  <wp:docPr id="79" name="Picture_16"/>
                  <wp:cNvGraphicFramePr/>
                  <a:graphic xmlns:a="http://schemas.openxmlformats.org/drawingml/2006/main">
                    <a:graphicData uri="http://schemas.openxmlformats.org/drawingml/2006/picture">
                      <pic:pic xmlns:pic="http://schemas.openxmlformats.org/drawingml/2006/picture">
                        <pic:nvPicPr>
                          <pic:cNvPr id="79" name="Picture_16"/>
                          <pic:cNvPicPr/>
                        </pic:nvPicPr>
                        <pic:blipFill>
                          <a:blip r:embed="rId52"/>
                          <a:stretch>
                            <a:fillRect/>
                          </a:stretch>
                        </pic:blipFill>
                        <pic:spPr>
                          <a:xfrm>
                            <a:off x="0" y="0"/>
                            <a:ext cx="782955" cy="647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面粉操作台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1、采用304优质发纹贴塑不锈钢板制造，50mm面粉操作台面；四周不锈钢包边；加强筋δ1.0mm；脚Φ50*50*0.8mm；横通40*40*0.8；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2、投标人具有该产品的符合GB4806.1-2016食品安全国家标准 食品接触材料及制品通用安全要求和GB4806.7-2016食品安全国家标准 食品接触用塑料材料及制品的检测报告；（须提供相关材料佐证）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3、投标人具有该产品的符合GB4806.1-2016和符合GB4806.7-2016食品接触产品安全认证证书；（须提供相关证书佐证）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规格：1800×800×800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309880</wp:posOffset>
                  </wp:positionV>
                  <wp:extent cx="686435" cy="419735"/>
                  <wp:effectExtent l="0" t="0" r="18415" b="18415"/>
                  <wp:wrapNone/>
                  <wp:docPr id="80" name="图片_36"/>
                  <wp:cNvGraphicFramePr/>
                  <a:graphic xmlns:a="http://schemas.openxmlformats.org/drawingml/2006/main">
                    <a:graphicData uri="http://schemas.openxmlformats.org/drawingml/2006/picture">
                      <pic:pic xmlns:pic="http://schemas.openxmlformats.org/drawingml/2006/picture">
                        <pic:nvPicPr>
                          <pic:cNvPr id="80" name="图片_36"/>
                          <pic:cNvPicPr/>
                        </pic:nvPicPr>
                        <pic:blipFill>
                          <a:blip r:embed="rId53"/>
                          <a:stretch>
                            <a:fillRect/>
                          </a:stretch>
                        </pic:blipFill>
                        <pic:spPr>
                          <a:xfrm>
                            <a:off x="0" y="0"/>
                            <a:ext cx="686435" cy="4197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单向移门调理台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 (下衬10.0密度板减噪)；侧板δ0.8mm；门面δ0.8mm；底板、层板δ0.8mm；加强筋δ1.0mm；重力脚Φ50*150不锈钢重力脚。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309245</wp:posOffset>
                  </wp:positionV>
                  <wp:extent cx="685165" cy="341630"/>
                  <wp:effectExtent l="0" t="0" r="635" b="1270"/>
                  <wp:wrapNone/>
                  <wp:docPr id="88" name="图片_32_SpCnt_1"/>
                  <wp:cNvGraphicFramePr/>
                  <a:graphic xmlns:a="http://schemas.openxmlformats.org/drawingml/2006/main">
                    <a:graphicData uri="http://schemas.openxmlformats.org/drawingml/2006/picture">
                      <pic:pic xmlns:pic="http://schemas.openxmlformats.org/drawingml/2006/picture">
                        <pic:nvPicPr>
                          <pic:cNvPr id="88" name="图片_32_SpCnt_1"/>
                          <pic:cNvPicPr/>
                        </pic:nvPicPr>
                        <pic:blipFill>
                          <a:blip r:embed="rId38"/>
                          <a:stretch>
                            <a:fillRect/>
                          </a:stretch>
                        </pic:blipFill>
                        <pic:spPr>
                          <a:xfrm>
                            <a:off x="0" y="0"/>
                            <a:ext cx="685165" cy="3416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洗手池连脚踏水龙头</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 δ=1.0mm，星盆斗δ=1.0mm，配优质不锈钢落水器、拦渣斗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规格：500×400×200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178435</wp:posOffset>
                  </wp:positionV>
                  <wp:extent cx="552450" cy="467995"/>
                  <wp:effectExtent l="0" t="0" r="0" b="8255"/>
                  <wp:wrapNone/>
                  <wp:docPr id="91" name="图片_11"/>
                  <wp:cNvGraphicFramePr/>
                  <a:graphic xmlns:a="http://schemas.openxmlformats.org/drawingml/2006/main">
                    <a:graphicData uri="http://schemas.openxmlformats.org/drawingml/2006/picture">
                      <pic:pic xmlns:pic="http://schemas.openxmlformats.org/drawingml/2006/picture">
                        <pic:nvPicPr>
                          <pic:cNvPr id="91" name="图片_11"/>
                          <pic:cNvPicPr/>
                        </pic:nvPicPr>
                        <pic:blipFill>
                          <a:blip r:embed="rId54"/>
                          <a:stretch>
                            <a:fillRect/>
                          </a:stretch>
                        </pic:blipFill>
                        <pic:spPr>
                          <a:xfrm>
                            <a:off x="0" y="0"/>
                            <a:ext cx="552450" cy="4679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风淋房 </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1.本风淋室一次可容纳3~4人吹淋，吹淋时间为10—30秒/次。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2.设备箱体材料为SUS304不锈钢，厚度1mm（实厚0.9）。 内衬龙骨，牢固平整。底板为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不锈钢50×25方管满焊焊接而成内衬高密度复合板，平整度更高；上铺304防滑不锈钢拉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丝板。门体及门框架为304不锈钢方管,坚固耐用。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3.风淋喷嘴总数40个，喷嘴方向360度任意可调.采用SUS不锈钢材质嵌入式设计，喷嘴出口风速20~25m/s。三面吹风，风淋效果佳。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本风淋室采用4套高效过滤器（效率≥99.9%）过滤器对于粒径≥0.5um的尘埃达到≥99.9%过滤效率，达到静态千级的净化效果；4台1.1KW的高压离心风机，离心风机相关参数如下：流量：2550m3/h、全压1150pa、噪音≤78db、转速：2840r/min 、电压：380V 、频率：50Hz、保证风速。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5.不锈钢感应门进出。门扇采用优质不锈钢方管50*25满焊焊接而成。美观漂亮。人员进出风淋室，门自动开关。门扇上嵌5MM钢化玻璃，采用铝压条及无硅密封胶固定，打胶均匀。颜色为银灰色。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6.风淋室双门含电子互联锁功能。一扇门打开，另一扇门打不开，吹淋时双门都打不开，保证员工有效吹淋。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7.人员进入风淋室，红外线探头自动感应启动风淋。下班如从风淋返回，则风淋不启动。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8.采用优质led超薄嵌入式筒灯，吸顶式安装，照明具有延时功能。开门照明灯开启，风淋完毕，照明延时60秒关闭。便于人员进出风淋室。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功率：4.5KW/380V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外形尺寸：2450×2120×2200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1960880</wp:posOffset>
                  </wp:positionV>
                  <wp:extent cx="580390" cy="762635"/>
                  <wp:effectExtent l="0" t="0" r="10160" b="18415"/>
                  <wp:wrapNone/>
                  <wp:docPr id="82" name="图片_355"/>
                  <wp:cNvGraphicFramePr/>
                  <a:graphic xmlns:a="http://schemas.openxmlformats.org/drawingml/2006/main">
                    <a:graphicData uri="http://schemas.openxmlformats.org/drawingml/2006/picture">
                      <pic:pic xmlns:pic="http://schemas.openxmlformats.org/drawingml/2006/picture">
                        <pic:nvPicPr>
                          <pic:cNvPr id="82" name="图片_355"/>
                          <pic:cNvPicPr/>
                        </pic:nvPicPr>
                        <pic:blipFill>
                          <a:blip r:embed="rId55"/>
                          <a:stretch>
                            <a:fillRect/>
                          </a:stretch>
                        </pic:blipFill>
                        <pic:spPr>
                          <a:xfrm>
                            <a:off x="0" y="0"/>
                            <a:ext cx="580390" cy="7626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吊式储藏柜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说明：采用304优质发纹贴塑不锈钢板制造，台面δ=1.0mm；侧板δ1.0mm；门面δ1.0mm；底板、层板δ1.0mm；后板δ1.0mm，加强筋δ1.0mm；固定在墙上。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规格：1800×350×600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318135</wp:posOffset>
                  </wp:positionV>
                  <wp:extent cx="685800" cy="486410"/>
                  <wp:effectExtent l="0" t="0" r="0" b="8890"/>
                  <wp:wrapNone/>
                  <wp:docPr id="84" name="图片_46"/>
                  <wp:cNvGraphicFramePr/>
                  <a:graphic xmlns:a="http://schemas.openxmlformats.org/drawingml/2006/main">
                    <a:graphicData uri="http://schemas.openxmlformats.org/drawingml/2006/picture">
                      <pic:pic xmlns:pic="http://schemas.openxmlformats.org/drawingml/2006/picture">
                        <pic:nvPicPr>
                          <pic:cNvPr id="84" name="图片_46"/>
                          <pic:cNvPicPr/>
                        </pic:nvPicPr>
                        <pic:blipFill>
                          <a:blip r:embed="rId56"/>
                          <a:stretch>
                            <a:fillRect/>
                          </a:stretch>
                        </pic:blipFill>
                        <pic:spPr>
                          <a:xfrm>
                            <a:off x="0" y="0"/>
                            <a:ext cx="685800" cy="4864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w:t>
            </w:r>
            <w:r>
              <w:rPr>
                <w:rFonts w:hint="eastAsia" w:ascii="宋体" w:hAnsi="宋体" w:cs="宋体"/>
                <w:i w:val="0"/>
                <w:iCs w:val="0"/>
                <w:color w:val="auto"/>
                <w:sz w:val="20"/>
                <w:szCs w:val="20"/>
                <w:u w:val="none"/>
                <w:lang w:val="en-US" w:eastAsia="zh-CN"/>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智能热风单门消毒柜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说明：采用304优质发纹贴塑不锈钢板制造，面板δ1.0mm；侧板δ1.0mm；门面δ1.0mm；后板δ1.0mm；加强筋δ1.0mm；重力脚Φ50*150不锈钢重力脚。隔热保温层、热风风道、消毒室四层设计；柜内装有热风扇。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规格：620*650*1920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229870</wp:posOffset>
                  </wp:positionH>
                  <wp:positionV relativeFrom="paragraph">
                    <wp:posOffset>294640</wp:posOffset>
                  </wp:positionV>
                  <wp:extent cx="428625" cy="761365"/>
                  <wp:effectExtent l="0" t="0" r="9525" b="635"/>
                  <wp:wrapNone/>
                  <wp:docPr id="85" name="图片_262"/>
                  <wp:cNvGraphicFramePr/>
                  <a:graphic xmlns:a="http://schemas.openxmlformats.org/drawingml/2006/main">
                    <a:graphicData uri="http://schemas.openxmlformats.org/drawingml/2006/picture">
                      <pic:pic xmlns:pic="http://schemas.openxmlformats.org/drawingml/2006/picture">
                        <pic:nvPicPr>
                          <pic:cNvPr id="85" name="图片_262"/>
                          <pic:cNvPicPr/>
                        </pic:nvPicPr>
                        <pic:blipFill>
                          <a:blip r:embed="rId57"/>
                          <a:stretch>
                            <a:fillRect/>
                          </a:stretch>
                        </pic:blipFill>
                        <pic:spPr>
                          <a:xfrm>
                            <a:off x="0" y="0"/>
                            <a:ext cx="428625" cy="7613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双星水池柜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说明：采用304优质发纹贴塑不锈钢板制造，台面一次成型，台面δ=1.0mm，星盆斗δ=1.0mm，加强筋δ1.0mm；侧板δ0.8mm；门面δ0.8mm；底板、层板δ0.8mm；加强筋δ1.0mm；重力脚Φ50*150不锈钢重力脚。前开门，两头封板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387985</wp:posOffset>
                  </wp:positionV>
                  <wp:extent cx="633095" cy="525780"/>
                  <wp:effectExtent l="0" t="0" r="14605" b="7620"/>
                  <wp:wrapNone/>
                  <wp:docPr id="89" name="图片_25"/>
                  <wp:cNvGraphicFramePr/>
                  <a:graphic xmlns:a="http://schemas.openxmlformats.org/drawingml/2006/main">
                    <a:graphicData uri="http://schemas.openxmlformats.org/drawingml/2006/picture">
                      <pic:pic xmlns:pic="http://schemas.openxmlformats.org/drawingml/2006/picture">
                        <pic:nvPicPr>
                          <pic:cNvPr id="89" name="图片_25"/>
                          <pic:cNvPicPr/>
                        </pic:nvPicPr>
                        <pic:blipFill>
                          <a:blip r:embed="rId58"/>
                          <a:stretch>
                            <a:fillRect/>
                          </a:stretch>
                        </pic:blipFill>
                        <pic:spPr>
                          <a:xfrm>
                            <a:off x="0" y="0"/>
                            <a:ext cx="633095" cy="525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47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电动保温送餐车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说明：材质：全车采用304不锈钢，食品接触级材质。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温度范围：0-100℃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1.智能控制，显示更直观，操作更简单，台面δ=1.0mm；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2.内设高温消更安全；采用充电保温技术更方便；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3.整车双层保温结构，减少热量损失，节能，减噪。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4.优化设计，更大空间，更大容量。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5.投标人具有保温车的符合GB/T 4208-2017标准《防水等级认证证书》达到IPX6级或以上；                                           6.投标人具有车轮依据GB/T14687的检测报告，其中胶轮硬度、制动性能、搞静压能力等均需合格；</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规格：1360*730*1350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835025</wp:posOffset>
                  </wp:positionV>
                  <wp:extent cx="666750" cy="647700"/>
                  <wp:effectExtent l="0" t="0" r="0" b="0"/>
                  <wp:wrapNone/>
                  <wp:docPr id="90" name="图片_36_SpCnt_1"/>
                  <wp:cNvGraphicFramePr/>
                  <a:graphic xmlns:a="http://schemas.openxmlformats.org/drawingml/2006/main">
                    <a:graphicData uri="http://schemas.openxmlformats.org/drawingml/2006/picture">
                      <pic:pic xmlns:pic="http://schemas.openxmlformats.org/drawingml/2006/picture">
                        <pic:nvPicPr>
                          <pic:cNvPr id="90" name="图片_36_SpCnt_1"/>
                          <pic:cNvPicPr/>
                        </pic:nvPicPr>
                        <pic:blipFill>
                          <a:blip r:embed="rId59"/>
                          <a:stretch>
                            <a:fillRect/>
                          </a:stretch>
                        </pic:blipFill>
                        <pic:spPr>
                          <a:xfrm>
                            <a:off x="0" y="0"/>
                            <a:ext cx="666750" cy="6477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48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四门保洁柜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说明：采用304优质发纹贴塑不锈钢板制造，层板δ=1.0mm。侧板、门板δ=1.2mm不锈钢板，加强筋采用δ=1.0mm,配四扇移门，内分四层，重力脚Φ50×150不锈钢重力脚。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规格：1200×500×1800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78740</wp:posOffset>
                  </wp:positionV>
                  <wp:extent cx="527685" cy="635635"/>
                  <wp:effectExtent l="0" t="0" r="5715" b="12065"/>
                  <wp:wrapNone/>
                  <wp:docPr id="75" name="图片_358"/>
                  <wp:cNvGraphicFramePr/>
                  <a:graphic xmlns:a="http://schemas.openxmlformats.org/drawingml/2006/main">
                    <a:graphicData uri="http://schemas.openxmlformats.org/drawingml/2006/picture">
                      <pic:pic xmlns:pic="http://schemas.openxmlformats.org/drawingml/2006/picture">
                        <pic:nvPicPr>
                          <pic:cNvPr id="75" name="图片_358"/>
                          <pic:cNvPicPr/>
                        </pic:nvPicPr>
                        <pic:blipFill>
                          <a:blip r:embed="rId60"/>
                          <a:stretch>
                            <a:fillRect/>
                          </a:stretch>
                        </pic:blipFill>
                        <pic:spPr>
                          <a:xfrm>
                            <a:off x="0" y="0"/>
                            <a:ext cx="527685" cy="6356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49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紫外线消毒灯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品牌：金卫士、飞利浦、雪莱特</w:t>
            </w:r>
            <w:r>
              <w:rPr>
                <w:rFonts w:hint="eastAsia" w:ascii="宋体" w:hAnsi="宋体" w:cs="宋体"/>
                <w:i w:val="0"/>
                <w:iCs w:val="0"/>
                <w:color w:val="auto"/>
                <w:kern w:val="0"/>
                <w:sz w:val="20"/>
                <w:szCs w:val="20"/>
                <w:u w:val="none"/>
                <w:lang w:val="en-US" w:eastAsia="zh-CN" w:bidi="ar"/>
              </w:rPr>
              <w:t>、“或相当于”（提供佐证材料）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说明：杀灭包括细菌繁殖体、芽胞、分支杆菌冠状病毒、真菌、立克次体和衣原体等。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114935</wp:posOffset>
                  </wp:positionH>
                  <wp:positionV relativeFrom="paragraph">
                    <wp:posOffset>262255</wp:posOffset>
                  </wp:positionV>
                  <wp:extent cx="610235" cy="255905"/>
                  <wp:effectExtent l="0" t="0" r="18415" b="10795"/>
                  <wp:wrapNone/>
                  <wp:docPr id="76" name="图片_14_SpCnt_2"/>
                  <wp:cNvGraphicFramePr/>
                  <a:graphic xmlns:a="http://schemas.openxmlformats.org/drawingml/2006/main">
                    <a:graphicData uri="http://schemas.openxmlformats.org/drawingml/2006/picture">
                      <pic:pic xmlns:pic="http://schemas.openxmlformats.org/drawingml/2006/picture">
                        <pic:nvPicPr>
                          <pic:cNvPr id="76" name="图片_14_SpCnt_2"/>
                          <pic:cNvPicPr/>
                        </pic:nvPicPr>
                        <pic:blipFill>
                          <a:blip r:embed="rId61"/>
                          <a:stretch>
                            <a:fillRect/>
                          </a:stretch>
                        </pic:blipFill>
                        <pic:spPr>
                          <a:xfrm>
                            <a:off x="0" y="0"/>
                            <a:ext cx="610235" cy="2559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小型自动炒菜机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说明：1、采用304不锈钢机身，与食品接触部份采用食品级接触材料，保障食品安全；                 2、IPX4防护等级，可承受多方位淋水测试；                                                      3、满足固体、液体、酱料等13种多形态调料的自动、高精度投放。固体气力无接触下料；              4、盛料容器方便快捷清洗。管路能够一键自动清洗，消毒，烘干等，保证食品安全；                   5、15kW/380V澎湃动力，多档细分火力，极速加热，整机尺寸720*750*1050；                                6、云端服务+CookOS边缘端控制，多终端互联，手机APP轻松管理后厨设备及烹饪，远程调配资源；        7、不限量云端菜谱，手机APP随时随地编辑云菜谱；设备刷新即可获取；智能匹配火候及调料曲线，100%复制还原大厨技艺，厨工也能炒出星厨口感；                                                     8、炒菜机滚筒须通过GB4806.7的《食品接触用塑料材料及制品》、GB4806.9的《食品接触用金属材料及制品》检测，提供权威报告进行佐证；                                                               9、炒菜机滚筒须通过GB/T 4706.1的《家用和类似用途电器的安全 第一部分：通用要求》检测，提供权威报告进行佐证；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bdr w:val="single" w:color="000000" w:sz="4" w:space="0"/>
                <w:lang w:val="en-US" w:eastAsia="zh-CN" w:bidi="ar"/>
              </w:rPr>
            </w:pPr>
            <w:r>
              <w:rPr>
                <w:color w:val="auto"/>
              </w:rPr>
              <w:drawing>
                <wp:inline distT="0" distB="0" distL="114300" distR="114300">
                  <wp:extent cx="814705" cy="1345565"/>
                  <wp:effectExtent l="0" t="0" r="4445" b="6985"/>
                  <wp:docPr id="384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 name="图片 1"/>
                          <pic:cNvPicPr>
                            <a:picLocks noChangeAspect="1"/>
                          </pic:cNvPicPr>
                        </pic:nvPicPr>
                        <pic:blipFill>
                          <a:blip r:embed="rId62"/>
                          <a:stretch>
                            <a:fillRect/>
                          </a:stretch>
                        </pic:blipFill>
                        <pic:spPr>
                          <a:xfrm>
                            <a:off x="0" y="0"/>
                            <a:ext cx="814705" cy="134556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平冷工作台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温度：-10℃~+10℃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说明：1.内置蒸发器管，科学有效盘管，不易泄露，使用寿命长：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2.加厚发泡层，保温隔热效果好，能耗低：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3.采用绿色环保环戊烷发泡剂整体发泡，密度佳保温效果好；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4.内箱底板采用圆弧拉伸工艺，配合围板大圆孤设计，美观更易清洁：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5.采用优质加厚不锈钢正材制作，坚固耐用。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规格：1800×760×800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756285</wp:posOffset>
                  </wp:positionV>
                  <wp:extent cx="776605" cy="396875"/>
                  <wp:effectExtent l="0" t="0" r="4445" b="3175"/>
                  <wp:wrapNone/>
                  <wp:docPr id="15" name="Picture_3"/>
                  <wp:cNvGraphicFramePr/>
                  <a:graphic xmlns:a="http://schemas.openxmlformats.org/drawingml/2006/main">
                    <a:graphicData uri="http://schemas.openxmlformats.org/drawingml/2006/picture">
                      <pic:pic xmlns:pic="http://schemas.openxmlformats.org/drawingml/2006/picture">
                        <pic:nvPicPr>
                          <pic:cNvPr id="15" name="Picture_3"/>
                          <pic:cNvPicPr/>
                        </pic:nvPicPr>
                        <pic:blipFill>
                          <a:blip r:embed="rId63"/>
                          <a:stretch>
                            <a:fillRect/>
                          </a:stretch>
                        </pic:blipFill>
                        <pic:spPr>
                          <a:xfrm>
                            <a:off x="0" y="0"/>
                            <a:ext cx="776605" cy="396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台上双层架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说明：采用304优质发纹贴塑不锈钢板制造，δ=1.0mm。加强筋δ1.0mm；。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规格：1800×300×600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316230</wp:posOffset>
                  </wp:positionV>
                  <wp:extent cx="542290" cy="357505"/>
                  <wp:effectExtent l="0" t="0" r="10160" b="4445"/>
                  <wp:wrapNone/>
                  <wp:docPr id="9" name="图片_28"/>
                  <wp:cNvGraphicFramePr/>
                  <a:graphic xmlns:a="http://schemas.openxmlformats.org/drawingml/2006/main">
                    <a:graphicData uri="http://schemas.openxmlformats.org/drawingml/2006/picture">
                      <pic:pic xmlns:pic="http://schemas.openxmlformats.org/drawingml/2006/picture">
                        <pic:nvPicPr>
                          <pic:cNvPr id="9" name="图片_28"/>
                          <pic:cNvPicPr/>
                        </pic:nvPicPr>
                        <pic:blipFill>
                          <a:blip r:embed="rId64"/>
                          <a:stretch>
                            <a:fillRect/>
                          </a:stretch>
                        </pic:blipFill>
                        <pic:spPr>
                          <a:xfrm>
                            <a:off x="0" y="0"/>
                            <a:ext cx="542290" cy="3575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全自动炒菜机</w:t>
            </w:r>
            <w:r>
              <w:rPr>
                <w:rFonts w:hint="eastAsia" w:ascii="宋体" w:hAnsi="宋体" w:cs="宋体"/>
                <w:i w:val="0"/>
                <w:iCs w:val="0"/>
                <w:color w:val="auto"/>
                <w:kern w:val="0"/>
                <w:sz w:val="20"/>
                <w:szCs w:val="20"/>
                <w:u w:val="none"/>
                <w:lang w:val="en-US" w:eastAsia="zh-CN" w:bidi="ar"/>
              </w:rPr>
              <w:t>（蒸汽）</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材</w:t>
            </w:r>
            <w:r>
              <w:rPr>
                <w:rFonts w:hint="eastAsia" w:ascii="宋体" w:hAnsi="宋体" w:eastAsia="宋体" w:cs="宋体"/>
                <w:i w:val="0"/>
                <w:iCs w:val="0"/>
                <w:color w:val="auto"/>
                <w:kern w:val="0"/>
                <w:sz w:val="20"/>
                <w:szCs w:val="20"/>
                <w:u w:val="none"/>
                <w:lang w:val="en-US" w:eastAsia="zh-CN" w:bidi="ar"/>
              </w:rPr>
              <w:t>质：采用优质不锈钢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用途：院校机关食堂、中央厨房团膳、工厂员工食堂、酒楼等团餐场所；适用于自动煸炒烹饪炒菜、炒饭、炒粉、炒面等。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产能：单次烹饪15-30kg。平均烹饪周期：8-12分钟；</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电压：380V /50Hz 功率：25kW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滚筒：Φ700*H700mm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滚筒炒菜容量：15-30kg/T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滚筒材质：430#不锈钢选装不粘锅</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显示屏：7寸触模显示屏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翻锅方式：机械式自动翻锅（无极多角度）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安全防护：带急停功能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控制方式：8/9档火力调节，无极调速翻炒</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清洗：高压水枪清洗，快捷高效</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1.提供产品具有符合GB4906.94国家标准的检测报告。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-44450</wp:posOffset>
                  </wp:positionH>
                  <wp:positionV relativeFrom="paragraph">
                    <wp:posOffset>913130</wp:posOffset>
                  </wp:positionV>
                  <wp:extent cx="775970" cy="824865"/>
                  <wp:effectExtent l="0" t="0" r="5080" b="13335"/>
                  <wp:wrapNone/>
                  <wp:docPr id="8" name="图片_369"/>
                  <wp:cNvGraphicFramePr/>
                  <a:graphic xmlns:a="http://schemas.openxmlformats.org/drawingml/2006/main">
                    <a:graphicData uri="http://schemas.openxmlformats.org/drawingml/2006/picture">
                      <pic:pic xmlns:pic="http://schemas.openxmlformats.org/drawingml/2006/picture">
                        <pic:nvPicPr>
                          <pic:cNvPr id="8" name="图片_369"/>
                          <pic:cNvPicPr/>
                        </pic:nvPicPr>
                        <pic:blipFill>
                          <a:blip r:embed="rId65"/>
                          <a:stretch>
                            <a:fillRect/>
                          </a:stretch>
                        </pic:blipFill>
                        <pic:spPr>
                          <a:xfrm>
                            <a:off x="0" y="0"/>
                            <a:ext cx="775970" cy="8248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四头燃气煲仔炉连柜座</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说明：采用304优质发纹贴塑不锈钢板制造，骨架δ=1.0mm, 30×30方管，栅板δ=1.0mm；配置Φ38mm不锈钢可调节重力子弹脚, 燃气旺火型，强力炉炉芯。带长明火装置，方钢炉栅。侧板δ1.0mm；门面δ1.0mm；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规格：600×700×(800+150)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三门海鲜蒸柜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电量：0.3KW/1PH/220V。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说明：1、额定电压：AC220V-240V，额定频率：50/60Hz，额定热负荷：26kW，额定功率：42W，额定气压：2.0kPa，进气口：DN20，进水管：DN15，排水管：DN25；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2、优质SUS304-2B不锈钢板制造，内胆板厚δ＝1.2；外旁板、门及后立板201J1/J4、板厚δ＝1.0；不含盘；</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3.全新内燃式环保高效火排及全不锈钢水胆结构，防干烧功能；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4335780</wp:posOffset>
                  </wp:positionH>
                  <wp:positionV relativeFrom="paragraph">
                    <wp:posOffset>292100</wp:posOffset>
                  </wp:positionV>
                  <wp:extent cx="733425" cy="1014095"/>
                  <wp:effectExtent l="0" t="0" r="9525" b="14605"/>
                  <wp:wrapNone/>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66"/>
                          <a:stretch>
                            <a:fillRect/>
                          </a:stretch>
                        </pic:blipFill>
                        <pic:spPr>
                          <a:xfrm>
                            <a:off x="0" y="0"/>
                            <a:ext cx="733425" cy="1014095"/>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lang w:val="en-US" w:eastAsia="zh-CN" w:bidi="ar"/>
              </w:rPr>
              <w:t>4.设置常明火种，即时熄火保护设计；双联电磁阀分步控制，自动脉冲电子点火，两组燃气开关，无极调速变频，火力大小数字可视化显示屏，故障代码显示；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5.水胆加玻璃纤维保温材料，防止热量散失；抽拉式层架设计，有锁轨道防止层架滑落；含水垢磁化管；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6、产品符合GB35848-2018《商用燃气燃烧器具》要求；所投产品额定热负荷26KW，热负荷准确度±10%以内，热效率90%以上；（须提供具有CMA或CNAS认证资质的整机检测报告）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7、产品获得CQC安全产品认证（试验依据标准:GB 35848-2018《商用燃气燃烧器具》），CQC节能环保认证（试验依据标准:CQC61-445151-2015《商用燃气灶具节能环保认证规则》）；（需提供认证证书予以佐证）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规格：1200×950×1850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单星水池连右平台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说明：采用304优质发纹贴塑不锈钢板制造，台面一次成型，台面δ=1.0mm，星盆斗δ=1.0mm，加强筋δ1.0mm；配置Φ38mm不锈钢可调节重力子弹脚，配优质不锈钢落水器、拦渣斗。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318135</wp:posOffset>
                  </wp:positionV>
                  <wp:extent cx="571500" cy="417830"/>
                  <wp:effectExtent l="0" t="0" r="0" b="1270"/>
                  <wp:wrapNone/>
                  <wp:docPr id="14" name="图片_55"/>
                  <wp:cNvGraphicFramePr/>
                  <a:graphic xmlns:a="http://schemas.openxmlformats.org/drawingml/2006/main">
                    <a:graphicData uri="http://schemas.openxmlformats.org/drawingml/2006/picture">
                      <pic:pic xmlns:pic="http://schemas.openxmlformats.org/drawingml/2006/picture">
                        <pic:nvPicPr>
                          <pic:cNvPr id="14" name="图片_55"/>
                          <pic:cNvPicPr/>
                        </pic:nvPicPr>
                        <pic:blipFill>
                          <a:blip r:embed="rId67"/>
                          <a:stretch>
                            <a:fillRect/>
                          </a:stretch>
                        </pic:blipFill>
                        <pic:spPr>
                          <a:xfrm>
                            <a:off x="0" y="0"/>
                            <a:ext cx="571500" cy="4178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单星水池柜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说明：采用304优质发纹贴塑不锈钢板制造，台面一次成型，台面δ=1.0mm，星盆斗δ=1.0mm，加强筋δ1.0mm；侧板δ0.8mm；门面δ0.8mm；底板、层板δ0.8mm；加强筋δ1.0mm；重力脚Φ50*150不锈钢重力脚。前开门，两头封板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规格：1000×700×(800+150)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198120</wp:posOffset>
                  </wp:positionH>
                  <wp:positionV relativeFrom="paragraph">
                    <wp:posOffset>303530</wp:posOffset>
                  </wp:positionV>
                  <wp:extent cx="452120" cy="593725"/>
                  <wp:effectExtent l="0" t="0" r="5080" b="15875"/>
                  <wp:wrapNone/>
                  <wp:docPr id="16" name="图片_26"/>
                  <wp:cNvGraphicFramePr/>
                  <a:graphic xmlns:a="http://schemas.openxmlformats.org/drawingml/2006/main">
                    <a:graphicData uri="http://schemas.openxmlformats.org/drawingml/2006/picture">
                      <pic:pic xmlns:pic="http://schemas.openxmlformats.org/drawingml/2006/picture">
                        <pic:nvPicPr>
                          <pic:cNvPr id="16" name="图片_26"/>
                          <pic:cNvPicPr/>
                        </pic:nvPicPr>
                        <pic:blipFill>
                          <a:blip r:embed="rId68"/>
                          <a:stretch>
                            <a:fillRect/>
                          </a:stretch>
                        </pic:blipFill>
                        <pic:spPr>
                          <a:xfrm>
                            <a:off x="0" y="0"/>
                            <a:ext cx="452120" cy="593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农药检测仪</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说明：◎透射比准确性：≤±1.5%；◎透射比重复性：≤0.5%；◎测量范围：0-100%；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133985</wp:posOffset>
                  </wp:positionV>
                  <wp:extent cx="600075" cy="518795"/>
                  <wp:effectExtent l="0" t="0" r="9525" b="14605"/>
                  <wp:wrapNone/>
                  <wp:docPr id="11" name="图片_11_SpCnt_2"/>
                  <wp:cNvGraphicFramePr/>
                  <a:graphic xmlns:a="http://schemas.openxmlformats.org/drawingml/2006/main">
                    <a:graphicData uri="http://schemas.openxmlformats.org/drawingml/2006/picture">
                      <pic:pic xmlns:pic="http://schemas.openxmlformats.org/drawingml/2006/picture">
                        <pic:nvPicPr>
                          <pic:cNvPr id="11" name="图片_11_SpCnt_2"/>
                          <pic:cNvPicPr/>
                        </pic:nvPicPr>
                        <pic:blipFill>
                          <a:blip r:embed="rId69"/>
                          <a:stretch>
                            <a:fillRect/>
                          </a:stretch>
                        </pic:blipFill>
                        <pic:spPr>
                          <a:xfrm>
                            <a:off x="0" y="0"/>
                            <a:ext cx="600075" cy="5187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玻璃门留样冰箱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型号：LG-300；SC-320；GB0.4L1LD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冷藏温度：0℃～+10℃；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输入功率：175W；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外箱材料：冷轧板喷涂；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内箱材料：铝板喷涂；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说明：1.自动回归门设计，方便拿取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2.聚甲醛保温层。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3.浸塑层架，硬度更强更易清洁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规格：620×590×1920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234315</wp:posOffset>
                  </wp:positionH>
                  <wp:positionV relativeFrom="paragraph">
                    <wp:posOffset>445135</wp:posOffset>
                  </wp:positionV>
                  <wp:extent cx="361950" cy="841375"/>
                  <wp:effectExtent l="0" t="0" r="0" b="15875"/>
                  <wp:wrapNone/>
                  <wp:docPr id="2" name="图片_375"/>
                  <wp:cNvGraphicFramePr/>
                  <a:graphic xmlns:a="http://schemas.openxmlformats.org/drawingml/2006/main">
                    <a:graphicData uri="http://schemas.openxmlformats.org/drawingml/2006/picture">
                      <pic:pic xmlns:pic="http://schemas.openxmlformats.org/drawingml/2006/picture">
                        <pic:nvPicPr>
                          <pic:cNvPr id="2" name="图片_375"/>
                          <pic:cNvPicPr/>
                        </pic:nvPicPr>
                        <pic:blipFill>
                          <a:blip r:embed="rId70"/>
                          <a:stretch>
                            <a:fillRect/>
                          </a:stretch>
                        </pic:blipFill>
                        <pic:spPr>
                          <a:xfrm>
                            <a:off x="0" y="0"/>
                            <a:ext cx="361950" cy="8413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纱门四门保洁柜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说明：采用304优质发纹贴塑不锈钢板制造，层板δ=1.0mm。侧板、门板δ=1.2mm不锈钢板，加强筋采用δ=1.0mm,配四扇门，内分四层，重力脚Φ50×150不锈钢重力脚。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规格：1200×500×1800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78740</wp:posOffset>
                  </wp:positionV>
                  <wp:extent cx="527685" cy="635635"/>
                  <wp:effectExtent l="0" t="0" r="5715" b="12065"/>
                  <wp:wrapNone/>
                  <wp:docPr id="17" name="图片_358_SpCnt_1"/>
                  <wp:cNvGraphicFramePr/>
                  <a:graphic xmlns:a="http://schemas.openxmlformats.org/drawingml/2006/main">
                    <a:graphicData uri="http://schemas.openxmlformats.org/drawingml/2006/picture">
                      <pic:pic xmlns:pic="http://schemas.openxmlformats.org/drawingml/2006/picture">
                        <pic:nvPicPr>
                          <pic:cNvPr id="17" name="图片_358_SpCnt_1"/>
                          <pic:cNvPicPr/>
                        </pic:nvPicPr>
                        <pic:blipFill>
                          <a:blip r:embed="rId60"/>
                          <a:stretch>
                            <a:fillRect/>
                          </a:stretch>
                        </pic:blipFill>
                        <pic:spPr>
                          <a:xfrm>
                            <a:off x="0" y="0"/>
                            <a:ext cx="527685" cy="6356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双层送餐车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说明：采用304优质发纹贴塑不锈钢板制造，δ=1.0mm。科顺脚轮，其中两个带刹车掣。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规格：900×500×900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111125</wp:posOffset>
                  </wp:positionV>
                  <wp:extent cx="532765" cy="543560"/>
                  <wp:effectExtent l="0" t="0" r="635" b="8890"/>
                  <wp:wrapNone/>
                  <wp:docPr id="4" name="图片_76"/>
                  <wp:cNvGraphicFramePr/>
                  <a:graphic xmlns:a="http://schemas.openxmlformats.org/drawingml/2006/main">
                    <a:graphicData uri="http://schemas.openxmlformats.org/drawingml/2006/picture">
                      <pic:pic xmlns:pic="http://schemas.openxmlformats.org/drawingml/2006/picture">
                        <pic:nvPicPr>
                          <pic:cNvPr id="4" name="图片_76"/>
                          <pic:cNvPicPr/>
                        </pic:nvPicPr>
                        <pic:blipFill>
                          <a:blip r:embed="rId71"/>
                          <a:stretch>
                            <a:fillRect/>
                          </a:stretch>
                        </pic:blipFill>
                        <pic:spPr>
                          <a:xfrm>
                            <a:off x="0" y="0"/>
                            <a:ext cx="532765" cy="543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面粉车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说明：采用304优质发纹贴塑不锈钢板制造，δ=1.0mm。科顺脚轮，其中两个带刹车掣。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规格：500×500×500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214630</wp:posOffset>
                  </wp:positionV>
                  <wp:extent cx="570865" cy="495300"/>
                  <wp:effectExtent l="0" t="0" r="635" b="0"/>
                  <wp:wrapNone/>
                  <wp:docPr id="5" name="图片_73"/>
                  <wp:cNvGraphicFramePr/>
                  <a:graphic xmlns:a="http://schemas.openxmlformats.org/drawingml/2006/main">
                    <a:graphicData uri="http://schemas.openxmlformats.org/drawingml/2006/picture">
                      <pic:pic xmlns:pic="http://schemas.openxmlformats.org/drawingml/2006/picture">
                        <pic:nvPicPr>
                          <pic:cNvPr id="5" name="图片_73"/>
                          <pic:cNvPicPr/>
                        </pic:nvPicPr>
                        <pic:blipFill>
                          <a:blip r:embed="rId72"/>
                          <a:stretch>
                            <a:fillRect/>
                          </a:stretch>
                        </pic:blipFill>
                        <pic:spPr>
                          <a:xfrm>
                            <a:off x="0" y="0"/>
                            <a:ext cx="570865" cy="4953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双门醒发箱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型号：MOF-18D、DC-18S、SP-18S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电量：0.8KW/1PH/220V；另一份资料功率：2.0KW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说明：1.箱内立体循环加热，使发酵更均匀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2.配有自动进水装置，不用担心缺水干烧问题。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3.通体式可视玻璃窗，可视面积广，方便观察箱内事实状况。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4.太空合金把手，手感好，不生锈，坚固耐用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5.整机采用1.2mm/430#板材，真材实料看得见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6.整机发泡，厚度可达35mm,保温更出众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7.重型转向脚轮（前刹车，后万象），便于推拉固定，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8.内置LED灯管，更方便在光线不利的条件下观察内部发酵过程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功率：3.3KW/220V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温度范围：0～60℃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规格：1380*740*1980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245745</wp:posOffset>
                  </wp:positionH>
                  <wp:positionV relativeFrom="paragraph">
                    <wp:posOffset>867410</wp:posOffset>
                  </wp:positionV>
                  <wp:extent cx="499745" cy="636905"/>
                  <wp:effectExtent l="0" t="0" r="14605" b="10795"/>
                  <wp:wrapNone/>
                  <wp:docPr id="6" name="Picture_3_SpCnt_1"/>
                  <wp:cNvGraphicFramePr/>
                  <a:graphic xmlns:a="http://schemas.openxmlformats.org/drawingml/2006/main">
                    <a:graphicData uri="http://schemas.openxmlformats.org/drawingml/2006/picture">
                      <pic:pic xmlns:pic="http://schemas.openxmlformats.org/drawingml/2006/picture">
                        <pic:nvPicPr>
                          <pic:cNvPr id="6" name="Picture_3_SpCnt_1"/>
                          <pic:cNvPicPr/>
                        </pic:nvPicPr>
                        <pic:blipFill>
                          <a:blip r:embed="rId73"/>
                          <a:stretch>
                            <a:fillRect/>
                          </a:stretch>
                        </pic:blipFill>
                        <pic:spPr>
                          <a:xfrm>
                            <a:off x="0" y="0"/>
                            <a:ext cx="499745" cy="6369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饼盘车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说明：采用304优质发纹贴塑不锈钢板制造，δ=1.0mm ，30*30方管；其余δ1..0mm制作；科顺脚轮，其中两个带刹车掣。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规格：480×610×1400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277495</wp:posOffset>
                  </wp:positionH>
                  <wp:positionV relativeFrom="paragraph">
                    <wp:posOffset>117475</wp:posOffset>
                  </wp:positionV>
                  <wp:extent cx="314325" cy="582295"/>
                  <wp:effectExtent l="0" t="0" r="9525" b="8255"/>
                  <wp:wrapNone/>
                  <wp:docPr id="7" name="图片_72"/>
                  <wp:cNvGraphicFramePr/>
                  <a:graphic xmlns:a="http://schemas.openxmlformats.org/drawingml/2006/main">
                    <a:graphicData uri="http://schemas.openxmlformats.org/drawingml/2006/picture">
                      <pic:pic xmlns:pic="http://schemas.openxmlformats.org/drawingml/2006/picture">
                        <pic:nvPicPr>
                          <pic:cNvPr id="7" name="图片_72"/>
                          <pic:cNvPicPr/>
                        </pic:nvPicPr>
                        <pic:blipFill>
                          <a:blip r:embed="rId74"/>
                          <a:stretch>
                            <a:fillRect/>
                          </a:stretch>
                        </pic:blipFill>
                        <pic:spPr>
                          <a:xfrm>
                            <a:off x="0" y="0"/>
                            <a:ext cx="314325" cy="5822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65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电磁四眼煲仔炉</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1、规格：≧800*800* (800+150) 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2、额定电压、功率：220V~、≧3.5kW/头*4头；</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3、锅具：4个，Φ200*h100mm；容量，3L/个；锅具净重，1.5kg/个；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4、锅具材质：采用底厚≧3.0mm，身厚≧1.5mm06Cr19Ni10（SUS304#不锈钢）+不锈钢 12Cr13（410#不锈钢）防腐蚀复合板材制作，带玻璃盖；</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5、微晶板：微晶板，4块，300*300*6mm/块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6、整机采用SUS304#不锈钢板材制作：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A、面板、框架：釆用≥1.2mm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B、侧板、底板、门板：釆用≥1.0mm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7、质量要求：设备符合相关卫生、安全、节能、环保相关国家标准；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8、电磁四眼煲仔炉整机须同时具有：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①符合GB 4806.5-2016、GB 4806.7-2016、GB 4806.9-2016、GB 4806.11-2016标准的食品接触安全认证标志试验报告和认证证书；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②符合GB/T 39640-2020标准的电磁场辐射认证试验报告和商用电磁灶电磁辐射认证证书；</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（须提供相关材料进行佐证）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965200</wp:posOffset>
                  </wp:positionV>
                  <wp:extent cx="572135" cy="647065"/>
                  <wp:effectExtent l="0" t="0" r="18415" b="635"/>
                  <wp:wrapNone/>
                  <wp:docPr id="24" name="图片_9"/>
                  <wp:cNvGraphicFramePr/>
                  <a:graphic xmlns:a="http://schemas.openxmlformats.org/drawingml/2006/main">
                    <a:graphicData uri="http://schemas.openxmlformats.org/drawingml/2006/picture">
                      <pic:pic xmlns:pic="http://schemas.openxmlformats.org/drawingml/2006/picture">
                        <pic:nvPicPr>
                          <pic:cNvPr id="24" name="图片_9"/>
                          <pic:cNvPicPr/>
                        </pic:nvPicPr>
                        <pic:blipFill>
                          <a:blip r:embed="rId75"/>
                          <a:stretch>
                            <a:fillRect/>
                          </a:stretch>
                        </pic:blipFill>
                        <pic:spPr>
                          <a:xfrm>
                            <a:off x="0" y="0"/>
                            <a:ext cx="572135" cy="647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 40 防粘锅扒炉（铁板烧）</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1、规格：≧750*800*（800+100）mm；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2、额定电压、功率：380V~、≧15kW；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3、煎板锅：1块，≧565*445*15mm，其中1/3为5*5mm坑面；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4、锅具材质：采用厚≧3.0~15.0mm的耐冲击、耐磨损、无涂层，经过PVD氮气沉相渗透技术处理的Q235#防粘锅板材制作；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5、整机采用SUS304#不锈钢板材制作：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A、面板、框架：釆用≥1.2mm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B、侧板、底板、门板：釆用≥1.0mm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6、加热技术与效果：采用电磁感应加热技术；发热面≥430*310mm，均匀无盲区加热设计；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7、温度控制：采用PID限温缓趋温控技术，温度误差±5℃；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8、质量要求：设备符合相关卫生、安全、节能、环保相关国家标准；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9、电磁40防粘锅扒炉（铁板烧）整机须同时具有：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①符合GB 4806.7-2016、GB 4806.9-2016、GB 4806.11-2016标准的食品接触安全认证标志试验报告和认证证书；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②符合符GB4706.1-2005、GB4706.37-2008标准的≧26项安全型式实验检测报告和产品认证证书；</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（须提供相关材料进行佐证）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782320</wp:posOffset>
                  </wp:positionV>
                  <wp:extent cx="638175" cy="613410"/>
                  <wp:effectExtent l="0" t="0" r="9525" b="15240"/>
                  <wp:wrapNone/>
                  <wp:docPr id="33" name="图片_8"/>
                  <wp:cNvGraphicFramePr/>
                  <a:graphic xmlns:a="http://schemas.openxmlformats.org/drawingml/2006/main">
                    <a:graphicData uri="http://schemas.openxmlformats.org/drawingml/2006/picture">
                      <pic:pic xmlns:pic="http://schemas.openxmlformats.org/drawingml/2006/picture">
                        <pic:nvPicPr>
                          <pic:cNvPr id="33" name="图片_8"/>
                          <pic:cNvPicPr/>
                        </pic:nvPicPr>
                        <pic:blipFill>
                          <a:blip r:embed="rId76"/>
                          <a:stretch>
                            <a:fillRect/>
                          </a:stretch>
                        </pic:blipFill>
                        <pic:spPr>
                          <a:xfrm>
                            <a:off x="0" y="0"/>
                            <a:ext cx="638175" cy="6134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67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电磁九格防粘锅煮面炉</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1、规格：≥800*800*800mm；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2、额定电压、功率：380V~、≥15kW；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3、汤锅（水斗）：1个，≥480*460*210mm，容量：≥44L；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4、汤锅（水斗）材质：采用厚≧1.5~5.0mm的耐冲击、耐磨损、无涂层，经过PVD氮气沉相渗透技术处理的Q235#防粘锅板材制作；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5、捞篱：9个，平底：≥Φ140*h160mm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6、进水系统∶上水管，≥Φ4分*厚3.0mm管件；出水管，≥Φ4分*250mm304#不锈钢高弯龙头，龙头主体采用不锈钢06Cr19Ni10（SUS304#）材质，水龙头过滤网采用POM材质，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水龙头密封硅胶垫采用硅胶材质；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7、排水系统∶设有≧Φ1寸*厚3mm的不锈钢管件及≧Φ1寸铜闸阀组成的排水系统，闸阀主体采用黄铜H63材质；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8、整机采用SUS304#不锈钢板材制作：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A、面板、框架：釆用≥1.2mm 板材；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B、侧板、底板、门板：釆用≥1.0mm 板材；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984250</wp:posOffset>
                  </wp:positionV>
                  <wp:extent cx="666115" cy="635000"/>
                  <wp:effectExtent l="0" t="0" r="635" b="12700"/>
                  <wp:wrapNone/>
                  <wp:docPr id="25" name="图片_6_SpCnt_1"/>
                  <wp:cNvGraphicFramePr/>
                  <a:graphic xmlns:a="http://schemas.openxmlformats.org/drawingml/2006/main">
                    <a:graphicData uri="http://schemas.openxmlformats.org/drawingml/2006/picture">
                      <pic:pic xmlns:pic="http://schemas.openxmlformats.org/drawingml/2006/picture">
                        <pic:nvPicPr>
                          <pic:cNvPr id="25" name="图片_6_SpCnt_1"/>
                          <pic:cNvPicPr/>
                        </pic:nvPicPr>
                        <pic:blipFill>
                          <a:blip r:embed="rId77"/>
                          <a:stretch>
                            <a:fillRect/>
                          </a:stretch>
                        </pic:blipFill>
                        <pic:spPr>
                          <a:xfrm>
                            <a:off x="0" y="0"/>
                            <a:ext cx="666115" cy="6350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68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电磁单头56防积垢蒸炉</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1、规格：≥800*800*（800+60）mm；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2、额定电压、功率：380V~、≥15kW；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3、汤锅：1个，≥Φ（D560`d450)*h（250+60）mm，容量：≥33L；</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4、汤锅材质：采用≧厚1.5~3.0mm的耐冲击、耐磨损、无涂层，经过PVD氮气沉相渗透技术处理的Q235#防积垢板材制作；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5、进水系统：1个，采用Ф4分304#300高弯龙头进水，龙头主体采用不锈钢06Cr19Ni10（SUS304#）材质，水龙头过滤网采用POM材质，水龙头密封硅胶垫采用硅胶材质；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6、整机采用SUS304#不锈钢板材制作：</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A、面板、框架：釆用≥1.2mm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B、侧板、底板、门板：釆用≥1.0mm 板材；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7、质量要求：设备符合相关卫生、安全、节能、环保相关国家标准；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8、电磁单头56防积垢煮面炉（蒸炉）整机须同时具有：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①符合GB 4806.7-2016、GB 4806.9-2016、GB 4806.11-2016标准的食品接触安全认证标志试验报告和认证证书；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②符合GB4706.1-2005、GB4706.34-2008标准的≧26项安全型式试验报告和产品认证证书；</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（须提供相关检测报告进行佐证）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80645</wp:posOffset>
                  </wp:positionH>
                  <wp:positionV relativeFrom="paragraph">
                    <wp:posOffset>984885</wp:posOffset>
                  </wp:positionV>
                  <wp:extent cx="632460" cy="605790"/>
                  <wp:effectExtent l="0" t="0" r="15240" b="3810"/>
                  <wp:wrapNone/>
                  <wp:docPr id="26" name="图片_7_SpCnt_2"/>
                  <wp:cNvGraphicFramePr/>
                  <a:graphic xmlns:a="http://schemas.openxmlformats.org/drawingml/2006/main">
                    <a:graphicData uri="http://schemas.openxmlformats.org/drawingml/2006/picture">
                      <pic:pic xmlns:pic="http://schemas.openxmlformats.org/drawingml/2006/picture">
                        <pic:nvPicPr>
                          <pic:cNvPr id="26" name="图片_7_SpCnt_2"/>
                          <pic:cNvPicPr/>
                        </pic:nvPicPr>
                        <pic:blipFill>
                          <a:blip r:embed="rId78"/>
                          <a:stretch>
                            <a:fillRect/>
                          </a:stretch>
                        </pic:blipFill>
                        <pic:spPr>
                          <a:xfrm>
                            <a:off x="0" y="0"/>
                            <a:ext cx="632460" cy="6057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餐厨垃圾生物降解机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总功率：≤25KW/3PH/380V；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处理能力：2000公斤/天</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处理方式：双轴撕裂粉碎、自动油水分离、高温微生物降解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运行噪音：≤65 分贝</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控制方式：PLC 全自动控制+回路按钮控制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降解范围：可降解餐饮、厨余、生鲜、果蔬等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加热方式：导热油加热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减量率：≥90%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说明：1.该套设备具有自动提升、分拣、破碎、挤压、生化处理、气体净化等功能，处理设备由进 出料口、反应器、搅拌器、挤压器、加热器、通风和废气处理装置组成; 合资品牌；</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2.处理设备设计使用寿命应≥10 年，处理设备密闭，不会出现渗漏现象，通风量 可调节。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3.设备配备采用 PLC 控制，设备自动运行，无需人工干预，PLC 显示屏可显示工作 温度、搅拌器、风机等信息，配备液晶显示触摸屏，系统数据能全部显示；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4.投标文件中须提供设备制造单位的生物菌带有“CMA”标识并依据GB/T21603-2008检测合格的“急性经口毒性试验”检测报告；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5.投标文件中须提供设备制造单位的生物菌带有“CMA”标识并依据GB/T21604-2008检测合格的“急性皮肤刺激性/腐蚀性试验”检测报告；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6.投标文件中须提供设备制造单位的除味抗菌液带有“CMA”标识并依据GB15979《一次性使用卫生用品卫生标准》检测合格的报告；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7.投标文件中须提供设备制造单位的废弃物资源化生物有机肥带有“CMA”标识并依据NY884-2012、NY525-2012检测合格的“有效活菌数、有机质、水分、PH、砷、镉、铅、铬、汞、蛔虫卵死亡率、粪大肠菌群数”报告；</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规格；3500*1500*1800mm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1123315</wp:posOffset>
                  </wp:positionV>
                  <wp:extent cx="737870" cy="473710"/>
                  <wp:effectExtent l="0" t="0" r="5080" b="2540"/>
                  <wp:wrapNone/>
                  <wp:docPr id="34" name="Picture_1_SpCnt_5"/>
                  <wp:cNvGraphicFramePr/>
                  <a:graphic xmlns:a="http://schemas.openxmlformats.org/drawingml/2006/main">
                    <a:graphicData uri="http://schemas.openxmlformats.org/drawingml/2006/picture">
                      <pic:pic xmlns:pic="http://schemas.openxmlformats.org/drawingml/2006/picture">
                        <pic:nvPicPr>
                          <pic:cNvPr id="34" name="Picture_1_SpCnt_5"/>
                          <pic:cNvPicPr/>
                        </pic:nvPicPr>
                        <pic:blipFill>
                          <a:blip r:embed="rId79"/>
                          <a:stretch>
                            <a:fillRect/>
                          </a:stretch>
                        </pic:blipFill>
                        <pic:spPr>
                          <a:xfrm>
                            <a:off x="0" y="0"/>
                            <a:ext cx="737870" cy="4737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保温售菜台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1、采用304优质发纹贴塑不锈钢板制造，台面δ=1.0mm (下衬10.0密度板减噪)；加强筋δ1.0mm；脚Φ40*0.8mm (配有可调子弹脚)脚杯Φ50*100*0.8mm；横通Φ25*0.8mm。配3只不锈钢加热盘，1/1×100份数盘5只。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2、投标人具有产品依据GB/T4208-2017防水等级为IPX6的认证证书；（投标文件中提供相关材料佐证）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3、投标人具有产品的不锈钢加热盘依据《GB/T2423.16-2008电工电子产品环境试验 第2部分，试验J及导则：长霉》 在28天、湿度95%RH、温度28℃的实验条件下，长霉等级为 0 级。（投标文件中提供相应检测报告佐证）</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规格：1800×700×800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366395</wp:posOffset>
                  </wp:positionV>
                  <wp:extent cx="513715" cy="438785"/>
                  <wp:effectExtent l="0" t="0" r="635" b="18415"/>
                  <wp:wrapNone/>
                  <wp:docPr id="22" name="图片_5"/>
                  <wp:cNvGraphicFramePr/>
                  <a:graphic xmlns:a="http://schemas.openxmlformats.org/drawingml/2006/main">
                    <a:graphicData uri="http://schemas.openxmlformats.org/drawingml/2006/picture">
                      <pic:pic xmlns:pic="http://schemas.openxmlformats.org/drawingml/2006/picture">
                        <pic:nvPicPr>
                          <pic:cNvPr id="22" name="图片_5"/>
                          <pic:cNvPicPr/>
                        </pic:nvPicPr>
                        <pic:blipFill>
                          <a:blip r:embed="rId80"/>
                          <a:stretch>
                            <a:fillRect/>
                          </a:stretch>
                        </pic:blipFill>
                        <pic:spPr>
                          <a:xfrm>
                            <a:off x="0" y="0"/>
                            <a:ext cx="513715" cy="438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风幕机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说明：以设计图和实际测量为准。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236855</wp:posOffset>
                  </wp:positionV>
                  <wp:extent cx="539750" cy="231775"/>
                  <wp:effectExtent l="0" t="0" r="12700" b="15875"/>
                  <wp:wrapNone/>
                  <wp:docPr id="19" name="图片_13"/>
                  <wp:cNvGraphicFramePr/>
                  <a:graphic xmlns:a="http://schemas.openxmlformats.org/drawingml/2006/main">
                    <a:graphicData uri="http://schemas.openxmlformats.org/drawingml/2006/picture">
                      <pic:pic xmlns:pic="http://schemas.openxmlformats.org/drawingml/2006/picture">
                        <pic:nvPicPr>
                          <pic:cNvPr id="19" name="图片_13"/>
                          <pic:cNvPicPr/>
                        </pic:nvPicPr>
                        <pic:blipFill>
                          <a:blip r:embed="rId81"/>
                          <a:stretch>
                            <a:fillRect/>
                          </a:stretch>
                        </pic:blipFill>
                        <pic:spPr>
                          <a:xfrm>
                            <a:off x="0" y="0"/>
                            <a:ext cx="539750" cy="231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洗地龙头</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品牌:LQ、J&amp;C、T&amp;S</w:t>
            </w:r>
            <w:r>
              <w:rPr>
                <w:rFonts w:hint="eastAsia" w:ascii="宋体" w:hAnsi="宋体" w:cs="宋体"/>
                <w:i w:val="0"/>
                <w:iCs w:val="0"/>
                <w:color w:val="auto"/>
                <w:kern w:val="0"/>
                <w:sz w:val="20"/>
                <w:szCs w:val="20"/>
                <w:u w:val="none"/>
                <w:lang w:val="en-US" w:eastAsia="zh-CN" w:bidi="ar"/>
              </w:rPr>
              <w:t>、“或相当于”（提供佐证材料）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1.开放式洗地龙头、碳钢主体，表面环氧喷涂处理（黑色）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2.固定侧支架钢板厚度5mm，黄铜进水主体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3.10.7米重工无痕三层液压钢丝管（黑色）、与主体接口为金属连接件、耐温85度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4.配一把花洒喷头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5.进水接口为标准1/2"外螺纹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110490</wp:posOffset>
                  </wp:positionH>
                  <wp:positionV relativeFrom="paragraph">
                    <wp:posOffset>465455</wp:posOffset>
                  </wp:positionV>
                  <wp:extent cx="643255" cy="604520"/>
                  <wp:effectExtent l="0" t="0" r="4445" b="5080"/>
                  <wp:wrapNone/>
                  <wp:docPr id="18" name="Picture_1_SpCnt_6"/>
                  <wp:cNvGraphicFramePr/>
                  <a:graphic xmlns:a="http://schemas.openxmlformats.org/drawingml/2006/main">
                    <a:graphicData uri="http://schemas.openxmlformats.org/drawingml/2006/picture">
                      <pic:pic xmlns:pic="http://schemas.openxmlformats.org/drawingml/2006/picture">
                        <pic:nvPicPr>
                          <pic:cNvPr id="18" name="Picture_1_SpCnt_6"/>
                          <pic:cNvPicPr/>
                        </pic:nvPicPr>
                        <pic:blipFill>
                          <a:blip r:embed="rId82"/>
                          <a:stretch>
                            <a:fillRect/>
                          </a:stretch>
                        </pic:blipFill>
                        <pic:spPr>
                          <a:xfrm>
                            <a:off x="0" y="0"/>
                            <a:ext cx="643255" cy="6045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auto"/>
                <w:sz w:val="20"/>
                <w:szCs w:val="20"/>
                <w:u w:val="none"/>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职工食堂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不锈钢货架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说明：采用304优质发纹贴塑不锈钢板制作，Φ38mm骨架δ=1.0mm, 平板δ=1.0mm；配置φ38mm不锈钢可调节重力子弹脚。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规格：1200×500×1800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134620</wp:posOffset>
                  </wp:positionV>
                  <wp:extent cx="439420" cy="492760"/>
                  <wp:effectExtent l="0" t="0" r="17780" b="2540"/>
                  <wp:wrapNone/>
                  <wp:docPr id="37" name="图片_163_SpCnt_1"/>
                  <wp:cNvGraphicFramePr/>
                  <a:graphic xmlns:a="http://schemas.openxmlformats.org/drawingml/2006/main">
                    <a:graphicData uri="http://schemas.openxmlformats.org/drawingml/2006/picture">
                      <pic:pic xmlns:pic="http://schemas.openxmlformats.org/drawingml/2006/picture">
                        <pic:nvPicPr>
                          <pic:cNvPr id="37" name="图片_163_SpCnt_1"/>
                          <pic:cNvPicPr/>
                        </pic:nvPicPr>
                        <pic:blipFill>
                          <a:blip r:embed="rId18"/>
                          <a:stretch>
                            <a:fillRect/>
                          </a:stretch>
                        </pic:blipFill>
                        <pic:spPr>
                          <a:xfrm>
                            <a:off x="0" y="0"/>
                            <a:ext cx="439420" cy="4927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打包台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说明：采用304优质发纹贴塑不锈钢板制造，台面δ=1.0mm（下衬12mm防潮板减噪+不锈钢底板）。下层平板δ=0.8mm。加强筋δ=1.0mm，脚φ38×1.0mm（配有可调子弹脚）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220345</wp:posOffset>
                  </wp:positionV>
                  <wp:extent cx="657225" cy="504825"/>
                  <wp:effectExtent l="0" t="0" r="9525" b="9525"/>
                  <wp:wrapNone/>
                  <wp:docPr id="27" name="图片_822_SpCnt_1"/>
                  <wp:cNvGraphicFramePr/>
                  <a:graphic xmlns:a="http://schemas.openxmlformats.org/drawingml/2006/main">
                    <a:graphicData uri="http://schemas.openxmlformats.org/drawingml/2006/picture">
                      <pic:pic xmlns:pic="http://schemas.openxmlformats.org/drawingml/2006/picture">
                        <pic:nvPicPr>
                          <pic:cNvPr id="27" name="图片_822_SpCnt_1"/>
                          <pic:cNvPicPr/>
                        </pic:nvPicPr>
                        <pic:blipFill>
                          <a:blip r:embed="rId24"/>
                          <a:stretch>
                            <a:fillRect/>
                          </a:stretch>
                        </pic:blipFill>
                        <pic:spPr>
                          <a:xfrm>
                            <a:off x="0" y="0"/>
                            <a:ext cx="657225" cy="504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绳式输送线</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1.传送柱材质为食品级聚亚安酯，完全符合卫生标准，耐腐蚀、耐磨、耐拉，内部有尼伦材质的加强筋，整体抗扯力达到2000N。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3.配置噪音隔离通道，有效防止餐具清洗区的噪音传送至就餐区，进而改善就餐区的就餐环境。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4.配置静音驱动马达，具有无极变频，柔性启动等功能，保障餐具传送的稳定及传送带的静音运行。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5.尾端配置可配光感应装置，未收集餐具触碰光感装置后，传送带自动暂停，待将餐具收集后，传送带自动复原运行。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6.工作区传送带配置可拆卸PP护边，进行清洁工作时，可将护边拆卸，方便清洁，不留任何卫生死角。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7.驱动轮、牵引轮和导向护边为食品级PP材质，方便拆卸。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8.传送具有无级变速，可根据需求调节速度。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规格：15000*520*950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135255</wp:posOffset>
                  </wp:positionH>
                  <wp:positionV relativeFrom="paragraph">
                    <wp:posOffset>981075</wp:posOffset>
                  </wp:positionV>
                  <wp:extent cx="657860" cy="530225"/>
                  <wp:effectExtent l="0" t="0" r="8890" b="3175"/>
                  <wp:wrapNone/>
                  <wp:docPr id="36" name="Picture_28"/>
                  <wp:cNvGraphicFramePr/>
                  <a:graphic xmlns:a="http://schemas.openxmlformats.org/drawingml/2006/main">
                    <a:graphicData uri="http://schemas.openxmlformats.org/drawingml/2006/picture">
                      <pic:pic xmlns:pic="http://schemas.openxmlformats.org/drawingml/2006/picture">
                        <pic:nvPicPr>
                          <pic:cNvPr id="36" name="Picture_28"/>
                          <pic:cNvPicPr/>
                        </pic:nvPicPr>
                        <pic:blipFill>
                          <a:blip r:embed="rId83"/>
                          <a:stretch>
                            <a:fillRect/>
                          </a:stretch>
                        </pic:blipFill>
                        <pic:spPr>
                          <a:xfrm>
                            <a:off x="0" y="0"/>
                            <a:ext cx="657860" cy="5302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浸泡洗净烘干一体机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说明：1.简单、快捷的控制面板，一键式启动；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2.清洗区的用水回流到洗净水箱，实现节能减排；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3.本机器由浸泡区、洗净区、清洗区以及烘干区组成；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4.浸泡池内输送带下方设置四个喷气管，每根管上有多个气孔；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5.上下各四根喷淋管的洗净喷淋系统；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出口带吹干风机，促进餐盘干燥；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7.出口设置安全检测，防止餐具损坏及保证人身安全；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8、高压气流形成强烈鼓泡效应，将餐具表面残羹污垢软化剥离；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9、独特爬坡输送装置，保障餐具自动进入洗净区，减少人工操作，防止餐具破损；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10、智能控制系统，自动诊断功能，多种故障代码，方便操作维护。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清洗量：12000个/时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功率：110.12KW/380V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规格：11450*1000*2100mm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1328420</wp:posOffset>
                  </wp:positionV>
                  <wp:extent cx="688340" cy="621030"/>
                  <wp:effectExtent l="0" t="0" r="16510" b="7620"/>
                  <wp:wrapNone/>
                  <wp:docPr id="38" name="Picture_3_SpCnt_2"/>
                  <wp:cNvGraphicFramePr/>
                  <a:graphic xmlns:a="http://schemas.openxmlformats.org/drawingml/2006/main">
                    <a:graphicData uri="http://schemas.openxmlformats.org/drawingml/2006/picture">
                      <pic:pic xmlns:pic="http://schemas.openxmlformats.org/drawingml/2006/picture">
                        <pic:nvPicPr>
                          <pic:cNvPr id="38" name="Picture_3_SpCnt_2"/>
                          <pic:cNvPicPr/>
                        </pic:nvPicPr>
                        <pic:blipFill>
                          <a:blip r:embed="rId84"/>
                          <a:stretch>
                            <a:fillRect/>
                          </a:stretch>
                        </pic:blipFill>
                        <pic:spPr>
                          <a:xfrm>
                            <a:off x="0" y="0"/>
                            <a:ext cx="688340" cy="6210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智能热风双门消毒柜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说明：采用304优质发纹贴塑不锈钢板制造，面板δ1.0mm；侧板δ1.0mm；门面δ1.0mm；后板δ1.0mm；加强筋δ1.0mm；重力脚Φ50*150不锈钢重力脚。隔热保温层、热风风道、消毒室四层设计；柜内装有热风扇。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规格：1250*650*1920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182245</wp:posOffset>
                  </wp:positionH>
                  <wp:positionV relativeFrom="paragraph">
                    <wp:posOffset>369570</wp:posOffset>
                  </wp:positionV>
                  <wp:extent cx="452120" cy="693420"/>
                  <wp:effectExtent l="0" t="0" r="5080" b="11430"/>
                  <wp:wrapNone/>
                  <wp:docPr id="35" name="图片_96_SpCnt_1"/>
                  <wp:cNvGraphicFramePr/>
                  <a:graphic xmlns:a="http://schemas.openxmlformats.org/drawingml/2006/main">
                    <a:graphicData uri="http://schemas.openxmlformats.org/drawingml/2006/picture">
                      <pic:pic xmlns:pic="http://schemas.openxmlformats.org/drawingml/2006/picture">
                        <pic:nvPicPr>
                          <pic:cNvPr id="35" name="图片_96_SpCnt_1"/>
                          <pic:cNvPicPr/>
                        </pic:nvPicPr>
                        <pic:blipFill>
                          <a:blip r:embed="rId36"/>
                          <a:stretch>
                            <a:fillRect/>
                          </a:stretch>
                        </pic:blipFill>
                        <pic:spPr>
                          <a:xfrm>
                            <a:off x="0" y="0"/>
                            <a:ext cx="452120" cy="693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回收餐车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说明：优质发纹贴塑不锈钢板制造，δ=1.0mm。科顺脚轮，其中两个带刹车掣。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规格：900×500×900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0230" cy="96520"/>
                  <wp:effectExtent l="0" t="0" r="0" b="0"/>
                  <wp:wrapNone/>
                  <wp:docPr id="39" name="图片_19"/>
                  <wp:cNvGraphicFramePr/>
                  <a:graphic xmlns:a="http://schemas.openxmlformats.org/drawingml/2006/main">
                    <a:graphicData uri="http://schemas.openxmlformats.org/drawingml/2006/picture">
                      <pic:pic xmlns:pic="http://schemas.openxmlformats.org/drawingml/2006/picture">
                        <pic:nvPicPr>
                          <pic:cNvPr id="39" name="图片_19"/>
                          <pic:cNvPicPr/>
                        </pic:nvPicPr>
                        <pic:blipFill>
                          <a:blip r:embed="rId85"/>
                          <a:stretch>
                            <a:fillRect/>
                          </a:stretch>
                        </pic:blipFill>
                        <pic:spPr>
                          <a:xfrm>
                            <a:off x="0" y="0"/>
                            <a:ext cx="570230" cy="9652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127000</wp:posOffset>
                  </wp:positionH>
                  <wp:positionV relativeFrom="paragraph">
                    <wp:posOffset>135890</wp:posOffset>
                  </wp:positionV>
                  <wp:extent cx="523240" cy="475615"/>
                  <wp:effectExtent l="0" t="0" r="10160" b="635"/>
                  <wp:wrapNone/>
                  <wp:docPr id="20" name="图片_78"/>
                  <wp:cNvGraphicFramePr/>
                  <a:graphic xmlns:a="http://schemas.openxmlformats.org/drawingml/2006/main">
                    <a:graphicData uri="http://schemas.openxmlformats.org/drawingml/2006/picture">
                      <pic:pic xmlns:pic="http://schemas.openxmlformats.org/drawingml/2006/picture">
                        <pic:nvPicPr>
                          <pic:cNvPr id="20" name="图片_78"/>
                          <pic:cNvPicPr/>
                        </pic:nvPicPr>
                        <pic:blipFill>
                          <a:blip r:embed="rId86"/>
                          <a:stretch>
                            <a:fillRect/>
                          </a:stretch>
                        </pic:blipFill>
                        <pic:spPr>
                          <a:xfrm>
                            <a:off x="0" y="0"/>
                            <a:ext cx="523240" cy="4756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79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1、采用304采用优质发纹贴塑不锈钢板制作，δ=1.0mm，配有减震静音轮。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2、减震静音轮的转向性能、转动性能、 抗静压能力等符合 GB/T 14687-2011 工业脚轮和车轮 标准的要求（提供带有CMA标识的检测报告）；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规格：900×500×900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94615</wp:posOffset>
                  </wp:positionV>
                  <wp:extent cx="521970" cy="502920"/>
                  <wp:effectExtent l="0" t="0" r="11430" b="11430"/>
                  <wp:wrapNone/>
                  <wp:docPr id="30" name="图片_118_SpCnt_1"/>
                  <wp:cNvGraphicFramePr/>
                  <a:graphic xmlns:a="http://schemas.openxmlformats.org/drawingml/2006/main">
                    <a:graphicData uri="http://schemas.openxmlformats.org/drawingml/2006/picture">
                      <pic:pic xmlns:pic="http://schemas.openxmlformats.org/drawingml/2006/picture">
                        <pic:nvPicPr>
                          <pic:cNvPr id="30" name="图片_118_SpCnt_1"/>
                          <pic:cNvPicPr/>
                        </pic:nvPicPr>
                        <pic:blipFill>
                          <a:blip r:embed="rId21"/>
                          <a:stretch>
                            <a:fillRect/>
                          </a:stretch>
                        </pic:blipFill>
                        <pic:spPr>
                          <a:xfrm>
                            <a:off x="0" y="0"/>
                            <a:ext cx="521970" cy="5029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w:t>
            </w:r>
            <w:r>
              <w:rPr>
                <w:rFonts w:hint="eastAsia" w:ascii="宋体" w:hAnsi="宋体" w:cs="宋体"/>
                <w:i w:val="0"/>
                <w:iCs w:val="0"/>
                <w:color w:val="auto"/>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单星盆台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说明：采用304优质发纹贴塑不锈钢板制造，台面一次成型，台面δ=1.0mm，星盆斗δ=1.0mm，加强筋δ1.0mm；配置Φ38mm不锈钢可调节重力子弹脚，配优质不锈钢落水器、拦渣斗。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规格：1000*700×(800+150)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137795</wp:posOffset>
                  </wp:positionH>
                  <wp:positionV relativeFrom="paragraph">
                    <wp:posOffset>210820</wp:posOffset>
                  </wp:positionV>
                  <wp:extent cx="560070" cy="478790"/>
                  <wp:effectExtent l="0" t="0" r="11430" b="16510"/>
                  <wp:wrapNone/>
                  <wp:docPr id="31" name="图片_342_SpCnt_1"/>
                  <wp:cNvGraphicFramePr/>
                  <a:graphic xmlns:a="http://schemas.openxmlformats.org/drawingml/2006/main">
                    <a:graphicData uri="http://schemas.openxmlformats.org/drawingml/2006/picture">
                      <pic:pic xmlns:pic="http://schemas.openxmlformats.org/drawingml/2006/picture">
                        <pic:nvPicPr>
                          <pic:cNvPr id="31" name="图片_342_SpCnt_1"/>
                          <pic:cNvPicPr/>
                        </pic:nvPicPr>
                        <pic:blipFill>
                          <a:blip r:embed="rId87"/>
                          <a:stretch>
                            <a:fillRect/>
                          </a:stretch>
                        </pic:blipFill>
                        <pic:spPr>
                          <a:xfrm>
                            <a:off x="0" y="0"/>
                            <a:ext cx="560070" cy="4787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w:t>
            </w:r>
            <w:r>
              <w:rPr>
                <w:rFonts w:hint="eastAsia" w:ascii="宋体" w:hAnsi="宋体" w:cs="宋体"/>
                <w:i w:val="0"/>
                <w:iCs w:val="0"/>
                <w:color w:val="auto"/>
                <w:kern w:val="0"/>
                <w:sz w:val="20"/>
                <w:szCs w:val="20"/>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双眼大锅灶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1、优质不锈钢板制造，面板、前脸板厚δ=1.2，台面一次压制成型；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2、外旁板、后立板201J1/J4板厚δ=1.0,龙骨架国标不锈钢方管25﹡38厚1.2,衬板电解镀锌钢板厚δ=1.5mm，灶身双层热轧钢板，隔热层厚40，炉膛50厚耐高温材料及50厚耐高温泥；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3、配全预混式节能炉头，43V42W直流风机；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4、燃气泄漏报警自动关闭；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规格：2000×1200×(800+400)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135255</wp:posOffset>
                  </wp:positionH>
                  <wp:positionV relativeFrom="paragraph">
                    <wp:posOffset>803910</wp:posOffset>
                  </wp:positionV>
                  <wp:extent cx="611505" cy="525780"/>
                  <wp:effectExtent l="0" t="0" r="17145" b="7620"/>
                  <wp:wrapNone/>
                  <wp:docPr id="32" name="图片_14_SpCnt_3"/>
                  <wp:cNvGraphicFramePr/>
                  <a:graphic xmlns:a="http://schemas.openxmlformats.org/drawingml/2006/main">
                    <a:graphicData uri="http://schemas.openxmlformats.org/drawingml/2006/picture">
                      <pic:pic xmlns:pic="http://schemas.openxmlformats.org/drawingml/2006/picture">
                        <pic:nvPicPr>
                          <pic:cNvPr id="32" name="图片_14_SpCnt_3"/>
                          <pic:cNvPicPr/>
                        </pic:nvPicPr>
                        <pic:blipFill>
                          <a:blip r:embed="rId39"/>
                          <a:stretch>
                            <a:fillRect/>
                          </a:stretch>
                        </pic:blipFill>
                        <pic:spPr>
                          <a:xfrm>
                            <a:off x="0" y="0"/>
                            <a:ext cx="611505" cy="525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单眼大锅灶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1、优质不锈钢板制造，面板、前脸板厚δ=1.2，台面一次压制成型；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2、外旁板、后立板201J1/J4板厚δ=1.0,龙骨架国标不锈钢方管25﹡38厚1.2,衬板电解镀锌钢板厚δ=1.5mm，灶身双层热轧钢板，隔热层厚40，炉膛50厚耐高温材料及50厚耐高温泥；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3、配全预混式节能炉头，43V42W直流风机；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4、燃气泄漏报警自动关闭；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规格：1000×1200×(800+400)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110490</wp:posOffset>
                  </wp:positionH>
                  <wp:positionV relativeFrom="paragraph">
                    <wp:posOffset>708660</wp:posOffset>
                  </wp:positionV>
                  <wp:extent cx="613410" cy="788035"/>
                  <wp:effectExtent l="0" t="0" r="15240" b="12065"/>
                  <wp:wrapNone/>
                  <wp:docPr id="21" name="图片_15"/>
                  <wp:cNvGraphicFramePr/>
                  <a:graphic xmlns:a="http://schemas.openxmlformats.org/drawingml/2006/main">
                    <a:graphicData uri="http://schemas.openxmlformats.org/drawingml/2006/picture">
                      <pic:pic xmlns:pic="http://schemas.openxmlformats.org/drawingml/2006/picture">
                        <pic:nvPicPr>
                          <pic:cNvPr id="21" name="图片_15"/>
                          <pic:cNvPicPr/>
                        </pic:nvPicPr>
                        <pic:blipFill>
                          <a:blip r:embed="rId88"/>
                          <a:stretch>
                            <a:fillRect/>
                          </a:stretch>
                        </pic:blipFill>
                        <pic:spPr>
                          <a:xfrm>
                            <a:off x="0" y="0"/>
                            <a:ext cx="613410" cy="788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双眼炒灶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1、优质不锈钢板制造，面板、前脸板厚δ=1.2，台面一次压制成型：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2、外旁板、后立板201J1/J4板厚δ=1.0,龙骨架国标不锈钢方管25﹡38厚1.2,衬板电解镀锌钢板厚δ=1.2mm，灶身双层热轧钢板，隔热层厚40，炉膛50厚耐高温材料：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3、炉膛采用不锈钢合金材料，一次成型，厚度2.0内；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4、配全预混式节能炉头，43V42W直流风机：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5、燃气泄漏报警自动关闭；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规格：2000×1200×(800+400)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653415</wp:posOffset>
                  </wp:positionV>
                  <wp:extent cx="739140" cy="773430"/>
                  <wp:effectExtent l="0" t="0" r="3810" b="7620"/>
                  <wp:wrapNone/>
                  <wp:docPr id="288" name="图片_16_SpCnt_1"/>
                  <wp:cNvGraphicFramePr/>
                  <a:graphic xmlns:a="http://schemas.openxmlformats.org/drawingml/2006/main">
                    <a:graphicData uri="http://schemas.openxmlformats.org/drawingml/2006/picture">
                      <pic:pic xmlns:pic="http://schemas.openxmlformats.org/drawingml/2006/picture">
                        <pic:nvPicPr>
                          <pic:cNvPr id="288" name="图片_16_SpCnt_1"/>
                          <pic:cNvPicPr/>
                        </pic:nvPicPr>
                        <pic:blipFill>
                          <a:blip r:embed="rId41"/>
                          <a:stretch>
                            <a:fillRect/>
                          </a:stretch>
                        </pic:blipFill>
                        <pic:spPr>
                          <a:xfrm>
                            <a:off x="0" y="0"/>
                            <a:ext cx="739140" cy="7734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双层送餐车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说明：采用304优质发纹贴塑不锈钢板制造，δ=1.0mm。科顺脚轮，其中两个带刹车掣。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规格：900×500×900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111125</wp:posOffset>
                  </wp:positionV>
                  <wp:extent cx="532765" cy="543560"/>
                  <wp:effectExtent l="0" t="0" r="635" b="8890"/>
                  <wp:wrapNone/>
                  <wp:docPr id="103" name="图片_76_SpCnt_1"/>
                  <wp:cNvGraphicFramePr/>
                  <a:graphic xmlns:a="http://schemas.openxmlformats.org/drawingml/2006/main">
                    <a:graphicData uri="http://schemas.openxmlformats.org/drawingml/2006/picture">
                      <pic:pic xmlns:pic="http://schemas.openxmlformats.org/drawingml/2006/picture">
                        <pic:nvPicPr>
                          <pic:cNvPr id="103" name="图片_76_SpCnt_1"/>
                          <pic:cNvPicPr/>
                        </pic:nvPicPr>
                        <pic:blipFill>
                          <a:blip r:embed="rId71"/>
                          <a:stretch>
                            <a:fillRect/>
                          </a:stretch>
                        </pic:blipFill>
                        <pic:spPr>
                          <a:xfrm>
                            <a:off x="0" y="0"/>
                            <a:ext cx="532765" cy="543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四门冰箱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说明：1.内置蒸发器管，科学有效盘管，不易泄露，使用寿命长：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2.加厚发泡层，保温隔热效果好，能耗低：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3.采用绿色环保环戊烷发泡剂整体发泡，密度佳保温效果好；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4.内箱底板采用圆弧拉伸工艺，配合围板大圆孤设计，美观更易清洁：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5.采用优质加厚不锈钢正材制作，坚固耐用。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规格：1210×700×1915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174625</wp:posOffset>
                  </wp:positionH>
                  <wp:positionV relativeFrom="paragraph">
                    <wp:posOffset>398780</wp:posOffset>
                  </wp:positionV>
                  <wp:extent cx="531495" cy="718820"/>
                  <wp:effectExtent l="0" t="0" r="1905" b="5080"/>
                  <wp:wrapNone/>
                  <wp:docPr id="99" name="Picture_1_SpCnt_7"/>
                  <wp:cNvGraphicFramePr/>
                  <a:graphic xmlns:a="http://schemas.openxmlformats.org/drawingml/2006/main">
                    <a:graphicData uri="http://schemas.openxmlformats.org/drawingml/2006/picture">
                      <pic:pic xmlns:pic="http://schemas.openxmlformats.org/drawingml/2006/picture">
                        <pic:nvPicPr>
                          <pic:cNvPr id="99" name="Picture_1_SpCnt_7"/>
                          <pic:cNvPicPr/>
                        </pic:nvPicPr>
                        <pic:blipFill>
                          <a:blip r:embed="rId35"/>
                          <a:stretch>
                            <a:fillRect/>
                          </a:stretch>
                        </pic:blipFill>
                        <pic:spPr>
                          <a:xfrm>
                            <a:off x="0" y="0"/>
                            <a:ext cx="531495" cy="7188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玻璃门留样冰箱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冷藏温度：0℃～+10℃；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输入功率：175W；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外箱材料：冷轧板喷涂；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内箱材料：铝板喷涂；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说明：1.自动回归门设计，方便拿取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2.聚甲醛保温层。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3.浸塑层架，硬度更强更易清洁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规格：620×590×1920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234315</wp:posOffset>
                  </wp:positionH>
                  <wp:positionV relativeFrom="paragraph">
                    <wp:posOffset>445135</wp:posOffset>
                  </wp:positionV>
                  <wp:extent cx="361950" cy="841375"/>
                  <wp:effectExtent l="0" t="0" r="0" b="15875"/>
                  <wp:wrapNone/>
                  <wp:docPr id="104" name="图片_420"/>
                  <wp:cNvGraphicFramePr/>
                  <a:graphic xmlns:a="http://schemas.openxmlformats.org/drawingml/2006/main">
                    <a:graphicData uri="http://schemas.openxmlformats.org/drawingml/2006/picture">
                      <pic:pic xmlns:pic="http://schemas.openxmlformats.org/drawingml/2006/picture">
                        <pic:nvPicPr>
                          <pic:cNvPr id="104" name="图片_420"/>
                          <pic:cNvPicPr/>
                        </pic:nvPicPr>
                        <pic:blipFill>
                          <a:blip r:embed="rId70"/>
                          <a:stretch>
                            <a:fillRect/>
                          </a:stretch>
                        </pic:blipFill>
                        <pic:spPr>
                          <a:xfrm>
                            <a:off x="0" y="0"/>
                            <a:ext cx="361950" cy="8413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挂壁式工具消毒柜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说明：采用304优质发纹贴塑不锈钢板制作.δ=1.0mm.采用紫外线消毒。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规格：1200×250×1500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292735</wp:posOffset>
                  </wp:positionV>
                  <wp:extent cx="492125" cy="371475"/>
                  <wp:effectExtent l="0" t="0" r="3175" b="9525"/>
                  <wp:wrapNone/>
                  <wp:docPr id="106" name="图片_7_SpCnt_3"/>
                  <wp:cNvGraphicFramePr/>
                  <a:graphic xmlns:a="http://schemas.openxmlformats.org/drawingml/2006/main">
                    <a:graphicData uri="http://schemas.openxmlformats.org/drawingml/2006/picture">
                      <pic:pic xmlns:pic="http://schemas.openxmlformats.org/drawingml/2006/picture">
                        <pic:nvPicPr>
                          <pic:cNvPr id="106" name="图片_7_SpCnt_3"/>
                          <pic:cNvPicPr/>
                        </pic:nvPicPr>
                        <pic:blipFill>
                          <a:blip r:embed="rId31"/>
                          <a:stretch>
                            <a:fillRect/>
                          </a:stretch>
                        </pic:blipFill>
                        <pic:spPr>
                          <a:xfrm>
                            <a:off x="0" y="0"/>
                            <a:ext cx="492125" cy="3714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除湿机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说明：离心式风道系统，减少风道阻力，加快室内空气流动，负离子净化除菌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规格：470×360×600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175260</wp:posOffset>
                  </wp:positionV>
                  <wp:extent cx="334010" cy="530225"/>
                  <wp:effectExtent l="0" t="0" r="8890" b="3175"/>
                  <wp:wrapNone/>
                  <wp:docPr id="111" name="Picture_31"/>
                  <wp:cNvGraphicFramePr/>
                  <a:graphic xmlns:a="http://schemas.openxmlformats.org/drawingml/2006/main">
                    <a:graphicData uri="http://schemas.openxmlformats.org/drawingml/2006/picture">
                      <pic:pic xmlns:pic="http://schemas.openxmlformats.org/drawingml/2006/picture">
                        <pic:nvPicPr>
                          <pic:cNvPr id="111" name="Picture_31"/>
                          <pic:cNvPicPr/>
                        </pic:nvPicPr>
                        <pic:blipFill>
                          <a:blip r:embed="rId89"/>
                          <a:stretch>
                            <a:fillRect/>
                          </a:stretch>
                        </pic:blipFill>
                        <pic:spPr>
                          <a:xfrm>
                            <a:off x="0" y="0"/>
                            <a:ext cx="334010" cy="5302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三门海鲜蒸柜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电量：0.3KW/1PH/220V。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说明：1、优质不锈钢板制造，内胆板厚δ＝1.2；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2、外旁板、后立板201J1/J4板厚δ=1.0；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3、全新内燃式环保高效火排及全不锈钢水胆结构，防干烧功能；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4、设置常明火种，即时熄火保护设计；双联电磁阀分步控制，自动脉冲电子点火，两组燃气开关，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5、水胆加玻璃纤维保温材料，防止热量散失；抽拉式层架设计，有锁轨道防止层架滑落；含水垢磁化管;额定压力:2000Pa，入气口:DN20，入水口:DN15，排水口:DN40燃气泄漏报警自动关闭；                                                            规格：900×910×1850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607060</wp:posOffset>
                  </wp:positionV>
                  <wp:extent cx="733425" cy="1014095"/>
                  <wp:effectExtent l="0" t="0" r="9525" b="14605"/>
                  <wp:wrapNone/>
                  <wp:docPr id="92" name="图片_6_SpCnt_2"/>
                  <wp:cNvGraphicFramePr/>
                  <a:graphic xmlns:a="http://schemas.openxmlformats.org/drawingml/2006/main">
                    <a:graphicData uri="http://schemas.openxmlformats.org/drawingml/2006/picture">
                      <pic:pic xmlns:pic="http://schemas.openxmlformats.org/drawingml/2006/picture">
                        <pic:nvPicPr>
                          <pic:cNvPr id="92" name="图片_6_SpCnt_2"/>
                          <pic:cNvPicPr/>
                        </pic:nvPicPr>
                        <pic:blipFill>
                          <a:blip r:embed="rId66"/>
                          <a:stretch>
                            <a:fillRect/>
                          </a:stretch>
                        </pic:blipFill>
                        <pic:spPr>
                          <a:xfrm>
                            <a:off x="0" y="0"/>
                            <a:ext cx="733425" cy="10140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w:t>
            </w:r>
            <w:r>
              <w:rPr>
                <w:rFonts w:hint="eastAsia" w:ascii="宋体" w:hAnsi="宋体" w:cs="宋体"/>
                <w:i w:val="0"/>
                <w:iCs w:val="0"/>
                <w:color w:val="auto"/>
                <w:sz w:val="20"/>
                <w:szCs w:val="20"/>
                <w:u w:val="none"/>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菜品展示柜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电量：616KW/1PH/220V；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说明：1.双压缩机，双核冻力快速制冷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2.双控温旋钮，电子控温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3.双层中空玻璃外隔热内锁冷，加厚玻璃层，有效锁鲜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4.全铜管制冷，内置全铜蒸发器，循环制冷5.弧面玻璃设计，更大容量，更大视界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规格：1500*800*1950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331470</wp:posOffset>
                  </wp:positionV>
                  <wp:extent cx="581025" cy="617855"/>
                  <wp:effectExtent l="0" t="0" r="9525" b="10795"/>
                  <wp:wrapNone/>
                  <wp:docPr id="95" name="图片_423"/>
                  <wp:cNvGraphicFramePr/>
                  <a:graphic xmlns:a="http://schemas.openxmlformats.org/drawingml/2006/main">
                    <a:graphicData uri="http://schemas.openxmlformats.org/drawingml/2006/picture">
                      <pic:pic xmlns:pic="http://schemas.openxmlformats.org/drawingml/2006/picture">
                        <pic:nvPicPr>
                          <pic:cNvPr id="95" name="图片_423"/>
                          <pic:cNvPicPr/>
                        </pic:nvPicPr>
                        <pic:blipFill>
                          <a:blip r:embed="rId90"/>
                          <a:stretch>
                            <a:fillRect/>
                          </a:stretch>
                        </pic:blipFill>
                        <pic:spPr>
                          <a:xfrm>
                            <a:off x="0" y="0"/>
                            <a:ext cx="581025" cy="6178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风幕机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说明：以设计图和实际测量为准。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118745</wp:posOffset>
                  </wp:positionH>
                  <wp:positionV relativeFrom="paragraph">
                    <wp:posOffset>236855</wp:posOffset>
                  </wp:positionV>
                  <wp:extent cx="539750" cy="231775"/>
                  <wp:effectExtent l="0" t="0" r="12700" b="15875"/>
                  <wp:wrapNone/>
                  <wp:docPr id="105" name="图片_13_SpCnt_1"/>
                  <wp:cNvGraphicFramePr/>
                  <a:graphic xmlns:a="http://schemas.openxmlformats.org/drawingml/2006/main">
                    <a:graphicData uri="http://schemas.openxmlformats.org/drawingml/2006/picture">
                      <pic:pic xmlns:pic="http://schemas.openxmlformats.org/drawingml/2006/picture">
                        <pic:nvPicPr>
                          <pic:cNvPr id="105" name="图片_13_SpCnt_1"/>
                          <pic:cNvPicPr/>
                        </pic:nvPicPr>
                        <pic:blipFill>
                          <a:blip r:embed="rId81"/>
                          <a:stretch>
                            <a:fillRect/>
                          </a:stretch>
                        </pic:blipFill>
                        <pic:spPr>
                          <a:xfrm>
                            <a:off x="0" y="0"/>
                            <a:ext cx="539750" cy="231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拖把水池连架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说明：采用304优质发纹贴塑不锈钢板制造，星盆斗δ1.0mm，配置Φ50mmδ1.0mm不锈钢可调节重力子弹脚，配304不锈钢落水器、拦渣斗。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规格：1500×600×500+800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126365</wp:posOffset>
                  </wp:positionH>
                  <wp:positionV relativeFrom="paragraph">
                    <wp:posOffset>243840</wp:posOffset>
                  </wp:positionV>
                  <wp:extent cx="587375" cy="715010"/>
                  <wp:effectExtent l="0" t="0" r="3175" b="8890"/>
                  <wp:wrapNone/>
                  <wp:docPr id="96" name="图片_2_SpCnt_2"/>
                  <wp:cNvGraphicFramePr/>
                  <a:graphic xmlns:a="http://schemas.openxmlformats.org/drawingml/2006/main">
                    <a:graphicData uri="http://schemas.openxmlformats.org/drawingml/2006/picture">
                      <pic:pic xmlns:pic="http://schemas.openxmlformats.org/drawingml/2006/picture">
                        <pic:nvPicPr>
                          <pic:cNvPr id="96" name="图片_2_SpCnt_2"/>
                          <pic:cNvPicPr/>
                        </pic:nvPicPr>
                        <pic:blipFill>
                          <a:blip r:embed="rId91"/>
                          <a:stretch>
                            <a:fillRect/>
                          </a:stretch>
                        </pic:blipFill>
                        <pic:spPr>
                          <a:xfrm>
                            <a:off x="0" y="0"/>
                            <a:ext cx="587375" cy="7150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单门保温柜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功率：2.62KW/1PH/220V；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1.自然生态式对流送风加热模式，升温快，保温温度恒定均匀。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2.整体柜身全不锈钢制造，简约雅致，圆滑平整，色泽美观，耐脏易清洁。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3.温度精确可调，配有加湿水盒，针对不同食物的需求，调至最佳温度和湿度，延长食物保鲜及存放时间。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4.大容量，节能高效，运送安全便捷。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温度范围：30-110℃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净重：182KG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规格：756×957×1793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内堂规格：540×680×1380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层数：11层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每层高度：115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配件：网架11个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995680</wp:posOffset>
                  </wp:positionV>
                  <wp:extent cx="485775" cy="732790"/>
                  <wp:effectExtent l="0" t="0" r="9525" b="10160"/>
                  <wp:wrapNone/>
                  <wp:docPr id="107" name="图片_41"/>
                  <wp:cNvGraphicFramePr/>
                  <a:graphic xmlns:a="http://schemas.openxmlformats.org/drawingml/2006/main">
                    <a:graphicData uri="http://schemas.openxmlformats.org/drawingml/2006/picture">
                      <pic:pic xmlns:pic="http://schemas.openxmlformats.org/drawingml/2006/picture">
                        <pic:nvPicPr>
                          <pic:cNvPr id="107" name="图片_41"/>
                          <pic:cNvPicPr/>
                        </pic:nvPicPr>
                        <pic:blipFill>
                          <a:blip r:embed="rId92"/>
                          <a:stretch>
                            <a:fillRect/>
                          </a:stretch>
                        </pic:blipFill>
                        <pic:spPr>
                          <a:xfrm>
                            <a:off x="0" y="0"/>
                            <a:ext cx="485775" cy="7327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94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四格保温售菜台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 (下衬10.0密度板减噪)；加强筋δ1.0mm；脚Φ40*0.8mm (配有可调子弹脚)脚杯Φ50*100*0.8mm；横通Φ25*0.8mm。配1/1×100份数盘4只。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规格：1500×700×800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366395</wp:posOffset>
                  </wp:positionV>
                  <wp:extent cx="513715" cy="438785"/>
                  <wp:effectExtent l="0" t="0" r="635" b="18415"/>
                  <wp:wrapNone/>
                  <wp:docPr id="108" name="图片_5_SpCnt_1"/>
                  <wp:cNvGraphicFramePr/>
                  <a:graphic xmlns:a="http://schemas.openxmlformats.org/drawingml/2006/main">
                    <a:graphicData uri="http://schemas.openxmlformats.org/drawingml/2006/picture">
                      <pic:pic xmlns:pic="http://schemas.openxmlformats.org/drawingml/2006/picture">
                        <pic:nvPicPr>
                          <pic:cNvPr id="108" name="图片_5_SpCnt_1"/>
                          <pic:cNvPicPr/>
                        </pic:nvPicPr>
                        <pic:blipFill>
                          <a:blip r:embed="rId80"/>
                          <a:stretch>
                            <a:fillRect/>
                          </a:stretch>
                        </pic:blipFill>
                        <pic:spPr>
                          <a:xfrm>
                            <a:off x="0" y="0"/>
                            <a:ext cx="513715" cy="438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电磁六眼煲仔炉</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功率：3.5KW*6/3PH/380V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1、采用优质不锈钢400#雪花沙板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2、炉面板：δ1.5mm不锈钢板整体冲压成型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3、前后侧板、左右侧板、底板、挡水板δ1.2mm不锈钢板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4、电磁锅体采用专用409#2.0mm厚不锈钢材料整体冲压成型，口径（Φ200*h100）mm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5、配置优质耐高温微晶板，规格（320*320）*5mm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6、四脚配置全钢可调脚顶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7、电磁系统配有：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A、采用先进的主板设计及智能化模糊逻辑控制技术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B、电磁感应线圈：采用绝缘耐高温无氧铜漆包线制作，三重防水、防漏电及防干烧功能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C、采用编码器/磁控技术控制6档火力调节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规格：1200*800*（800+150）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969010</wp:posOffset>
                  </wp:positionV>
                  <wp:extent cx="768985" cy="636270"/>
                  <wp:effectExtent l="0" t="0" r="12065" b="11430"/>
                  <wp:wrapNone/>
                  <wp:docPr id="102" name="图片_430"/>
                  <wp:cNvGraphicFramePr/>
                  <a:graphic xmlns:a="http://schemas.openxmlformats.org/drawingml/2006/main">
                    <a:graphicData uri="http://schemas.openxmlformats.org/drawingml/2006/picture">
                      <pic:pic xmlns:pic="http://schemas.openxmlformats.org/drawingml/2006/picture">
                        <pic:nvPicPr>
                          <pic:cNvPr id="102" name="图片_430"/>
                          <pic:cNvPicPr/>
                        </pic:nvPicPr>
                        <pic:blipFill>
                          <a:blip r:embed="rId93"/>
                          <a:stretch>
                            <a:fillRect/>
                          </a:stretch>
                        </pic:blipFill>
                        <pic:spPr>
                          <a:xfrm>
                            <a:off x="0" y="0"/>
                            <a:ext cx="768985" cy="636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平冷工作台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温度：-10℃~+10℃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说明：1.内置蒸发器管，科学有效盘管，不易泄露，使用寿命长：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2.加厚发泡层，保温隔热效果好，能耗低：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3.采用绿色环保环戊烷发泡剂整体发泡，密度佳保温效果好；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4.内箱底板采用圆弧拉伸工艺，配合围板大圆孤设计，美观更易清洁：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5.采用优质加厚不锈钢正材制作，坚固耐用。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规格：1800×760×800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765175</wp:posOffset>
                  </wp:positionV>
                  <wp:extent cx="776605" cy="396875"/>
                  <wp:effectExtent l="0" t="0" r="4445" b="3175"/>
                  <wp:wrapNone/>
                  <wp:docPr id="109" name="Picture_3_SpCnt_3"/>
                  <wp:cNvGraphicFramePr/>
                  <a:graphic xmlns:a="http://schemas.openxmlformats.org/drawingml/2006/main">
                    <a:graphicData uri="http://schemas.openxmlformats.org/drawingml/2006/picture">
                      <pic:pic xmlns:pic="http://schemas.openxmlformats.org/drawingml/2006/picture">
                        <pic:nvPicPr>
                          <pic:cNvPr id="109" name="Picture_3_SpCnt_3"/>
                          <pic:cNvPicPr/>
                        </pic:nvPicPr>
                        <pic:blipFill>
                          <a:blip r:embed="rId63"/>
                          <a:stretch>
                            <a:fillRect/>
                          </a:stretch>
                        </pic:blipFill>
                        <pic:spPr>
                          <a:xfrm>
                            <a:off x="0" y="0"/>
                            <a:ext cx="776605" cy="396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更衣柜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说明：采用国标Q235优质碳钢冷轧铁板，喷塑后厚度0.95mm的，门内挂衣杆及格板，转舌锁、扣手、表面喷塑，颜色灰白。。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规格：900×400×1800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198120</wp:posOffset>
                  </wp:positionH>
                  <wp:positionV relativeFrom="paragraph">
                    <wp:posOffset>267970</wp:posOffset>
                  </wp:positionV>
                  <wp:extent cx="438785" cy="525145"/>
                  <wp:effectExtent l="0" t="0" r="18415" b="8255"/>
                  <wp:wrapNone/>
                  <wp:docPr id="98" name="图片_10_SpCnt_2"/>
                  <wp:cNvGraphicFramePr/>
                  <a:graphic xmlns:a="http://schemas.openxmlformats.org/drawingml/2006/main">
                    <a:graphicData uri="http://schemas.openxmlformats.org/drawingml/2006/picture">
                      <pic:pic xmlns:pic="http://schemas.openxmlformats.org/drawingml/2006/picture">
                        <pic:nvPicPr>
                          <pic:cNvPr id="98" name="图片_10_SpCnt_2"/>
                          <pic:cNvPicPr/>
                        </pic:nvPicPr>
                        <pic:blipFill>
                          <a:blip r:embed="rId16"/>
                          <a:stretch>
                            <a:fillRect/>
                          </a:stretch>
                        </pic:blipFill>
                        <pic:spPr>
                          <a:xfrm>
                            <a:off x="0" y="0"/>
                            <a:ext cx="438785" cy="5251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电量：0.3KW/1PH/220V。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1.LED显示屏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2.采用高精度传感器，ACS传感器支承架，稳定可靠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3.不锈钢称面，不易变形，防腐防锈。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最大称重：300KG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450850</wp:posOffset>
                  </wp:positionV>
                  <wp:extent cx="666750" cy="570230"/>
                  <wp:effectExtent l="0" t="0" r="0" b="1270"/>
                  <wp:wrapNone/>
                  <wp:docPr id="93" name="Picture_1_SpCnt_8"/>
                  <wp:cNvGraphicFramePr/>
                  <a:graphic xmlns:a="http://schemas.openxmlformats.org/drawingml/2006/main">
                    <a:graphicData uri="http://schemas.openxmlformats.org/drawingml/2006/picture">
                      <pic:pic xmlns:pic="http://schemas.openxmlformats.org/drawingml/2006/picture">
                        <pic:nvPicPr>
                          <pic:cNvPr id="93" name="Picture_1_SpCnt_8"/>
                          <pic:cNvPicPr/>
                        </pic:nvPicPr>
                        <pic:blipFill>
                          <a:blip r:embed="rId19"/>
                          <a:stretch>
                            <a:fillRect/>
                          </a:stretch>
                        </pic:blipFill>
                        <pic:spPr>
                          <a:xfrm>
                            <a:off x="0" y="0"/>
                            <a:ext cx="666750" cy="5702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99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双星剖鱼台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说明：采用304优质发纹贴塑不锈钢板制造，台面一次成型，台面δ=1.0mm，星盆斗δ=1.0mm，加强筋δ1.0mm；侧板δ0.8mm；门面δ0.8mm；底板、层板δ0.8mm；加强筋δ1.0mm；重力脚Φ50*150不锈钢重力脚。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规格：1800×*700×(800+150)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182245</wp:posOffset>
                  </wp:positionH>
                  <wp:positionV relativeFrom="paragraph">
                    <wp:posOffset>335280</wp:posOffset>
                  </wp:positionV>
                  <wp:extent cx="533400" cy="443865"/>
                  <wp:effectExtent l="0" t="0" r="0" b="13335"/>
                  <wp:wrapNone/>
                  <wp:docPr id="94" name="图片_14_SpCnt_4"/>
                  <wp:cNvGraphicFramePr/>
                  <a:graphic xmlns:a="http://schemas.openxmlformats.org/drawingml/2006/main">
                    <a:graphicData uri="http://schemas.openxmlformats.org/drawingml/2006/picture">
                      <pic:pic xmlns:pic="http://schemas.openxmlformats.org/drawingml/2006/picture">
                        <pic:nvPicPr>
                          <pic:cNvPr id="94" name="图片_14_SpCnt_4"/>
                          <pic:cNvPicPr/>
                        </pic:nvPicPr>
                        <pic:blipFill>
                          <a:blip r:embed="rId94"/>
                          <a:stretch>
                            <a:fillRect/>
                          </a:stretch>
                        </pic:blipFill>
                        <pic:spPr>
                          <a:xfrm>
                            <a:off x="0" y="0"/>
                            <a:ext cx="533400" cy="4438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w:t>
            </w:r>
            <w:r>
              <w:rPr>
                <w:rFonts w:hint="eastAsia" w:ascii="宋体" w:hAnsi="宋体" w:cs="宋体"/>
                <w:i w:val="0"/>
                <w:iCs w:val="0"/>
                <w:color w:val="auto"/>
                <w:sz w:val="20"/>
                <w:szCs w:val="20"/>
                <w:u w:val="none"/>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砧板连刀具消毒柜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说明：采用304优质发纹贴塑不锈钢板制造，δ=1.0mm，紫外线杀菌消毒；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规格：1200×600×1200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93980</wp:posOffset>
                  </wp:positionH>
                  <wp:positionV relativeFrom="paragraph">
                    <wp:posOffset>213360</wp:posOffset>
                  </wp:positionV>
                  <wp:extent cx="667385" cy="556260"/>
                  <wp:effectExtent l="0" t="0" r="18415" b="15240"/>
                  <wp:wrapNone/>
                  <wp:docPr id="97" name="Picture_21_SpCnt_1"/>
                  <wp:cNvGraphicFramePr/>
                  <a:graphic xmlns:a="http://schemas.openxmlformats.org/drawingml/2006/main">
                    <a:graphicData uri="http://schemas.openxmlformats.org/drawingml/2006/picture">
                      <pic:pic xmlns:pic="http://schemas.openxmlformats.org/drawingml/2006/picture">
                        <pic:nvPicPr>
                          <pic:cNvPr id="97" name="Picture_21_SpCnt_1"/>
                          <pic:cNvPicPr/>
                        </pic:nvPicPr>
                        <pic:blipFill>
                          <a:blip r:embed="rId30"/>
                          <a:stretch>
                            <a:fillRect/>
                          </a:stretch>
                        </pic:blipFill>
                        <pic:spPr>
                          <a:xfrm>
                            <a:off x="0" y="0"/>
                            <a:ext cx="667385" cy="556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r>
              <w:rPr>
                <w:rFonts w:hint="eastAsia" w:ascii="宋体" w:hAnsi="宋体" w:cs="宋体"/>
                <w:i w:val="0"/>
                <w:iCs w:val="0"/>
                <w:color w:val="auto"/>
                <w:sz w:val="20"/>
                <w:szCs w:val="20"/>
                <w:u w:val="none"/>
                <w:lang w:val="en-US" w:eastAsia="zh-CN"/>
              </w:rPr>
              <w:t>01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三层电烤箱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说明：1.烤盘升级,采用铝质,板材厚度至1.2mm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2.采用国内大厂家电脑板控制器,引进国外技术设计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3.脚轮带刹车设计,方便推拉及固定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4.沾塑把手,手感细腻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5.后通风隔板夹层设计,防止打开排烟阀后箱体内温度急降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6.增加电子式控温模块,相比传统限温器,控温更加精准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7.微电脑控制器，控温更精准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8.加热管选自国内大厂家,效率高、升温快,304#材质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9.接电时零线火线接错后,控制器会显示报警,不会损坏线路及电器件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10.脚轮带刹车设计，方便推拉及固定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功率：14KW/380V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使用温度：0～380℃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规格；1200*1400*2000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110490</wp:posOffset>
                  </wp:positionH>
                  <wp:positionV relativeFrom="paragraph">
                    <wp:posOffset>805180</wp:posOffset>
                  </wp:positionV>
                  <wp:extent cx="614680" cy="845185"/>
                  <wp:effectExtent l="0" t="0" r="13970" b="12065"/>
                  <wp:wrapNone/>
                  <wp:docPr id="100" name="Picture_8_SpCnt_1"/>
                  <wp:cNvGraphicFramePr/>
                  <a:graphic xmlns:a="http://schemas.openxmlformats.org/drawingml/2006/main">
                    <a:graphicData uri="http://schemas.openxmlformats.org/drawingml/2006/picture">
                      <pic:pic xmlns:pic="http://schemas.openxmlformats.org/drawingml/2006/picture">
                        <pic:nvPicPr>
                          <pic:cNvPr id="100" name="Picture_8_SpCnt_1"/>
                          <pic:cNvPicPr/>
                        </pic:nvPicPr>
                        <pic:blipFill>
                          <a:blip r:embed="rId47"/>
                          <a:stretch>
                            <a:fillRect/>
                          </a:stretch>
                        </pic:blipFill>
                        <pic:spPr>
                          <a:xfrm>
                            <a:off x="0" y="0"/>
                            <a:ext cx="614680" cy="8451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r>
              <w:rPr>
                <w:rFonts w:hint="eastAsia" w:ascii="宋体" w:hAnsi="宋体" w:cs="宋体"/>
                <w:i w:val="0"/>
                <w:iCs w:val="0"/>
                <w:color w:val="auto"/>
                <w:sz w:val="20"/>
                <w:szCs w:val="20"/>
                <w:u w:val="none"/>
                <w:lang w:val="en-US" w:eastAsia="zh-CN"/>
              </w:rPr>
              <w:t>02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单向掀门调理台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说明：采用304优质发纹贴塑不锈钢板制造，台面δ=1.0mm (下衬10.0密度板减噪)；侧板δ0.8mm；门面δ0.8mm；底板、层板δ0.8mm；加强筋δ1.0mm；重力脚Φ50*150不锈钢重力脚。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规格：1800×800×800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309245</wp:posOffset>
                  </wp:positionV>
                  <wp:extent cx="685165" cy="341630"/>
                  <wp:effectExtent l="0" t="0" r="635" b="1270"/>
                  <wp:wrapNone/>
                  <wp:docPr id="290" name="图片_32_SpCnt_2"/>
                  <wp:cNvGraphicFramePr/>
                  <a:graphic xmlns:a="http://schemas.openxmlformats.org/drawingml/2006/main">
                    <a:graphicData uri="http://schemas.openxmlformats.org/drawingml/2006/picture">
                      <pic:pic xmlns:pic="http://schemas.openxmlformats.org/drawingml/2006/picture">
                        <pic:nvPicPr>
                          <pic:cNvPr id="290" name="图片_32_SpCnt_2"/>
                          <pic:cNvPicPr/>
                        </pic:nvPicPr>
                        <pic:blipFill>
                          <a:blip r:embed="rId38"/>
                          <a:stretch>
                            <a:fillRect/>
                          </a:stretch>
                        </pic:blipFill>
                        <pic:spPr>
                          <a:xfrm>
                            <a:off x="0" y="0"/>
                            <a:ext cx="685165" cy="341630"/>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bidi w:val="0"/>
        <w:adjustRightInd w:val="0"/>
        <w:snapToGrid w:val="0"/>
        <w:spacing w:line="380" w:lineRule="exact"/>
        <w:ind w:firstLine="422" w:firstLineChars="200"/>
        <w:textAlignment w:val="top"/>
        <w:rPr>
          <w:rStyle w:val="57"/>
          <w:rFonts w:hint="eastAsia" w:asciiTheme="minorEastAsia" w:hAnsiTheme="minorEastAsia" w:eastAsiaTheme="minorEastAsia" w:cstheme="minorEastAsia"/>
          <w:b/>
          <w:color w:val="auto"/>
          <w:sz w:val="21"/>
          <w:szCs w:val="21"/>
          <w:lang w:val="zh-CN"/>
        </w:rPr>
      </w:pPr>
      <w:r>
        <w:rPr>
          <w:rStyle w:val="57"/>
          <w:rFonts w:hint="eastAsia" w:asciiTheme="minorEastAsia" w:hAnsiTheme="minorEastAsia" w:eastAsiaTheme="minorEastAsia" w:cstheme="minorEastAsia"/>
          <w:b/>
          <w:color w:val="auto"/>
          <w:sz w:val="21"/>
          <w:szCs w:val="21"/>
          <w:lang w:val="zh-CN"/>
        </w:rPr>
        <w:t>（</w:t>
      </w:r>
      <w:r>
        <w:rPr>
          <w:rStyle w:val="57"/>
          <w:rFonts w:hint="eastAsia" w:asciiTheme="minorEastAsia" w:hAnsiTheme="minorEastAsia" w:eastAsiaTheme="minorEastAsia" w:cstheme="minorEastAsia"/>
          <w:b/>
          <w:color w:val="auto"/>
          <w:sz w:val="21"/>
          <w:szCs w:val="21"/>
          <w:lang w:val="en-US" w:eastAsia="zh-CN"/>
        </w:rPr>
        <w:t>三</w:t>
      </w:r>
      <w:r>
        <w:rPr>
          <w:rStyle w:val="57"/>
          <w:rFonts w:hint="eastAsia" w:asciiTheme="minorEastAsia" w:hAnsiTheme="minorEastAsia" w:eastAsiaTheme="minorEastAsia" w:cstheme="minorEastAsia"/>
          <w:b/>
          <w:color w:val="auto"/>
          <w:sz w:val="21"/>
          <w:szCs w:val="21"/>
          <w:lang w:val="zh-CN"/>
        </w:rPr>
        <w:t>）</w:t>
      </w:r>
      <w:r>
        <w:rPr>
          <w:rFonts w:hint="eastAsia" w:asciiTheme="minorEastAsia" w:hAnsiTheme="minorEastAsia" w:eastAsiaTheme="minorEastAsia" w:cstheme="minorEastAsia"/>
          <w:b/>
          <w:bCs/>
          <w:color w:val="auto"/>
          <w:sz w:val="21"/>
          <w:szCs w:val="21"/>
        </w:rPr>
        <w:t>资料要求</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w:t>
      </w:r>
      <w:r>
        <w:rPr>
          <w:rFonts w:hint="eastAsia" w:asciiTheme="minorEastAsia" w:hAnsiTheme="minorEastAsia" w:eastAsiaTheme="minorEastAsia" w:cstheme="minorEastAsia"/>
          <w:color w:val="auto"/>
          <w:sz w:val="21"/>
          <w:szCs w:val="21"/>
          <w:lang w:val="en-US" w:eastAsia="zh-CN"/>
        </w:rPr>
        <w:t>厨房设备的设计</w:t>
      </w:r>
      <w:r>
        <w:rPr>
          <w:rFonts w:hint="eastAsia" w:asciiTheme="minorEastAsia" w:hAnsiTheme="minorEastAsia" w:eastAsiaTheme="minorEastAsia" w:cstheme="minorEastAsia"/>
          <w:color w:val="auto"/>
          <w:sz w:val="21"/>
          <w:szCs w:val="21"/>
        </w:rPr>
        <w:t>制作、材料配件选配、施工安装、试运行、调试验收等须符合现行的国家标准、技术规范、行业标准等，国家实施强制性产品认证的产品须具有中国国家强制性产品认证证书（3C认证）；国家规定实行生产许可证管理的投标产品</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取得《全国工业产品生产许可证》。</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2、所有提交的图纸及技术文件应使用国际单位制。</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3、提交的图纸及文件应清楚、完整，否则，</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人将有权拒绝。</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人将不认可与招标要求不一致的图纸及技术文件。</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5、中标后合同签定前需提供的资料</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bCs/>
          <w:color w:val="auto"/>
          <w:sz w:val="21"/>
          <w:szCs w:val="21"/>
        </w:rPr>
        <w:t>上下水接口位置及尺寸图、明沟位置及尺寸图、电气连接及功率图、排烟通风管的接管图及要求风量、燃油或燃气、蒸汽走向图、厨房隔墙图等技术资料。</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2）其他供货方认为可能需要的文件。</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5、交货时需提供的资料</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材料</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（1）合格证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验收、检验报告</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（2）使用手册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电气接线图</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（3）竣工图</w:t>
      </w:r>
      <w:r>
        <w:rPr>
          <w:rFonts w:hint="eastAsia" w:asciiTheme="minorEastAsia" w:hAnsiTheme="minorEastAsia" w:eastAsiaTheme="minorEastAsia" w:cstheme="minorEastAsia"/>
          <w:color w:val="auto"/>
          <w:sz w:val="21"/>
          <w:szCs w:val="21"/>
          <w:lang w:eastAsia="zh-CN"/>
        </w:rPr>
        <w:t>；</w:t>
      </w:r>
    </w:p>
    <w:p>
      <w:pPr>
        <w:pStyle w:val="11"/>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国家标准、技术规范及行业标准规定的其他资料；</w:t>
      </w:r>
    </w:p>
    <w:p>
      <w:pPr>
        <w:pStyle w:val="12"/>
        <w:rPr>
          <w:rFonts w:hint="default"/>
          <w:color w:val="auto"/>
          <w:lang w:val="en-US" w:eastAsia="zh-CN"/>
        </w:rPr>
      </w:pPr>
      <w:r>
        <w:rPr>
          <w:rFonts w:hint="eastAsia" w:asciiTheme="minorEastAsia" w:hAnsiTheme="minorEastAsia" w:eastAsiaTheme="minorEastAsia" w:cstheme="minorEastAsia"/>
          <w:color w:val="auto"/>
          <w:sz w:val="21"/>
          <w:szCs w:val="21"/>
          <w:lang w:val="en-US" w:eastAsia="zh-CN"/>
        </w:rPr>
        <w:t>（5）备品备件</w:t>
      </w:r>
    </w:p>
    <w:p>
      <w:pPr>
        <w:keepNext w:val="0"/>
        <w:keepLines w:val="0"/>
        <w:pageBreakBefore w:val="0"/>
        <w:widowControl w:val="0"/>
        <w:kinsoku/>
        <w:wordWrap/>
        <w:overflowPunct/>
        <w:topLinePunct w:val="0"/>
        <w:bidi w:val="0"/>
        <w:adjustRightInd w:val="0"/>
        <w:snapToGrid w:val="0"/>
        <w:spacing w:line="380" w:lineRule="exact"/>
        <w:ind w:firstLine="422" w:firstLineChars="200"/>
        <w:textAlignment w:val="top"/>
        <w:rPr>
          <w:rFonts w:hint="eastAsia" w:asciiTheme="minorEastAsia" w:hAnsiTheme="minorEastAsia" w:eastAsiaTheme="minorEastAsia" w:cstheme="minorEastAsia"/>
          <w:color w:val="auto"/>
          <w:sz w:val="21"/>
          <w:szCs w:val="21"/>
        </w:rPr>
      </w:pPr>
      <w:r>
        <w:rPr>
          <w:rStyle w:val="57"/>
          <w:rFonts w:hint="eastAsia" w:asciiTheme="minorEastAsia" w:hAnsiTheme="minorEastAsia" w:eastAsiaTheme="minorEastAsia" w:cstheme="minorEastAsia"/>
          <w:b/>
          <w:color w:val="auto"/>
          <w:sz w:val="21"/>
          <w:szCs w:val="21"/>
          <w:lang w:val="zh-CN"/>
        </w:rPr>
        <w:t>（</w:t>
      </w:r>
      <w:r>
        <w:rPr>
          <w:rStyle w:val="57"/>
          <w:rFonts w:hint="eastAsia" w:asciiTheme="minorEastAsia" w:hAnsiTheme="minorEastAsia" w:eastAsiaTheme="minorEastAsia" w:cstheme="minorEastAsia"/>
          <w:b/>
          <w:color w:val="auto"/>
          <w:sz w:val="21"/>
          <w:szCs w:val="21"/>
          <w:lang w:val="en-US" w:eastAsia="zh-CN"/>
        </w:rPr>
        <w:t>四</w:t>
      </w:r>
      <w:r>
        <w:rPr>
          <w:rStyle w:val="57"/>
          <w:rFonts w:hint="eastAsia" w:asciiTheme="minorEastAsia" w:hAnsiTheme="minorEastAsia" w:eastAsiaTheme="minorEastAsia" w:cstheme="minorEastAsia"/>
          <w:b/>
          <w:color w:val="auto"/>
          <w:sz w:val="21"/>
          <w:szCs w:val="21"/>
          <w:lang w:val="zh-CN"/>
        </w:rPr>
        <w:t>）其他要求</w:t>
      </w:r>
    </w:p>
    <w:p>
      <w:pPr>
        <w:keepNext w:val="0"/>
        <w:keepLines w:val="0"/>
        <w:pageBreakBefore w:val="0"/>
        <w:widowControl w:val="0"/>
        <w:kinsoku/>
        <w:wordWrap/>
        <w:overflowPunct/>
        <w:topLinePunct w:val="0"/>
        <w:bidi w:val="0"/>
        <w:adjustRightInd w:val="0"/>
        <w:snapToGrid w:val="0"/>
        <w:spacing w:line="380" w:lineRule="exact"/>
        <w:ind w:firstLine="420" w:firstLineChars="200"/>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中标人</w:t>
      </w:r>
      <w:r>
        <w:rPr>
          <w:rFonts w:hint="eastAsia" w:asciiTheme="minorEastAsia" w:hAnsiTheme="minorEastAsia" w:eastAsiaTheme="minorEastAsia" w:cstheme="minorEastAsia"/>
          <w:color w:val="auto"/>
          <w:sz w:val="21"/>
          <w:szCs w:val="21"/>
        </w:rPr>
        <w:t>须完成下列</w:t>
      </w:r>
      <w:r>
        <w:rPr>
          <w:rFonts w:hint="eastAsia" w:asciiTheme="minorEastAsia" w:hAnsiTheme="minorEastAsia" w:eastAsiaTheme="minorEastAsia" w:cstheme="minorEastAsia"/>
          <w:color w:val="auto"/>
          <w:sz w:val="21"/>
          <w:szCs w:val="21"/>
          <w:lang w:val="en-US" w:eastAsia="zh-CN"/>
        </w:rPr>
        <w:t>工作内容</w:t>
      </w:r>
      <w:r>
        <w:rPr>
          <w:rFonts w:hint="eastAsia" w:asciiTheme="minorEastAsia" w:hAnsiTheme="minorEastAsia" w:eastAsiaTheme="minorEastAsia" w:cstheme="minorEastAsia"/>
          <w:color w:val="auto"/>
          <w:sz w:val="21"/>
          <w:szCs w:val="21"/>
        </w:rPr>
        <w:t>：</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协助</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val="en-US" w:eastAsia="zh-CN"/>
        </w:rPr>
        <w:t>土建</w:t>
      </w:r>
      <w:r>
        <w:rPr>
          <w:rFonts w:hint="eastAsia" w:asciiTheme="minorEastAsia" w:hAnsiTheme="minorEastAsia" w:eastAsiaTheme="minorEastAsia" w:cstheme="minorEastAsia"/>
          <w:color w:val="auto"/>
          <w:sz w:val="21"/>
          <w:szCs w:val="21"/>
        </w:rPr>
        <w:t>电气、暖通、给排水、装修等施工图的</w:t>
      </w:r>
      <w:r>
        <w:rPr>
          <w:rFonts w:hint="eastAsia" w:asciiTheme="minorEastAsia" w:hAnsiTheme="minorEastAsia" w:eastAsiaTheme="minorEastAsia" w:cstheme="minorEastAsia"/>
          <w:color w:val="auto"/>
          <w:sz w:val="21"/>
          <w:szCs w:val="21"/>
          <w:lang w:val="en-US" w:eastAsia="zh-CN"/>
        </w:rPr>
        <w:t>深化设计或</w:t>
      </w:r>
      <w:r>
        <w:rPr>
          <w:rFonts w:hint="eastAsia" w:asciiTheme="minorEastAsia" w:hAnsiTheme="minorEastAsia" w:eastAsiaTheme="minorEastAsia" w:cstheme="minorEastAsia"/>
          <w:color w:val="auto"/>
          <w:sz w:val="21"/>
          <w:szCs w:val="21"/>
        </w:rPr>
        <w:t>修改；</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提供厨房设备；</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设备的就位和安装（包括和外部系统的联接）施工。设备基础如有特殊工艺处理；设备的安装和连接；各排烟罩至排烟道；各种水电汽管线等；</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设备的检查、检验及测试；</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设备的电气线、上下水管、燃气蒸汽管、排烟通风管</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的安装、连接和检查；</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总体调试及</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验收（包括整体验收）；</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调试</w:t>
      </w:r>
      <w:r>
        <w:rPr>
          <w:rFonts w:hint="eastAsia" w:asciiTheme="minorEastAsia" w:hAnsiTheme="minorEastAsia" w:eastAsiaTheme="minorEastAsia" w:cstheme="minorEastAsia"/>
          <w:color w:val="auto"/>
          <w:sz w:val="21"/>
          <w:szCs w:val="21"/>
        </w:rPr>
        <w:t>整改；</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设备及相关部分的维护、维修；</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售后服务，包括对</w:t>
      </w:r>
      <w:r>
        <w:rPr>
          <w:rFonts w:hint="eastAsia" w:asciiTheme="minorEastAsia" w:hAnsiTheme="minorEastAsia" w:eastAsiaTheme="minorEastAsia" w:cstheme="minorEastAsia"/>
          <w:color w:val="auto"/>
          <w:sz w:val="21"/>
          <w:szCs w:val="21"/>
          <w:lang w:val="en-US" w:eastAsia="zh-CN"/>
        </w:rPr>
        <w:t>采购方</w:t>
      </w:r>
      <w:r>
        <w:rPr>
          <w:rFonts w:hint="eastAsia" w:asciiTheme="minorEastAsia" w:hAnsiTheme="minorEastAsia" w:eastAsiaTheme="minorEastAsia" w:cstheme="minorEastAsia"/>
          <w:color w:val="auto"/>
          <w:sz w:val="21"/>
          <w:szCs w:val="21"/>
        </w:rPr>
        <w:t>操作人员使用及维护</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培训；</w:t>
      </w:r>
    </w:p>
    <w:p>
      <w:pPr>
        <w:keepNext w:val="0"/>
        <w:keepLines w:val="0"/>
        <w:pageBreakBefore w:val="0"/>
        <w:widowControl w:val="0"/>
        <w:numPr>
          <w:ilvl w:val="0"/>
          <w:numId w:val="0"/>
        </w:numPr>
        <w:tabs>
          <w:tab w:val="left" w:pos="540"/>
          <w:tab w:val="left" w:pos="720"/>
        </w:tabs>
        <w:kinsoku/>
        <w:wordWrap/>
        <w:overflowPunct/>
        <w:topLinePunct w:val="0"/>
        <w:autoSpaceDE w:val="0"/>
        <w:autoSpaceDN w:val="0"/>
        <w:bidi w:val="0"/>
        <w:adjustRightInd w:val="0"/>
        <w:snapToGrid w:val="0"/>
        <w:spacing w:line="380" w:lineRule="exact"/>
        <w:ind w:leftChars="200"/>
        <w:textAlignment w:val="bottom"/>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项目</w:t>
      </w:r>
      <w:r>
        <w:rPr>
          <w:rFonts w:hint="eastAsia" w:asciiTheme="minorEastAsia" w:hAnsiTheme="minorEastAsia" w:eastAsiaTheme="minorEastAsia" w:cstheme="minorEastAsia"/>
          <w:b/>
          <w:bCs/>
          <w:color w:val="auto"/>
          <w:sz w:val="21"/>
          <w:szCs w:val="21"/>
        </w:rPr>
        <w:t>实施过程中与其它</w:t>
      </w:r>
      <w:r>
        <w:rPr>
          <w:rFonts w:hint="eastAsia" w:asciiTheme="minorEastAsia" w:hAnsiTheme="minorEastAsia" w:eastAsiaTheme="minorEastAsia" w:cstheme="minorEastAsia"/>
          <w:b/>
          <w:bCs/>
          <w:color w:val="auto"/>
          <w:sz w:val="21"/>
          <w:szCs w:val="21"/>
          <w:lang w:val="en-US" w:eastAsia="zh-CN"/>
        </w:rPr>
        <w:t>专业承包人</w:t>
      </w:r>
      <w:r>
        <w:rPr>
          <w:rFonts w:hint="eastAsia" w:asciiTheme="minorEastAsia" w:hAnsiTheme="minorEastAsia" w:eastAsiaTheme="minorEastAsia" w:cstheme="minorEastAsia"/>
          <w:b/>
          <w:bCs/>
          <w:color w:val="auto"/>
          <w:sz w:val="21"/>
          <w:szCs w:val="21"/>
        </w:rPr>
        <w:t>、总包</w:t>
      </w:r>
      <w:r>
        <w:rPr>
          <w:rFonts w:hint="eastAsia" w:asciiTheme="minorEastAsia" w:hAnsiTheme="minorEastAsia" w:eastAsiaTheme="minorEastAsia" w:cstheme="minorEastAsia"/>
          <w:b/>
          <w:bCs/>
          <w:color w:val="auto"/>
          <w:sz w:val="21"/>
          <w:szCs w:val="21"/>
          <w:lang w:val="en-US" w:eastAsia="zh-CN"/>
        </w:rPr>
        <w:t>人</w:t>
      </w:r>
      <w:r>
        <w:rPr>
          <w:rFonts w:hint="eastAsia" w:asciiTheme="minorEastAsia" w:hAnsiTheme="minorEastAsia" w:eastAsiaTheme="minorEastAsia" w:cstheme="minorEastAsia"/>
          <w:b/>
          <w:bCs/>
          <w:color w:val="auto"/>
          <w:sz w:val="21"/>
          <w:szCs w:val="21"/>
        </w:rPr>
        <w:t>的协调和配合（中标方须服从工程总包方的安排，安全施工、实施材料堆放、临时设施搭设、现场运输、临时水电接通等事宜，费用计入报价总价）。</w:t>
      </w:r>
    </w:p>
    <w:p>
      <w:pPr>
        <w:keepNext w:val="0"/>
        <w:keepLines w:val="0"/>
        <w:pageBreakBefore w:val="0"/>
        <w:widowControl w:val="0"/>
        <w:kinsoku/>
        <w:wordWrap/>
        <w:overflowPunct/>
        <w:topLinePunct w:val="0"/>
        <w:bidi w:val="0"/>
        <w:spacing w:line="38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、质保期内因设备本身缺陷或安装质量问题造成的各种故障由</w:t>
      </w:r>
      <w:r>
        <w:rPr>
          <w:rFonts w:hint="eastAsia" w:asciiTheme="minorEastAsia" w:hAnsiTheme="minorEastAsia" w:eastAsiaTheme="minorEastAsia" w:cstheme="minorEastAsia"/>
          <w:color w:val="auto"/>
          <w:sz w:val="21"/>
          <w:szCs w:val="21"/>
          <w:lang w:val="en-US" w:eastAsia="zh-CN"/>
        </w:rPr>
        <w:t>中标</w:t>
      </w:r>
      <w:r>
        <w:rPr>
          <w:rFonts w:hint="eastAsia" w:asciiTheme="minorEastAsia" w:hAnsiTheme="minorEastAsia" w:eastAsiaTheme="minorEastAsia" w:cstheme="minorEastAsia"/>
          <w:color w:val="auto"/>
          <w:sz w:val="21"/>
          <w:szCs w:val="21"/>
        </w:rPr>
        <w:t>人免费提供技术服务、维修、设备更换以及系统升级。</w:t>
      </w:r>
    </w:p>
    <w:p>
      <w:pPr>
        <w:keepNext w:val="0"/>
        <w:keepLines w:val="0"/>
        <w:pageBreakBefore w:val="0"/>
        <w:widowControl w:val="0"/>
        <w:kinsoku/>
        <w:wordWrap/>
        <w:overflowPunct/>
        <w:topLinePunct w:val="0"/>
        <w:bidi w:val="0"/>
        <w:spacing w:line="38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、免费提供培训，直至培训人员能熟练掌握技术操作、注意事项和日常维修保养，并提供使用及维修资料。</w:t>
      </w:r>
    </w:p>
    <w:p>
      <w:pPr>
        <w:keepNext w:val="0"/>
        <w:keepLines w:val="0"/>
        <w:pageBreakBefore w:val="0"/>
        <w:widowControl w:val="0"/>
        <w:kinsoku/>
        <w:wordWrap/>
        <w:overflowPunct/>
        <w:topLinePunct w:val="0"/>
        <w:bidi w:val="0"/>
        <w:spacing w:line="38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、要求在发生故障时，</w:t>
      </w:r>
      <w:r>
        <w:rPr>
          <w:rFonts w:hint="eastAsia" w:asciiTheme="minorEastAsia" w:hAnsiTheme="minorEastAsia" w:eastAsiaTheme="minorEastAsia" w:cstheme="minorEastAsia"/>
          <w:color w:val="auto"/>
          <w:sz w:val="21"/>
          <w:szCs w:val="21"/>
          <w:lang w:val="en-US" w:eastAsia="zh-CN"/>
        </w:rPr>
        <w:t>中标</w:t>
      </w:r>
      <w:r>
        <w:rPr>
          <w:rFonts w:hint="eastAsia" w:asciiTheme="minorEastAsia" w:hAnsiTheme="minorEastAsia" w:eastAsiaTheme="minorEastAsia" w:cstheme="minorEastAsia"/>
          <w:color w:val="auto"/>
          <w:sz w:val="21"/>
          <w:szCs w:val="21"/>
        </w:rPr>
        <w:t>人接到采购人通知后2小时内服务响应，4小时内到达现场维修；</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个工作日无法修复的必须提供备用设备供采购人使用。</w:t>
      </w:r>
    </w:p>
    <w:p>
      <w:pPr>
        <w:keepNext w:val="0"/>
        <w:keepLines w:val="0"/>
        <w:pageBreakBefore w:val="0"/>
        <w:widowControl w:val="0"/>
        <w:kinsoku/>
        <w:wordWrap/>
        <w:overflowPunct/>
        <w:topLinePunct w:val="0"/>
        <w:bidi w:val="0"/>
        <w:spacing w:line="38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、供应商须提供制造商售后服务承诺书、产品的彩页资料、详细技术指标以及完整的使用手册和维护手册。</w:t>
      </w:r>
    </w:p>
    <w:p>
      <w:pPr>
        <w:keepNext w:val="0"/>
        <w:keepLines w:val="0"/>
        <w:pageBreakBefore w:val="0"/>
        <w:widowControl w:val="0"/>
        <w:kinsoku/>
        <w:wordWrap/>
        <w:overflowPunct/>
        <w:topLinePunct w:val="0"/>
        <w:bidi w:val="0"/>
        <w:spacing w:line="38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中标</w:t>
      </w:r>
      <w:r>
        <w:rPr>
          <w:rFonts w:hint="eastAsia" w:asciiTheme="minorEastAsia" w:hAnsiTheme="minorEastAsia" w:eastAsiaTheme="minorEastAsia" w:cstheme="minorEastAsia"/>
          <w:color w:val="auto"/>
          <w:sz w:val="21"/>
          <w:szCs w:val="21"/>
        </w:rPr>
        <w:t>人应对</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人具体工作人员提供现场操作及维修培训。</w:t>
      </w:r>
    </w:p>
    <w:p>
      <w:pPr>
        <w:keepNext w:val="0"/>
        <w:keepLines w:val="0"/>
        <w:pageBreakBefore w:val="0"/>
        <w:widowControl w:val="0"/>
        <w:kinsoku/>
        <w:wordWrap/>
        <w:overflowPunct/>
        <w:topLinePunct w:val="0"/>
        <w:bidi w:val="0"/>
        <w:spacing w:line="38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、项目实施过程中涉及需要相关资质的实施内容，须具备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或委托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相应资质的作业人员实施。</w:t>
      </w:r>
    </w:p>
    <w:p>
      <w:pPr>
        <w:pStyle w:val="11"/>
        <w:ind w:firstLine="420" w:firstLineChars="200"/>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8、项目实施过程的安装开孔（开槽）或安装开孔（开槽）引起的填补修复以及垃圾清理等工程由中标人自行负责，其费用均在投标报价中综合考虑。</w:t>
      </w:r>
    </w:p>
    <w:p>
      <w:pPr>
        <w:keepNext w:val="0"/>
        <w:keepLines w:val="0"/>
        <w:pageBreakBefore w:val="0"/>
        <w:widowControl w:val="0"/>
        <w:kinsoku/>
        <w:wordWrap/>
        <w:overflowPunct/>
        <w:topLinePunct w:val="0"/>
        <w:bidi w:val="0"/>
        <w:snapToGrid w:val="0"/>
        <w:spacing w:line="380" w:lineRule="exact"/>
        <w:ind w:firstLine="422" w:firstLineChars="200"/>
        <w:rPr>
          <w:rFonts w:hint="eastAsia" w:asciiTheme="minorEastAsia" w:hAnsiTheme="minorEastAsia" w:eastAsiaTheme="minorEastAsia" w:cstheme="minorEastAsia"/>
          <w:b/>
          <w:color w:val="auto"/>
          <w:sz w:val="21"/>
          <w:szCs w:val="21"/>
          <w:u w:val="none"/>
        </w:rPr>
      </w:pPr>
      <w:r>
        <w:rPr>
          <w:rStyle w:val="57"/>
          <w:rFonts w:hint="eastAsia" w:asciiTheme="minorEastAsia" w:hAnsiTheme="minorEastAsia" w:eastAsiaTheme="minorEastAsia" w:cstheme="minorEastAsia"/>
          <w:b/>
          <w:color w:val="auto"/>
          <w:sz w:val="21"/>
          <w:szCs w:val="21"/>
          <w:u w:val="none"/>
          <w:lang w:val="zh-CN"/>
        </w:rPr>
        <w:t>▲（</w:t>
      </w:r>
      <w:r>
        <w:rPr>
          <w:rStyle w:val="57"/>
          <w:rFonts w:hint="eastAsia" w:asciiTheme="minorEastAsia" w:hAnsiTheme="minorEastAsia" w:eastAsiaTheme="minorEastAsia" w:cstheme="minorEastAsia"/>
          <w:b/>
          <w:color w:val="auto"/>
          <w:sz w:val="21"/>
          <w:szCs w:val="21"/>
          <w:u w:val="none"/>
          <w:lang w:val="en-US" w:eastAsia="zh-CN"/>
        </w:rPr>
        <w:t>五</w:t>
      </w:r>
      <w:r>
        <w:rPr>
          <w:rStyle w:val="57"/>
          <w:rFonts w:hint="eastAsia" w:asciiTheme="minorEastAsia" w:hAnsiTheme="minorEastAsia" w:eastAsiaTheme="minorEastAsia" w:cstheme="minorEastAsia"/>
          <w:b/>
          <w:color w:val="auto"/>
          <w:sz w:val="21"/>
          <w:szCs w:val="21"/>
          <w:u w:val="none"/>
          <w:lang w:val="zh-CN"/>
        </w:rPr>
        <w:t>）</w:t>
      </w:r>
      <w:r>
        <w:rPr>
          <w:rFonts w:hint="eastAsia" w:asciiTheme="minorEastAsia" w:hAnsiTheme="minorEastAsia" w:eastAsiaTheme="minorEastAsia" w:cstheme="minorEastAsia"/>
          <w:b/>
          <w:color w:val="auto"/>
          <w:sz w:val="21"/>
          <w:szCs w:val="21"/>
          <w:u w:val="none"/>
        </w:rPr>
        <w:t>质保期</w:t>
      </w:r>
    </w:p>
    <w:p>
      <w:pPr>
        <w:keepNext w:val="0"/>
        <w:keepLines w:val="0"/>
        <w:pageBreakBefore w:val="0"/>
        <w:widowControl w:val="0"/>
        <w:kinsoku/>
        <w:wordWrap/>
        <w:overflowPunct/>
        <w:topLinePunct w:val="0"/>
        <w:bidi w:val="0"/>
        <w:snapToGrid w:val="0"/>
        <w:spacing w:line="380" w:lineRule="exact"/>
        <w:ind w:firstLine="420" w:firstLineChars="200"/>
        <w:rPr>
          <w:rFonts w:hint="eastAsia" w:asciiTheme="minorEastAsia" w:hAnsiTheme="minorEastAsia" w:eastAsiaTheme="minorEastAsia" w:cstheme="minorEastAsia"/>
          <w:b w:val="0"/>
          <w:bCs/>
          <w:color w:val="auto"/>
          <w:sz w:val="21"/>
          <w:szCs w:val="21"/>
          <w:u w:val="none"/>
        </w:rPr>
      </w:pPr>
      <w:r>
        <w:rPr>
          <w:rFonts w:hint="eastAsia" w:asciiTheme="minorEastAsia" w:hAnsiTheme="minorEastAsia" w:eastAsiaTheme="minorEastAsia" w:cstheme="minorEastAsia"/>
          <w:b w:val="0"/>
          <w:bCs/>
          <w:color w:val="auto"/>
          <w:sz w:val="21"/>
          <w:szCs w:val="21"/>
          <w:u w:val="none"/>
        </w:rPr>
        <w:t>自全部更新设备或产品安装调试完成验收合格交付使用之日起不少于（含）</w:t>
      </w:r>
      <w:r>
        <w:rPr>
          <w:rFonts w:hint="eastAsia" w:asciiTheme="minorEastAsia" w:hAnsiTheme="minorEastAsia" w:eastAsiaTheme="minorEastAsia" w:cstheme="minorEastAsia"/>
          <w:b w:val="0"/>
          <w:bCs/>
          <w:color w:val="auto"/>
          <w:sz w:val="21"/>
          <w:szCs w:val="21"/>
          <w:u w:val="none"/>
          <w:lang w:val="en-US" w:eastAsia="zh-CN"/>
        </w:rPr>
        <w:t>12月</w:t>
      </w:r>
      <w:r>
        <w:rPr>
          <w:rFonts w:hint="eastAsia" w:asciiTheme="minorEastAsia" w:hAnsiTheme="minorEastAsia" w:eastAsiaTheme="minorEastAsia" w:cstheme="minorEastAsia"/>
          <w:b w:val="0"/>
          <w:bCs/>
          <w:color w:val="auto"/>
          <w:sz w:val="21"/>
          <w:szCs w:val="21"/>
          <w:u w:val="none"/>
        </w:rPr>
        <w:t>。</w:t>
      </w:r>
    </w:p>
    <w:p>
      <w:pPr>
        <w:keepNext w:val="0"/>
        <w:keepLines w:val="0"/>
        <w:pageBreakBefore w:val="0"/>
        <w:widowControl w:val="0"/>
        <w:kinsoku/>
        <w:wordWrap/>
        <w:overflowPunct/>
        <w:topLinePunct w:val="0"/>
        <w:bidi w:val="0"/>
        <w:snapToGrid w:val="0"/>
        <w:spacing w:line="380" w:lineRule="exact"/>
        <w:ind w:firstLine="422" w:firstLineChars="200"/>
        <w:rPr>
          <w:rStyle w:val="57"/>
          <w:rFonts w:hint="eastAsia" w:asciiTheme="minorEastAsia" w:hAnsiTheme="minorEastAsia" w:eastAsiaTheme="minorEastAsia" w:cstheme="minorEastAsia"/>
          <w:b/>
          <w:color w:val="auto"/>
          <w:sz w:val="21"/>
          <w:szCs w:val="21"/>
          <w:u w:val="none"/>
          <w:lang w:val="zh-CN"/>
        </w:rPr>
      </w:pPr>
      <w:r>
        <w:rPr>
          <w:rStyle w:val="57"/>
          <w:rFonts w:hint="eastAsia" w:asciiTheme="minorEastAsia" w:hAnsiTheme="minorEastAsia" w:eastAsiaTheme="minorEastAsia" w:cstheme="minorEastAsia"/>
          <w:b/>
          <w:color w:val="auto"/>
          <w:sz w:val="21"/>
          <w:szCs w:val="21"/>
          <w:u w:val="none"/>
          <w:lang w:val="zh-CN"/>
        </w:rPr>
        <w:t>▲（</w:t>
      </w:r>
      <w:r>
        <w:rPr>
          <w:rStyle w:val="57"/>
          <w:rFonts w:hint="eastAsia" w:asciiTheme="minorEastAsia" w:hAnsiTheme="minorEastAsia" w:eastAsiaTheme="minorEastAsia" w:cstheme="minorEastAsia"/>
          <w:b/>
          <w:color w:val="auto"/>
          <w:sz w:val="21"/>
          <w:szCs w:val="21"/>
          <w:u w:val="none"/>
          <w:lang w:val="en-US" w:eastAsia="zh-CN"/>
        </w:rPr>
        <w:t>六</w:t>
      </w:r>
      <w:r>
        <w:rPr>
          <w:rStyle w:val="57"/>
          <w:rFonts w:hint="eastAsia" w:asciiTheme="minorEastAsia" w:hAnsiTheme="minorEastAsia" w:eastAsiaTheme="minorEastAsia" w:cstheme="minorEastAsia"/>
          <w:b/>
          <w:color w:val="auto"/>
          <w:sz w:val="21"/>
          <w:szCs w:val="21"/>
          <w:u w:val="none"/>
          <w:lang w:val="zh-CN"/>
        </w:rPr>
        <w:t>）交货期</w:t>
      </w:r>
    </w:p>
    <w:p>
      <w:pPr>
        <w:keepNext w:val="0"/>
        <w:keepLines w:val="0"/>
        <w:pageBreakBefore w:val="0"/>
        <w:widowControl w:val="0"/>
        <w:kinsoku/>
        <w:wordWrap/>
        <w:overflowPunct/>
        <w:topLinePunct w:val="0"/>
        <w:bidi w:val="0"/>
        <w:snapToGrid w:val="0"/>
        <w:spacing w:line="380" w:lineRule="exact"/>
        <w:ind w:firstLine="420" w:firstLineChars="200"/>
        <w:rPr>
          <w:rStyle w:val="57"/>
          <w:rFonts w:hint="eastAsia" w:asciiTheme="minorEastAsia" w:hAnsiTheme="minorEastAsia" w:eastAsiaTheme="minorEastAsia" w:cstheme="minorEastAsia"/>
          <w:b w:val="0"/>
          <w:bCs/>
          <w:color w:val="auto"/>
          <w:sz w:val="21"/>
          <w:szCs w:val="21"/>
        </w:rPr>
      </w:pPr>
      <w:r>
        <w:rPr>
          <w:rStyle w:val="57"/>
          <w:rFonts w:hint="eastAsia" w:asciiTheme="minorEastAsia" w:hAnsiTheme="minorEastAsia" w:eastAsiaTheme="minorEastAsia" w:cstheme="minorEastAsia"/>
          <w:b w:val="0"/>
          <w:bCs/>
          <w:color w:val="auto"/>
          <w:sz w:val="21"/>
          <w:szCs w:val="21"/>
          <w:u w:val="none"/>
          <w:lang w:val="zh-CN"/>
        </w:rPr>
        <w:t>接到</w:t>
      </w:r>
      <w:r>
        <w:rPr>
          <w:rStyle w:val="57"/>
          <w:rFonts w:hint="eastAsia" w:asciiTheme="minorEastAsia" w:hAnsiTheme="minorEastAsia" w:eastAsiaTheme="minorEastAsia" w:cstheme="minorEastAsia"/>
          <w:b w:val="0"/>
          <w:bCs/>
          <w:color w:val="auto"/>
          <w:sz w:val="21"/>
          <w:szCs w:val="21"/>
          <w:u w:val="none"/>
          <w:lang w:val="en-US" w:eastAsia="zh-CN"/>
        </w:rPr>
        <w:t>采购</w:t>
      </w:r>
      <w:r>
        <w:rPr>
          <w:rStyle w:val="57"/>
          <w:rFonts w:hint="eastAsia" w:asciiTheme="minorEastAsia" w:hAnsiTheme="minorEastAsia" w:eastAsiaTheme="minorEastAsia" w:cstheme="minorEastAsia"/>
          <w:b w:val="0"/>
          <w:bCs/>
          <w:color w:val="auto"/>
          <w:sz w:val="21"/>
          <w:szCs w:val="21"/>
          <w:u w:val="none"/>
          <w:lang w:val="zh-CN"/>
        </w:rPr>
        <w:t>人通知后60日历天内货到招标人指定地点安装调试完成并验收合格交付使用</w:t>
      </w:r>
      <w:r>
        <w:rPr>
          <w:rStyle w:val="57"/>
          <w:rFonts w:hint="eastAsia" w:asciiTheme="minorEastAsia" w:hAnsiTheme="minorEastAsia" w:eastAsiaTheme="minorEastAsia" w:cstheme="minorEastAsia"/>
          <w:b w:val="0"/>
          <w:bCs/>
          <w:color w:val="auto"/>
          <w:sz w:val="21"/>
          <w:szCs w:val="21"/>
        </w:rPr>
        <w:t>。</w:t>
      </w:r>
    </w:p>
    <w:p>
      <w:pPr>
        <w:keepNext w:val="0"/>
        <w:keepLines w:val="0"/>
        <w:pageBreakBefore w:val="0"/>
        <w:widowControl w:val="0"/>
        <w:kinsoku/>
        <w:wordWrap/>
        <w:overflowPunct/>
        <w:topLinePunct w:val="0"/>
        <w:bidi w:val="0"/>
        <w:spacing w:line="380" w:lineRule="exact"/>
        <w:ind w:firstLine="422" w:firstLineChars="200"/>
        <w:jc w:val="left"/>
        <w:rPr>
          <w:rFonts w:hint="eastAsia" w:asciiTheme="minorEastAsia" w:hAnsiTheme="minorEastAsia" w:eastAsiaTheme="minorEastAsia" w:cstheme="minorEastAsia"/>
          <w:b/>
          <w:bCs/>
          <w:color w:val="auto"/>
          <w:sz w:val="21"/>
          <w:szCs w:val="21"/>
        </w:rPr>
      </w:pPr>
      <w:r>
        <w:rPr>
          <w:rStyle w:val="57"/>
          <w:rFonts w:hint="eastAsia" w:asciiTheme="minorEastAsia" w:hAnsiTheme="minorEastAsia" w:eastAsiaTheme="minorEastAsia" w:cstheme="minorEastAsia"/>
          <w:b/>
          <w:color w:val="auto"/>
          <w:sz w:val="21"/>
          <w:szCs w:val="21"/>
          <w:u w:val="none"/>
          <w:lang w:val="zh-CN"/>
        </w:rPr>
        <w:t>▲（</w:t>
      </w:r>
      <w:r>
        <w:rPr>
          <w:rStyle w:val="57"/>
          <w:rFonts w:hint="eastAsia" w:asciiTheme="minorEastAsia" w:hAnsiTheme="minorEastAsia" w:eastAsiaTheme="minorEastAsia" w:cstheme="minorEastAsia"/>
          <w:b/>
          <w:color w:val="auto"/>
          <w:sz w:val="21"/>
          <w:szCs w:val="21"/>
          <w:u w:val="none"/>
          <w:lang w:val="en-US" w:eastAsia="zh-CN"/>
        </w:rPr>
        <w:t>七</w:t>
      </w:r>
      <w:r>
        <w:rPr>
          <w:rStyle w:val="57"/>
          <w:rFonts w:hint="eastAsia" w:asciiTheme="minorEastAsia" w:hAnsiTheme="minorEastAsia" w:eastAsiaTheme="minorEastAsia" w:cstheme="minorEastAsia"/>
          <w:b/>
          <w:color w:val="auto"/>
          <w:sz w:val="21"/>
          <w:szCs w:val="21"/>
          <w:u w:val="none"/>
          <w:lang w:val="zh-CN"/>
        </w:rPr>
        <w:t>）</w:t>
      </w:r>
      <w:r>
        <w:rPr>
          <w:rFonts w:hint="eastAsia" w:asciiTheme="minorEastAsia" w:hAnsiTheme="minorEastAsia" w:eastAsiaTheme="minorEastAsia" w:cstheme="minorEastAsia"/>
          <w:b/>
          <w:bCs/>
          <w:color w:val="auto"/>
          <w:sz w:val="21"/>
          <w:szCs w:val="21"/>
        </w:rPr>
        <w:t>验收</w:t>
      </w:r>
    </w:p>
    <w:p>
      <w:pPr>
        <w:pStyle w:val="11"/>
        <w:ind w:firstLine="420" w:firstLineChars="200"/>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rPr>
        <w:t>按国家有关技术规范要求和技术标准、招标要求，结合样品进行到货验收和最终验收（如需通过产品抽检、质量监督部门检验等方式进行验收）。</w:t>
      </w:r>
      <w:r>
        <w:rPr>
          <w:rFonts w:hint="eastAsia" w:asciiTheme="minorEastAsia" w:hAnsiTheme="minorEastAsia" w:eastAsiaTheme="minorEastAsia" w:cstheme="minorEastAsia"/>
          <w:color w:val="auto"/>
          <w:sz w:val="21"/>
          <w:szCs w:val="21"/>
          <w:lang w:val="en-US" w:eastAsia="zh-CN"/>
        </w:rPr>
        <w:t>按相关部门要求若需第三方检测机构检测。从其规定，费用由中标人承担。</w:t>
      </w:r>
    </w:p>
    <w:p>
      <w:pPr>
        <w:keepNext w:val="0"/>
        <w:keepLines w:val="0"/>
        <w:pageBreakBefore w:val="0"/>
        <w:widowControl w:val="0"/>
        <w:kinsoku/>
        <w:wordWrap/>
        <w:overflowPunct/>
        <w:topLinePunct w:val="0"/>
        <w:bidi w:val="0"/>
        <w:spacing w:line="380" w:lineRule="exact"/>
        <w:ind w:firstLine="422" w:firstLineChars="200"/>
        <w:jc w:val="left"/>
        <w:rPr>
          <w:rFonts w:hint="eastAsia" w:ascii="宋体" w:hAnsi="宋体" w:cs="宋体"/>
          <w:b/>
          <w:bCs/>
          <w:color w:val="auto"/>
          <w:kern w:val="0"/>
          <w:szCs w:val="21"/>
          <w:lang w:val="en-US" w:eastAsia="zh-CN"/>
        </w:rPr>
      </w:pPr>
      <w:r>
        <w:rPr>
          <w:rStyle w:val="57"/>
          <w:rFonts w:hint="eastAsia" w:asciiTheme="minorEastAsia" w:hAnsiTheme="minorEastAsia" w:eastAsiaTheme="minorEastAsia" w:cstheme="minorEastAsia"/>
          <w:b/>
          <w:color w:val="auto"/>
          <w:sz w:val="21"/>
          <w:szCs w:val="21"/>
          <w:u w:val="none"/>
          <w:lang w:val="zh-CN"/>
        </w:rPr>
        <w:t>▲（</w:t>
      </w:r>
      <w:r>
        <w:rPr>
          <w:rStyle w:val="57"/>
          <w:rFonts w:hint="eastAsia" w:asciiTheme="minorEastAsia" w:hAnsiTheme="minorEastAsia" w:eastAsiaTheme="minorEastAsia" w:cstheme="minorEastAsia"/>
          <w:b/>
          <w:color w:val="auto"/>
          <w:sz w:val="21"/>
          <w:szCs w:val="21"/>
          <w:u w:val="none"/>
          <w:lang w:val="en-US" w:eastAsia="zh-CN"/>
        </w:rPr>
        <w:t>八</w:t>
      </w:r>
      <w:r>
        <w:rPr>
          <w:rStyle w:val="57"/>
          <w:rFonts w:hint="eastAsia" w:asciiTheme="minorEastAsia" w:hAnsiTheme="minorEastAsia" w:eastAsiaTheme="minorEastAsia" w:cstheme="minorEastAsia"/>
          <w:b/>
          <w:color w:val="auto"/>
          <w:sz w:val="21"/>
          <w:szCs w:val="21"/>
          <w:u w:val="none"/>
          <w:lang w:val="zh-CN"/>
        </w:rPr>
        <w:t>）</w:t>
      </w:r>
      <w:r>
        <w:rPr>
          <w:rFonts w:hint="eastAsia" w:ascii="宋体" w:hAnsi="宋体" w:cs="宋体"/>
          <w:b/>
          <w:bCs/>
          <w:color w:val="auto"/>
          <w:kern w:val="0"/>
          <w:szCs w:val="21"/>
          <w:lang w:val="en-US" w:eastAsia="zh-CN"/>
        </w:rPr>
        <w:t>付款方式</w:t>
      </w:r>
    </w:p>
    <w:p>
      <w:pPr>
        <w:keepNext w:val="0"/>
        <w:keepLines w:val="0"/>
        <w:pageBreakBefore w:val="0"/>
        <w:widowControl w:val="0"/>
        <w:kinsoku/>
        <w:wordWrap/>
        <w:overflowPunct/>
        <w:topLinePunct w:val="0"/>
        <w:bidi w:val="0"/>
        <w:spacing w:line="380" w:lineRule="exact"/>
        <w:ind w:firstLine="420" w:firstLineChars="200"/>
        <w:jc w:val="left"/>
        <w:rPr>
          <w:rFonts w:hint="default" w:asciiTheme="minorEastAsia" w:hAnsiTheme="minorEastAsia" w:eastAsiaTheme="minorEastAsia" w:cstheme="minorEastAsia"/>
          <w:color w:val="auto"/>
          <w:sz w:val="21"/>
          <w:szCs w:val="21"/>
          <w:lang w:val="en-US" w:eastAsia="zh-CN"/>
        </w:rPr>
      </w:pPr>
      <w:r>
        <w:rPr>
          <w:rFonts w:hint="default" w:ascii="宋体" w:hAnsi="宋体" w:eastAsia="宋体" w:cs="宋体"/>
          <w:color w:val="auto"/>
          <w:kern w:val="2"/>
          <w:sz w:val="21"/>
          <w:szCs w:val="21"/>
          <w:lang w:val="en-US" w:eastAsia="zh-CN"/>
        </w:rPr>
        <w:t>合同签订生效</w:t>
      </w:r>
      <w:r>
        <w:rPr>
          <w:rFonts w:hint="eastAsia" w:ascii="宋体" w:hAnsi="宋体" w:cs="宋体"/>
          <w:color w:val="auto"/>
          <w:kern w:val="2"/>
          <w:sz w:val="21"/>
          <w:szCs w:val="21"/>
          <w:lang w:val="en-US" w:eastAsia="zh-CN"/>
        </w:rPr>
        <w:t>以</w:t>
      </w:r>
      <w:r>
        <w:rPr>
          <w:rFonts w:hint="default" w:ascii="宋体" w:hAnsi="宋体" w:eastAsia="宋体" w:cs="宋体"/>
          <w:color w:val="auto"/>
          <w:kern w:val="2"/>
          <w:sz w:val="21"/>
          <w:szCs w:val="21"/>
          <w:lang w:val="en-US" w:eastAsia="zh-CN"/>
        </w:rPr>
        <w:t>及具备实施条件后7个工作日内支付合同总</w:t>
      </w:r>
      <w:r>
        <w:rPr>
          <w:rFonts w:hint="eastAsia" w:ascii="宋体" w:hAnsi="宋体" w:cs="宋体"/>
          <w:color w:val="auto"/>
          <w:kern w:val="2"/>
          <w:sz w:val="21"/>
          <w:szCs w:val="21"/>
          <w:lang w:val="en-US" w:eastAsia="zh-CN"/>
        </w:rPr>
        <w:t>价款</w:t>
      </w:r>
      <w:r>
        <w:rPr>
          <w:rFonts w:hint="default" w:ascii="宋体" w:hAnsi="宋体" w:eastAsia="宋体" w:cs="宋体"/>
          <w:color w:val="auto"/>
          <w:kern w:val="2"/>
          <w:sz w:val="21"/>
          <w:szCs w:val="21"/>
          <w:lang w:val="en-US" w:eastAsia="zh-CN"/>
        </w:rPr>
        <w:t>的40%；项目完成交付并通过验收合格</w:t>
      </w:r>
      <w:r>
        <w:rPr>
          <w:rFonts w:hint="eastAsia" w:ascii="宋体" w:hAnsi="宋体" w:cs="宋体"/>
          <w:color w:val="auto"/>
          <w:kern w:val="2"/>
          <w:sz w:val="21"/>
          <w:szCs w:val="21"/>
          <w:lang w:val="en-US" w:eastAsia="zh-CN"/>
        </w:rPr>
        <w:t>按规定办理结算后</w:t>
      </w:r>
      <w:r>
        <w:rPr>
          <w:rFonts w:hint="default" w:ascii="宋体" w:hAnsi="宋体" w:eastAsia="宋体" w:cs="宋体"/>
          <w:color w:val="auto"/>
          <w:kern w:val="2"/>
          <w:sz w:val="21"/>
          <w:szCs w:val="21"/>
          <w:lang w:val="en-US" w:eastAsia="zh-CN"/>
        </w:rPr>
        <w:t>提交书面申请</w:t>
      </w:r>
      <w:r>
        <w:rPr>
          <w:rFonts w:hint="eastAsia" w:ascii="宋体" w:hAnsi="宋体" w:cs="宋体"/>
          <w:color w:val="auto"/>
          <w:kern w:val="2"/>
          <w:sz w:val="21"/>
          <w:szCs w:val="21"/>
          <w:lang w:val="en-US" w:eastAsia="zh-CN"/>
        </w:rPr>
        <w:t>，采购人接到书面申请后</w:t>
      </w:r>
      <w:r>
        <w:rPr>
          <w:rFonts w:hint="default" w:ascii="宋体" w:hAnsi="宋体" w:eastAsia="宋体" w:cs="宋体"/>
          <w:color w:val="auto"/>
          <w:kern w:val="2"/>
          <w:sz w:val="21"/>
          <w:szCs w:val="21"/>
          <w:lang w:val="en-US" w:eastAsia="zh-CN"/>
        </w:rPr>
        <w:t>3个月内</w:t>
      </w:r>
      <w:r>
        <w:rPr>
          <w:rFonts w:hint="eastAsia" w:ascii="宋体" w:hAnsi="宋体" w:cs="宋体"/>
          <w:color w:val="auto"/>
          <w:kern w:val="2"/>
          <w:sz w:val="21"/>
          <w:szCs w:val="21"/>
          <w:lang w:val="en-US" w:eastAsia="zh-CN"/>
        </w:rPr>
        <w:t>付清结算款</w:t>
      </w:r>
      <w:r>
        <w:rPr>
          <w:rFonts w:hint="default" w:ascii="宋体" w:hAnsi="宋体" w:eastAsia="宋体" w:cs="宋体"/>
          <w:color w:val="auto"/>
          <w:kern w:val="2"/>
          <w:sz w:val="21"/>
          <w:szCs w:val="21"/>
          <w:lang w:val="en-US" w:eastAsia="zh-CN"/>
        </w:rPr>
        <w:t>。前述所有款项在采购人收到</w:t>
      </w:r>
      <w:r>
        <w:rPr>
          <w:rFonts w:hint="eastAsia" w:ascii="宋体" w:hAnsi="宋体" w:cs="宋体"/>
          <w:color w:val="auto"/>
          <w:kern w:val="2"/>
          <w:sz w:val="21"/>
          <w:szCs w:val="21"/>
          <w:lang w:val="en-US" w:eastAsia="zh-CN"/>
        </w:rPr>
        <w:t>中标人</w:t>
      </w:r>
      <w:r>
        <w:rPr>
          <w:rFonts w:hint="default" w:ascii="宋体" w:hAnsi="宋体" w:eastAsia="宋体" w:cs="宋体"/>
          <w:color w:val="auto"/>
          <w:kern w:val="2"/>
          <w:sz w:val="21"/>
          <w:szCs w:val="21"/>
          <w:lang w:val="en-US" w:eastAsia="zh-CN"/>
        </w:rPr>
        <w:t>开具的正式发票后支付。</w:t>
      </w:r>
    </w:p>
    <w:p>
      <w:pPr>
        <w:widowControl/>
        <w:jc w:val="left"/>
      </w:pPr>
      <w:r>
        <w:br w:type="page"/>
      </w:r>
    </w:p>
    <w:p>
      <w:pPr>
        <w:spacing w:line="360" w:lineRule="auto"/>
        <w:jc w:val="center"/>
        <w:rPr>
          <w:rFonts w:eastAsiaTheme="minorEastAsia"/>
          <w:b/>
          <w:sz w:val="32"/>
          <w:szCs w:val="32"/>
        </w:rPr>
      </w:pPr>
      <w:r>
        <w:rPr>
          <w:rFonts w:eastAsiaTheme="minorEastAsia"/>
          <w:b/>
          <w:sz w:val="32"/>
          <w:szCs w:val="32"/>
        </w:rPr>
        <w:t>第五章 政府采购合同主要条款指引</w:t>
      </w:r>
    </w:p>
    <w:p>
      <w:pPr>
        <w:pStyle w:val="13"/>
        <w:snapToGrid w:val="0"/>
        <w:spacing w:line="400" w:lineRule="exact"/>
        <w:ind w:firstLine="420" w:firstLineChars="200"/>
        <w:rPr>
          <w:rFonts w:ascii="Times New Roman" w:hAnsi="Times New Roman" w:cs="Times New Roman"/>
          <w:szCs w:val="21"/>
        </w:rPr>
      </w:pPr>
    </w:p>
    <w:p>
      <w:pPr>
        <w:pStyle w:val="13"/>
        <w:snapToGrid w:val="0"/>
        <w:spacing w:line="350" w:lineRule="exact"/>
        <w:ind w:firstLine="420" w:firstLineChars="200"/>
        <w:rPr>
          <w:rFonts w:ascii="Times New Roman" w:hAnsi="Times New Roman" w:cs="Times New Roman"/>
          <w:szCs w:val="21"/>
        </w:rPr>
      </w:pPr>
      <w:r>
        <w:rPr>
          <w:rFonts w:ascii="Times New Roman" w:hAnsi="Times New Roman" w:cs="Times New Roman"/>
          <w:szCs w:val="21"/>
        </w:rPr>
        <w:t>以下为中标后签定本项目合同的通用条款，中标人不得提出实质性的修改，关于专用条款将由采购人与中标人结合本项目具体情况协商后签订。</w:t>
      </w:r>
    </w:p>
    <w:p>
      <w:pPr>
        <w:pStyle w:val="13"/>
        <w:snapToGrid w:val="0"/>
        <w:spacing w:line="350" w:lineRule="exact"/>
        <w:rPr>
          <w:rFonts w:ascii="Times New Roman" w:hAnsi="Times New Roman" w:cs="Times New Roman"/>
          <w:szCs w:val="21"/>
        </w:rPr>
      </w:pPr>
    </w:p>
    <w:p>
      <w:pPr>
        <w:tabs>
          <w:tab w:val="left" w:pos="8280"/>
        </w:tabs>
        <w:autoSpaceDE w:val="0"/>
        <w:autoSpaceDN w:val="0"/>
        <w:adjustRightInd w:val="0"/>
        <w:spacing w:line="350" w:lineRule="exact"/>
        <w:ind w:right="23"/>
        <w:rPr>
          <w:rFonts w:hint="eastAsia" w:eastAsia="宋体"/>
          <w:szCs w:val="21"/>
          <w:lang w:eastAsia="zh-CN"/>
        </w:rPr>
      </w:pPr>
      <w:r>
        <w:rPr>
          <w:szCs w:val="21"/>
        </w:rPr>
        <w:t>项目名称：</w:t>
      </w:r>
      <w:r>
        <w:rPr>
          <w:rFonts w:hint="eastAsia"/>
          <w:szCs w:val="21"/>
          <w:lang w:eastAsia="zh-CN"/>
        </w:rPr>
        <w:t>玉环市人民医院健共体集团厨房设备采购</w:t>
      </w:r>
      <w:r>
        <w:rPr>
          <w:szCs w:val="21"/>
        </w:rPr>
        <w:t xml:space="preserve"> </w:t>
      </w:r>
      <w:r>
        <w:rPr>
          <w:rFonts w:hint="eastAsia"/>
          <w:szCs w:val="21"/>
        </w:rPr>
        <w:t xml:space="preserve"> </w:t>
      </w:r>
      <w:r>
        <w:rPr>
          <w:szCs w:val="21"/>
        </w:rPr>
        <w:t xml:space="preserve"> 项目编号：</w:t>
      </w:r>
      <w:r>
        <w:rPr>
          <w:rFonts w:hint="eastAsia"/>
          <w:szCs w:val="21"/>
          <w:lang w:eastAsia="zh-CN"/>
        </w:rPr>
        <w:t>DDZX2023-Y-GK-20</w:t>
      </w:r>
    </w:p>
    <w:p>
      <w:pPr>
        <w:pStyle w:val="13"/>
        <w:snapToGrid w:val="0"/>
        <w:spacing w:line="350" w:lineRule="exact"/>
        <w:rPr>
          <w:rFonts w:ascii="Times New Roman" w:hAnsi="Times New Roman" w:cs="Times New Roman"/>
          <w:szCs w:val="21"/>
        </w:rPr>
      </w:pPr>
      <w:r>
        <w:rPr>
          <w:rFonts w:ascii="Times New Roman" w:hAnsi="Times New Roman" w:cs="Times New Roman"/>
          <w:szCs w:val="21"/>
        </w:rPr>
        <w:t xml:space="preserve">甲方：                                          </w:t>
      </w:r>
      <w:r>
        <w:rPr>
          <w:rFonts w:hint="eastAsia" w:ascii="Times New Roman" w:hAnsi="Times New Roman" w:cs="Times New Roman"/>
          <w:szCs w:val="21"/>
        </w:rPr>
        <w:t xml:space="preserve"> </w:t>
      </w:r>
      <w:r>
        <w:rPr>
          <w:rFonts w:ascii="Times New Roman" w:hAnsi="Times New Roman" w:cs="Times New Roman"/>
          <w:szCs w:val="21"/>
        </w:rPr>
        <w:t xml:space="preserve">  所在地：</w:t>
      </w:r>
    </w:p>
    <w:p>
      <w:pPr>
        <w:pStyle w:val="13"/>
        <w:snapToGrid w:val="0"/>
        <w:spacing w:line="350" w:lineRule="exact"/>
        <w:rPr>
          <w:rFonts w:ascii="Times New Roman" w:hAnsi="Times New Roman" w:cs="Times New Roman"/>
          <w:szCs w:val="21"/>
        </w:rPr>
      </w:pPr>
      <w:r>
        <w:rPr>
          <w:rFonts w:ascii="Times New Roman" w:hAnsi="Times New Roman" w:cs="Times New Roman"/>
          <w:szCs w:val="21"/>
        </w:rPr>
        <w:t xml:space="preserve">乙方：（中标人）                               </w:t>
      </w:r>
      <w:r>
        <w:rPr>
          <w:rFonts w:hint="eastAsia" w:ascii="Times New Roman" w:hAnsi="Times New Roman" w:cs="Times New Roman"/>
          <w:szCs w:val="21"/>
        </w:rPr>
        <w:t xml:space="preserve"> </w:t>
      </w:r>
      <w:r>
        <w:rPr>
          <w:rFonts w:ascii="Times New Roman" w:hAnsi="Times New Roman" w:cs="Times New Roman"/>
          <w:szCs w:val="21"/>
        </w:rPr>
        <w:t xml:space="preserve">   所在地：</w:t>
      </w:r>
    </w:p>
    <w:p>
      <w:pPr>
        <w:pStyle w:val="13"/>
        <w:snapToGrid w:val="0"/>
        <w:spacing w:line="350" w:lineRule="exact"/>
        <w:ind w:firstLine="420" w:firstLineChars="200"/>
        <w:rPr>
          <w:rFonts w:ascii="Times New Roman" w:hAnsi="Times New Roman" w:cs="Times New Roman"/>
          <w:b/>
          <w:szCs w:val="21"/>
        </w:rPr>
      </w:pPr>
      <w:r>
        <w:rPr>
          <w:rFonts w:ascii="Times New Roman" w:hAnsi="Times New Roman" w:cs="Times New Roman"/>
          <w:szCs w:val="21"/>
        </w:rPr>
        <w:t>甲、乙双方根据大地工程咨询有限公司关于</w:t>
      </w:r>
      <w:r>
        <w:rPr>
          <w:rFonts w:hint="eastAsia" w:ascii="Times New Roman" w:hAnsi="Times New Roman" w:cs="Times New Roman"/>
          <w:szCs w:val="21"/>
          <w:lang w:eastAsia="zh-CN"/>
        </w:rPr>
        <w:t>玉环市人民医院健共体集团厨房设备采购</w:t>
      </w:r>
      <w:r>
        <w:rPr>
          <w:rFonts w:ascii="Times New Roman" w:hAnsi="Times New Roman" w:cs="Times New Roman"/>
          <w:szCs w:val="21"/>
        </w:rPr>
        <w:t>公开招标的结果，签署本合同。</w:t>
      </w:r>
    </w:p>
    <w:p>
      <w:pPr>
        <w:pStyle w:val="13"/>
        <w:snapToGrid w:val="0"/>
        <w:spacing w:beforeLines="50" w:afterLines="50" w:line="350" w:lineRule="exact"/>
        <w:rPr>
          <w:rFonts w:ascii="Times New Roman" w:hAnsi="Times New Roman" w:cs="Times New Roman"/>
          <w:b/>
          <w:szCs w:val="21"/>
          <w:lang w:val="zh-CN"/>
        </w:rPr>
      </w:pPr>
      <w:r>
        <w:rPr>
          <w:rFonts w:ascii="Times New Roman" w:hAnsi="Times New Roman" w:cs="Times New Roman"/>
          <w:b/>
          <w:szCs w:val="21"/>
          <w:lang w:val="zh-CN"/>
        </w:rPr>
        <w:t xml:space="preserve">一、合同文件 </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1.合同条款。</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2.中标通知书。</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3.更正补充文件。</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4.招标文件。</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5.中标供应商投标文件。</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6.其他。</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上述所指合同文件应认为是互相补充和解释的，但是有模棱两可或互相矛盾之处，以其所列内容顺序为准。</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二、货物内容</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货物名称：</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型号规格：</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技术参数：</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数量（单位）：</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三、合同金额</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本合同金额为（大写）：___</w:t>
      </w:r>
      <w:r>
        <w:rPr>
          <w:rFonts w:hint="eastAsia" w:hAnsi="宋体" w:cs="宋体"/>
          <w:sz w:val="21"/>
          <w:szCs w:val="21"/>
          <w:lang w:val="en-US" w:eastAsia="zh-CN"/>
        </w:rPr>
        <w:t xml:space="preserve">  </w:t>
      </w:r>
      <w:r>
        <w:rPr>
          <w:rFonts w:hint="eastAsia" w:ascii="宋体" w:hAnsi="宋体" w:eastAsia="宋体" w:cs="宋体"/>
          <w:sz w:val="21"/>
          <w:szCs w:val="21"/>
        </w:rPr>
        <w:t>______元（￥_____</w:t>
      </w:r>
      <w:r>
        <w:rPr>
          <w:rFonts w:hint="eastAsia" w:hAnsi="宋体" w:cs="宋体"/>
          <w:sz w:val="21"/>
          <w:szCs w:val="21"/>
          <w:lang w:val="en-US" w:eastAsia="zh-CN"/>
        </w:rPr>
        <w:t xml:space="preserve">   </w:t>
      </w:r>
      <w:r>
        <w:rPr>
          <w:rFonts w:hint="eastAsia" w:ascii="宋体" w:hAnsi="宋体" w:eastAsia="宋体" w:cs="宋体"/>
          <w:sz w:val="21"/>
          <w:szCs w:val="21"/>
        </w:rPr>
        <w:t>____元）人民币。</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四、技术资料</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1.乙方应按招标文件规定的时间向甲方提供使用货物的有关技术资料。</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五、知识产权</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1.乙方应保证所提供的货物或其任何一部分均不会侵犯任何第三方的知识产权。</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2.若侵犯,由乙方赔偿甲方因此遭受的损失（包括但不限于应对及追偿过程中所支付的律师费、差旅费、诉讼费、保全费、鉴定费、评估费等）。</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sz w:val="21"/>
          <w:szCs w:val="21"/>
          <w:u w:val="single"/>
        </w:rPr>
      </w:pPr>
      <w:r>
        <w:rPr>
          <w:rFonts w:hint="eastAsia" w:ascii="宋体" w:hAnsi="宋体" w:eastAsia="宋体" w:cs="宋体"/>
          <w:b/>
          <w:sz w:val="21"/>
          <w:szCs w:val="21"/>
        </w:rPr>
        <w:t>六、产权担保</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乙方保证所交付的货物的所有权完全属于乙方且无任何抵押、查封等产权瑕疵。</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七、履约保证金</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360" w:lineRule="exact"/>
        <w:ind w:left="0" w:leftChars="0" w:firstLine="420" w:firstLineChars="200"/>
        <w:textAlignment w:val="auto"/>
        <w:rPr>
          <w:rFonts w:hint="default" w:ascii="Times New Roman" w:hAnsi="Times New Roman" w:eastAsia="宋体" w:cs="Times New Roman"/>
          <w:sz w:val="21"/>
          <w:szCs w:val="21"/>
        </w:rPr>
      </w:pPr>
      <w:r>
        <w:rPr>
          <w:rFonts w:hint="eastAsia" w:ascii="宋体" w:hAnsi="宋体" w:eastAsia="宋体" w:cs="宋体"/>
          <w:sz w:val="21"/>
          <w:szCs w:val="21"/>
        </w:rPr>
        <w:t>本项目履约保证金为合同金额的</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rPr>
        <w:t>%。</w:t>
      </w:r>
      <w:r>
        <w:rPr>
          <w:rFonts w:hint="default" w:ascii="Times New Roman" w:hAnsi="Times New Roman" w:eastAsia="宋体" w:cs="Times New Roman"/>
          <w:sz w:val="21"/>
          <w:szCs w:val="21"/>
          <w:lang w:val="zh-CN"/>
        </w:rPr>
        <w:t>（</w:t>
      </w:r>
      <w:r>
        <w:rPr>
          <w:rFonts w:hint="default" w:ascii="Times New Roman" w:hAnsi="Times New Roman" w:eastAsia="宋体" w:cs="Times New Roman"/>
          <w:color w:val="auto"/>
          <w:kern w:val="0"/>
          <w:sz w:val="21"/>
          <w:szCs w:val="21"/>
          <w:lang w:val="zh-CN"/>
        </w:rPr>
        <w:t>履约保证金交至采购人处，在</w:t>
      </w:r>
      <w:r>
        <w:rPr>
          <w:rFonts w:hint="eastAsia" w:ascii="Times New Roman" w:hAnsi="Times New Roman" w:eastAsia="宋体" w:cs="Times New Roman"/>
          <w:color w:val="auto"/>
          <w:kern w:val="0"/>
          <w:sz w:val="21"/>
          <w:szCs w:val="21"/>
          <w:lang w:val="en-US" w:eastAsia="zh-CN"/>
        </w:rPr>
        <w:t>项目验收结束</w:t>
      </w:r>
      <w:r>
        <w:rPr>
          <w:rFonts w:hint="default" w:ascii="Times New Roman" w:hAnsi="Times New Roman" w:eastAsia="宋体" w:cs="Times New Roman"/>
          <w:color w:val="auto"/>
          <w:kern w:val="0"/>
          <w:sz w:val="21"/>
          <w:szCs w:val="21"/>
          <w:lang w:val="en-US" w:eastAsia="zh-CN"/>
        </w:rPr>
        <w:t>后</w:t>
      </w:r>
      <w:r>
        <w:rPr>
          <w:rFonts w:hint="default" w:ascii="Times New Roman" w:hAnsi="Times New Roman" w:eastAsia="宋体" w:cs="Times New Roman"/>
          <w:color w:val="auto"/>
          <w:kern w:val="0"/>
          <w:sz w:val="21"/>
          <w:szCs w:val="21"/>
          <w:lang w:val="zh-CN"/>
        </w:rPr>
        <w:t>如无质量、服务投诉和索赔，该款无息返还。如无质量、服务投诉和索赔，该款无息返还</w:t>
      </w:r>
      <w:r>
        <w:rPr>
          <w:rFonts w:hint="default" w:ascii="Times New Roman" w:hAnsi="Times New Roman" w:eastAsia="宋体" w:cs="Times New Roman"/>
          <w:sz w:val="21"/>
          <w:szCs w:val="21"/>
          <w:lang w:val="zh-CN"/>
        </w:rPr>
        <w:t>）</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八、转包或分包</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1.本合同范围的货物，应由乙方直接供应，不得转让他人供应；</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2.除非得到甲方的书面同意，乙方不得将本合同范围的货物全部或部分分包给他人供应；</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3.如有转让和未经甲方同意的分包行为，甲方有权解除合同，没收履约保证金并追究乙方的违约责任。</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sz w:val="21"/>
          <w:szCs w:val="21"/>
        </w:rPr>
      </w:pPr>
      <w:r>
        <w:rPr>
          <w:rFonts w:hint="eastAsia" w:ascii="宋体" w:hAnsi="宋体" w:eastAsia="宋体" w:cs="宋体"/>
          <w:b/>
          <w:sz w:val="21"/>
          <w:szCs w:val="21"/>
        </w:rPr>
        <w:t>九、质保期</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质保期___年。（自交货验收合格之日起计）</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十、交货期、交货方式及交货地点</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sz w:val="21"/>
          <w:szCs w:val="21"/>
        </w:rPr>
        <w:t>1. 交货期：</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 交货方式：</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3. 交货地点：</w:t>
      </w:r>
      <w:r>
        <w:rPr>
          <w:rFonts w:hint="eastAsia" w:ascii="Times New Roman" w:hAnsi="Times New Roman" w:cs="Times New Roman"/>
          <w:color w:val="auto"/>
          <w:sz w:val="22"/>
          <w:szCs w:val="22"/>
          <w:lang w:val="en-US" w:eastAsia="zh-CN"/>
        </w:rPr>
        <w:t>采购人指定的现场地点，并负责卸货</w:t>
      </w:r>
      <w:r>
        <w:rPr>
          <w:rFonts w:hint="eastAsia" w:ascii="Times New Roman" w:hAnsi="Times New Roman" w:cs="Times New Roman"/>
          <w:color w:val="auto"/>
          <w:sz w:val="22"/>
          <w:szCs w:val="22"/>
        </w:rPr>
        <w:t>。</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十一、货款支付</w:t>
      </w:r>
    </w:p>
    <w:p>
      <w:pPr>
        <w:keepNext w:val="0"/>
        <w:keepLines w:val="0"/>
        <w:pageBreakBefore w:val="0"/>
        <w:widowControl w:val="0"/>
        <w:kinsoku/>
        <w:wordWrap/>
        <w:overflowPunct/>
        <w:topLinePunct w:val="0"/>
        <w:bidi w:val="0"/>
        <w:spacing w:line="380" w:lineRule="exact"/>
        <w:ind w:firstLine="420" w:firstLineChars="200"/>
        <w:jc w:val="left"/>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bCs/>
          <w:sz w:val="21"/>
          <w:szCs w:val="21"/>
        </w:rPr>
        <w:t>1. 付款方式：</w:t>
      </w:r>
      <w:r>
        <w:rPr>
          <w:rFonts w:hint="default" w:ascii="宋体" w:hAnsi="宋体" w:eastAsia="宋体" w:cs="宋体"/>
          <w:color w:val="auto"/>
          <w:kern w:val="2"/>
          <w:sz w:val="21"/>
          <w:szCs w:val="21"/>
          <w:lang w:val="en-US" w:eastAsia="zh-CN"/>
        </w:rPr>
        <w:t>合同签订生效</w:t>
      </w:r>
      <w:r>
        <w:rPr>
          <w:rFonts w:hint="eastAsia" w:ascii="宋体" w:hAnsi="宋体" w:cs="宋体"/>
          <w:color w:val="auto"/>
          <w:kern w:val="2"/>
          <w:sz w:val="21"/>
          <w:szCs w:val="21"/>
          <w:lang w:val="en-US" w:eastAsia="zh-CN"/>
        </w:rPr>
        <w:t>以</w:t>
      </w:r>
      <w:r>
        <w:rPr>
          <w:rFonts w:hint="default" w:ascii="宋体" w:hAnsi="宋体" w:eastAsia="宋体" w:cs="宋体"/>
          <w:color w:val="auto"/>
          <w:kern w:val="2"/>
          <w:sz w:val="21"/>
          <w:szCs w:val="21"/>
          <w:lang w:val="en-US" w:eastAsia="zh-CN"/>
        </w:rPr>
        <w:t>及具备实施条件后7个工作日内支付合同总</w:t>
      </w:r>
      <w:r>
        <w:rPr>
          <w:rFonts w:hint="eastAsia" w:ascii="宋体" w:hAnsi="宋体" w:cs="宋体"/>
          <w:color w:val="auto"/>
          <w:kern w:val="2"/>
          <w:sz w:val="21"/>
          <w:szCs w:val="21"/>
          <w:lang w:val="en-US" w:eastAsia="zh-CN"/>
        </w:rPr>
        <w:t>价款</w:t>
      </w:r>
      <w:r>
        <w:rPr>
          <w:rFonts w:hint="default" w:ascii="宋体" w:hAnsi="宋体" w:eastAsia="宋体" w:cs="宋体"/>
          <w:color w:val="auto"/>
          <w:kern w:val="2"/>
          <w:sz w:val="21"/>
          <w:szCs w:val="21"/>
          <w:lang w:val="en-US" w:eastAsia="zh-CN"/>
        </w:rPr>
        <w:t>的40%；项目完成交付并通过验收合格</w:t>
      </w:r>
      <w:r>
        <w:rPr>
          <w:rFonts w:hint="eastAsia" w:ascii="宋体" w:hAnsi="宋体" w:cs="宋体"/>
          <w:color w:val="auto"/>
          <w:kern w:val="2"/>
          <w:sz w:val="21"/>
          <w:szCs w:val="21"/>
          <w:lang w:val="en-US" w:eastAsia="zh-CN"/>
        </w:rPr>
        <w:t>按规定办理结算后</w:t>
      </w:r>
      <w:r>
        <w:rPr>
          <w:rFonts w:hint="default" w:ascii="宋体" w:hAnsi="宋体" w:eastAsia="宋体" w:cs="宋体"/>
          <w:color w:val="auto"/>
          <w:kern w:val="2"/>
          <w:sz w:val="21"/>
          <w:szCs w:val="21"/>
          <w:lang w:val="en-US" w:eastAsia="zh-CN"/>
        </w:rPr>
        <w:t>提交书面申请</w:t>
      </w:r>
      <w:r>
        <w:rPr>
          <w:rFonts w:hint="eastAsia" w:ascii="宋体" w:hAnsi="宋体" w:cs="宋体"/>
          <w:color w:val="auto"/>
          <w:kern w:val="2"/>
          <w:sz w:val="21"/>
          <w:szCs w:val="21"/>
          <w:lang w:val="en-US" w:eastAsia="zh-CN"/>
        </w:rPr>
        <w:t>，采购人接到书面申请后</w:t>
      </w:r>
      <w:r>
        <w:rPr>
          <w:rFonts w:hint="default" w:ascii="宋体" w:hAnsi="宋体" w:eastAsia="宋体" w:cs="宋体"/>
          <w:color w:val="auto"/>
          <w:kern w:val="2"/>
          <w:sz w:val="21"/>
          <w:szCs w:val="21"/>
          <w:lang w:val="en-US" w:eastAsia="zh-CN"/>
        </w:rPr>
        <w:t>3个月内</w:t>
      </w:r>
      <w:r>
        <w:rPr>
          <w:rFonts w:hint="eastAsia" w:ascii="宋体" w:hAnsi="宋体" w:cs="宋体"/>
          <w:color w:val="auto"/>
          <w:kern w:val="2"/>
          <w:sz w:val="21"/>
          <w:szCs w:val="21"/>
          <w:lang w:val="en-US" w:eastAsia="zh-CN"/>
        </w:rPr>
        <w:t>付清结算款</w:t>
      </w:r>
      <w:r>
        <w:rPr>
          <w:rFonts w:hint="default" w:ascii="宋体" w:hAnsi="宋体" w:eastAsia="宋体" w:cs="宋体"/>
          <w:color w:val="auto"/>
          <w:kern w:val="2"/>
          <w:sz w:val="21"/>
          <w:szCs w:val="21"/>
          <w:lang w:val="en-US" w:eastAsia="zh-CN"/>
        </w:rPr>
        <w:t>。前述所有款项在采购人收到</w:t>
      </w:r>
      <w:r>
        <w:rPr>
          <w:rFonts w:hint="eastAsia" w:ascii="宋体" w:hAnsi="宋体" w:cs="宋体"/>
          <w:color w:val="auto"/>
          <w:kern w:val="2"/>
          <w:sz w:val="21"/>
          <w:szCs w:val="21"/>
          <w:lang w:val="en-US" w:eastAsia="zh-CN"/>
        </w:rPr>
        <w:t>中标人</w:t>
      </w:r>
      <w:r>
        <w:rPr>
          <w:rFonts w:hint="default" w:ascii="宋体" w:hAnsi="宋体" w:eastAsia="宋体" w:cs="宋体"/>
          <w:color w:val="auto"/>
          <w:kern w:val="2"/>
          <w:sz w:val="21"/>
          <w:szCs w:val="21"/>
          <w:lang w:val="en-US" w:eastAsia="zh-CN"/>
        </w:rPr>
        <w:t>开具的正式发票后支付。</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pPr>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十二、税费</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sz w:val="21"/>
          <w:szCs w:val="21"/>
        </w:rPr>
      </w:pPr>
      <w:r>
        <w:rPr>
          <w:rFonts w:hint="eastAsia" w:ascii="宋体" w:hAnsi="宋体" w:eastAsia="宋体" w:cs="宋体"/>
          <w:b/>
          <w:sz w:val="21"/>
          <w:szCs w:val="21"/>
        </w:rPr>
        <w:t>十三、质量保证及售后服务</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乙方应按招标文件规定的货物性能、技术要求、质量标准向甲方提供未经使用的全新产品。</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乙方提供的货物在质保期内因货物本身的质量问题发生故障，乙方应负责免费更换。对达不到技术要求者，根据实际情况，经双方协商，可按以下办法处理：</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⑴更换：由乙方承担所发生的全部费用。</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⑵贬值处理：由甲乙双方合议定价。</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⑶退货处理：乙方应退还甲方支付的合同款，同时应承担该货物的直接费用（运输、保险、检验、货款利息及银行手续费等）。</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如在使用过程中发生质量问题，乙方在接到甲方通知后</w:t>
      </w:r>
      <w:r>
        <w:rPr>
          <w:rFonts w:hint="eastAsia" w:ascii="宋体" w:hAnsi="宋体" w:eastAsia="宋体" w:cs="宋体"/>
          <w:color w:val="000000"/>
          <w:sz w:val="21"/>
          <w:szCs w:val="21"/>
        </w:rPr>
        <w:t>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w:t>
      </w:r>
      <w:r>
        <w:rPr>
          <w:rFonts w:hint="eastAsia" w:ascii="宋体" w:hAnsi="宋体" w:eastAsia="宋体" w:cs="宋体"/>
          <w:sz w:val="21"/>
          <w:szCs w:val="21"/>
        </w:rPr>
        <w:t>内到达甲方现场。</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在质保期内，乙方应对货物出现的质量及安全问题负责处理解决并承担一切费用。</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5.</w:t>
      </w:r>
      <w:r>
        <w:rPr>
          <w:rFonts w:hint="eastAsia" w:ascii="宋体" w:hAnsi="宋体" w:eastAsia="宋体" w:cs="宋体"/>
          <w:color w:val="000000"/>
          <w:sz w:val="21"/>
          <w:szCs w:val="21"/>
        </w:rPr>
        <w:t>上述的</w:t>
      </w:r>
      <w:r>
        <w:rPr>
          <w:rFonts w:hint="eastAsia" w:ascii="宋体" w:hAnsi="宋体" w:eastAsia="宋体" w:cs="宋体"/>
          <w:sz w:val="21"/>
          <w:szCs w:val="21"/>
        </w:rPr>
        <w:t>货物</w:t>
      </w:r>
      <w:r>
        <w:rPr>
          <w:rFonts w:hint="eastAsia" w:ascii="宋体" w:hAnsi="宋体" w:eastAsia="宋体" w:cs="宋体"/>
          <w:color w:val="000000"/>
          <w:sz w:val="21"/>
          <w:szCs w:val="21"/>
        </w:rPr>
        <w:t>免费保修期为年，因人为因素出现的故障不在免费保修范围内。超过保修期的机器设备，终生维修，维修时只收部件成本费。</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十四、调试和验收</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eastAsia="宋体" w:cs="宋体"/>
          <w:color w:val="FF66CC"/>
          <w:sz w:val="21"/>
          <w:szCs w:val="21"/>
          <w:u w:val="single"/>
        </w:rPr>
        <w:t>五</w:t>
      </w:r>
      <w:r>
        <w:rPr>
          <w:rFonts w:hint="eastAsia" w:ascii="宋体" w:hAnsi="宋体" w:eastAsia="宋体" w:cs="宋体"/>
          <w:sz w:val="21"/>
          <w:szCs w:val="21"/>
        </w:rPr>
        <w:t>个工作日内验收。</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乙方交货前应对产品作出全面检查和对验收文件进行整理，并列出清单，作为甲方收货验收和使用的技术条件依据，检验的结果应随货物交甲方。</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 甲方对乙方提供的货物在使用前进行调试时，乙方需负责安装并培训甲方的使用操作人员，并协助甲方一起调试，直到符合技术要求，甲方才做最终验收。</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对技术复杂的货物，甲方应请国家认可的专业检测机构参与初步验收及最终验收，并由其出具质量检测报告。</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5.</w:t>
      </w:r>
      <w:r>
        <w:rPr>
          <w:rFonts w:hint="eastAsia" w:ascii="宋体" w:hAnsi="宋体" w:eastAsia="宋体" w:cs="宋体"/>
          <w:sz w:val="21"/>
          <w:szCs w:val="21"/>
        </w:rPr>
        <w:t>验收时乙方必须在现场，验收完毕后作出验收结果报告；验收费用由</w:t>
      </w:r>
      <w:r>
        <w:rPr>
          <w:rFonts w:hint="eastAsia" w:hAnsi="宋体" w:cs="宋体"/>
          <w:sz w:val="21"/>
          <w:szCs w:val="21"/>
          <w:lang w:val="en-US" w:eastAsia="zh-CN"/>
        </w:rPr>
        <w:t>乙</w:t>
      </w:r>
      <w:r>
        <w:rPr>
          <w:rFonts w:hint="eastAsia" w:ascii="宋体" w:hAnsi="宋体" w:eastAsia="宋体" w:cs="宋体"/>
          <w:sz w:val="21"/>
          <w:szCs w:val="21"/>
        </w:rPr>
        <w:t>方负责。</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十五、货物包装、发运及运输</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乙方应在货物发运前对其进行满足运输距离、防潮、防震、防锈和防破损装卸等要求包装，以保证货物安全运达甲方指定地点。</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使用说明书、质量检验证明书、随配附件和工具以及清单一并附于货物内。</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乙方在货物发运手续办理完毕后24小时内或货到甲方48小时前通知甲方，以准备接货。</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货物在交付甲方前发生的风险均由乙方负责。</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 货物在规定的交付期限内由乙方送达甲方指定的地点视为交付，乙方同时需通知甲方货物已送达。</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十六、违约责任</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甲方无正当理由拒收货物的，甲方向乙方偿付拒收货款总值的</w:t>
      </w:r>
      <w:r>
        <w:rPr>
          <w:rFonts w:hint="eastAsia" w:ascii="宋体" w:hAnsi="宋体" w:eastAsia="宋体" w:cs="宋体"/>
          <w:color w:val="FF66CC"/>
          <w:sz w:val="21"/>
          <w:szCs w:val="21"/>
          <w:u w:val="single"/>
        </w:rPr>
        <w:t>百分之五</w:t>
      </w:r>
      <w:r>
        <w:rPr>
          <w:rFonts w:hint="eastAsia" w:ascii="宋体" w:hAnsi="宋体" w:eastAsia="宋体" w:cs="宋体"/>
          <w:sz w:val="21"/>
          <w:szCs w:val="21"/>
        </w:rPr>
        <w:t>违约金。</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甲方无故逾期验收和办理货款支付手续的,甲方应按逾期付款总额每日</w:t>
      </w:r>
      <w:r>
        <w:rPr>
          <w:rFonts w:hint="eastAsia" w:ascii="宋体" w:hAnsi="宋体" w:eastAsia="宋体" w:cs="宋体"/>
          <w:color w:val="FF66CC"/>
          <w:sz w:val="21"/>
          <w:szCs w:val="21"/>
          <w:u w:val="single"/>
        </w:rPr>
        <w:t>万分之五</w:t>
      </w:r>
      <w:r>
        <w:rPr>
          <w:rFonts w:hint="eastAsia" w:ascii="宋体" w:hAnsi="宋体" w:eastAsia="宋体" w:cs="宋体"/>
          <w:sz w:val="21"/>
          <w:szCs w:val="21"/>
        </w:rPr>
        <w:t>向乙方支付违约金。</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乙方逾期交付货物的，乙方应按逾期交货总额每日</w:t>
      </w:r>
      <w:r>
        <w:rPr>
          <w:rFonts w:hint="eastAsia" w:ascii="宋体" w:hAnsi="宋体" w:eastAsia="宋体" w:cs="宋体"/>
          <w:color w:val="FF66CC"/>
          <w:sz w:val="21"/>
          <w:szCs w:val="21"/>
          <w:u w:val="single"/>
        </w:rPr>
        <w:t>千分之六</w:t>
      </w:r>
      <w:r>
        <w:rPr>
          <w:rFonts w:hint="eastAsia" w:ascii="宋体" w:hAnsi="宋体" w:eastAsia="宋体" w:cs="宋体"/>
          <w:sz w:val="21"/>
          <w:szCs w:val="21"/>
        </w:rPr>
        <w:t>向甲方支付违约金，由甲方从待付货款中扣除。逾期超过约定日期</w:t>
      </w:r>
      <w:r>
        <w:rPr>
          <w:rFonts w:hint="eastAsia" w:ascii="宋体" w:hAnsi="宋体" w:eastAsia="宋体" w:cs="宋体"/>
          <w:color w:val="FF66CC"/>
          <w:sz w:val="21"/>
          <w:szCs w:val="21"/>
          <w:u w:val="single"/>
        </w:rPr>
        <w:t>10</w:t>
      </w:r>
      <w:r>
        <w:rPr>
          <w:rFonts w:hint="eastAsia" w:ascii="宋体" w:hAnsi="宋体" w:eastAsia="宋体" w:cs="宋体"/>
          <w:sz w:val="21"/>
          <w:szCs w:val="21"/>
        </w:rPr>
        <w:t>个工作日不能交货的，甲方可解除本合同。乙方因逾期交货或因其他违约行为导致甲方解除合同的，乙方应向甲方支付合同总值</w:t>
      </w:r>
      <w:r>
        <w:rPr>
          <w:rFonts w:hint="eastAsia" w:ascii="宋体" w:hAnsi="宋体" w:eastAsia="宋体" w:cs="宋体"/>
          <w:color w:val="FF66CC"/>
          <w:sz w:val="21"/>
          <w:szCs w:val="21"/>
          <w:u w:val="single"/>
        </w:rPr>
        <w:t>5%</w:t>
      </w:r>
      <w:r>
        <w:rPr>
          <w:rFonts w:hint="eastAsia" w:ascii="宋体" w:hAnsi="宋体" w:eastAsia="宋体" w:cs="宋体"/>
          <w:sz w:val="21"/>
          <w:szCs w:val="21"/>
        </w:rPr>
        <w:t xml:space="preserve">的违约金，如造成甲方损失超过违约金的，超出部分由乙方继续承担赔偿责任。 </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5.若发生纠纷，由违约方赔偿守约方因纠纷所支付的费用（包括但不限于律师费、差旅费、诉讼费、保全费、鉴定费、评估费等）</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十七、不可抗力事件处理</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在合同有效期内，任何一方因不可抗力事件导致不能履行合同，则合同履行期可延长，其延长期与不可抗力影响期相同。</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不可抗力事件发生后，应立即通知对方，并寄送有关权威机构出具的证明。</w:t>
      </w:r>
    </w:p>
    <w:p>
      <w:pPr>
        <w:pStyle w:val="13"/>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不可抗力事件延续120天以上，双方应通过友好协商，确定是否继续履行合同。</w:t>
      </w:r>
    </w:p>
    <w:p>
      <w:pPr>
        <w:pStyle w:val="13"/>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十八、解决争议的方法</w:t>
      </w:r>
    </w:p>
    <w:p>
      <w:pPr>
        <w:pStyle w:val="13"/>
        <w:keepNext w:val="0"/>
        <w:keepLines w:val="0"/>
        <w:pageBreakBefore w:val="0"/>
        <w:widowControl w:val="0"/>
        <w:tabs>
          <w:tab w:val="left" w:pos="5790"/>
        </w:tabs>
        <w:kinsoku/>
        <w:wordWrap/>
        <w:overflowPunct/>
        <w:topLinePunct w:val="0"/>
        <w:bidi w:val="0"/>
        <w:snapToGrid w:val="0"/>
        <w:spacing w:line="360" w:lineRule="exact"/>
        <w:ind w:left="0" w:leftChars="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如双方在履行合同时发生纠纷，应协商解决；协商不成时，可提请政府采购管理部门调解；调解不成的通过以下方式解决：依法向玉环市人民法院提起诉讼。</w:t>
      </w:r>
    </w:p>
    <w:p>
      <w:pPr>
        <w:pStyle w:val="13"/>
        <w:keepNext w:val="0"/>
        <w:keepLines w:val="0"/>
        <w:pageBreakBefore w:val="0"/>
        <w:widowControl w:val="0"/>
        <w:tabs>
          <w:tab w:val="left" w:pos="5790"/>
        </w:tabs>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十九、合同生效及其它</w:t>
      </w:r>
      <w:r>
        <w:rPr>
          <w:rFonts w:hint="eastAsia" w:ascii="宋体" w:hAnsi="宋体" w:eastAsia="宋体" w:cs="宋体"/>
          <w:b/>
          <w:sz w:val="21"/>
          <w:szCs w:val="21"/>
        </w:rPr>
        <w:tab/>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 合同经双方法定代表人或授权代表</w:t>
      </w:r>
      <w:r>
        <w:rPr>
          <w:rFonts w:hint="default" w:ascii="Times New Roman" w:hAnsi="Times New Roman" w:eastAsia="宋体" w:cs="Times New Roman"/>
          <w:color w:val="000000"/>
          <w:sz w:val="21"/>
          <w:szCs w:val="21"/>
          <w:lang w:eastAsia="zh-CN"/>
        </w:rPr>
        <w:t>签字</w:t>
      </w:r>
      <w:r>
        <w:rPr>
          <w:rFonts w:hint="default" w:ascii="Times New Roman" w:hAnsi="Times New Roman" w:eastAsia="宋体" w:cs="Times New Roman"/>
          <w:color w:val="000000"/>
          <w:sz w:val="21"/>
          <w:szCs w:val="21"/>
        </w:rPr>
        <w:t>并加盖单位公章后生效。</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本合同未尽事宜，遵照《</w:t>
      </w:r>
      <w:r>
        <w:rPr>
          <w:rFonts w:hint="default" w:ascii="Times New Roman" w:hAnsi="Times New Roman" w:eastAsia="宋体" w:cs="Times New Roman"/>
          <w:color w:val="000000"/>
          <w:sz w:val="21"/>
          <w:szCs w:val="21"/>
          <w:lang w:val="en-US" w:eastAsia="zh-CN"/>
        </w:rPr>
        <w:t>民法典</w:t>
      </w:r>
      <w:r>
        <w:rPr>
          <w:rFonts w:hint="default" w:ascii="Times New Roman" w:hAnsi="Times New Roman" w:eastAsia="宋体" w:cs="Times New Roman"/>
          <w:color w:val="000000"/>
          <w:sz w:val="21"/>
          <w:szCs w:val="21"/>
        </w:rPr>
        <w:t>》有关条文执行。</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 .本合同一式四份。甲、乙双方各执一份，采购组织机构及同级人民政府财政部门各执一份。本项目未尽事宜以</w:t>
      </w:r>
      <w:r>
        <w:rPr>
          <w:rFonts w:hint="eastAsia" w:ascii="Times New Roman" w:hAnsi="Times New Roman" w:cs="Times New Roman"/>
          <w:color w:val="000000"/>
          <w:sz w:val="21"/>
          <w:szCs w:val="21"/>
          <w:lang w:val="en-US" w:eastAsia="zh-CN"/>
        </w:rPr>
        <w:t>招标</w:t>
      </w:r>
      <w:r>
        <w:rPr>
          <w:rFonts w:hint="default" w:ascii="Times New Roman" w:hAnsi="Times New Roman" w:eastAsia="宋体" w:cs="Times New Roman"/>
          <w:color w:val="000000"/>
          <w:sz w:val="21"/>
          <w:szCs w:val="21"/>
        </w:rPr>
        <w:t>文件、</w:t>
      </w:r>
      <w:r>
        <w:rPr>
          <w:rFonts w:hint="eastAsia" w:ascii="Times New Roman" w:hAnsi="Times New Roman" w:cs="Times New Roman"/>
          <w:color w:val="000000"/>
          <w:sz w:val="21"/>
          <w:szCs w:val="21"/>
          <w:lang w:val="en-US" w:eastAsia="zh-CN"/>
        </w:rPr>
        <w:t>投标</w:t>
      </w:r>
      <w:r>
        <w:rPr>
          <w:rFonts w:hint="default" w:ascii="Times New Roman" w:hAnsi="Times New Roman" w:eastAsia="宋体" w:cs="Times New Roman"/>
          <w:color w:val="000000"/>
          <w:sz w:val="21"/>
          <w:szCs w:val="21"/>
        </w:rPr>
        <w:t>文件及澄清文件等为准。</w:t>
      </w:r>
    </w:p>
    <w:p>
      <w:pPr>
        <w:widowControl/>
        <w:spacing w:line="360" w:lineRule="auto"/>
        <w:rPr>
          <w:rFonts w:asciiTheme="minorEastAsia" w:hAnsiTheme="minorEastAsia" w:eastAsiaTheme="minorEastAsia"/>
          <w:b/>
          <w:sz w:val="24"/>
          <w:szCs w:val="24"/>
        </w:rPr>
      </w:pPr>
    </w:p>
    <w:p>
      <w:pPr>
        <w:widowControl/>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甲方（公章）                                     乙方（公章）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                                     法定代表人：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                                     委托代理人：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                                       开户银行：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帐号：                                           帐号：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地址及邮编：                                     地址及邮编：</w:t>
      </w:r>
    </w:p>
    <w:p>
      <w:pPr>
        <w:spacing w:line="360" w:lineRule="auto"/>
        <w:rPr>
          <w:rFonts w:asciiTheme="minorEastAsia" w:hAnsiTheme="minorEastAsia" w:eastAsiaTheme="minorEastAsia"/>
          <w:sz w:val="24"/>
          <w:szCs w:val="24"/>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r>
        <w:rPr>
          <w:rFonts w:hint="eastAsia" w:asciiTheme="minorEastAsia" w:hAnsiTheme="minorEastAsia" w:eastAsiaTheme="minorEastAsia"/>
          <w:sz w:val="24"/>
          <w:szCs w:val="24"/>
        </w:rPr>
        <w:t>签订时间：    年   月    日</w:t>
      </w:r>
    </w:p>
    <w:p>
      <w:pPr>
        <w:pStyle w:val="11"/>
        <w:rPr>
          <w:b/>
          <w:kern w:val="0"/>
          <w:sz w:val="32"/>
          <w:szCs w:val="32"/>
        </w:rPr>
      </w:pPr>
    </w:p>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p>
    <w:p>
      <w:pPr>
        <w:pStyle w:val="12"/>
        <w:rPr>
          <w:b/>
          <w:kern w:val="0"/>
          <w:sz w:val="32"/>
          <w:szCs w:val="32"/>
        </w:rPr>
      </w:pPr>
    </w:p>
    <w:p>
      <w:pPr>
        <w:pStyle w:val="19"/>
      </w:pPr>
    </w:p>
    <w:p/>
    <w:p/>
    <w:p/>
    <w:p/>
    <w:p/>
    <w:p/>
    <w:p>
      <w:pPr>
        <w:pStyle w:val="12"/>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r>
        <w:rPr>
          <w:b/>
          <w:kern w:val="0"/>
          <w:sz w:val="32"/>
          <w:szCs w:val="32"/>
        </w:rPr>
        <w:t>第六章  投标文件格式附件</w:t>
      </w:r>
    </w:p>
    <w:p>
      <w:pPr>
        <w:spacing w:line="360" w:lineRule="auto"/>
        <w:rPr>
          <w:b/>
          <w:szCs w:val="21"/>
        </w:rPr>
      </w:pPr>
      <w:r>
        <w:rPr>
          <w:b/>
          <w:szCs w:val="21"/>
        </w:rPr>
        <w:t>附件1</w:t>
      </w:r>
      <w:r>
        <w:rPr>
          <w:b/>
          <w:sz w:val="24"/>
        </w:rPr>
        <w:t xml:space="preserve">                                           　　　    </w:t>
      </w:r>
    </w:p>
    <w:p>
      <w:pPr>
        <w:spacing w:line="240" w:lineRule="exact"/>
        <w:rPr>
          <w:b/>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eastAsia" w:eastAsia="宋体"/>
          <w:b/>
          <w:bCs/>
          <w:kern w:val="0"/>
          <w:sz w:val="36"/>
          <w:szCs w:val="36"/>
          <w:lang w:eastAsia="zh-CN"/>
        </w:rPr>
      </w:pPr>
      <w:r>
        <w:rPr>
          <w:rFonts w:hint="eastAsia"/>
          <w:b/>
          <w:bCs/>
          <w:kern w:val="0"/>
          <w:sz w:val="36"/>
          <w:szCs w:val="36"/>
          <w:lang w:eastAsia="zh-CN"/>
        </w:rPr>
        <w:t>玉环市人民医院健共体集团厨房设备采购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eastAsia" w:eastAsia="宋体"/>
          <w:b/>
          <w:kern w:val="0"/>
          <w:sz w:val="32"/>
          <w:lang w:eastAsia="zh-CN"/>
        </w:rPr>
      </w:pPr>
      <w:r>
        <w:rPr>
          <w:sz w:val="36"/>
          <w:szCs w:val="36"/>
        </w:rPr>
        <w:t>项目编号：</w:t>
      </w:r>
      <w:r>
        <w:rPr>
          <w:rFonts w:hint="eastAsia"/>
          <w:b/>
          <w:kern w:val="0"/>
          <w:sz w:val="32"/>
          <w:lang w:eastAsia="zh-CN"/>
        </w:rPr>
        <w:t>DDZX2023-Y-GK-20</w:t>
      </w:r>
    </w:p>
    <w:p>
      <w:pPr>
        <w:spacing w:beforeLines="100" w:line="360" w:lineRule="auto"/>
        <w:ind w:right="-108"/>
        <w:jc w:val="center"/>
        <w:rPr>
          <w:sz w:val="36"/>
          <w:szCs w:val="36"/>
        </w:rPr>
      </w:pPr>
    </w:p>
    <w:p>
      <w:pPr>
        <w:autoSpaceDE w:val="0"/>
        <w:autoSpaceDN w:val="0"/>
        <w:adjustRightInd w:val="0"/>
        <w:spacing w:line="700" w:lineRule="exact"/>
        <w:jc w:val="center"/>
        <w:rPr>
          <w:sz w:val="84"/>
          <w:szCs w:val="84"/>
          <w:lang w:val="zh-CN"/>
        </w:rPr>
      </w:pPr>
    </w:p>
    <w:p>
      <w:pPr>
        <w:autoSpaceDE w:val="0"/>
        <w:autoSpaceDN w:val="0"/>
        <w:adjustRightInd w:val="0"/>
        <w:spacing w:line="360" w:lineRule="auto"/>
        <w:jc w:val="center"/>
        <w:rPr>
          <w:sz w:val="84"/>
          <w:szCs w:val="84"/>
          <w:lang w:val="zh-CN"/>
        </w:rPr>
      </w:pPr>
      <w:r>
        <w:rPr>
          <w:sz w:val="84"/>
          <w:szCs w:val="84"/>
          <w:lang w:val="zh-CN"/>
        </w:rPr>
        <w:t>投</w:t>
      </w:r>
    </w:p>
    <w:p>
      <w:pPr>
        <w:autoSpaceDE w:val="0"/>
        <w:autoSpaceDN w:val="0"/>
        <w:adjustRightInd w:val="0"/>
        <w:spacing w:line="360" w:lineRule="auto"/>
        <w:jc w:val="center"/>
        <w:rPr>
          <w:sz w:val="84"/>
          <w:szCs w:val="84"/>
          <w:lang w:val="zh-CN"/>
        </w:rPr>
      </w:pPr>
      <w:r>
        <w:rPr>
          <w:sz w:val="84"/>
          <w:szCs w:val="84"/>
          <w:lang w:val="zh-CN"/>
        </w:rPr>
        <w:t>标</w:t>
      </w:r>
    </w:p>
    <w:p>
      <w:pPr>
        <w:autoSpaceDE w:val="0"/>
        <w:autoSpaceDN w:val="0"/>
        <w:adjustRightInd w:val="0"/>
        <w:spacing w:line="360" w:lineRule="auto"/>
        <w:jc w:val="center"/>
        <w:rPr>
          <w:sz w:val="84"/>
          <w:szCs w:val="84"/>
        </w:rPr>
      </w:pPr>
      <w:r>
        <w:rPr>
          <w:sz w:val="84"/>
          <w:szCs w:val="84"/>
          <w:lang w:val="zh-CN"/>
        </w:rPr>
        <w:t>文</w:t>
      </w:r>
    </w:p>
    <w:p>
      <w:pPr>
        <w:spacing w:after="100" w:afterAutospacing="1" w:line="360" w:lineRule="auto"/>
        <w:ind w:right="-108"/>
        <w:jc w:val="center"/>
        <w:rPr>
          <w:sz w:val="84"/>
          <w:szCs w:val="84"/>
          <w:lang w:val="zh-CN"/>
        </w:rPr>
      </w:pPr>
      <w:r>
        <w:rPr>
          <w:sz w:val="84"/>
          <w:szCs w:val="84"/>
          <w:lang w:val="zh-CN"/>
        </w:rPr>
        <w:t>件</w:t>
      </w:r>
    </w:p>
    <w:p>
      <w:pPr>
        <w:spacing w:after="100" w:afterAutospacing="1" w:line="360" w:lineRule="auto"/>
        <w:ind w:right="-108"/>
        <w:jc w:val="center"/>
        <w:rPr>
          <w:b/>
          <w:spacing w:val="40"/>
          <w:sz w:val="28"/>
          <w:szCs w:val="28"/>
        </w:rPr>
      </w:pPr>
      <w:r>
        <w:rPr>
          <w:sz w:val="28"/>
          <w:szCs w:val="28"/>
          <w:lang w:val="zh-CN"/>
        </w:rPr>
        <w:t>（</w:t>
      </w:r>
      <w:r>
        <w:rPr>
          <w:b/>
          <w:spacing w:val="40"/>
          <w:sz w:val="28"/>
          <w:szCs w:val="28"/>
        </w:rPr>
        <w:t>资格证明文件）</w:t>
      </w:r>
    </w:p>
    <w:p>
      <w:pPr>
        <w:pStyle w:val="37"/>
        <w:rPr>
          <w:rFonts w:ascii="Times New Roman" w:hAnsi="Times New Roman" w:eastAsia="宋体" w:cs="Times New Roman"/>
        </w:rPr>
      </w:pPr>
    </w:p>
    <w:p>
      <w:pPr>
        <w:spacing w:line="360" w:lineRule="auto"/>
        <w:ind w:right="532" w:firstLine="1680" w:firstLineChars="700"/>
        <w:rPr>
          <w:sz w:val="24"/>
        </w:rPr>
      </w:pPr>
      <w:r>
        <w:rPr>
          <w:sz w:val="24"/>
        </w:rPr>
        <w:t>投标人全称（公章）：</w:t>
      </w:r>
    </w:p>
    <w:p>
      <w:pPr>
        <w:spacing w:line="360" w:lineRule="auto"/>
        <w:ind w:right="532" w:firstLine="1680" w:firstLineChars="700"/>
        <w:rPr>
          <w:sz w:val="24"/>
        </w:rPr>
      </w:pPr>
      <w:r>
        <w:rPr>
          <w:sz w:val="24"/>
        </w:rPr>
        <w:t>地    址：</w:t>
      </w:r>
    </w:p>
    <w:p>
      <w:pPr>
        <w:spacing w:line="360" w:lineRule="auto"/>
        <w:ind w:right="532" w:firstLine="1680" w:firstLineChars="700"/>
        <w:rPr>
          <w:sz w:val="24"/>
        </w:rPr>
      </w:pPr>
      <w:r>
        <w:rPr>
          <w:sz w:val="24"/>
        </w:rPr>
        <w:t>时    间：</w:t>
      </w:r>
    </w:p>
    <w:p>
      <w:pPr>
        <w:pStyle w:val="11"/>
      </w:pPr>
    </w:p>
    <w:p/>
    <w:p>
      <w:pPr>
        <w:pStyle w:val="37"/>
        <w:rPr>
          <w:rFonts w:ascii="Times New Roman" w:hAnsi="Times New Roman" w:eastAsia="宋体" w:cs="Times New Roman"/>
        </w:rPr>
      </w:pPr>
    </w:p>
    <w:p>
      <w:pPr>
        <w:snapToGrid w:val="0"/>
        <w:spacing w:line="760" w:lineRule="exact"/>
        <w:jc w:val="center"/>
        <w:rPr>
          <w:b/>
          <w:bCs/>
          <w:sz w:val="30"/>
          <w:szCs w:val="30"/>
        </w:rPr>
      </w:pPr>
      <w:r>
        <w:rPr>
          <w:b/>
          <w:bCs/>
          <w:sz w:val="30"/>
          <w:szCs w:val="30"/>
        </w:rPr>
        <w:t>资格证明文件目录</w:t>
      </w:r>
    </w:p>
    <w:p>
      <w:pPr>
        <w:snapToGrid w:val="0"/>
        <w:spacing w:line="600" w:lineRule="exact"/>
        <w:ind w:firstLine="315" w:firstLineChars="150"/>
        <w:rPr>
          <w:szCs w:val="21"/>
        </w:rPr>
      </w:pPr>
      <w:r>
        <w:rPr>
          <w:szCs w:val="21"/>
        </w:rPr>
        <w:t>1、</w:t>
      </w:r>
      <w:r>
        <w:rPr>
          <w:rFonts w:hint="eastAsia"/>
          <w:szCs w:val="21"/>
        </w:rPr>
        <w:t>投标</w:t>
      </w:r>
      <w:r>
        <w:rPr>
          <w:szCs w:val="21"/>
        </w:rPr>
        <w:t>声明书（附件2）</w:t>
      </w:r>
    </w:p>
    <w:p>
      <w:pPr>
        <w:snapToGrid w:val="0"/>
        <w:spacing w:line="600" w:lineRule="exact"/>
        <w:ind w:firstLine="315" w:firstLineChars="150"/>
        <w:rPr>
          <w:szCs w:val="21"/>
        </w:rPr>
      </w:pPr>
      <w:r>
        <w:rPr>
          <w:szCs w:val="21"/>
        </w:rPr>
        <w:t>2、授权委托书（附件3）</w:t>
      </w:r>
    </w:p>
    <w:p>
      <w:pPr>
        <w:snapToGrid w:val="0"/>
        <w:spacing w:line="600" w:lineRule="exact"/>
        <w:ind w:firstLine="315" w:firstLineChars="150"/>
        <w:rPr>
          <w:szCs w:val="21"/>
        </w:rPr>
      </w:pPr>
      <w:r>
        <w:rPr>
          <w:szCs w:val="21"/>
        </w:rPr>
        <w:t>3、法人或者其他组织的营业执照等证明文件，自然人的身份证明</w:t>
      </w:r>
    </w:p>
    <w:p>
      <w:pPr>
        <w:snapToGrid w:val="0"/>
        <w:spacing w:line="600" w:lineRule="exact"/>
        <w:ind w:firstLine="315" w:firstLineChars="150"/>
        <w:rPr>
          <w:szCs w:val="21"/>
        </w:rPr>
      </w:pPr>
      <w:r>
        <w:rPr>
          <w:szCs w:val="21"/>
        </w:rPr>
        <w:t>4、符合参加政府采购活动应当具备的一般条件的承诺函（附件4）</w:t>
      </w:r>
    </w:p>
    <w:p>
      <w:pPr>
        <w:snapToGrid w:val="0"/>
        <w:spacing w:line="600" w:lineRule="exact"/>
        <w:ind w:firstLine="315" w:firstLineChars="150"/>
        <w:rPr>
          <w:szCs w:val="21"/>
        </w:rPr>
      </w:pPr>
      <w:r>
        <w:rPr>
          <w:szCs w:val="21"/>
        </w:rPr>
        <w:t>5、落实政府采购政策需满足的资格要求（中小企业声明函）（附件5）</w:t>
      </w:r>
    </w:p>
    <w:p>
      <w:pPr>
        <w:snapToGrid w:val="0"/>
        <w:spacing w:line="600" w:lineRule="exact"/>
        <w:ind w:firstLine="315" w:firstLineChars="150"/>
        <w:rPr>
          <w:szCs w:val="21"/>
        </w:rPr>
      </w:pPr>
      <w:r>
        <w:rPr>
          <w:szCs w:val="21"/>
        </w:rPr>
        <w:t>6、本项目要求的特定资质证书</w:t>
      </w:r>
    </w:p>
    <w:p>
      <w:pPr>
        <w:spacing w:line="360" w:lineRule="auto"/>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pStyle w:val="3"/>
        <w:rPr>
          <w:rFonts w:ascii="Times New Roman" w:hAnsi="Times New Roman" w:eastAsia="宋体"/>
          <w:sz w:val="28"/>
        </w:rPr>
      </w:pPr>
    </w:p>
    <w:p>
      <w:pPr>
        <w:rPr>
          <w:b/>
          <w:sz w:val="28"/>
        </w:rPr>
      </w:pPr>
    </w:p>
    <w:p>
      <w:pPr>
        <w:pStyle w:val="11"/>
        <w:rPr>
          <w:b/>
          <w:sz w:val="28"/>
        </w:rPr>
      </w:pPr>
    </w:p>
    <w:p>
      <w:pPr>
        <w:rPr>
          <w:b/>
          <w:sz w:val="28"/>
        </w:rPr>
      </w:pPr>
    </w:p>
    <w:p>
      <w:pPr>
        <w:pStyle w:val="9"/>
      </w:pPr>
    </w:p>
    <w:p>
      <w:pPr>
        <w:pStyle w:val="12"/>
        <w:ind w:firstLine="281"/>
        <w:rPr>
          <w:sz w:val="28"/>
        </w:rPr>
      </w:pPr>
    </w:p>
    <w:p>
      <w:pPr>
        <w:snapToGrid w:val="0"/>
        <w:spacing w:line="400" w:lineRule="exact"/>
        <w:jc w:val="left"/>
        <w:rPr>
          <w:b/>
          <w:szCs w:val="21"/>
        </w:rPr>
      </w:pPr>
      <w:r>
        <w:rPr>
          <w:b/>
          <w:szCs w:val="21"/>
        </w:rPr>
        <w:t>附件2</w:t>
      </w:r>
    </w:p>
    <w:p>
      <w:pPr>
        <w:adjustRightInd w:val="0"/>
        <w:snapToGrid w:val="0"/>
        <w:spacing w:line="600" w:lineRule="exact"/>
        <w:jc w:val="center"/>
        <w:rPr>
          <w:b/>
          <w:kern w:val="0"/>
          <w:sz w:val="30"/>
          <w:szCs w:val="30"/>
          <w:lang w:val="zh-CN"/>
        </w:rPr>
      </w:pPr>
      <w:r>
        <w:rPr>
          <w:b/>
          <w:kern w:val="0"/>
          <w:sz w:val="30"/>
          <w:szCs w:val="30"/>
          <w:lang w:val="zh-CN"/>
        </w:rPr>
        <w:t>投标声明书</w:t>
      </w:r>
    </w:p>
    <w:p>
      <w:pPr>
        <w:snapToGrid w:val="0"/>
        <w:spacing w:line="460" w:lineRule="exact"/>
        <w:rPr>
          <w:b/>
          <w:bCs/>
          <w:kern w:val="0"/>
          <w:sz w:val="24"/>
        </w:rPr>
      </w:pPr>
      <w:r>
        <w:rPr>
          <w:b/>
          <w:bCs/>
          <w:szCs w:val="21"/>
          <w:u w:val="single"/>
        </w:rPr>
        <w:t>大地工程咨询有限公司</w:t>
      </w:r>
      <w:r>
        <w:rPr>
          <w:b/>
          <w:bCs/>
          <w:sz w:val="24"/>
        </w:rPr>
        <w:t>：</w:t>
      </w:r>
    </w:p>
    <w:p>
      <w:pPr>
        <w:snapToGrid w:val="0"/>
        <w:spacing w:line="460" w:lineRule="exact"/>
        <w:ind w:firstLine="420" w:firstLineChars="200"/>
        <w:rPr>
          <w:kern w:val="0"/>
          <w:szCs w:val="21"/>
        </w:rPr>
      </w:pPr>
      <w:r>
        <w:rPr>
          <w:kern w:val="0"/>
          <w:szCs w:val="21"/>
          <w:u w:val="single"/>
        </w:rPr>
        <w:t>（投标人名称）</w:t>
      </w:r>
      <w:r>
        <w:rPr>
          <w:kern w:val="0"/>
          <w:szCs w:val="21"/>
        </w:rPr>
        <w:t>系中华人民共和国合法企业，经营地址：</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p>
    <w:p>
      <w:pPr>
        <w:snapToGrid w:val="0"/>
        <w:spacing w:line="460" w:lineRule="exact"/>
        <w:ind w:firstLine="420" w:firstLineChars="200"/>
        <w:rPr>
          <w:kern w:val="0"/>
          <w:szCs w:val="21"/>
        </w:rPr>
      </w:pPr>
      <w:r>
        <w:rPr>
          <w:kern w:val="0"/>
          <w:szCs w:val="21"/>
        </w:rPr>
        <w:t>我（</w:t>
      </w:r>
      <w:r>
        <w:rPr>
          <w:kern w:val="0"/>
          <w:szCs w:val="21"/>
          <w:u w:val="single"/>
        </w:rPr>
        <w:t xml:space="preserve"> 姓名 </w:t>
      </w:r>
      <w:r>
        <w:rPr>
          <w:kern w:val="0"/>
          <w:szCs w:val="21"/>
        </w:rPr>
        <w:t>）系（</w:t>
      </w:r>
      <w:r>
        <w:rPr>
          <w:kern w:val="0"/>
          <w:szCs w:val="21"/>
          <w:u w:val="single"/>
        </w:rPr>
        <w:t xml:space="preserve"> 投标人名称 </w:t>
      </w:r>
      <w:r>
        <w:rPr>
          <w:kern w:val="0"/>
          <w:szCs w:val="21"/>
        </w:rPr>
        <w:t>）的法定代表人，我公司自愿参加贵方组织的（</w:t>
      </w:r>
      <w:r>
        <w:rPr>
          <w:kern w:val="0"/>
          <w:szCs w:val="21"/>
          <w:u w:val="single"/>
        </w:rPr>
        <w:t>招标项目名称</w:t>
      </w:r>
      <w:r>
        <w:rPr>
          <w:kern w:val="0"/>
          <w:szCs w:val="21"/>
        </w:rPr>
        <w:t>）（编号为）的投标，为此，我公司就本次投标有关事项郑重声明如下：</w:t>
      </w:r>
    </w:p>
    <w:p>
      <w:pPr>
        <w:snapToGrid w:val="0"/>
        <w:spacing w:line="460" w:lineRule="exact"/>
        <w:ind w:firstLine="420" w:firstLineChars="200"/>
        <w:rPr>
          <w:b/>
          <w:kern w:val="0"/>
          <w:szCs w:val="21"/>
        </w:rPr>
      </w:pPr>
      <w:r>
        <w:rPr>
          <w:kern w:val="0"/>
          <w:szCs w:val="21"/>
        </w:rPr>
        <w:t>1、</w:t>
      </w:r>
      <w:r>
        <w:rPr>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kern w:val="0"/>
          <w:szCs w:val="21"/>
        </w:rPr>
      </w:pPr>
      <w:r>
        <w:rPr>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szCs w:val="21"/>
        </w:rPr>
      </w:pPr>
      <w:r>
        <w:rPr>
          <w:szCs w:val="21"/>
        </w:rPr>
        <w:t>3、我</w:t>
      </w:r>
      <w:r>
        <w:rPr>
          <w:kern w:val="0"/>
          <w:szCs w:val="21"/>
          <w:lang w:val="zh-CN"/>
        </w:rPr>
        <w:t>公司</w:t>
      </w:r>
      <w:r>
        <w:rPr>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kern w:val="0"/>
          <w:szCs w:val="21"/>
          <w:lang w:val="af-ZA"/>
        </w:rPr>
      </w:pPr>
      <w:r>
        <w:rPr>
          <w:szCs w:val="21"/>
        </w:rPr>
        <w:t>4、</w:t>
      </w:r>
      <w:r>
        <w:rPr>
          <w:kern w:val="0"/>
          <w:szCs w:val="21"/>
        </w:rPr>
        <w:t>我</w:t>
      </w:r>
      <w:r>
        <w:rPr>
          <w:kern w:val="0"/>
          <w:szCs w:val="21"/>
          <w:lang w:val="zh-CN"/>
        </w:rPr>
        <w:t>公司</w:t>
      </w:r>
      <w:r>
        <w:rPr>
          <w:kern w:val="0"/>
          <w:szCs w:val="21"/>
        </w:rPr>
        <w:t>保证，</w:t>
      </w:r>
      <w:r>
        <w:rPr>
          <w:kern w:val="0"/>
          <w:szCs w:val="21"/>
          <w:lang w:val="af-ZA"/>
        </w:rPr>
        <w:t>采购人在中华人民共和国境内使用</w:t>
      </w:r>
      <w:r>
        <w:rPr>
          <w:kern w:val="0"/>
          <w:szCs w:val="21"/>
        </w:rPr>
        <w:t>我</w:t>
      </w:r>
      <w:r>
        <w:rPr>
          <w:kern w:val="0"/>
          <w:szCs w:val="21"/>
          <w:lang w:val="zh-CN"/>
        </w:rPr>
        <w:t>公司</w:t>
      </w:r>
      <w:r>
        <w:rPr>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szCs w:val="21"/>
        </w:rPr>
      </w:pPr>
      <w:r>
        <w:rPr>
          <w:kern w:val="0"/>
          <w:szCs w:val="21"/>
          <w:lang w:val="af-ZA"/>
        </w:rPr>
        <w:t>5、我</w:t>
      </w:r>
      <w:r>
        <w:rPr>
          <w:kern w:val="0"/>
          <w:szCs w:val="21"/>
          <w:lang w:val="zh-CN"/>
        </w:rPr>
        <w:t>公司</w:t>
      </w:r>
      <w:r>
        <w:rPr>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szCs w:val="21"/>
        </w:rPr>
      </w:pPr>
      <w:r>
        <w:rPr>
          <w:szCs w:val="21"/>
        </w:rPr>
        <w:t>6、以上事项如有虚假或隐瞒，我</w:t>
      </w:r>
      <w:r>
        <w:rPr>
          <w:kern w:val="0"/>
          <w:szCs w:val="21"/>
          <w:lang w:val="zh-CN"/>
        </w:rPr>
        <w:t>公司</w:t>
      </w:r>
      <w:r>
        <w:rPr>
          <w:szCs w:val="21"/>
        </w:rPr>
        <w:t>愿意承担一切后果，并不再寻求任何旨在减轻或免除法律责任的辩解。</w:t>
      </w:r>
    </w:p>
    <w:p>
      <w:pPr>
        <w:pStyle w:val="3"/>
        <w:spacing w:line="520" w:lineRule="exact"/>
        <w:rPr>
          <w:rFonts w:ascii="Times New Roman" w:hAnsi="Times New Roman" w:eastAsia="宋体"/>
        </w:rPr>
      </w:pPr>
    </w:p>
    <w:p>
      <w:pPr>
        <w:adjustRightInd w:val="0"/>
        <w:snapToGrid w:val="0"/>
        <w:spacing w:line="520" w:lineRule="exact"/>
        <w:ind w:left="4620" w:leftChars="2200"/>
        <w:rPr>
          <w:kern w:val="0"/>
          <w:szCs w:val="21"/>
          <w:lang w:val="zh-CN"/>
        </w:rPr>
      </w:pPr>
      <w:r>
        <w:rPr>
          <w:kern w:val="0"/>
          <w:szCs w:val="21"/>
          <w:lang w:val="zh-CN"/>
        </w:rPr>
        <w:t>投标人名称(公章)：</w:t>
      </w:r>
    </w:p>
    <w:p>
      <w:pPr>
        <w:adjustRightInd w:val="0"/>
        <w:snapToGrid w:val="0"/>
        <w:spacing w:line="520" w:lineRule="exact"/>
        <w:ind w:left="4620" w:leftChars="2200"/>
        <w:rPr>
          <w:kern w:val="0"/>
          <w:szCs w:val="21"/>
          <w:lang w:val="zh-CN"/>
        </w:rPr>
      </w:pPr>
      <w:r>
        <w:rPr>
          <w:kern w:val="0"/>
          <w:szCs w:val="21"/>
          <w:lang w:val="zh-CN"/>
        </w:rPr>
        <w:t>法定代表人或授权委托人</w:t>
      </w:r>
      <w:r>
        <w:rPr>
          <w:rFonts w:hint="eastAsia"/>
          <w:szCs w:val="21"/>
          <w:lang w:eastAsia="zh-CN"/>
        </w:rPr>
        <w:t>（</w:t>
      </w:r>
      <w:r>
        <w:rPr>
          <w:szCs w:val="21"/>
        </w:rPr>
        <w:t>签字或盖章</w:t>
      </w:r>
      <w:r>
        <w:rPr>
          <w:rFonts w:hint="eastAsia"/>
          <w:szCs w:val="21"/>
          <w:lang w:eastAsia="zh-CN"/>
        </w:rPr>
        <w:t>）</w:t>
      </w:r>
      <w:r>
        <w:rPr>
          <w:kern w:val="0"/>
          <w:szCs w:val="21"/>
          <w:lang w:val="zh-CN"/>
        </w:rPr>
        <w:t>：</w:t>
      </w:r>
    </w:p>
    <w:p>
      <w:pPr>
        <w:adjustRightInd w:val="0"/>
        <w:snapToGrid w:val="0"/>
        <w:spacing w:line="520" w:lineRule="exact"/>
        <w:ind w:left="4620" w:leftChars="2200" w:right="480"/>
        <w:rPr>
          <w:kern w:val="0"/>
          <w:szCs w:val="21"/>
          <w:lang w:val="zh-CN"/>
        </w:rPr>
      </w:pPr>
      <w:r>
        <w:rPr>
          <w:kern w:val="0"/>
          <w:szCs w:val="21"/>
          <w:lang w:val="zh-CN"/>
        </w:rPr>
        <w:t>日期：</w:t>
      </w:r>
      <w:r>
        <w:rPr>
          <w:kern w:val="0"/>
          <w:szCs w:val="21"/>
        </w:rPr>
        <w:t xml:space="preserve">  </w:t>
      </w:r>
      <w:r>
        <w:rPr>
          <w:rFonts w:hint="eastAsia"/>
          <w:kern w:val="0"/>
          <w:szCs w:val="21"/>
        </w:rPr>
        <w:t xml:space="preserve"> </w:t>
      </w:r>
      <w:r>
        <w:rPr>
          <w:kern w:val="0"/>
          <w:szCs w:val="21"/>
        </w:rPr>
        <w:t xml:space="preserve"> </w:t>
      </w:r>
      <w:r>
        <w:rPr>
          <w:kern w:val="0"/>
          <w:szCs w:val="21"/>
          <w:lang w:val="zh-CN"/>
        </w:rPr>
        <w:t xml:space="preserve">年  </w:t>
      </w:r>
      <w:r>
        <w:rPr>
          <w:kern w:val="0"/>
          <w:szCs w:val="21"/>
        </w:rPr>
        <w:t xml:space="preserve"> </w:t>
      </w:r>
      <w:r>
        <w:rPr>
          <w:rFonts w:hint="eastAsia"/>
          <w:kern w:val="0"/>
          <w:szCs w:val="21"/>
        </w:rPr>
        <w:t xml:space="preserve"> </w:t>
      </w:r>
      <w:r>
        <w:rPr>
          <w:kern w:val="0"/>
          <w:szCs w:val="21"/>
          <w:lang w:val="zh-CN"/>
        </w:rPr>
        <w:t>月</w:t>
      </w:r>
      <w:r>
        <w:rPr>
          <w:kern w:val="0"/>
          <w:szCs w:val="21"/>
        </w:rPr>
        <w:t xml:space="preserve">  </w:t>
      </w:r>
      <w:r>
        <w:rPr>
          <w:rFonts w:hint="eastAsia"/>
          <w:kern w:val="0"/>
          <w:szCs w:val="21"/>
        </w:rPr>
        <w:t xml:space="preserve"> </w:t>
      </w:r>
      <w:r>
        <w:rPr>
          <w:kern w:val="0"/>
          <w:szCs w:val="21"/>
        </w:rPr>
        <w:t xml:space="preserve"> </w:t>
      </w:r>
      <w:r>
        <w:rPr>
          <w:kern w:val="0"/>
          <w:szCs w:val="21"/>
          <w:lang w:val="zh-CN"/>
        </w:rPr>
        <w:t>日</w:t>
      </w:r>
    </w:p>
    <w:p>
      <w:pPr>
        <w:adjustRightInd w:val="0"/>
        <w:snapToGrid w:val="0"/>
        <w:spacing w:line="360" w:lineRule="auto"/>
        <w:ind w:right="480"/>
        <w:rPr>
          <w:b/>
          <w:szCs w:val="21"/>
        </w:rPr>
      </w:pPr>
    </w:p>
    <w:p>
      <w:pPr>
        <w:adjustRightInd w:val="0"/>
        <w:snapToGrid w:val="0"/>
        <w:spacing w:line="360" w:lineRule="auto"/>
        <w:ind w:right="480"/>
        <w:rPr>
          <w:b/>
          <w:szCs w:val="21"/>
        </w:rPr>
      </w:pPr>
    </w:p>
    <w:p>
      <w:pPr>
        <w:adjustRightInd w:val="0"/>
        <w:snapToGrid w:val="0"/>
        <w:spacing w:line="360" w:lineRule="auto"/>
        <w:ind w:right="480"/>
        <w:rPr>
          <w:b/>
          <w:szCs w:val="21"/>
        </w:rPr>
      </w:pPr>
      <w:r>
        <w:rPr>
          <w:b/>
          <w:szCs w:val="21"/>
        </w:rPr>
        <w:t>附件3</w:t>
      </w:r>
    </w:p>
    <w:p>
      <w:pPr>
        <w:adjustRightInd w:val="0"/>
        <w:snapToGrid w:val="0"/>
        <w:spacing w:line="600" w:lineRule="exact"/>
        <w:jc w:val="center"/>
        <w:rPr>
          <w:b/>
          <w:kern w:val="0"/>
          <w:sz w:val="30"/>
          <w:szCs w:val="30"/>
          <w:lang w:val="zh-CN"/>
        </w:rPr>
      </w:pPr>
      <w:r>
        <w:rPr>
          <w:b/>
          <w:kern w:val="0"/>
          <w:sz w:val="30"/>
          <w:szCs w:val="30"/>
          <w:lang w:val="zh-CN"/>
        </w:rPr>
        <w:t>授权委托书</w:t>
      </w:r>
    </w:p>
    <w:p>
      <w:pPr>
        <w:snapToGrid w:val="0"/>
        <w:spacing w:beforeLines="50" w:after="50" w:line="360" w:lineRule="auto"/>
        <w:rPr>
          <w:b/>
          <w:bCs/>
          <w:kern w:val="0"/>
          <w:szCs w:val="21"/>
        </w:rPr>
      </w:pPr>
      <w:r>
        <w:rPr>
          <w:b/>
          <w:bCs/>
          <w:szCs w:val="21"/>
        </w:rPr>
        <w:t>大地工程咨询有限公司：</w:t>
      </w:r>
    </w:p>
    <w:p>
      <w:pPr>
        <w:pStyle w:val="13"/>
        <w:spacing w:line="440" w:lineRule="exact"/>
        <w:ind w:firstLine="420" w:firstLineChars="200"/>
        <w:rPr>
          <w:rFonts w:ascii="Times New Roman" w:hAnsi="Times New Roman" w:cs="Times New Roman"/>
          <w:szCs w:val="21"/>
        </w:rPr>
      </w:pPr>
      <w:r>
        <w:rPr>
          <w:rFonts w:ascii="Times New Roman" w:hAnsi="Times New Roman" w:cs="Times New Roman"/>
          <w:szCs w:val="21"/>
          <w:u w:val="single"/>
        </w:rPr>
        <w:t xml:space="preserve">  （投标人全称）  </w:t>
      </w:r>
      <w:r>
        <w:rPr>
          <w:rFonts w:ascii="Times New Roman" w:hAnsi="Times New Roman" w:cs="Times New Roman"/>
          <w:szCs w:val="21"/>
        </w:rPr>
        <w:t>法定代表人（或营业执照中单位负责人）</w:t>
      </w:r>
      <w:r>
        <w:rPr>
          <w:rFonts w:ascii="Times New Roman" w:hAnsi="Times New Roman" w:cs="Times New Roman"/>
          <w:szCs w:val="21"/>
          <w:u w:val="single"/>
        </w:rPr>
        <w:tab/>
      </w:r>
      <w:r>
        <w:rPr>
          <w:rFonts w:ascii="Times New Roman" w:hAnsi="Times New Roman" w:cs="Times New Roman"/>
          <w:szCs w:val="21"/>
          <w:u w:val="single"/>
        </w:rPr>
        <w:t xml:space="preserve">（法定代表人或营业执照中单位负责人姓名） </w:t>
      </w:r>
      <w:r>
        <w:rPr>
          <w:rFonts w:ascii="Times New Roman" w:hAnsi="Times New Roman" w:cs="Times New Roman"/>
          <w:szCs w:val="21"/>
        </w:rPr>
        <w:t>授权</w:t>
      </w:r>
      <w:r>
        <w:rPr>
          <w:rFonts w:ascii="Times New Roman" w:hAnsi="Times New Roman" w:cs="Times New Roman"/>
          <w:szCs w:val="21"/>
          <w:u w:val="single"/>
        </w:rPr>
        <w:t xml:space="preserve">   （全权代表姓名） </w:t>
      </w:r>
      <w:r>
        <w:rPr>
          <w:rFonts w:ascii="Times New Roman" w:hAnsi="Times New Roman" w:cs="Times New Roman"/>
          <w:szCs w:val="21"/>
        </w:rPr>
        <w:t>为全权代表，参加贵单位组织的</w:t>
      </w:r>
      <w:r>
        <w:rPr>
          <w:rFonts w:ascii="Times New Roman" w:hAnsi="Times New Roman" w:cs="Times New Roman"/>
          <w:szCs w:val="21"/>
          <w:u w:val="single"/>
        </w:rPr>
        <w:tab/>
      </w:r>
      <w:r>
        <w:rPr>
          <w:rFonts w:ascii="Times New Roman" w:hAnsi="Times New Roman" w:cs="Times New Roman"/>
          <w:szCs w:val="21"/>
        </w:rPr>
        <w:t>项目的采购活动，并代表我方全权办理针对上述项目的投标、开标、评标、签约等具体事务和签署相关文件。我方对全权代表的签字事项负全部责任。</w:t>
      </w:r>
    </w:p>
    <w:p>
      <w:pPr>
        <w:pStyle w:val="13"/>
        <w:spacing w:line="440" w:lineRule="exact"/>
        <w:ind w:firstLine="420" w:firstLineChars="200"/>
        <w:rPr>
          <w:rFonts w:ascii="Times New Roman" w:hAnsi="Times New Roman" w:cs="Times New Roman"/>
          <w:szCs w:val="21"/>
        </w:rPr>
      </w:pPr>
      <w:r>
        <w:rPr>
          <w:rFonts w:ascii="Times New Roman" w:hAnsi="Times New Roman" w:cs="Times New Roman"/>
          <w:szCs w:val="21"/>
        </w:rPr>
        <w:t>在撤销授权的书面通知以前，本授权书一直有效。全权代表在授权委托书有效期内签署的所有文件不因授权的撤销而失效。</w:t>
      </w:r>
    </w:p>
    <w:p>
      <w:pPr>
        <w:pStyle w:val="13"/>
        <w:spacing w:line="440" w:lineRule="exact"/>
        <w:ind w:firstLine="420" w:firstLineChars="200"/>
        <w:rPr>
          <w:rFonts w:ascii="Times New Roman" w:hAnsi="Times New Roman" w:cs="Times New Roman"/>
          <w:szCs w:val="21"/>
        </w:rPr>
      </w:pPr>
      <w:r>
        <w:rPr>
          <w:rFonts w:ascii="Times New Roman" w:hAnsi="Times New Roman" w:cs="Times New Roman"/>
          <w:szCs w:val="21"/>
        </w:rPr>
        <w:t>全权代表无转委托权，特此委托。</w:t>
      </w:r>
    </w:p>
    <w:p>
      <w:pPr>
        <w:spacing w:line="360" w:lineRule="auto"/>
        <w:rPr>
          <w:szCs w:val="21"/>
        </w:rPr>
      </w:pPr>
    </w:p>
    <w:p>
      <w:pPr>
        <w:spacing w:line="360" w:lineRule="auto"/>
        <w:rPr>
          <w:szCs w:val="21"/>
        </w:rPr>
      </w:pPr>
      <w:r>
        <w:rPr>
          <w:szCs w:val="21"/>
        </w:rPr>
        <w:t>法定代表人签字或盖章：</w:t>
      </w:r>
    </w:p>
    <w:p>
      <w:pPr>
        <w:spacing w:line="360" w:lineRule="auto"/>
        <w:rPr>
          <w:szCs w:val="21"/>
        </w:rPr>
      </w:pPr>
    </w:p>
    <w:p>
      <w:pPr>
        <w:spacing w:line="360" w:lineRule="auto"/>
        <w:rPr>
          <w:szCs w:val="21"/>
        </w:rPr>
      </w:pPr>
      <w:r>
        <w:rPr>
          <w:szCs w:val="21"/>
        </w:rPr>
        <w:t>投标人全称（公章）：                              日期：</w:t>
      </w:r>
    </w:p>
    <w:p>
      <w:pPr>
        <w:spacing w:line="360" w:lineRule="auto"/>
        <w:rPr>
          <w:szCs w:val="21"/>
        </w:rPr>
      </w:pPr>
    </w:p>
    <w:p>
      <w:pPr>
        <w:spacing w:line="360" w:lineRule="auto"/>
        <w:rPr>
          <w:b/>
          <w:szCs w:val="21"/>
        </w:rPr>
      </w:pPr>
      <w:r>
        <w:rPr>
          <w:b/>
          <w:szCs w:val="21"/>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szCs w:val="21"/>
              </w:rPr>
            </w:pPr>
          </w:p>
          <w:p>
            <w:pPr>
              <w:spacing w:line="360" w:lineRule="auto"/>
              <w:ind w:firstLine="316" w:firstLineChars="150"/>
              <w:rPr>
                <w:b/>
                <w:szCs w:val="21"/>
              </w:rPr>
            </w:pPr>
            <w:r>
              <w:rPr>
                <w:b/>
                <w:szCs w:val="21"/>
              </w:rPr>
              <w:t>法定代表身份证复印件粘帖处</w:t>
            </w:r>
          </w:p>
        </w:tc>
      </w:tr>
    </w:tbl>
    <w:p>
      <w:pPr>
        <w:spacing w:line="360" w:lineRule="auto"/>
        <w:rPr>
          <w:szCs w:val="21"/>
        </w:rPr>
      </w:pPr>
      <w:r>
        <w:rPr>
          <w:szCs w:val="21"/>
        </w:rPr>
        <w:t xml:space="preserve">法定代表人姓名：                                 </w:t>
      </w:r>
    </w:p>
    <w:p>
      <w:pPr>
        <w:spacing w:line="360" w:lineRule="auto"/>
        <w:rPr>
          <w:szCs w:val="21"/>
        </w:rPr>
      </w:pPr>
      <w:r>
        <w:rPr>
          <w:szCs w:val="21"/>
        </w:rPr>
        <w:t>传真：</w:t>
      </w:r>
    </w:p>
    <w:p>
      <w:pPr>
        <w:spacing w:line="360" w:lineRule="auto"/>
        <w:rPr>
          <w:szCs w:val="21"/>
        </w:rPr>
      </w:pPr>
      <w:r>
        <w:rPr>
          <w:szCs w:val="21"/>
        </w:rPr>
        <w:t>电话：</w:t>
      </w:r>
    </w:p>
    <w:p>
      <w:pPr>
        <w:spacing w:line="360" w:lineRule="auto"/>
        <w:rPr>
          <w:szCs w:val="21"/>
        </w:rPr>
      </w:pPr>
      <w:r>
        <w:rPr>
          <w:szCs w:val="21"/>
        </w:rPr>
        <w:t>详细通讯地址：</w:t>
      </w:r>
    </w:p>
    <w:p>
      <w:pPr>
        <w:spacing w:line="360" w:lineRule="auto"/>
        <w:rPr>
          <w:szCs w:val="21"/>
        </w:rPr>
      </w:pPr>
      <w:r>
        <w:rPr>
          <w:szCs w:val="21"/>
        </w:rPr>
        <w:t>邮政编码：</w:t>
      </w:r>
    </w:p>
    <w:p>
      <w:pPr>
        <w:spacing w:line="360" w:lineRule="auto"/>
        <w:rPr>
          <w:b/>
          <w:szCs w:val="21"/>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szCs w:val="21"/>
              </w:rPr>
            </w:pPr>
          </w:p>
          <w:p>
            <w:pPr>
              <w:spacing w:line="360" w:lineRule="auto"/>
              <w:ind w:firstLine="316" w:firstLineChars="150"/>
              <w:rPr>
                <w:b/>
                <w:szCs w:val="21"/>
              </w:rPr>
            </w:pPr>
            <w:r>
              <w:rPr>
                <w:b/>
                <w:szCs w:val="21"/>
              </w:rPr>
              <w:t>全权代表身份证复印件粘帖处</w:t>
            </w:r>
          </w:p>
        </w:tc>
      </w:tr>
    </w:tbl>
    <w:p>
      <w:pPr>
        <w:spacing w:line="360" w:lineRule="auto"/>
        <w:rPr>
          <w:szCs w:val="21"/>
        </w:rPr>
      </w:pPr>
      <w:r>
        <w:rPr>
          <w:szCs w:val="21"/>
        </w:rPr>
        <w:t xml:space="preserve">全权代表姓名：       </w:t>
      </w:r>
    </w:p>
    <w:p>
      <w:pPr>
        <w:spacing w:line="360" w:lineRule="auto"/>
        <w:rPr>
          <w:szCs w:val="21"/>
        </w:rPr>
      </w:pPr>
      <w:r>
        <w:rPr>
          <w:szCs w:val="21"/>
        </w:rPr>
        <w:t xml:space="preserve">职务：                           </w:t>
      </w:r>
    </w:p>
    <w:p>
      <w:pPr>
        <w:spacing w:line="360" w:lineRule="auto"/>
        <w:rPr>
          <w:szCs w:val="21"/>
        </w:rPr>
      </w:pPr>
      <w:r>
        <w:rPr>
          <w:szCs w:val="21"/>
        </w:rPr>
        <w:t>传真：</w:t>
      </w:r>
    </w:p>
    <w:p>
      <w:pPr>
        <w:spacing w:line="360" w:lineRule="auto"/>
        <w:rPr>
          <w:szCs w:val="21"/>
        </w:rPr>
      </w:pPr>
      <w:r>
        <w:rPr>
          <w:szCs w:val="21"/>
        </w:rPr>
        <w:t>电话：</w:t>
      </w:r>
    </w:p>
    <w:p>
      <w:pPr>
        <w:spacing w:line="360" w:lineRule="auto"/>
        <w:rPr>
          <w:szCs w:val="21"/>
        </w:rPr>
      </w:pPr>
      <w:r>
        <w:rPr>
          <w:szCs w:val="21"/>
        </w:rPr>
        <w:t>详细通讯地址：</w:t>
      </w:r>
    </w:p>
    <w:p>
      <w:pPr>
        <w:spacing w:line="360" w:lineRule="auto"/>
        <w:rPr>
          <w:szCs w:val="21"/>
        </w:rPr>
      </w:pPr>
      <w:r>
        <w:rPr>
          <w:szCs w:val="21"/>
        </w:rPr>
        <w:t>邮政编码：</w:t>
      </w:r>
    </w:p>
    <w:p>
      <w:pPr>
        <w:snapToGrid w:val="0"/>
        <w:spacing w:beforeLines="50" w:after="50" w:line="360" w:lineRule="auto"/>
        <w:rPr>
          <w:b/>
          <w:sz w:val="24"/>
        </w:rPr>
      </w:pPr>
    </w:p>
    <w:p>
      <w:pPr>
        <w:snapToGrid w:val="0"/>
        <w:spacing w:beforeLines="50" w:after="50" w:line="240" w:lineRule="exact"/>
        <w:rPr>
          <w:bCs/>
          <w:szCs w:val="21"/>
        </w:rPr>
      </w:pPr>
      <w:r>
        <w:rPr>
          <w:b/>
          <w:szCs w:val="21"/>
        </w:rPr>
        <w:t>附件4</w:t>
      </w:r>
    </w:p>
    <w:p>
      <w:pPr>
        <w:snapToGrid w:val="0"/>
        <w:spacing w:line="360" w:lineRule="auto"/>
        <w:ind w:right="480"/>
        <w:jc w:val="left"/>
        <w:rPr>
          <w:rStyle w:val="31"/>
          <w:b/>
          <w:color w:val="auto"/>
          <w:sz w:val="32"/>
          <w:szCs w:val="32"/>
        </w:rPr>
      </w:pPr>
    </w:p>
    <w:p>
      <w:pPr>
        <w:pStyle w:val="11"/>
      </w:pPr>
    </w:p>
    <w:p>
      <w:pPr>
        <w:snapToGrid w:val="0"/>
        <w:spacing w:line="360" w:lineRule="auto"/>
        <w:ind w:right="480"/>
        <w:jc w:val="center"/>
        <w:rPr>
          <w:rStyle w:val="31"/>
          <w:b/>
          <w:color w:val="auto"/>
          <w:sz w:val="28"/>
          <w:szCs w:val="28"/>
        </w:rPr>
      </w:pPr>
      <w:r>
        <w:rPr>
          <w:rStyle w:val="31"/>
          <w:b/>
          <w:color w:val="auto"/>
          <w:sz w:val="32"/>
          <w:szCs w:val="32"/>
        </w:rPr>
        <w:t xml:space="preserve">  </w:t>
      </w:r>
      <w:r>
        <w:rPr>
          <w:rStyle w:val="31"/>
          <w:b/>
          <w:color w:val="auto"/>
          <w:sz w:val="28"/>
          <w:szCs w:val="28"/>
        </w:rPr>
        <w:t xml:space="preserve"> 符合参加政府采购活动应当具备的一般条件的承诺函</w:t>
      </w:r>
    </w:p>
    <w:p>
      <w:pPr>
        <w:pStyle w:val="9"/>
        <w:tabs>
          <w:tab w:val="left" w:pos="720"/>
          <w:tab w:val="left" w:pos="1260"/>
          <w:tab w:val="left" w:pos="2160"/>
          <w:tab w:val="left" w:pos="2880"/>
          <w:tab w:val="left" w:pos="3600"/>
          <w:tab w:val="left" w:pos="4320"/>
          <w:tab w:val="left" w:pos="5040"/>
          <w:tab w:val="left" w:pos="5760"/>
        </w:tabs>
      </w:pPr>
    </w:p>
    <w:p>
      <w:pPr>
        <w:pStyle w:val="13"/>
        <w:spacing w:line="400" w:lineRule="exact"/>
        <w:rPr>
          <w:rFonts w:ascii="Times New Roman" w:hAnsi="Times New Roman" w:cs="Times New Roman"/>
          <w:b/>
          <w:szCs w:val="21"/>
        </w:rPr>
      </w:pPr>
      <w:r>
        <w:rPr>
          <w:rFonts w:ascii="Times New Roman" w:hAnsi="Times New Roman" w:cs="Times New Roman"/>
          <w:b/>
          <w:szCs w:val="21"/>
          <w:u w:val="single"/>
        </w:rPr>
        <w:t xml:space="preserve">                       </w:t>
      </w:r>
      <w:r>
        <w:rPr>
          <w:rFonts w:ascii="Times New Roman" w:hAnsi="Times New Roman" w:cs="Times New Roman"/>
          <w:kern w:val="0"/>
          <w:szCs w:val="21"/>
          <w:u w:val="single"/>
        </w:rPr>
        <w:t>（采购代理机构名称）</w:t>
      </w:r>
      <w:r>
        <w:rPr>
          <w:rFonts w:ascii="Times New Roman" w:hAnsi="Times New Roman" w:cs="Times New Roman"/>
          <w:b/>
          <w:szCs w:val="21"/>
        </w:rPr>
        <w:t>：</w:t>
      </w:r>
    </w:p>
    <w:p>
      <w:pPr>
        <w:snapToGrid w:val="0"/>
        <w:spacing w:line="360" w:lineRule="auto"/>
        <w:ind w:firstLine="420" w:firstLineChars="200"/>
        <w:rPr>
          <w:szCs w:val="21"/>
        </w:rPr>
      </w:pPr>
    </w:p>
    <w:p>
      <w:pPr>
        <w:snapToGrid w:val="0"/>
        <w:spacing w:line="420" w:lineRule="exact"/>
        <w:ind w:firstLine="420" w:firstLineChars="200"/>
        <w:rPr>
          <w:szCs w:val="21"/>
        </w:rPr>
      </w:pPr>
      <w:r>
        <w:rPr>
          <w:szCs w:val="21"/>
        </w:rPr>
        <w:t>我公司参与</w:t>
      </w:r>
      <w:r>
        <w:rPr>
          <w:kern w:val="0"/>
          <w:szCs w:val="21"/>
          <w:u w:val="single"/>
        </w:rPr>
        <w:t xml:space="preserve">                </w:t>
      </w:r>
      <w:r>
        <w:rPr>
          <w:kern w:val="0"/>
          <w:szCs w:val="21"/>
        </w:rPr>
        <w:t>（磋商</w:t>
      </w:r>
      <w:r>
        <w:rPr>
          <w:kern w:val="0"/>
          <w:szCs w:val="21"/>
          <w:u w:val="single"/>
        </w:rPr>
        <w:t>项目名称</w:t>
      </w:r>
      <w:r>
        <w:rPr>
          <w:kern w:val="0"/>
          <w:szCs w:val="21"/>
        </w:rPr>
        <w:t>）（编号为</w:t>
      </w:r>
      <w:r>
        <w:rPr>
          <w:kern w:val="0"/>
          <w:szCs w:val="21"/>
          <w:u w:val="single"/>
        </w:rPr>
        <w:t xml:space="preserve">         </w:t>
      </w:r>
      <w:r>
        <w:rPr>
          <w:kern w:val="0"/>
          <w:szCs w:val="21"/>
        </w:rPr>
        <w:t>）</w:t>
      </w:r>
      <w:r>
        <w:rPr>
          <w:szCs w:val="21"/>
        </w:rPr>
        <w:t>政府采购活动，郑重承诺：</w:t>
      </w:r>
    </w:p>
    <w:p>
      <w:pPr>
        <w:snapToGrid w:val="0"/>
        <w:spacing w:line="420" w:lineRule="exact"/>
        <w:ind w:firstLine="315" w:firstLineChars="150"/>
        <w:rPr>
          <w:szCs w:val="21"/>
        </w:rPr>
      </w:pPr>
      <w:r>
        <w:rPr>
          <w:szCs w:val="21"/>
        </w:rPr>
        <w:t>（一）具备《中华人民共和国政府采购法》第二十二条第一款规定的条件：</w:t>
      </w:r>
    </w:p>
    <w:p>
      <w:pPr>
        <w:snapToGrid w:val="0"/>
        <w:spacing w:line="420" w:lineRule="exact"/>
        <w:ind w:firstLine="420" w:firstLineChars="200"/>
        <w:rPr>
          <w:szCs w:val="21"/>
        </w:rPr>
      </w:pPr>
      <w:r>
        <w:rPr>
          <w:szCs w:val="21"/>
        </w:rPr>
        <w:t>1、具有独立承担民事责任的能力；</w:t>
      </w:r>
    </w:p>
    <w:p>
      <w:pPr>
        <w:snapToGrid w:val="0"/>
        <w:spacing w:line="420" w:lineRule="exact"/>
        <w:ind w:firstLine="420" w:firstLineChars="200"/>
        <w:rPr>
          <w:szCs w:val="21"/>
        </w:rPr>
      </w:pPr>
      <w:r>
        <w:rPr>
          <w:szCs w:val="21"/>
        </w:rPr>
        <w:t xml:space="preserve">2、具有良好的商业信誉和健全的财务会计制度； </w:t>
      </w:r>
    </w:p>
    <w:p>
      <w:pPr>
        <w:snapToGrid w:val="0"/>
        <w:spacing w:line="420" w:lineRule="exact"/>
        <w:ind w:firstLine="420" w:firstLineChars="200"/>
        <w:rPr>
          <w:szCs w:val="21"/>
        </w:rPr>
      </w:pPr>
      <w:r>
        <w:rPr>
          <w:szCs w:val="21"/>
        </w:rPr>
        <w:t>3、具有履行合同所必需的设备和专业技术能力；</w:t>
      </w:r>
    </w:p>
    <w:p>
      <w:pPr>
        <w:snapToGrid w:val="0"/>
        <w:spacing w:line="420" w:lineRule="exact"/>
        <w:ind w:firstLine="420" w:firstLineChars="200"/>
        <w:rPr>
          <w:szCs w:val="21"/>
        </w:rPr>
      </w:pPr>
      <w:r>
        <w:rPr>
          <w:szCs w:val="21"/>
        </w:rPr>
        <w:t>4、有依法缴纳税收和社会保障资金的良好记录；</w:t>
      </w:r>
    </w:p>
    <w:p>
      <w:pPr>
        <w:snapToGrid w:val="0"/>
        <w:spacing w:line="420" w:lineRule="exact"/>
        <w:ind w:firstLine="420" w:firstLineChars="200"/>
        <w:rPr>
          <w:szCs w:val="21"/>
        </w:rPr>
      </w:pPr>
      <w:r>
        <w:rPr>
          <w:szCs w:val="21"/>
        </w:rPr>
        <w:t>5、参加政府采购活动前三年内，在经营活动中没有重大违法记录；</w:t>
      </w:r>
    </w:p>
    <w:p>
      <w:pPr>
        <w:snapToGrid w:val="0"/>
        <w:spacing w:line="420" w:lineRule="exact"/>
        <w:ind w:firstLine="420" w:firstLineChars="200"/>
        <w:rPr>
          <w:szCs w:val="21"/>
        </w:rPr>
      </w:pPr>
      <w:r>
        <w:rPr>
          <w:szCs w:val="21"/>
        </w:rPr>
        <w:t>6、具有法律、行政法规规定的其他条件。</w:t>
      </w:r>
    </w:p>
    <w:p>
      <w:pPr>
        <w:snapToGrid w:val="0"/>
        <w:spacing w:line="420" w:lineRule="exact"/>
        <w:ind w:firstLine="315" w:firstLineChars="150"/>
        <w:rPr>
          <w:szCs w:val="21"/>
        </w:rPr>
      </w:pPr>
      <w:r>
        <w:rPr>
          <w:szCs w:val="21"/>
        </w:rPr>
        <w:t>（二）未被“信用中国”（www.creditchina.gov.cn)、中国政府采购网（www.ccgp.gov.cn）列入失信被执行人、重大税收违法案件当事人名单、政府采购严重违法失信行为记录名单。</w:t>
      </w:r>
    </w:p>
    <w:p>
      <w:pPr>
        <w:snapToGrid w:val="0"/>
        <w:spacing w:beforeLines="50" w:after="50" w:line="360" w:lineRule="auto"/>
        <w:rPr>
          <w:b/>
          <w:szCs w:val="21"/>
        </w:rPr>
      </w:pPr>
    </w:p>
    <w:p>
      <w:pPr>
        <w:snapToGrid w:val="0"/>
        <w:spacing w:beforeLines="50" w:after="50" w:line="360" w:lineRule="auto"/>
        <w:rPr>
          <w:b/>
          <w:szCs w:val="21"/>
        </w:rPr>
      </w:pPr>
    </w:p>
    <w:p>
      <w:pPr>
        <w:snapToGrid w:val="0"/>
        <w:spacing w:beforeLines="50" w:after="50" w:line="360" w:lineRule="auto"/>
        <w:rPr>
          <w:b/>
          <w:szCs w:val="21"/>
        </w:rPr>
      </w:pPr>
    </w:p>
    <w:p>
      <w:pPr>
        <w:adjustRightInd w:val="0"/>
        <w:snapToGrid w:val="0"/>
        <w:spacing w:line="520" w:lineRule="exact"/>
        <w:ind w:left="4620" w:leftChars="2200"/>
        <w:rPr>
          <w:kern w:val="0"/>
          <w:szCs w:val="21"/>
          <w:lang w:val="zh-CN"/>
        </w:rPr>
      </w:pPr>
      <w:r>
        <w:rPr>
          <w:kern w:val="0"/>
          <w:szCs w:val="21"/>
          <w:lang w:val="zh-CN"/>
        </w:rPr>
        <w:t>投标人名称(公章)：</w:t>
      </w:r>
    </w:p>
    <w:p>
      <w:pPr>
        <w:adjustRightInd w:val="0"/>
        <w:snapToGrid w:val="0"/>
        <w:spacing w:line="520" w:lineRule="exact"/>
        <w:ind w:left="4620" w:leftChars="2200"/>
        <w:rPr>
          <w:kern w:val="0"/>
          <w:szCs w:val="21"/>
          <w:lang w:val="zh-CN"/>
        </w:rPr>
      </w:pPr>
      <w:r>
        <w:rPr>
          <w:kern w:val="0"/>
          <w:szCs w:val="21"/>
          <w:lang w:val="zh-CN"/>
        </w:rPr>
        <w:t>法定代表人或授权委托人</w:t>
      </w:r>
      <w:r>
        <w:rPr>
          <w:rFonts w:hint="eastAsia"/>
          <w:szCs w:val="21"/>
          <w:lang w:eastAsia="zh-CN"/>
        </w:rPr>
        <w:t>（</w:t>
      </w:r>
      <w:r>
        <w:rPr>
          <w:szCs w:val="21"/>
        </w:rPr>
        <w:t>签字或盖章</w:t>
      </w:r>
      <w:r>
        <w:rPr>
          <w:rFonts w:hint="eastAsia"/>
          <w:szCs w:val="21"/>
          <w:lang w:eastAsia="zh-CN"/>
        </w:rPr>
        <w:t>）</w:t>
      </w:r>
      <w:r>
        <w:rPr>
          <w:kern w:val="0"/>
          <w:szCs w:val="21"/>
          <w:lang w:val="zh-CN"/>
        </w:rPr>
        <w:t>：</w:t>
      </w:r>
    </w:p>
    <w:p>
      <w:pPr>
        <w:adjustRightInd w:val="0"/>
        <w:snapToGrid w:val="0"/>
        <w:spacing w:line="520" w:lineRule="exact"/>
        <w:ind w:left="4620" w:leftChars="2200" w:right="480"/>
        <w:rPr>
          <w:kern w:val="0"/>
          <w:szCs w:val="21"/>
          <w:lang w:val="zh-CN"/>
        </w:rPr>
      </w:pPr>
      <w:r>
        <w:rPr>
          <w:kern w:val="0"/>
          <w:szCs w:val="21"/>
          <w:lang w:val="zh-CN"/>
        </w:rPr>
        <w:t>日期：</w:t>
      </w:r>
      <w:r>
        <w:rPr>
          <w:kern w:val="0"/>
          <w:szCs w:val="21"/>
        </w:rPr>
        <w:t xml:space="preserve">  </w:t>
      </w:r>
      <w:r>
        <w:rPr>
          <w:rFonts w:hint="eastAsia"/>
          <w:kern w:val="0"/>
          <w:szCs w:val="21"/>
        </w:rPr>
        <w:t xml:space="preserve"> </w:t>
      </w:r>
      <w:r>
        <w:rPr>
          <w:kern w:val="0"/>
          <w:szCs w:val="21"/>
        </w:rPr>
        <w:t xml:space="preserve"> </w:t>
      </w:r>
      <w:r>
        <w:rPr>
          <w:kern w:val="0"/>
          <w:szCs w:val="21"/>
          <w:lang w:val="zh-CN"/>
        </w:rPr>
        <w:t xml:space="preserve">年  </w:t>
      </w:r>
      <w:r>
        <w:rPr>
          <w:kern w:val="0"/>
          <w:szCs w:val="21"/>
        </w:rPr>
        <w:t xml:space="preserve"> </w:t>
      </w:r>
      <w:r>
        <w:rPr>
          <w:rFonts w:hint="eastAsia"/>
          <w:kern w:val="0"/>
          <w:szCs w:val="21"/>
        </w:rPr>
        <w:t xml:space="preserve"> </w:t>
      </w:r>
      <w:r>
        <w:rPr>
          <w:kern w:val="0"/>
          <w:szCs w:val="21"/>
          <w:lang w:val="zh-CN"/>
        </w:rPr>
        <w:t>月</w:t>
      </w:r>
      <w:r>
        <w:rPr>
          <w:kern w:val="0"/>
          <w:szCs w:val="21"/>
        </w:rPr>
        <w:t xml:space="preserve">  </w:t>
      </w:r>
      <w:r>
        <w:rPr>
          <w:rFonts w:hint="eastAsia"/>
          <w:kern w:val="0"/>
          <w:szCs w:val="21"/>
        </w:rPr>
        <w:t xml:space="preserve"> </w:t>
      </w:r>
      <w:r>
        <w:rPr>
          <w:kern w:val="0"/>
          <w:szCs w:val="21"/>
        </w:rPr>
        <w:t xml:space="preserve"> </w:t>
      </w:r>
      <w:r>
        <w:rPr>
          <w:kern w:val="0"/>
          <w:szCs w:val="21"/>
          <w:lang w:val="zh-CN"/>
        </w:rPr>
        <w:t>日</w:t>
      </w:r>
    </w:p>
    <w:p>
      <w:pPr>
        <w:snapToGrid w:val="0"/>
        <w:spacing w:beforeLines="50" w:after="50" w:line="520" w:lineRule="exact"/>
        <w:rPr>
          <w:b/>
          <w:szCs w:val="21"/>
        </w:rPr>
      </w:pPr>
    </w:p>
    <w:p>
      <w:pPr>
        <w:snapToGrid w:val="0"/>
        <w:spacing w:beforeLines="50" w:after="50" w:line="360" w:lineRule="auto"/>
        <w:rPr>
          <w:b/>
          <w:szCs w:val="21"/>
        </w:rPr>
      </w:pPr>
    </w:p>
    <w:p>
      <w:pPr>
        <w:snapToGrid w:val="0"/>
        <w:spacing w:beforeLines="50" w:after="50" w:line="240" w:lineRule="exact"/>
        <w:rPr>
          <w:b/>
          <w:szCs w:val="21"/>
        </w:rPr>
      </w:pPr>
    </w:p>
    <w:p>
      <w:pPr>
        <w:snapToGrid w:val="0"/>
        <w:spacing w:beforeLines="50" w:after="50" w:line="240" w:lineRule="exact"/>
        <w:rPr>
          <w:b/>
          <w:szCs w:val="21"/>
        </w:rPr>
      </w:pPr>
    </w:p>
    <w:p>
      <w:pPr>
        <w:snapToGrid w:val="0"/>
        <w:spacing w:beforeLines="50" w:after="50" w:line="240" w:lineRule="exact"/>
        <w:rPr>
          <w:b/>
          <w:szCs w:val="21"/>
        </w:rPr>
      </w:pPr>
    </w:p>
    <w:p>
      <w:pPr>
        <w:snapToGrid w:val="0"/>
        <w:spacing w:beforeLines="50" w:after="50" w:line="240" w:lineRule="exact"/>
        <w:rPr>
          <w:b/>
          <w:szCs w:val="21"/>
        </w:rPr>
      </w:pPr>
    </w:p>
    <w:p>
      <w:pPr>
        <w:snapToGrid w:val="0"/>
        <w:spacing w:beforeLines="50" w:after="50" w:line="240" w:lineRule="exact"/>
        <w:rPr>
          <w:b/>
          <w:szCs w:val="21"/>
        </w:rPr>
      </w:pPr>
      <w:r>
        <w:rPr>
          <w:b/>
          <w:szCs w:val="21"/>
        </w:rPr>
        <w:t xml:space="preserve">附件5 </w:t>
      </w:r>
    </w:p>
    <w:p>
      <w:pPr>
        <w:pStyle w:val="3"/>
        <w:keepNext/>
        <w:keepLines/>
        <w:pageBreakBefore w:val="0"/>
        <w:widowControl w:val="0"/>
        <w:kinsoku/>
        <w:wordWrap/>
        <w:overflowPunct/>
        <w:topLinePunct w:val="0"/>
        <w:autoSpaceDE/>
        <w:autoSpaceDN/>
        <w:bidi w:val="0"/>
        <w:adjustRightInd/>
        <w:snapToGrid/>
        <w:spacing w:line="416" w:lineRule="auto"/>
        <w:jc w:val="center"/>
        <w:textAlignment w:val="auto"/>
        <w:rPr>
          <w:rStyle w:val="31"/>
          <w:rFonts w:hint="default" w:ascii="Times New Roman" w:hAnsi="Times New Roman" w:eastAsia="宋体" w:cs="Times New Roman"/>
          <w:b/>
          <w:bCs w:val="0"/>
          <w:color w:val="auto"/>
          <w:sz w:val="36"/>
          <w:szCs w:val="36"/>
          <w:u w:val="none"/>
        </w:rPr>
      </w:pPr>
      <w:r>
        <w:rPr>
          <w:rStyle w:val="31"/>
          <w:rFonts w:hint="default" w:ascii="Times New Roman" w:hAnsi="Times New Roman" w:eastAsia="宋体" w:cs="Times New Roman"/>
          <w:b/>
          <w:bCs w:val="0"/>
          <w:color w:val="auto"/>
          <w:sz w:val="36"/>
          <w:szCs w:val="36"/>
          <w:u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本公司（联合体）郑重声明，根据《政府采购促进中小企业发展管理办法》（财库﹝2020﹞46 号）的规定，本公司（联合体）参加</w:t>
      </w:r>
      <w:r>
        <w:rPr>
          <w:rFonts w:hint="default" w:ascii="Times New Roman" w:hAnsi="Times New Roman" w:eastAsia="宋体" w:cs="Times New Roman"/>
          <w:i w:val="0"/>
          <w:iCs w:val="0"/>
          <w:color w:val="auto"/>
          <w:kern w:val="0"/>
          <w:sz w:val="21"/>
          <w:szCs w:val="21"/>
          <w:u w:val="single"/>
          <w:lang w:val="en-US" w:eastAsia="zh-CN" w:bidi="ar"/>
        </w:rPr>
        <w:t>（单位名称）</w:t>
      </w:r>
      <w:r>
        <w:rPr>
          <w:rFonts w:hint="default" w:ascii="Times New Roman" w:hAnsi="Times New Roman" w:eastAsia="宋体" w:cs="Times New Roman"/>
          <w:i w:val="0"/>
          <w:iCs w:val="0"/>
          <w:color w:val="auto"/>
          <w:kern w:val="0"/>
          <w:sz w:val="21"/>
          <w:szCs w:val="21"/>
          <w:lang w:val="en-US" w:eastAsia="zh-CN" w:bidi="ar"/>
        </w:rPr>
        <w:t>的</w:t>
      </w:r>
      <w:r>
        <w:rPr>
          <w:rFonts w:hint="default" w:ascii="Times New Roman" w:hAnsi="Times New Roman" w:eastAsia="宋体" w:cs="Times New Roman"/>
          <w:i w:val="0"/>
          <w:iCs w:val="0"/>
          <w:color w:val="auto"/>
          <w:kern w:val="0"/>
          <w:sz w:val="21"/>
          <w:szCs w:val="21"/>
          <w:u w:val="single"/>
          <w:lang w:val="en-US" w:eastAsia="zh-CN" w:bidi="ar"/>
        </w:rPr>
        <w:t>（项目名称）</w:t>
      </w:r>
      <w:r>
        <w:rPr>
          <w:rFonts w:hint="default" w:ascii="Times New Roman" w:hAnsi="Times New Roman" w:eastAsia="宋体" w:cs="Times New Roman"/>
          <w:i w:val="0"/>
          <w:iCs w:val="0"/>
          <w:color w:val="auto"/>
          <w:kern w:val="0"/>
          <w:sz w:val="21"/>
          <w:szCs w:val="21"/>
          <w:lang w:val="en-US" w:eastAsia="zh-CN" w:bidi="ar"/>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1. </w:t>
      </w:r>
      <w:r>
        <w:rPr>
          <w:rFonts w:hint="default" w:ascii="Times New Roman" w:hAnsi="Times New Roman" w:eastAsia="宋体" w:cs="Times New Roman"/>
          <w:i w:val="0"/>
          <w:iCs w:val="0"/>
          <w:color w:val="auto"/>
          <w:kern w:val="0"/>
          <w:sz w:val="21"/>
          <w:szCs w:val="21"/>
          <w:u w:val="single"/>
          <w:lang w:val="en-US" w:eastAsia="zh-CN" w:bidi="ar"/>
        </w:rPr>
        <w:t>（标的名称）</w:t>
      </w:r>
      <w:r>
        <w:rPr>
          <w:rFonts w:hint="default" w:ascii="Times New Roman" w:hAnsi="Times New Roman" w:eastAsia="宋体" w:cs="Times New Roman"/>
          <w:i w:val="0"/>
          <w:iCs w:val="0"/>
          <w:color w:val="auto"/>
          <w:kern w:val="0"/>
          <w:sz w:val="21"/>
          <w:szCs w:val="21"/>
          <w:lang w:val="en-US" w:eastAsia="zh-CN" w:bidi="ar"/>
        </w:rPr>
        <w:t xml:space="preserve"> ，属于</w:t>
      </w:r>
      <w:r>
        <w:rPr>
          <w:rFonts w:hint="default" w:ascii="Times New Roman" w:hAnsi="Times New Roman" w:eastAsia="宋体" w:cs="Times New Roman"/>
          <w:i w:val="0"/>
          <w:iCs w:val="0"/>
          <w:color w:val="auto"/>
          <w:kern w:val="0"/>
          <w:sz w:val="21"/>
          <w:szCs w:val="21"/>
          <w:u w:val="single"/>
          <w:lang w:val="en-US" w:eastAsia="zh-CN" w:bidi="ar"/>
        </w:rPr>
        <w:t>（采购文件中明确的所属行业）</w:t>
      </w:r>
      <w:r>
        <w:rPr>
          <w:rFonts w:hint="default" w:ascii="Times New Roman" w:hAnsi="Times New Roman" w:eastAsia="宋体" w:cs="Times New Roman"/>
          <w:i w:val="0"/>
          <w:iCs w:val="0"/>
          <w:color w:val="auto"/>
          <w:kern w:val="0"/>
          <w:sz w:val="21"/>
          <w:szCs w:val="21"/>
          <w:lang w:val="en-US" w:eastAsia="zh-CN" w:bidi="ar"/>
        </w:rPr>
        <w:t>；承建（承接）企业为</w:t>
      </w:r>
      <w:r>
        <w:rPr>
          <w:rFonts w:hint="default" w:ascii="Times New Roman" w:hAnsi="Times New Roman" w:eastAsia="宋体" w:cs="Times New Roman"/>
          <w:i w:val="0"/>
          <w:iCs w:val="0"/>
          <w:color w:val="auto"/>
          <w:kern w:val="0"/>
          <w:sz w:val="21"/>
          <w:szCs w:val="21"/>
          <w:u w:val="single"/>
          <w:lang w:val="en-US" w:eastAsia="zh-CN" w:bidi="ar"/>
        </w:rPr>
        <w:t>（企业名称）</w:t>
      </w:r>
      <w:r>
        <w:rPr>
          <w:rFonts w:hint="default" w:ascii="Times New Roman" w:hAnsi="Times New Roman" w:eastAsia="宋体" w:cs="Times New Roman"/>
          <w:i w:val="0"/>
          <w:iCs w:val="0"/>
          <w:color w:val="auto"/>
          <w:kern w:val="0"/>
          <w:sz w:val="21"/>
          <w:szCs w:val="21"/>
          <w:lang w:val="en-US" w:eastAsia="zh-CN" w:bidi="ar"/>
        </w:rPr>
        <w:t>，从业人员</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人，营业收入为</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万元，资产总额为</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万元，属于</w:t>
      </w:r>
      <w:r>
        <w:rPr>
          <w:rFonts w:hint="default" w:ascii="Times New Roman" w:hAnsi="Times New Roman" w:eastAsia="宋体" w:cs="Times New Roman"/>
          <w:i w:val="0"/>
          <w:iCs w:val="0"/>
          <w:color w:val="auto"/>
          <w:kern w:val="0"/>
          <w:sz w:val="21"/>
          <w:szCs w:val="21"/>
          <w:u w:val="single"/>
          <w:lang w:val="en-US" w:eastAsia="zh-CN" w:bidi="ar"/>
        </w:rPr>
        <w:t>（中型企业、 小型企业、微型企业）</w:t>
      </w:r>
      <w:r>
        <w:rPr>
          <w:rFonts w:hint="default" w:ascii="Times New Roman" w:hAnsi="Times New Roman" w:eastAsia="宋体" w:cs="Times New Roman"/>
          <w:i w:val="0"/>
          <w:iCs w:val="0"/>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1260" w:firstLineChars="600"/>
        <w:jc w:val="center"/>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     日 期：</w:t>
      </w:r>
    </w:p>
    <w:p>
      <w:pPr>
        <w:spacing w:line="360" w:lineRule="auto"/>
        <w:ind w:right="-110"/>
        <w:jc w:val="center"/>
        <w:rPr>
          <w:rFonts w:hint="default" w:ascii="Times New Roman" w:hAnsi="Times New Roman" w:cs="Times New Roman"/>
          <w:b/>
          <w:color w:val="auto"/>
          <w:sz w:val="36"/>
          <w:szCs w:val="36"/>
        </w:rPr>
      </w:pPr>
    </w:p>
    <w:p>
      <w:pPr>
        <w:pStyle w:val="45"/>
        <w:spacing w:line="360" w:lineRule="auto"/>
        <w:ind w:firstLine="420" w:firstLineChars="200"/>
        <w:rPr>
          <w:rFonts w:hint="default" w:ascii="Times New Roman" w:hAnsi="Times New Roman" w:cs="Times New Roman"/>
          <w:color w:val="auto"/>
          <w:szCs w:val="21"/>
          <w:highlight w:val="none"/>
          <w:lang w:val="en-GB"/>
        </w:rPr>
      </w:pPr>
      <w:r>
        <w:rPr>
          <w:rFonts w:hint="default" w:ascii="Times New Roman" w:hAnsi="Times New Roman" w:eastAsia="宋体" w:cs="Times New Roman"/>
          <w:color w:val="auto"/>
          <w:kern w:val="0"/>
          <w:sz w:val="21"/>
          <w:szCs w:val="21"/>
          <w:lang w:val="en-US" w:eastAsia="zh-CN" w:bidi="ar"/>
        </w:rPr>
        <w:t>注：从业人员、营业收入、资产总额填报上一年度数据，无上一年度数据的新成立企业可不填报</w:t>
      </w:r>
      <w:r>
        <w:rPr>
          <w:rFonts w:hint="default" w:ascii="Times New Roman" w:hAnsi="Times New Roman" w:cs="Times New Roman"/>
          <w:color w:val="auto"/>
          <w:szCs w:val="21"/>
          <w:highlight w:val="none"/>
          <w:lang w:val="en-GB"/>
        </w:rPr>
        <w:t>。</w:t>
      </w:r>
    </w:p>
    <w:p>
      <w:pPr>
        <w:pStyle w:val="11"/>
        <w:rPr>
          <w:b/>
          <w:szCs w:val="21"/>
        </w:rPr>
      </w:pPr>
    </w:p>
    <w:p>
      <w:pPr>
        <w:rPr>
          <w:b/>
          <w:szCs w:val="21"/>
        </w:rPr>
      </w:pPr>
    </w:p>
    <w:p>
      <w:pPr>
        <w:pStyle w:val="11"/>
      </w:pPr>
    </w:p>
    <w:p>
      <w:pPr>
        <w:snapToGrid w:val="0"/>
        <w:spacing w:beforeLines="50" w:after="50" w:line="360" w:lineRule="auto"/>
        <w:rPr>
          <w:b/>
          <w:szCs w:val="21"/>
        </w:rPr>
      </w:pPr>
      <w:r>
        <w:rPr>
          <w:b/>
          <w:szCs w:val="21"/>
        </w:rPr>
        <w:t>附件6</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eastAsia" w:eastAsia="宋体"/>
          <w:b/>
          <w:bCs/>
          <w:kern w:val="0"/>
          <w:sz w:val="36"/>
          <w:szCs w:val="36"/>
          <w:lang w:eastAsia="zh-CN"/>
        </w:rPr>
      </w:pPr>
      <w:r>
        <w:rPr>
          <w:rFonts w:hint="eastAsia"/>
          <w:b/>
          <w:bCs/>
          <w:kern w:val="0"/>
          <w:sz w:val="36"/>
          <w:szCs w:val="36"/>
          <w:lang w:eastAsia="zh-CN"/>
        </w:rPr>
        <w:t>玉环市人民医院健共体集团厨房设备采购</w:t>
      </w:r>
    </w:p>
    <w:p>
      <w:pPr>
        <w:autoSpaceDE w:val="0"/>
        <w:autoSpaceDN w:val="0"/>
        <w:adjustRightInd w:val="0"/>
        <w:spacing w:line="360" w:lineRule="auto"/>
        <w:jc w:val="center"/>
        <w:rPr>
          <w:rFonts w:hint="eastAsia" w:eastAsia="宋体"/>
          <w:b/>
          <w:kern w:val="0"/>
          <w:sz w:val="32"/>
          <w:lang w:eastAsia="zh-CN"/>
        </w:rPr>
      </w:pPr>
      <w:r>
        <w:rPr>
          <w:sz w:val="36"/>
          <w:szCs w:val="36"/>
        </w:rPr>
        <w:t>项目编号：</w:t>
      </w:r>
      <w:r>
        <w:rPr>
          <w:rFonts w:hint="eastAsia"/>
          <w:b/>
          <w:kern w:val="0"/>
          <w:sz w:val="32"/>
          <w:lang w:eastAsia="zh-CN"/>
        </w:rPr>
        <w:t>DDZX2023-Y-GK-20</w:t>
      </w:r>
    </w:p>
    <w:p>
      <w:pPr>
        <w:pStyle w:val="3"/>
        <w:rPr>
          <w:rFonts w:ascii="Times New Roman" w:hAnsi="Times New Roman" w:eastAsia="宋体"/>
          <w:kern w:val="0"/>
        </w:rPr>
      </w:pPr>
    </w:p>
    <w:p/>
    <w:p>
      <w:pPr>
        <w:rPr>
          <w:lang w:val="zh-CN"/>
        </w:rPr>
      </w:pPr>
    </w:p>
    <w:p>
      <w:pPr>
        <w:autoSpaceDE w:val="0"/>
        <w:autoSpaceDN w:val="0"/>
        <w:adjustRightInd w:val="0"/>
        <w:spacing w:line="360" w:lineRule="auto"/>
        <w:jc w:val="center"/>
        <w:rPr>
          <w:sz w:val="84"/>
          <w:szCs w:val="84"/>
          <w:lang w:val="zh-CN"/>
        </w:rPr>
      </w:pPr>
      <w:r>
        <w:rPr>
          <w:sz w:val="84"/>
          <w:szCs w:val="84"/>
          <w:lang w:val="zh-CN"/>
        </w:rPr>
        <w:t>投</w:t>
      </w:r>
    </w:p>
    <w:p>
      <w:pPr>
        <w:autoSpaceDE w:val="0"/>
        <w:autoSpaceDN w:val="0"/>
        <w:adjustRightInd w:val="0"/>
        <w:spacing w:line="360" w:lineRule="auto"/>
        <w:jc w:val="center"/>
        <w:rPr>
          <w:sz w:val="84"/>
          <w:szCs w:val="84"/>
          <w:lang w:val="zh-CN"/>
        </w:rPr>
      </w:pPr>
      <w:r>
        <w:rPr>
          <w:sz w:val="84"/>
          <w:szCs w:val="84"/>
          <w:lang w:val="zh-CN"/>
        </w:rPr>
        <w:t>标</w:t>
      </w:r>
    </w:p>
    <w:p>
      <w:pPr>
        <w:autoSpaceDE w:val="0"/>
        <w:autoSpaceDN w:val="0"/>
        <w:adjustRightInd w:val="0"/>
        <w:spacing w:line="360" w:lineRule="auto"/>
        <w:jc w:val="center"/>
        <w:rPr>
          <w:sz w:val="84"/>
          <w:szCs w:val="84"/>
        </w:rPr>
      </w:pPr>
      <w:r>
        <w:rPr>
          <w:sz w:val="84"/>
          <w:szCs w:val="84"/>
          <w:lang w:val="zh-CN"/>
        </w:rPr>
        <w:t>文</w:t>
      </w:r>
    </w:p>
    <w:p>
      <w:pPr>
        <w:spacing w:after="100" w:afterAutospacing="1" w:line="360" w:lineRule="auto"/>
        <w:ind w:right="-108"/>
        <w:jc w:val="center"/>
        <w:rPr>
          <w:sz w:val="84"/>
          <w:szCs w:val="84"/>
          <w:lang w:val="zh-CN"/>
        </w:rPr>
      </w:pPr>
      <w:r>
        <w:rPr>
          <w:sz w:val="84"/>
          <w:szCs w:val="84"/>
          <w:lang w:val="zh-CN"/>
        </w:rPr>
        <w:t>件</w:t>
      </w:r>
    </w:p>
    <w:p>
      <w:pPr>
        <w:spacing w:after="100" w:afterAutospacing="1" w:line="360" w:lineRule="auto"/>
        <w:ind w:right="-108"/>
        <w:jc w:val="center"/>
        <w:rPr>
          <w:b/>
          <w:spacing w:val="40"/>
          <w:sz w:val="28"/>
          <w:szCs w:val="28"/>
        </w:rPr>
      </w:pPr>
      <w:r>
        <w:rPr>
          <w:sz w:val="28"/>
          <w:szCs w:val="28"/>
          <w:lang w:val="zh-CN"/>
        </w:rPr>
        <w:t>（</w:t>
      </w:r>
      <w:r>
        <w:rPr>
          <w:bCs/>
          <w:sz w:val="24"/>
          <w:lang w:val="zh-CN"/>
        </w:rPr>
        <w:t>商务与技术文件</w:t>
      </w:r>
      <w:r>
        <w:rPr>
          <w:bCs/>
          <w:spacing w:val="40"/>
          <w:sz w:val="28"/>
          <w:szCs w:val="28"/>
        </w:rPr>
        <w:t>）</w:t>
      </w:r>
    </w:p>
    <w:p>
      <w:pPr>
        <w:spacing w:line="360" w:lineRule="auto"/>
        <w:ind w:right="532" w:firstLine="720" w:firstLineChars="200"/>
        <w:rPr>
          <w:sz w:val="36"/>
          <w:szCs w:val="36"/>
        </w:rPr>
      </w:pPr>
    </w:p>
    <w:p>
      <w:pPr>
        <w:pStyle w:val="21"/>
        <w:rPr>
          <w:rFonts w:ascii="Times New Roman" w:hAnsi="Times New Roman"/>
        </w:rPr>
      </w:pPr>
    </w:p>
    <w:p>
      <w:pPr>
        <w:spacing w:line="360" w:lineRule="auto"/>
        <w:ind w:right="532" w:firstLine="1680" w:firstLineChars="700"/>
        <w:rPr>
          <w:sz w:val="24"/>
        </w:rPr>
      </w:pPr>
      <w:r>
        <w:rPr>
          <w:sz w:val="24"/>
        </w:rPr>
        <w:t>投标人全称（公章）：</w:t>
      </w:r>
    </w:p>
    <w:p>
      <w:pPr>
        <w:spacing w:line="360" w:lineRule="auto"/>
        <w:ind w:right="532" w:firstLine="1680" w:firstLineChars="700"/>
        <w:rPr>
          <w:sz w:val="24"/>
        </w:rPr>
      </w:pPr>
      <w:r>
        <w:rPr>
          <w:sz w:val="24"/>
        </w:rPr>
        <w:t>地    址：</w:t>
      </w:r>
    </w:p>
    <w:p>
      <w:pPr>
        <w:spacing w:line="360" w:lineRule="auto"/>
        <w:ind w:right="532" w:firstLine="1680" w:firstLineChars="700"/>
        <w:rPr>
          <w:sz w:val="24"/>
        </w:rPr>
      </w:pPr>
      <w:r>
        <w:rPr>
          <w:sz w:val="24"/>
        </w:rPr>
        <w:t>时    间：</w:t>
      </w:r>
    </w:p>
    <w:p>
      <w:pPr>
        <w:pStyle w:val="11"/>
      </w:pPr>
    </w:p>
    <w:p/>
    <w:p>
      <w:pPr>
        <w:adjustRightInd w:val="0"/>
        <w:snapToGrid w:val="0"/>
        <w:spacing w:line="600" w:lineRule="exact"/>
        <w:jc w:val="center"/>
        <w:rPr>
          <w:b/>
          <w:kern w:val="0"/>
          <w:sz w:val="30"/>
          <w:szCs w:val="30"/>
          <w:lang w:val="zh-CN"/>
        </w:rPr>
      </w:pPr>
      <w:r>
        <w:rPr>
          <w:b/>
          <w:kern w:val="0"/>
          <w:sz w:val="30"/>
          <w:szCs w:val="30"/>
          <w:lang w:val="zh-CN"/>
        </w:rPr>
        <w:t>商务与技术文件目录</w:t>
      </w:r>
    </w:p>
    <w:p>
      <w:pPr>
        <w:snapToGrid w:val="0"/>
        <w:spacing w:line="360" w:lineRule="auto"/>
        <w:rPr>
          <w:sz w:val="24"/>
        </w:rPr>
      </w:pPr>
    </w:p>
    <w:p>
      <w:pPr>
        <w:snapToGrid w:val="0"/>
        <w:spacing w:line="440" w:lineRule="exact"/>
        <w:ind w:firstLine="422" w:firstLineChars="200"/>
        <w:rPr>
          <w:b/>
          <w:bCs/>
          <w:szCs w:val="21"/>
        </w:rPr>
      </w:pPr>
      <w:r>
        <w:rPr>
          <w:b/>
          <w:bCs/>
          <w:szCs w:val="21"/>
        </w:rPr>
        <w:t>第一部分  技术方案描述部分</w:t>
      </w:r>
    </w:p>
    <w:p>
      <w:pPr>
        <w:snapToGrid w:val="0"/>
        <w:spacing w:line="440" w:lineRule="exact"/>
        <w:ind w:firstLine="420" w:firstLineChars="200"/>
        <w:rPr>
          <w:szCs w:val="21"/>
        </w:rPr>
      </w:pPr>
      <w:r>
        <w:rPr>
          <w:szCs w:val="21"/>
        </w:rPr>
        <w:t>1、投标人情况介绍（附件7）；</w:t>
      </w:r>
    </w:p>
    <w:p>
      <w:pPr>
        <w:snapToGrid w:val="0"/>
        <w:spacing w:line="440" w:lineRule="exact"/>
        <w:ind w:firstLine="420" w:firstLineChars="200"/>
        <w:rPr>
          <w:szCs w:val="21"/>
        </w:rPr>
      </w:pPr>
      <w:r>
        <w:rPr>
          <w:szCs w:val="21"/>
        </w:rPr>
        <w:t>2、项目需求的理解与分析；</w:t>
      </w:r>
    </w:p>
    <w:p>
      <w:pPr>
        <w:snapToGrid w:val="0"/>
        <w:spacing w:line="440" w:lineRule="exact"/>
        <w:ind w:firstLine="420" w:firstLineChars="200"/>
        <w:rPr>
          <w:szCs w:val="21"/>
        </w:rPr>
      </w:pPr>
      <w:r>
        <w:rPr>
          <w:szCs w:val="21"/>
        </w:rPr>
        <w:t xml:space="preserve">3、项目组织实施方案(可视情选用附件8、附件9)； </w:t>
      </w:r>
    </w:p>
    <w:p>
      <w:pPr>
        <w:snapToGrid w:val="0"/>
        <w:spacing w:line="440" w:lineRule="exact"/>
        <w:ind w:firstLine="420" w:firstLineChars="200"/>
        <w:rPr>
          <w:szCs w:val="21"/>
        </w:rPr>
      </w:pPr>
      <w:r>
        <w:rPr>
          <w:szCs w:val="21"/>
        </w:rPr>
        <w:t>4、</w:t>
      </w:r>
      <w:r>
        <w:rPr>
          <w:kern w:val="0"/>
          <w:szCs w:val="21"/>
        </w:rPr>
        <w:t>安装、调试及验收方案</w:t>
      </w:r>
      <w:r>
        <w:rPr>
          <w:szCs w:val="21"/>
        </w:rPr>
        <w:t>；</w:t>
      </w:r>
    </w:p>
    <w:p>
      <w:pPr>
        <w:snapToGrid w:val="0"/>
        <w:spacing w:line="440" w:lineRule="exact"/>
        <w:ind w:firstLine="422" w:firstLineChars="200"/>
        <w:jc w:val="left"/>
        <w:rPr>
          <w:b/>
          <w:bCs/>
          <w:szCs w:val="21"/>
        </w:rPr>
      </w:pPr>
      <w:r>
        <w:rPr>
          <w:b/>
          <w:bCs/>
          <w:szCs w:val="21"/>
        </w:rPr>
        <w:t>第二部分  投标产品描述部分</w:t>
      </w:r>
    </w:p>
    <w:p>
      <w:pPr>
        <w:snapToGrid w:val="0"/>
        <w:spacing w:line="440" w:lineRule="exact"/>
        <w:ind w:firstLine="420" w:firstLineChars="200"/>
        <w:rPr>
          <w:kern w:val="0"/>
          <w:szCs w:val="21"/>
        </w:rPr>
      </w:pPr>
      <w:r>
        <w:rPr>
          <w:szCs w:val="21"/>
        </w:rPr>
        <w:t>1、</w:t>
      </w:r>
      <w:r>
        <w:rPr>
          <w:kern w:val="0"/>
          <w:szCs w:val="21"/>
        </w:rPr>
        <w:t>投标产品描述及相关资料（</w:t>
      </w:r>
      <w:r>
        <w:rPr>
          <w:szCs w:val="21"/>
        </w:rPr>
        <w:t>可视情选用附件10、附件11</w:t>
      </w:r>
      <w:r>
        <w:rPr>
          <w:kern w:val="0"/>
          <w:szCs w:val="21"/>
        </w:rPr>
        <w:t>）；</w:t>
      </w:r>
    </w:p>
    <w:p>
      <w:pPr>
        <w:snapToGrid w:val="0"/>
        <w:spacing w:line="440" w:lineRule="exact"/>
        <w:ind w:firstLine="420" w:firstLineChars="200"/>
        <w:rPr>
          <w:kern w:val="0"/>
          <w:szCs w:val="21"/>
        </w:rPr>
      </w:pPr>
      <w:r>
        <w:rPr>
          <w:kern w:val="0"/>
          <w:szCs w:val="21"/>
        </w:rPr>
        <w:t>2、</w:t>
      </w:r>
      <w:r>
        <w:rPr>
          <w:szCs w:val="21"/>
        </w:rPr>
        <w:t>投标人需要说明的其他内容（包括可能影响投标人技术性能评分项的各类证明材料）；</w:t>
      </w:r>
    </w:p>
    <w:p>
      <w:pPr>
        <w:snapToGrid w:val="0"/>
        <w:spacing w:line="440" w:lineRule="exact"/>
        <w:ind w:firstLine="422" w:firstLineChars="200"/>
        <w:rPr>
          <w:b/>
          <w:bCs/>
          <w:kern w:val="0"/>
          <w:szCs w:val="21"/>
        </w:rPr>
      </w:pPr>
      <w:r>
        <w:rPr>
          <w:b/>
          <w:bCs/>
          <w:kern w:val="0"/>
          <w:szCs w:val="21"/>
        </w:rPr>
        <w:t>第三部分  商务响应部分</w:t>
      </w:r>
    </w:p>
    <w:p>
      <w:pPr>
        <w:snapToGrid w:val="0"/>
        <w:spacing w:line="440" w:lineRule="exact"/>
        <w:ind w:firstLine="420" w:firstLineChars="200"/>
        <w:rPr>
          <w:kern w:val="0"/>
          <w:szCs w:val="21"/>
        </w:rPr>
      </w:pPr>
      <w:r>
        <w:rPr>
          <w:kern w:val="0"/>
          <w:szCs w:val="21"/>
        </w:rPr>
        <w:t>1、证书一览表（附件12）；</w:t>
      </w:r>
    </w:p>
    <w:p>
      <w:pPr>
        <w:snapToGrid w:val="0"/>
        <w:spacing w:line="440" w:lineRule="exact"/>
        <w:ind w:firstLine="420" w:firstLineChars="200"/>
        <w:rPr>
          <w:kern w:val="0"/>
          <w:szCs w:val="21"/>
        </w:rPr>
      </w:pPr>
      <w:r>
        <w:rPr>
          <w:kern w:val="0"/>
          <w:szCs w:val="21"/>
        </w:rPr>
        <w:t>2、近三年来类似项目的成功案例（附件13）；</w:t>
      </w:r>
    </w:p>
    <w:p>
      <w:pPr>
        <w:snapToGrid w:val="0"/>
        <w:spacing w:line="440" w:lineRule="exact"/>
        <w:ind w:firstLine="420" w:firstLineChars="200"/>
        <w:rPr>
          <w:kern w:val="0"/>
          <w:szCs w:val="21"/>
        </w:rPr>
      </w:pPr>
      <w:r>
        <w:rPr>
          <w:kern w:val="0"/>
          <w:szCs w:val="21"/>
        </w:rPr>
        <w:t>3、售后服务描述及承诺（可视情选用附件14，附件15）；</w:t>
      </w:r>
    </w:p>
    <w:p>
      <w:pPr>
        <w:snapToGrid w:val="0"/>
        <w:spacing w:line="440" w:lineRule="exact"/>
        <w:ind w:firstLine="420" w:firstLineChars="200"/>
        <w:rPr>
          <w:kern w:val="0"/>
          <w:szCs w:val="21"/>
        </w:rPr>
      </w:pPr>
      <w:r>
        <w:rPr>
          <w:kern w:val="0"/>
          <w:szCs w:val="21"/>
        </w:rPr>
        <w:t>4、投标人需要说明的其他内容（包括可能影响投标人企业实力及信誉评分项以及售后服务评分项的各类证明材料）。</w:t>
      </w:r>
    </w:p>
    <w:p>
      <w:pPr>
        <w:snapToGrid w:val="0"/>
        <w:spacing w:line="440" w:lineRule="exact"/>
        <w:ind w:firstLine="422" w:firstLineChars="200"/>
        <w:jc w:val="left"/>
        <w:rPr>
          <w:b/>
          <w:bCs/>
          <w:szCs w:val="21"/>
        </w:rPr>
      </w:pPr>
      <w:r>
        <w:rPr>
          <w:b/>
          <w:bCs/>
          <w:szCs w:val="21"/>
        </w:rPr>
        <w:t>第四部分  评标办法中的评分内容章节描述及需要提供的其他材料</w:t>
      </w:r>
    </w:p>
    <w:p>
      <w:pPr>
        <w:snapToGrid w:val="0"/>
        <w:spacing w:line="440" w:lineRule="exact"/>
        <w:ind w:firstLine="422" w:firstLineChars="200"/>
        <w:jc w:val="left"/>
        <w:rPr>
          <w:b/>
          <w:bCs/>
          <w:szCs w:val="21"/>
        </w:rPr>
      </w:pPr>
      <w:r>
        <w:rPr>
          <w:b/>
          <w:bCs/>
          <w:szCs w:val="21"/>
        </w:rPr>
        <w:t>第五部分  其他参考表格（此部分视情况选用）</w:t>
      </w:r>
    </w:p>
    <w:p>
      <w:pPr>
        <w:snapToGrid w:val="0"/>
        <w:spacing w:line="440" w:lineRule="exact"/>
        <w:ind w:firstLine="420" w:firstLineChars="200"/>
        <w:jc w:val="left"/>
        <w:rPr>
          <w:szCs w:val="21"/>
        </w:rPr>
      </w:pPr>
      <w:r>
        <w:rPr>
          <w:szCs w:val="21"/>
        </w:rPr>
        <w:t>1、主要货物用材响应表（附件16）。</w:t>
      </w:r>
    </w:p>
    <w:p>
      <w:pPr>
        <w:snapToGrid w:val="0"/>
        <w:spacing w:line="440" w:lineRule="exact"/>
        <w:ind w:firstLine="420" w:firstLineChars="200"/>
        <w:rPr>
          <w:kern w:val="0"/>
          <w:szCs w:val="21"/>
        </w:rPr>
      </w:pPr>
      <w:r>
        <w:rPr>
          <w:kern w:val="0"/>
          <w:szCs w:val="21"/>
        </w:rPr>
        <w:t>（以上内容具体描述详见“第二章投标人须知”中“三、投标文件”的组成说明）</w:t>
      </w: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附件7</w:t>
      </w:r>
    </w:p>
    <w:p>
      <w:pPr>
        <w:pStyle w:val="38"/>
        <w:shd w:val="clear" w:color="auto" w:fill="FFFFFF"/>
        <w:spacing w:before="0" w:beforeAutospacing="0" w:after="0" w:afterAutospacing="0" w:line="360" w:lineRule="auto"/>
        <w:jc w:val="center"/>
        <w:rPr>
          <w:rFonts w:ascii="Times New Roman" w:hAnsi="Times New Roman" w:cs="Times New Roman"/>
          <w:b/>
          <w:bCs/>
          <w:spacing w:val="21"/>
          <w:sz w:val="30"/>
          <w:szCs w:val="30"/>
        </w:rPr>
      </w:pPr>
      <w:r>
        <w:rPr>
          <w:rFonts w:ascii="Times New Roman" w:hAnsi="Times New Roman" w:cs="Times New Roman"/>
          <w:b/>
          <w:sz w:val="32"/>
          <w:szCs w:val="32"/>
        </w:rPr>
        <w:t xml:space="preserve">  投</w:t>
      </w:r>
      <w:r>
        <w:rPr>
          <w:rFonts w:ascii="Times New Roman" w:hAnsi="Times New Roman" w:cs="Times New Roman"/>
          <w:b/>
          <w:sz w:val="30"/>
          <w:szCs w:val="30"/>
        </w:rPr>
        <w:t>标</w:t>
      </w:r>
      <w:r>
        <w:rPr>
          <w:rFonts w:ascii="Times New Roman" w:hAnsi="Times New Roman" w:cs="Times New Roman"/>
          <w:b/>
          <w:bCs/>
          <w:spacing w:val="21"/>
          <w:sz w:val="30"/>
          <w:szCs w:val="30"/>
        </w:rPr>
        <w:t>人基本情况表</w:t>
      </w:r>
    </w:p>
    <w:tbl>
      <w:tblPr>
        <w:tblStyle w:val="26"/>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企业名称</w:t>
            </w:r>
          </w:p>
        </w:tc>
        <w:tc>
          <w:tcPr>
            <w:tcW w:w="4462" w:type="dxa"/>
            <w:gridSpan w:val="6"/>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法人代表</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地址</w:t>
            </w:r>
          </w:p>
        </w:tc>
        <w:tc>
          <w:tcPr>
            <w:tcW w:w="4462" w:type="dxa"/>
            <w:gridSpan w:val="6"/>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企业性质</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股东姓名</w:t>
            </w:r>
          </w:p>
        </w:tc>
        <w:tc>
          <w:tcPr>
            <w:tcW w:w="818"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股东关系</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2"/>
                <w:sz w:val="21"/>
                <w:szCs w:val="21"/>
              </w:rPr>
              <w:t>联系人</w:t>
            </w:r>
            <w:r>
              <w:rPr>
                <w:rFonts w:ascii="Times New Roman" w:hAnsi="Times New Roman" w:cs="Times New Roman"/>
                <w:bCs/>
                <w:spacing w:val="27"/>
                <w:sz w:val="21"/>
                <w:szCs w:val="21"/>
              </w:rPr>
              <w:t>姓名</w:t>
            </w:r>
          </w:p>
        </w:tc>
        <w:tc>
          <w:tcPr>
            <w:tcW w:w="818" w:type="dxa"/>
            <w:vMerge w:val="restart"/>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tcBorders>
              <w:top w:val="nil"/>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传真</w:t>
            </w:r>
          </w:p>
        </w:tc>
        <w:tc>
          <w:tcPr>
            <w:tcW w:w="1786" w:type="dxa"/>
            <w:gridSpan w:val="2"/>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Merge w:val="continue"/>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手机</w:t>
            </w:r>
          </w:p>
        </w:tc>
        <w:tc>
          <w:tcPr>
            <w:tcW w:w="2777" w:type="dxa"/>
            <w:gridSpan w:val="4"/>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786" w:type="dxa"/>
            <w:gridSpan w:val="2"/>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1.</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企</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业</w:t>
            </w:r>
          </w:p>
          <w:p>
            <w:pPr>
              <w:pStyle w:val="38"/>
              <w:shd w:val="clear" w:color="auto" w:fill="FFFFFF"/>
              <w:spacing w:before="0" w:beforeAutospacing="0" w:after="0" w:afterAutospacing="0" w:line="280" w:lineRule="exact"/>
              <w:jc w:val="center"/>
              <w:rPr>
                <w:rFonts w:ascii="Times New Roman" w:hAnsi="Times New Roman" w:cs="Times New Roman"/>
                <w:bCs/>
                <w:spacing w:val="27"/>
                <w:sz w:val="21"/>
                <w:szCs w:val="21"/>
              </w:rPr>
            </w:pPr>
            <w:r>
              <w:rPr>
                <w:rFonts w:ascii="Times New Roman" w:hAnsi="Times New Roman" w:cs="Times New Roman"/>
                <w:bCs/>
                <w:spacing w:val="27"/>
                <w:sz w:val="21"/>
                <w:szCs w:val="21"/>
              </w:rPr>
              <w:t>概</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况</w:t>
            </w:r>
          </w:p>
        </w:tc>
        <w:tc>
          <w:tcPr>
            <w:tcW w:w="818" w:type="dxa"/>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职工人数</w:t>
            </w:r>
          </w:p>
        </w:tc>
        <w:tc>
          <w:tcPr>
            <w:tcW w:w="867" w:type="dxa"/>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33" w:type="dxa"/>
            <w:gridSpan w:val="3"/>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8"/>
                <w:sz w:val="21"/>
                <w:szCs w:val="21"/>
              </w:rPr>
              <w:t>具备大专以</w:t>
            </w:r>
            <w:r>
              <w:rPr>
                <w:rFonts w:ascii="Times New Roman" w:hAnsi="Times New Roman" w:cs="Times New Roman"/>
                <w:bCs/>
                <w:spacing w:val="12"/>
                <w:sz w:val="21"/>
                <w:szCs w:val="21"/>
              </w:rPr>
              <w:t>上学历人数</w:t>
            </w:r>
          </w:p>
        </w:tc>
        <w:tc>
          <w:tcPr>
            <w:tcW w:w="1244" w:type="dxa"/>
            <w:tcBorders>
              <w:top w:val="nil"/>
            </w:tcBorders>
            <w:vAlign w:val="center"/>
          </w:tcPr>
          <w:p>
            <w:pPr>
              <w:widowControl/>
              <w:spacing w:line="280" w:lineRule="exact"/>
              <w:jc w:val="center"/>
              <w:rPr>
                <w:bCs/>
                <w:spacing w:val="16"/>
                <w:kern w:val="0"/>
                <w:szCs w:val="21"/>
              </w:rPr>
            </w:pPr>
          </w:p>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65"/>
                <w:sz w:val="21"/>
                <w:szCs w:val="21"/>
              </w:rPr>
              <w:t>国家授予技</w:t>
            </w:r>
            <w:r>
              <w:rPr>
                <w:rFonts w:ascii="Times New Roman" w:hAnsi="Times New Roman" w:cs="Times New Roman"/>
                <w:bCs/>
                <w:spacing w:val="12"/>
                <w:sz w:val="21"/>
                <w:szCs w:val="21"/>
              </w:rPr>
              <w:t>术职称人数</w:t>
            </w:r>
          </w:p>
        </w:tc>
        <w:tc>
          <w:tcPr>
            <w:tcW w:w="1786" w:type="dxa"/>
            <w:gridSpan w:val="2"/>
            <w:vAlign w:val="center"/>
          </w:tcPr>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占地面积</w:t>
            </w:r>
          </w:p>
        </w:tc>
        <w:tc>
          <w:tcPr>
            <w:tcW w:w="86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建筑面积</w:t>
            </w:r>
          </w:p>
        </w:tc>
        <w:tc>
          <w:tcPr>
            <w:tcW w:w="1351" w:type="dxa"/>
            <w:gridSpan w:val="2"/>
            <w:vAlign w:val="center"/>
          </w:tcPr>
          <w:p>
            <w:pPr>
              <w:pStyle w:val="38"/>
              <w:shd w:val="clear" w:color="auto" w:fill="FFFFFF"/>
              <w:spacing w:before="0" w:beforeAutospacing="0" w:after="0" w:afterAutospacing="0" w:line="280" w:lineRule="exact"/>
              <w:ind w:firstLine="210" w:firstLineChars="100"/>
              <w:jc w:val="both"/>
              <w:rPr>
                <w:rFonts w:ascii="Times New Roman" w:hAnsi="Times New Roman" w:cs="Times New Roman"/>
                <w:bCs/>
                <w:sz w:val="21"/>
                <w:szCs w:val="21"/>
              </w:rPr>
            </w:pPr>
            <w:r>
              <w:rPr>
                <w:rFonts w:ascii="Times New Roman" w:hAnsi="Times New Roman" w:cs="Times New Roman"/>
                <w:bCs/>
                <w:sz w:val="21"/>
                <w:szCs w:val="21"/>
              </w:rPr>
              <w:t>平方米</w:t>
            </w: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□自有</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□租賃</w:t>
            </w: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生产经营场所及场所的设施与设备</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注册资金</w:t>
            </w:r>
          </w:p>
        </w:tc>
        <w:tc>
          <w:tcPr>
            <w:tcW w:w="86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注册发证</w:t>
            </w:r>
            <w:r>
              <w:rPr>
                <w:rFonts w:ascii="Times New Roman" w:hAnsi="Times New Roman" w:cs="Times New Roman"/>
                <w:bCs/>
                <w:spacing w:val="27"/>
                <w:sz w:val="21"/>
                <w:szCs w:val="21"/>
              </w:rPr>
              <w:t>机关</w:t>
            </w:r>
          </w:p>
        </w:tc>
        <w:tc>
          <w:tcPr>
            <w:tcW w:w="2925" w:type="dxa"/>
            <w:gridSpan w:val="5"/>
            <w:vAlign w:val="center"/>
          </w:tcPr>
          <w:p>
            <w:pPr>
              <w:widowControl/>
              <w:spacing w:line="280" w:lineRule="exact"/>
              <w:jc w:val="center"/>
              <w:rPr>
                <w:bCs/>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109"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公司成</w:t>
            </w:r>
            <w:r>
              <w:rPr>
                <w:rFonts w:ascii="Times New Roman" w:hAnsi="Times New Roman" w:cs="Times New Roman"/>
                <w:bCs/>
                <w:spacing w:val="12"/>
                <w:sz w:val="21"/>
                <w:szCs w:val="21"/>
              </w:rPr>
              <w:t>立时间</w:t>
            </w:r>
          </w:p>
        </w:tc>
        <w:tc>
          <w:tcPr>
            <w:tcW w:w="67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核准经营范围</w:t>
            </w:r>
          </w:p>
        </w:tc>
        <w:tc>
          <w:tcPr>
            <w:tcW w:w="7004" w:type="dxa"/>
            <w:gridSpan w:val="10"/>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7822" w:type="dxa"/>
            <w:gridSpan w:val="11"/>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3"/>
                <w:sz w:val="21"/>
                <w:szCs w:val="21"/>
              </w:rPr>
            </w:pPr>
            <w:r>
              <w:rPr>
                <w:rFonts w:ascii="Times New Roman" w:hAnsi="Times New Roman" w:cs="Times New Roman"/>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z w:val="21"/>
                <w:szCs w:val="21"/>
              </w:rPr>
              <w:t>2．企</w:t>
            </w:r>
            <w:r>
              <w:rPr>
                <w:rFonts w:ascii="Times New Roman" w:hAnsi="Times New Roman" w:cs="Times New Roman"/>
                <w:bCs/>
                <w:spacing w:val="12"/>
                <w:sz w:val="21"/>
                <w:szCs w:val="21"/>
              </w:rPr>
              <w:t>业有关资质获证情况</w:t>
            </w:r>
          </w:p>
        </w:tc>
        <w:tc>
          <w:tcPr>
            <w:tcW w:w="1685" w:type="dxa"/>
            <w:gridSpan w:val="2"/>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2"/>
                <w:sz w:val="21"/>
                <w:szCs w:val="21"/>
              </w:rPr>
              <w:t>产品生产许可证情况</w:t>
            </w:r>
            <w:r>
              <w:rPr>
                <w:rFonts w:ascii="Times New Roman" w:hAnsi="Times New Roman" w:cs="Times New Roman"/>
                <w:bCs/>
                <w:spacing w:val="41"/>
                <w:sz w:val="21"/>
                <w:szCs w:val="21"/>
              </w:rPr>
              <w:t>（对需获得生产许可证的</w:t>
            </w:r>
            <w:r>
              <w:rPr>
                <w:rFonts w:ascii="Times New Roman" w:hAnsi="Times New Roman" w:cs="Times New Roman"/>
                <w:bCs/>
                <w:spacing w:val="11"/>
                <w:sz w:val="21"/>
                <w:szCs w:val="21"/>
              </w:rPr>
              <w:t>产品要填写此栏）</w:t>
            </w:r>
          </w:p>
        </w:tc>
        <w:tc>
          <w:tcPr>
            <w:tcW w:w="1359"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产品名称</w:t>
            </w:r>
          </w:p>
        </w:tc>
        <w:tc>
          <w:tcPr>
            <w:tcW w:w="1626" w:type="dxa"/>
            <w:gridSpan w:val="4"/>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发证机关</w:t>
            </w:r>
          </w:p>
        </w:tc>
        <w:tc>
          <w:tcPr>
            <w:tcW w:w="1276"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编号</w:t>
            </w:r>
          </w:p>
        </w:tc>
        <w:tc>
          <w:tcPr>
            <w:tcW w:w="1199"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发证时间</w:t>
            </w:r>
          </w:p>
        </w:tc>
        <w:tc>
          <w:tcPr>
            <w:tcW w:w="67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685" w:type="dxa"/>
            <w:gridSpan w:val="2"/>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359"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626" w:type="dxa"/>
            <w:gridSpan w:val="4"/>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276"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876"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685"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41"/>
                <w:sz w:val="21"/>
                <w:szCs w:val="21"/>
              </w:rPr>
            </w:pPr>
            <w:r>
              <w:rPr>
                <w:rFonts w:ascii="Times New Roman" w:hAnsi="Times New Roman" w:cs="Times New Roman"/>
                <w:bCs/>
                <w:spacing w:val="41"/>
                <w:sz w:val="21"/>
                <w:szCs w:val="21"/>
              </w:rPr>
              <w:t>企业通过质量体系、环保</w:t>
            </w:r>
            <w:r>
              <w:rPr>
                <w:rFonts w:ascii="Times New Roman" w:hAnsi="Times New Roman" w:cs="Times New Roman"/>
                <w:bCs/>
                <w:spacing w:val="11"/>
                <w:sz w:val="21"/>
                <w:szCs w:val="21"/>
              </w:rPr>
              <w:t>体系、计量等认证情况</w:t>
            </w:r>
          </w:p>
        </w:tc>
        <w:tc>
          <w:tcPr>
            <w:tcW w:w="6137" w:type="dxa"/>
            <w:gridSpan w:val="9"/>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27"/>
                <w:sz w:val="21"/>
                <w:szCs w:val="21"/>
              </w:rPr>
            </w:pPr>
          </w:p>
        </w:tc>
        <w:tc>
          <w:tcPr>
            <w:tcW w:w="1685"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0"/>
                <w:sz w:val="21"/>
                <w:szCs w:val="21"/>
              </w:rPr>
              <w:t>企业获得专利情况</w:t>
            </w:r>
          </w:p>
        </w:tc>
        <w:tc>
          <w:tcPr>
            <w:tcW w:w="6137" w:type="dxa"/>
            <w:gridSpan w:val="9"/>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bl>
    <w:p>
      <w:pPr>
        <w:pStyle w:val="38"/>
        <w:shd w:val="clear" w:color="auto" w:fill="FFFFFF"/>
        <w:spacing w:before="0" w:beforeAutospacing="0" w:after="0" w:afterAutospacing="0" w:line="420" w:lineRule="exact"/>
        <w:rPr>
          <w:rFonts w:ascii="Times New Roman" w:hAnsi="Times New Roman" w:cs="Times New Roman"/>
          <w:sz w:val="21"/>
          <w:szCs w:val="21"/>
        </w:rPr>
      </w:pPr>
      <w:r>
        <w:rPr>
          <w:rFonts w:ascii="Times New Roman" w:hAnsi="Times New Roman" w:cs="Times New Roman"/>
          <w:b/>
          <w:sz w:val="21"/>
          <w:szCs w:val="21"/>
        </w:rPr>
        <w:t>要求：</w:t>
      </w:r>
      <w:r>
        <w:rPr>
          <w:rFonts w:ascii="Times New Roman" w:hAnsi="Times New Roman" w:cs="Times New Roman"/>
          <w:sz w:val="21"/>
          <w:szCs w:val="21"/>
        </w:rPr>
        <w:t>姓名栏必须将所有股东都统计在内，若非股份公司此行（第三行）无需填写。</w:t>
      </w:r>
    </w:p>
    <w:p>
      <w:pPr>
        <w:pStyle w:val="38"/>
        <w:shd w:val="clear" w:color="auto" w:fill="FFFFFF"/>
        <w:spacing w:before="0" w:beforeAutospacing="0" w:after="0" w:afterAutospacing="0" w:line="420" w:lineRule="exact"/>
        <w:ind w:right="-313" w:rightChars="-149" w:firstLine="424" w:firstLineChars="202"/>
        <w:rPr>
          <w:rFonts w:ascii="Times New Roman" w:hAnsi="Times New Roman" w:cs="Times New Roman"/>
          <w:sz w:val="21"/>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sz w:val="21"/>
          <w:szCs w:val="21"/>
        </w:rPr>
      </w:pPr>
      <w:r>
        <w:rPr>
          <w:rFonts w:ascii="Times New Roman" w:hAnsi="Times New Roman" w:cs="Times New Roman"/>
          <w:sz w:val="21"/>
          <w:szCs w:val="21"/>
        </w:rPr>
        <w:t>日        期：</w:t>
      </w: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附件8</w:t>
      </w:r>
    </w:p>
    <w:p>
      <w:pPr>
        <w:snapToGrid w:val="0"/>
        <w:spacing w:beforeLines="50" w:after="50" w:line="360" w:lineRule="auto"/>
        <w:jc w:val="center"/>
        <w:rPr>
          <w:b/>
          <w:sz w:val="36"/>
          <w:szCs w:val="36"/>
        </w:rPr>
      </w:pPr>
      <w:r>
        <w:rPr>
          <w:b/>
          <w:bCs/>
          <w:kern w:val="0"/>
          <w:sz w:val="30"/>
          <w:szCs w:val="30"/>
        </w:rPr>
        <w:t>项目实施人员一览表</w:t>
      </w:r>
    </w:p>
    <w:p>
      <w:pPr>
        <w:snapToGrid w:val="0"/>
        <w:spacing w:beforeLines="50" w:after="50" w:line="360" w:lineRule="auto"/>
        <w:ind w:firstLine="2400" w:firstLineChars="1000"/>
        <w:rPr>
          <w:sz w:val="24"/>
        </w:rPr>
      </w:pPr>
      <w:r>
        <w:rPr>
          <w:sz w:val="24"/>
        </w:rPr>
        <w:t>（主要从业人员及其技术资格）</w:t>
      </w:r>
    </w:p>
    <w:tbl>
      <w:tblPr>
        <w:tblStyle w:val="26"/>
        <w:tblW w:w="8695"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bCs/>
                <w:szCs w:val="21"/>
              </w:rPr>
            </w:pPr>
            <w:r>
              <w:rPr>
                <w:b/>
                <w:bCs/>
                <w:szCs w:val="21"/>
              </w:rPr>
              <w:t>参加本单位工作时间</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bCs/>
                <w:szCs w:val="21"/>
              </w:rPr>
            </w:pPr>
            <w:r>
              <w:rPr>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240" w:lineRule="exact"/>
              <w:ind w:left="5250"/>
              <w:rPr>
                <w:rFonts w:ascii="Times New Roman" w:hAnsi="Times New Roman" w:eastAsia="宋体" w:cs="Times New Roman"/>
                <w:b/>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240" w:lineRule="exact"/>
              <w:ind w:left="5250"/>
              <w:rPr>
                <w:rFonts w:ascii="Times New Roman" w:hAnsi="Times New Roman" w:eastAsia="宋体"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240" w:lineRule="exact"/>
              <w:ind w:left="5250"/>
              <w:rPr>
                <w:rFonts w:ascii="Times New Roman" w:hAnsi="Times New Roman"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bl>
    <w:p>
      <w:pPr>
        <w:spacing w:line="360" w:lineRule="auto"/>
        <w:rPr>
          <w:b/>
          <w:szCs w:val="21"/>
        </w:rPr>
      </w:pPr>
      <w:r>
        <w:rPr>
          <w:b/>
          <w:szCs w:val="21"/>
        </w:rPr>
        <w:t>要求：</w:t>
      </w:r>
    </w:p>
    <w:p>
      <w:pPr>
        <w:spacing w:line="360" w:lineRule="auto"/>
        <w:ind w:firstLine="420" w:firstLineChars="200"/>
        <w:rPr>
          <w:szCs w:val="21"/>
        </w:rPr>
      </w:pPr>
      <w:r>
        <w:rPr>
          <w:bCs/>
          <w:szCs w:val="21"/>
        </w:rPr>
        <w:t>1.</w:t>
      </w:r>
      <w:r>
        <w:rPr>
          <w:szCs w:val="21"/>
        </w:rPr>
        <w:t>在填写时，如本表格不适合投标单位的实际情况，可根据本表格式自行划表填写；</w:t>
      </w:r>
    </w:p>
    <w:p>
      <w:pPr>
        <w:pStyle w:val="39"/>
        <w:spacing w:line="360" w:lineRule="auto"/>
        <w:ind w:firstLine="420" w:firstLineChars="200"/>
        <w:rPr>
          <w:szCs w:val="21"/>
        </w:rPr>
      </w:pPr>
      <w:r>
        <w:rPr>
          <w:szCs w:val="21"/>
        </w:rPr>
        <w:t>2.附人员证书原件扫描件；</w:t>
      </w:r>
    </w:p>
    <w:p>
      <w:pPr>
        <w:pStyle w:val="39"/>
        <w:spacing w:line="360" w:lineRule="auto"/>
        <w:ind w:firstLine="420" w:firstLineChars="200"/>
        <w:rPr>
          <w:szCs w:val="21"/>
        </w:rPr>
      </w:pPr>
      <w:r>
        <w:rPr>
          <w:szCs w:val="21"/>
        </w:rPr>
        <w:t>3.出具上述人员在本单位服务的外部证明，如：投标截止日之前</w:t>
      </w:r>
      <w:r>
        <w:rPr>
          <w:rFonts w:hint="eastAsia"/>
          <w:szCs w:val="21"/>
          <w:lang w:val="en-US" w:eastAsia="zh-CN"/>
        </w:rPr>
        <w:t>六</w:t>
      </w:r>
      <w:r>
        <w:rPr>
          <w:szCs w:val="21"/>
        </w:rPr>
        <w:t>个月以内的代缴个税税单、参加社会保险的《投保单》或《社会保险参保人员证明》等。</w:t>
      </w:r>
    </w:p>
    <w:p>
      <w:pPr>
        <w:spacing w:line="360" w:lineRule="auto"/>
        <w:ind w:left="420"/>
        <w:rPr>
          <w:szCs w:val="21"/>
        </w:rPr>
      </w:pPr>
    </w:p>
    <w:p>
      <w:pPr>
        <w:pStyle w:val="37"/>
        <w:rPr>
          <w:rFonts w:ascii="Times New Roman" w:hAnsi="Times New Roman" w:eastAsia="宋体" w:cs="Times New Roman"/>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附件9</w:t>
      </w:r>
    </w:p>
    <w:p>
      <w:pPr>
        <w:snapToGrid w:val="0"/>
        <w:spacing w:beforeLines="50" w:after="50" w:line="360" w:lineRule="auto"/>
        <w:jc w:val="center"/>
        <w:rPr>
          <w:b/>
          <w:bCs/>
          <w:kern w:val="0"/>
          <w:sz w:val="30"/>
          <w:szCs w:val="30"/>
        </w:rPr>
      </w:pPr>
      <w:r>
        <w:rPr>
          <w:b/>
          <w:bCs/>
          <w:kern w:val="0"/>
          <w:sz w:val="30"/>
          <w:szCs w:val="30"/>
        </w:rPr>
        <w:t>项目负责人资格情况表</w:t>
      </w:r>
    </w:p>
    <w:p>
      <w:pPr>
        <w:spacing w:line="360" w:lineRule="auto"/>
        <w:rPr>
          <w:szCs w:val="21"/>
        </w:rPr>
      </w:pPr>
      <w:r>
        <w:rPr>
          <w:szCs w:val="21"/>
        </w:rPr>
        <w:t>采购项目：                                            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rPr>
            </w:pPr>
            <w:r>
              <w:rPr>
                <w:szCs w:val="21"/>
              </w:rPr>
              <w:t>注：业绩证明应提供旁证材料</w:t>
            </w:r>
          </w:p>
          <w:p>
            <w:pPr>
              <w:autoSpaceDE w:val="0"/>
              <w:autoSpaceDN w:val="0"/>
              <w:adjustRightInd w:val="0"/>
              <w:snapToGrid w:val="0"/>
              <w:spacing w:line="360" w:lineRule="auto"/>
              <w:jc w:val="center"/>
              <w:rPr>
                <w:szCs w:val="21"/>
                <w:lang w:val="zh-CN"/>
              </w:rPr>
            </w:pPr>
            <w:r>
              <w:rPr>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szCs w:val="21"/>
                <w:lang w:val="zh-CN"/>
              </w:rPr>
            </w:pPr>
          </w:p>
        </w:tc>
      </w:tr>
    </w:tbl>
    <w:p>
      <w:pPr>
        <w:spacing w:line="360" w:lineRule="auto"/>
        <w:ind w:left="42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napToGrid w:val="0"/>
        <w:spacing w:before="50" w:after="50" w:line="360" w:lineRule="auto"/>
        <w:rPr>
          <w:b/>
          <w:szCs w:val="21"/>
        </w:rPr>
      </w:pPr>
    </w:p>
    <w:p>
      <w:pPr>
        <w:pStyle w:val="37"/>
        <w:rPr>
          <w:rFonts w:ascii="Times New Roman" w:hAnsi="Times New Roman" w:eastAsia="宋体" w:cs="Times New Roman"/>
        </w:rPr>
      </w:pPr>
    </w:p>
    <w:p>
      <w:pPr>
        <w:snapToGrid w:val="0"/>
        <w:spacing w:before="50" w:after="50" w:line="360" w:lineRule="auto"/>
        <w:rPr>
          <w:b/>
          <w:sz w:val="28"/>
        </w:rPr>
      </w:pPr>
    </w:p>
    <w:p>
      <w:pPr>
        <w:pStyle w:val="11"/>
      </w:pPr>
    </w:p>
    <w:p>
      <w:pPr>
        <w:snapToGrid w:val="0"/>
        <w:spacing w:before="50" w:after="50" w:line="360" w:lineRule="auto"/>
        <w:rPr>
          <w:b/>
          <w:sz w:val="28"/>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附件10</w:t>
      </w:r>
    </w:p>
    <w:p>
      <w:pPr>
        <w:snapToGrid w:val="0"/>
        <w:spacing w:beforeLines="50" w:after="50" w:line="360" w:lineRule="auto"/>
        <w:jc w:val="center"/>
        <w:rPr>
          <w:b/>
          <w:bCs/>
          <w:kern w:val="0"/>
          <w:sz w:val="30"/>
          <w:szCs w:val="30"/>
        </w:rPr>
      </w:pPr>
      <w:r>
        <w:rPr>
          <w:b/>
          <w:bCs/>
          <w:kern w:val="0"/>
          <w:sz w:val="30"/>
          <w:szCs w:val="30"/>
        </w:rPr>
        <w:t>供货清单</w:t>
      </w:r>
    </w:p>
    <w:p>
      <w:pPr>
        <w:spacing w:line="360" w:lineRule="auto"/>
        <w:rPr>
          <w:szCs w:val="21"/>
        </w:rPr>
      </w:pPr>
      <w:r>
        <w:rPr>
          <w:szCs w:val="21"/>
        </w:rPr>
        <w:t xml:space="preserve">  项目编号：</w:t>
      </w:r>
    </w:p>
    <w:tbl>
      <w:tblPr>
        <w:tblStyle w:val="26"/>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jc w:val="center"/>
              <w:rPr>
                <w:b/>
                <w:szCs w:val="21"/>
              </w:rPr>
            </w:pPr>
            <w:r>
              <w:rPr>
                <w:b/>
                <w:szCs w:val="21"/>
              </w:rPr>
              <w:t>序号</w:t>
            </w:r>
          </w:p>
        </w:tc>
        <w:tc>
          <w:tcPr>
            <w:tcW w:w="2045" w:type="dxa"/>
            <w:vAlign w:val="center"/>
          </w:tcPr>
          <w:p>
            <w:pPr>
              <w:tabs>
                <w:tab w:val="left" w:pos="8280"/>
              </w:tabs>
              <w:autoSpaceDE w:val="0"/>
              <w:autoSpaceDN w:val="0"/>
              <w:adjustRightInd w:val="0"/>
              <w:spacing w:line="360" w:lineRule="auto"/>
              <w:ind w:right="25"/>
              <w:jc w:val="center"/>
              <w:rPr>
                <w:b/>
                <w:szCs w:val="21"/>
              </w:rPr>
            </w:pPr>
            <w:r>
              <w:rPr>
                <w:b/>
                <w:szCs w:val="21"/>
              </w:rPr>
              <w:t>名称</w:t>
            </w:r>
          </w:p>
        </w:tc>
        <w:tc>
          <w:tcPr>
            <w:tcW w:w="1134" w:type="dxa"/>
            <w:vAlign w:val="center"/>
          </w:tcPr>
          <w:p>
            <w:pPr>
              <w:tabs>
                <w:tab w:val="left" w:pos="8280"/>
              </w:tabs>
              <w:autoSpaceDE w:val="0"/>
              <w:autoSpaceDN w:val="0"/>
              <w:adjustRightInd w:val="0"/>
              <w:spacing w:line="360" w:lineRule="auto"/>
              <w:ind w:right="25"/>
              <w:jc w:val="center"/>
              <w:rPr>
                <w:b/>
                <w:szCs w:val="21"/>
              </w:rPr>
            </w:pPr>
            <w:r>
              <w:rPr>
                <w:b/>
                <w:szCs w:val="21"/>
              </w:rPr>
              <w:t>品牌</w:t>
            </w:r>
          </w:p>
        </w:tc>
        <w:tc>
          <w:tcPr>
            <w:tcW w:w="1842" w:type="dxa"/>
            <w:vAlign w:val="center"/>
          </w:tcPr>
          <w:p>
            <w:pPr>
              <w:tabs>
                <w:tab w:val="left" w:pos="8280"/>
              </w:tabs>
              <w:autoSpaceDE w:val="0"/>
              <w:autoSpaceDN w:val="0"/>
              <w:adjustRightInd w:val="0"/>
              <w:spacing w:line="360" w:lineRule="auto"/>
              <w:ind w:right="25"/>
              <w:jc w:val="center"/>
              <w:rPr>
                <w:b/>
                <w:szCs w:val="21"/>
              </w:rPr>
            </w:pPr>
            <w:r>
              <w:rPr>
                <w:b/>
                <w:szCs w:val="21"/>
              </w:rPr>
              <w:t>规格型号</w:t>
            </w:r>
          </w:p>
        </w:tc>
        <w:tc>
          <w:tcPr>
            <w:tcW w:w="993" w:type="dxa"/>
            <w:vAlign w:val="center"/>
          </w:tcPr>
          <w:p>
            <w:pPr>
              <w:spacing w:line="360" w:lineRule="auto"/>
              <w:ind w:left="52"/>
              <w:jc w:val="center"/>
              <w:rPr>
                <w:b/>
                <w:szCs w:val="21"/>
              </w:rPr>
            </w:pPr>
            <w:r>
              <w:rPr>
                <w:b/>
                <w:szCs w:val="21"/>
              </w:rPr>
              <w:t>产地</w:t>
            </w:r>
          </w:p>
        </w:tc>
        <w:tc>
          <w:tcPr>
            <w:tcW w:w="1559" w:type="dxa"/>
            <w:vAlign w:val="center"/>
          </w:tcPr>
          <w:p>
            <w:pPr>
              <w:spacing w:line="360" w:lineRule="auto"/>
              <w:ind w:left="152"/>
              <w:jc w:val="center"/>
              <w:rPr>
                <w:b/>
                <w:szCs w:val="21"/>
              </w:rPr>
            </w:pPr>
            <w:r>
              <w:rPr>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bl>
    <w:p>
      <w:pPr>
        <w:spacing w:line="360" w:lineRule="auto"/>
        <w:rPr>
          <w:szCs w:val="21"/>
        </w:rPr>
      </w:pPr>
      <w:r>
        <w:rPr>
          <w:b/>
          <w:szCs w:val="21"/>
        </w:rPr>
        <w:t>要求：</w:t>
      </w:r>
      <w:r>
        <w:rPr>
          <w:szCs w:val="21"/>
        </w:rPr>
        <w:t>本表中的名称、数量应与报价明细表中相对应的报价名称、数量一致。</w:t>
      </w:r>
    </w:p>
    <w:p>
      <w:pPr>
        <w:spacing w:line="360" w:lineRule="auto"/>
        <w:ind w:left="420"/>
        <w:rPr>
          <w:szCs w:val="21"/>
        </w:rPr>
      </w:pPr>
    </w:p>
    <w:p>
      <w:pPr>
        <w:spacing w:line="440" w:lineRule="exact"/>
        <w:ind w:firstLine="371" w:firstLineChars="177"/>
        <w:rPr>
          <w:szCs w:val="21"/>
          <w:u w:val="single"/>
        </w:rPr>
      </w:pPr>
      <w:r>
        <w:rPr>
          <w:szCs w:val="21"/>
        </w:rPr>
        <w:t>投标人名称（盖章）：</w:t>
      </w:r>
    </w:p>
    <w:p>
      <w:pPr>
        <w:spacing w:line="44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4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napToGrid w:val="0"/>
        <w:spacing w:before="50" w:after="50" w:line="360" w:lineRule="auto"/>
        <w:rPr>
          <w:b/>
          <w:sz w:val="28"/>
        </w:rPr>
      </w:pPr>
    </w:p>
    <w:p>
      <w:pPr>
        <w:pStyle w:val="11"/>
      </w:pPr>
    </w:p>
    <w:p>
      <w:pPr>
        <w:pStyle w:val="37"/>
        <w:rPr>
          <w:rFonts w:ascii="Times New Roman" w:hAnsi="Times New Roman" w:eastAsia="宋体" w:cs="Times New Roman"/>
        </w:rPr>
      </w:pPr>
    </w:p>
    <w:p>
      <w:pPr>
        <w:snapToGrid w:val="0"/>
        <w:spacing w:before="50" w:after="50" w:line="360" w:lineRule="auto"/>
        <w:rPr>
          <w:b/>
          <w:sz w:val="28"/>
        </w:rPr>
      </w:pPr>
    </w:p>
    <w:p>
      <w:pPr>
        <w:snapToGrid w:val="0"/>
        <w:spacing w:before="50" w:after="50" w:line="360" w:lineRule="auto"/>
        <w:rPr>
          <w:b/>
          <w:sz w:val="28"/>
        </w:rPr>
      </w:pPr>
    </w:p>
    <w:p>
      <w:pPr>
        <w:snapToGrid w:val="0"/>
        <w:spacing w:before="50" w:after="50" w:line="360" w:lineRule="auto"/>
        <w:rPr>
          <w:b/>
          <w:sz w:val="28"/>
        </w:rPr>
      </w:pPr>
    </w:p>
    <w:p>
      <w:pPr>
        <w:snapToGrid w:val="0"/>
        <w:spacing w:line="240" w:lineRule="exact"/>
        <w:rPr>
          <w:b/>
          <w:bCs/>
          <w:kern w:val="0"/>
          <w:szCs w:val="21"/>
        </w:rPr>
      </w:pPr>
      <w:r>
        <w:rPr>
          <w:b/>
          <w:szCs w:val="21"/>
        </w:rPr>
        <w:t>附件11</w:t>
      </w:r>
    </w:p>
    <w:p>
      <w:pPr>
        <w:snapToGrid w:val="0"/>
        <w:spacing w:beforeLines="50" w:after="50" w:line="360" w:lineRule="auto"/>
        <w:jc w:val="center"/>
        <w:rPr>
          <w:sz w:val="24"/>
        </w:rPr>
      </w:pPr>
      <w:r>
        <w:rPr>
          <w:b/>
          <w:bCs/>
          <w:kern w:val="0"/>
          <w:sz w:val="30"/>
          <w:szCs w:val="30"/>
        </w:rPr>
        <w:t>技术需求响应表</w:t>
      </w: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jc w:val="center"/>
              <w:rPr>
                <w:b/>
                <w:szCs w:val="21"/>
              </w:rPr>
            </w:pPr>
            <w:r>
              <w:rPr>
                <w:b/>
                <w:szCs w:val="21"/>
              </w:rPr>
              <w:t>序号</w:t>
            </w:r>
          </w:p>
        </w:tc>
        <w:tc>
          <w:tcPr>
            <w:tcW w:w="1785" w:type="dxa"/>
            <w:vAlign w:val="center"/>
          </w:tcPr>
          <w:p>
            <w:pPr>
              <w:spacing w:line="360" w:lineRule="auto"/>
              <w:jc w:val="center"/>
              <w:rPr>
                <w:b/>
                <w:szCs w:val="21"/>
              </w:rPr>
            </w:pPr>
            <w:r>
              <w:rPr>
                <w:b/>
                <w:szCs w:val="21"/>
              </w:rPr>
              <w:t>名称</w:t>
            </w:r>
          </w:p>
        </w:tc>
        <w:tc>
          <w:tcPr>
            <w:tcW w:w="1449" w:type="dxa"/>
            <w:vAlign w:val="center"/>
          </w:tcPr>
          <w:p>
            <w:pPr>
              <w:spacing w:line="360" w:lineRule="auto"/>
              <w:ind w:left="52"/>
              <w:jc w:val="center"/>
              <w:rPr>
                <w:b/>
                <w:szCs w:val="21"/>
              </w:rPr>
            </w:pPr>
            <w:r>
              <w:rPr>
                <w:b/>
                <w:szCs w:val="21"/>
              </w:rPr>
              <w:t>规格型号</w:t>
            </w:r>
          </w:p>
        </w:tc>
        <w:tc>
          <w:tcPr>
            <w:tcW w:w="1560" w:type="dxa"/>
            <w:vAlign w:val="center"/>
          </w:tcPr>
          <w:p>
            <w:pPr>
              <w:spacing w:line="360" w:lineRule="auto"/>
              <w:ind w:left="152"/>
              <w:jc w:val="center"/>
              <w:rPr>
                <w:b/>
                <w:szCs w:val="21"/>
              </w:rPr>
            </w:pPr>
            <w:r>
              <w:rPr>
                <w:b/>
                <w:szCs w:val="21"/>
              </w:rPr>
              <w:t>招标参数</w:t>
            </w:r>
          </w:p>
        </w:tc>
        <w:tc>
          <w:tcPr>
            <w:tcW w:w="1401" w:type="dxa"/>
            <w:vAlign w:val="center"/>
          </w:tcPr>
          <w:p>
            <w:pPr>
              <w:spacing w:line="360" w:lineRule="auto"/>
              <w:jc w:val="center"/>
              <w:rPr>
                <w:b/>
                <w:szCs w:val="21"/>
              </w:rPr>
            </w:pPr>
            <w:r>
              <w:rPr>
                <w:b/>
                <w:szCs w:val="21"/>
              </w:rPr>
              <w:t>投标参数</w:t>
            </w:r>
          </w:p>
        </w:tc>
        <w:tc>
          <w:tcPr>
            <w:tcW w:w="1365" w:type="dxa"/>
            <w:vAlign w:val="center"/>
          </w:tcPr>
          <w:p>
            <w:pPr>
              <w:spacing w:line="360" w:lineRule="auto"/>
              <w:jc w:val="center"/>
              <w:rPr>
                <w:b/>
                <w:szCs w:val="21"/>
              </w:rPr>
            </w:pPr>
            <w:r>
              <w:rPr>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bl>
    <w:p>
      <w:pPr>
        <w:pStyle w:val="40"/>
        <w:tabs>
          <w:tab w:val="left" w:pos="360"/>
        </w:tabs>
        <w:spacing w:line="360" w:lineRule="auto"/>
        <w:ind w:right="84" w:rightChars="40"/>
        <w:rPr>
          <w:b/>
          <w:szCs w:val="21"/>
        </w:rPr>
      </w:pPr>
      <w:r>
        <w:rPr>
          <w:b/>
          <w:szCs w:val="21"/>
        </w:rPr>
        <w:t>要求：</w:t>
      </w:r>
    </w:p>
    <w:p>
      <w:pPr>
        <w:pStyle w:val="40"/>
        <w:tabs>
          <w:tab w:val="left" w:pos="360"/>
        </w:tabs>
        <w:spacing w:line="360" w:lineRule="auto"/>
        <w:ind w:right="84" w:rightChars="40" w:firstLine="420" w:firstLineChars="200"/>
        <w:rPr>
          <w:szCs w:val="21"/>
        </w:rPr>
      </w:pPr>
      <w:r>
        <w:rPr>
          <w:szCs w:val="21"/>
        </w:rPr>
        <w:t>1. 本表的名称须与《报价明细表》一致。</w:t>
      </w:r>
    </w:p>
    <w:p>
      <w:pPr>
        <w:pStyle w:val="40"/>
        <w:spacing w:line="360" w:lineRule="auto"/>
        <w:ind w:right="84" w:rightChars="40" w:firstLine="420" w:firstLineChars="200"/>
        <w:rPr>
          <w:szCs w:val="21"/>
        </w:rPr>
      </w:pPr>
      <w:r>
        <w:rPr>
          <w:szCs w:val="21"/>
        </w:rPr>
        <w:t>2.本表参照本招标文件第四章“</w:t>
      </w:r>
      <w:r>
        <w:rPr>
          <w:rFonts w:hint="eastAsia"/>
          <w:szCs w:val="21"/>
          <w:lang w:val="en-US" w:eastAsia="zh-CN"/>
        </w:rPr>
        <w:t>公开</w:t>
      </w:r>
      <w:r>
        <w:rPr>
          <w:szCs w:val="21"/>
        </w:rPr>
        <w:t>招标需求”内第二条“</w:t>
      </w:r>
      <w:r>
        <w:rPr>
          <w:rFonts w:hint="eastAsia"/>
          <w:szCs w:val="21"/>
          <w:lang w:val="en-US" w:eastAsia="zh-CN"/>
        </w:rPr>
        <w:t>项目内容</w:t>
      </w:r>
      <w:r>
        <w:rPr>
          <w:szCs w:val="21"/>
        </w:rPr>
        <w:t>”填制，投标人应根据投标设备的性能指标、服务指标，对照招标文件要求在“偏离情况”栏注明“正偏离”、“负偏离”或“无偏离”。</w:t>
      </w:r>
    </w:p>
    <w:p>
      <w:pPr>
        <w:pStyle w:val="40"/>
        <w:spacing w:line="360" w:lineRule="auto"/>
        <w:ind w:right="84" w:rightChars="40" w:firstLine="420" w:firstLineChars="200"/>
        <w:rPr>
          <w:szCs w:val="21"/>
        </w:rPr>
      </w:pPr>
      <w:r>
        <w:rPr>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szCs w:val="21"/>
        </w:rPr>
      </w:pPr>
    </w:p>
    <w:p>
      <w:pPr>
        <w:pStyle w:val="11"/>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3"/>
        <w:rPr>
          <w:rFonts w:ascii="Times New Roman" w:hAnsi="Times New Roman" w:eastAsia="宋体"/>
          <w:sz w:val="21"/>
          <w:szCs w:val="21"/>
        </w:rPr>
      </w:pPr>
    </w:p>
    <w:p/>
    <w:p/>
    <w:p/>
    <w:p>
      <w:pPr>
        <w:pStyle w:val="41"/>
        <w:spacing w:line="240" w:lineRule="exact"/>
        <w:jc w:val="left"/>
        <w:rPr>
          <w:b/>
          <w:szCs w:val="21"/>
        </w:rPr>
      </w:pPr>
      <w:r>
        <w:rPr>
          <w:b/>
          <w:szCs w:val="21"/>
        </w:rPr>
        <w:t>附件12</w:t>
      </w:r>
    </w:p>
    <w:p>
      <w:pPr>
        <w:snapToGrid w:val="0"/>
        <w:spacing w:beforeLines="50" w:after="50" w:line="360" w:lineRule="auto"/>
        <w:jc w:val="center"/>
        <w:rPr>
          <w:sz w:val="28"/>
          <w:szCs w:val="28"/>
        </w:rPr>
      </w:pPr>
      <w:r>
        <w:rPr>
          <w:b/>
          <w:bCs/>
          <w:kern w:val="0"/>
          <w:sz w:val="30"/>
          <w:szCs w:val="30"/>
        </w:rPr>
        <w:t>证书一览表</w:t>
      </w: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4"/>
              <w:spacing w:line="360" w:lineRule="auto"/>
              <w:jc w:val="center"/>
              <w:rPr>
                <w:b/>
                <w:bCs/>
              </w:rPr>
            </w:pPr>
            <w:r>
              <w:rPr>
                <w:b/>
                <w:bCs/>
              </w:rPr>
              <w:t>证书名称</w:t>
            </w:r>
          </w:p>
        </w:tc>
        <w:tc>
          <w:tcPr>
            <w:tcW w:w="2258" w:type="dxa"/>
            <w:tcBorders>
              <w:top w:val="single" w:color="auto" w:sz="4" w:space="0"/>
              <w:bottom w:val="single" w:color="auto" w:sz="4" w:space="0"/>
            </w:tcBorders>
            <w:vAlign w:val="center"/>
          </w:tcPr>
          <w:p>
            <w:pPr>
              <w:pStyle w:val="34"/>
              <w:spacing w:line="360" w:lineRule="auto"/>
              <w:jc w:val="center"/>
              <w:rPr>
                <w:b/>
                <w:bCs/>
              </w:rPr>
            </w:pPr>
            <w:r>
              <w:rPr>
                <w:b/>
                <w:bCs/>
              </w:rPr>
              <w:t>发证单位</w:t>
            </w:r>
          </w:p>
        </w:tc>
        <w:tc>
          <w:tcPr>
            <w:tcW w:w="2260" w:type="dxa"/>
            <w:tcBorders>
              <w:top w:val="single" w:color="auto" w:sz="4" w:space="0"/>
              <w:bottom w:val="single" w:color="auto" w:sz="4" w:space="0"/>
            </w:tcBorders>
            <w:vAlign w:val="center"/>
          </w:tcPr>
          <w:p>
            <w:pPr>
              <w:pStyle w:val="34"/>
              <w:spacing w:line="360" w:lineRule="auto"/>
              <w:jc w:val="center"/>
              <w:rPr>
                <w:b/>
                <w:bCs/>
              </w:rPr>
            </w:pPr>
            <w:r>
              <w:rPr>
                <w:b/>
                <w:bCs/>
              </w:rPr>
              <w:t>证书等级</w:t>
            </w:r>
          </w:p>
        </w:tc>
        <w:tc>
          <w:tcPr>
            <w:tcW w:w="2047" w:type="dxa"/>
            <w:tcBorders>
              <w:top w:val="single" w:color="auto" w:sz="4" w:space="0"/>
              <w:bottom w:val="single" w:color="auto" w:sz="4" w:space="0"/>
              <w:right w:val="single" w:color="auto" w:sz="4" w:space="0"/>
            </w:tcBorders>
            <w:vAlign w:val="center"/>
          </w:tcPr>
          <w:p>
            <w:pPr>
              <w:pStyle w:val="34"/>
              <w:spacing w:line="360" w:lineRule="auto"/>
              <w:jc w:val="center"/>
              <w:rPr>
                <w:b/>
                <w:bCs/>
              </w:rPr>
            </w:pPr>
            <w:r>
              <w:rPr>
                <w:b/>
                <w:bCs/>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4"/>
              <w:spacing w:line="360" w:lineRule="auto"/>
              <w:jc w:val="center"/>
            </w:pPr>
          </w:p>
        </w:tc>
        <w:tc>
          <w:tcPr>
            <w:tcW w:w="2258" w:type="dxa"/>
            <w:tcBorders>
              <w:top w:val="single" w:color="auto" w:sz="4" w:space="0"/>
            </w:tcBorders>
          </w:tcPr>
          <w:p>
            <w:pPr>
              <w:pStyle w:val="34"/>
              <w:spacing w:line="360" w:lineRule="auto"/>
              <w:jc w:val="center"/>
            </w:pPr>
          </w:p>
        </w:tc>
        <w:tc>
          <w:tcPr>
            <w:tcW w:w="2260" w:type="dxa"/>
            <w:tcBorders>
              <w:top w:val="single" w:color="auto" w:sz="4" w:space="0"/>
            </w:tcBorders>
          </w:tcPr>
          <w:p>
            <w:pPr>
              <w:pStyle w:val="34"/>
              <w:spacing w:line="360" w:lineRule="auto"/>
              <w:jc w:val="center"/>
            </w:pPr>
          </w:p>
        </w:tc>
        <w:tc>
          <w:tcPr>
            <w:tcW w:w="2047" w:type="dxa"/>
            <w:tcBorders>
              <w:top w:val="single" w:color="auto" w:sz="4" w:space="0"/>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4"/>
              <w:spacing w:line="360" w:lineRule="auto"/>
              <w:jc w:val="center"/>
            </w:pPr>
          </w:p>
        </w:tc>
        <w:tc>
          <w:tcPr>
            <w:tcW w:w="2258" w:type="dxa"/>
            <w:tcBorders>
              <w:bottom w:val="single" w:color="auto" w:sz="4" w:space="0"/>
            </w:tcBorders>
          </w:tcPr>
          <w:p>
            <w:pPr>
              <w:pStyle w:val="34"/>
              <w:spacing w:line="360" w:lineRule="auto"/>
              <w:jc w:val="center"/>
            </w:pPr>
          </w:p>
        </w:tc>
        <w:tc>
          <w:tcPr>
            <w:tcW w:w="2260" w:type="dxa"/>
            <w:tcBorders>
              <w:bottom w:val="single" w:color="auto" w:sz="4" w:space="0"/>
            </w:tcBorders>
          </w:tcPr>
          <w:p>
            <w:pPr>
              <w:pStyle w:val="34"/>
              <w:spacing w:line="360" w:lineRule="auto"/>
              <w:jc w:val="center"/>
            </w:pPr>
          </w:p>
        </w:tc>
        <w:tc>
          <w:tcPr>
            <w:tcW w:w="2047" w:type="dxa"/>
            <w:tcBorders>
              <w:bottom w:val="single" w:color="auto" w:sz="4" w:space="0"/>
              <w:right w:val="single" w:color="auto" w:sz="4" w:space="0"/>
            </w:tcBorders>
          </w:tcPr>
          <w:p>
            <w:pPr>
              <w:pStyle w:val="34"/>
              <w:spacing w:line="360" w:lineRule="auto"/>
              <w:jc w:val="center"/>
            </w:pPr>
          </w:p>
        </w:tc>
      </w:tr>
    </w:tbl>
    <w:p>
      <w:pPr>
        <w:pStyle w:val="34"/>
        <w:tabs>
          <w:tab w:val="left" w:pos="1050"/>
        </w:tabs>
        <w:spacing w:line="360" w:lineRule="auto"/>
      </w:pPr>
      <w:r>
        <w:rPr>
          <w:b/>
        </w:rPr>
        <w:t>要求：</w:t>
      </w:r>
    </w:p>
    <w:p>
      <w:pPr>
        <w:pStyle w:val="34"/>
        <w:tabs>
          <w:tab w:val="left" w:pos="1050"/>
        </w:tabs>
        <w:spacing w:line="360" w:lineRule="auto"/>
        <w:ind w:firstLine="424" w:firstLineChars="202"/>
      </w:pPr>
      <w:r>
        <w:t>1.填写投标人获得资质、认证或企业信誉证书；</w:t>
      </w:r>
    </w:p>
    <w:p>
      <w:pPr>
        <w:pStyle w:val="34"/>
        <w:tabs>
          <w:tab w:val="left" w:pos="1050"/>
        </w:tabs>
        <w:spacing w:line="360" w:lineRule="auto"/>
        <w:ind w:firstLine="424" w:firstLineChars="202"/>
      </w:pPr>
      <w:r>
        <w:t>2.附所列证书原件扫描件或其他证明材料。</w:t>
      </w:r>
    </w:p>
    <w:p>
      <w:pPr>
        <w:pStyle w:val="34"/>
        <w:tabs>
          <w:tab w:val="left" w:pos="1050"/>
        </w:tabs>
        <w:spacing w:line="360" w:lineRule="auto"/>
        <w:ind w:firstLine="630" w:firstLineChars="300"/>
      </w:pPr>
    </w:p>
    <w:p>
      <w:pPr>
        <w:pStyle w:val="34"/>
        <w:tabs>
          <w:tab w:val="left" w:pos="1050"/>
        </w:tabs>
        <w:spacing w:line="360" w:lineRule="auto"/>
        <w:ind w:firstLine="630" w:firstLineChars="300"/>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pacing w:line="360" w:lineRule="auto"/>
        <w:rPr>
          <w:b/>
          <w:sz w:val="28"/>
        </w:rPr>
      </w:pPr>
    </w:p>
    <w:p>
      <w:pPr>
        <w:pStyle w:val="3"/>
        <w:rPr>
          <w:rFonts w:ascii="Times New Roman" w:hAnsi="Times New Roman" w:eastAsia="宋体"/>
          <w:sz w:val="28"/>
        </w:rPr>
      </w:pPr>
    </w:p>
    <w:p/>
    <w:p>
      <w:pPr>
        <w:spacing w:line="240" w:lineRule="exact"/>
        <w:rPr>
          <w:b/>
          <w:szCs w:val="21"/>
        </w:rPr>
      </w:pPr>
      <w:r>
        <w:rPr>
          <w:b/>
          <w:szCs w:val="21"/>
        </w:rPr>
        <w:t>附件13</w:t>
      </w:r>
    </w:p>
    <w:p>
      <w:pPr>
        <w:snapToGrid w:val="0"/>
        <w:spacing w:beforeLines="50" w:after="50" w:line="360" w:lineRule="auto"/>
        <w:jc w:val="center"/>
        <w:rPr>
          <w:b/>
          <w:bCs/>
          <w:kern w:val="0"/>
          <w:sz w:val="30"/>
          <w:szCs w:val="30"/>
        </w:rPr>
      </w:pPr>
      <w:r>
        <w:rPr>
          <w:b/>
          <w:bCs/>
          <w:kern w:val="0"/>
          <w:sz w:val="30"/>
          <w:szCs w:val="30"/>
        </w:rPr>
        <w:t>投标人类似项目实施情况一览表</w:t>
      </w:r>
    </w:p>
    <w:tbl>
      <w:tblPr>
        <w:tblStyle w:val="26"/>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实施</w:t>
            </w:r>
          </w:p>
          <w:p>
            <w:pPr>
              <w:pStyle w:val="41"/>
              <w:spacing w:line="240" w:lineRule="exact"/>
              <w:jc w:val="center"/>
              <w:rPr>
                <w:b/>
                <w:bCs/>
                <w:szCs w:val="21"/>
              </w:rPr>
            </w:pPr>
            <w:r>
              <w:rPr>
                <w:b/>
                <w:bCs/>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w:t>
            </w:r>
          </w:p>
          <w:p>
            <w:pPr>
              <w:pStyle w:val="41"/>
              <w:spacing w:line="240" w:lineRule="exact"/>
              <w:jc w:val="center"/>
              <w:rPr>
                <w:b/>
                <w:bCs/>
                <w:szCs w:val="21"/>
              </w:rPr>
            </w:pPr>
            <w:r>
              <w:rPr>
                <w:b/>
                <w:bCs/>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r>
    </w:tbl>
    <w:p>
      <w:pPr>
        <w:autoSpaceDE w:val="0"/>
        <w:autoSpaceDN w:val="0"/>
        <w:adjustRightInd w:val="0"/>
        <w:spacing w:line="400" w:lineRule="exact"/>
        <w:rPr>
          <w:b/>
          <w:szCs w:val="21"/>
        </w:rPr>
      </w:pPr>
      <w:r>
        <w:rPr>
          <w:b/>
          <w:szCs w:val="21"/>
        </w:rPr>
        <w:t>要求：</w:t>
      </w:r>
    </w:p>
    <w:p>
      <w:pPr>
        <w:autoSpaceDE w:val="0"/>
        <w:autoSpaceDN w:val="0"/>
        <w:adjustRightInd w:val="0"/>
        <w:spacing w:line="400" w:lineRule="exact"/>
        <w:ind w:firstLine="424" w:firstLineChars="202"/>
        <w:rPr>
          <w:b/>
          <w:szCs w:val="21"/>
        </w:rPr>
      </w:pPr>
      <w:r>
        <w:rPr>
          <w:szCs w:val="21"/>
        </w:rPr>
        <w:t>1.业绩证明应提供证明材料（合同原件扫描件可只提供首页、含金额页、盖章页并加盖投标人公章）；</w:t>
      </w:r>
    </w:p>
    <w:p>
      <w:pPr>
        <w:spacing w:line="400" w:lineRule="exact"/>
        <w:ind w:firstLine="424" w:firstLineChars="202"/>
        <w:jc w:val="left"/>
        <w:rPr>
          <w:szCs w:val="21"/>
        </w:rPr>
      </w:pPr>
      <w:r>
        <w:rPr>
          <w:szCs w:val="21"/>
        </w:rPr>
        <w:t>2.报价投标人可按此表格式复制。</w:t>
      </w:r>
    </w:p>
    <w:p>
      <w:pPr>
        <w:spacing w:line="360" w:lineRule="auto"/>
        <w:rPr>
          <w:szCs w:val="21"/>
        </w:rPr>
      </w:pPr>
    </w:p>
    <w:p>
      <w:pPr>
        <w:spacing w:line="360" w:lineRule="auto"/>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34"/>
        <w:tabs>
          <w:tab w:val="left" w:pos="1050"/>
        </w:tabs>
        <w:spacing w:line="360" w:lineRule="auto"/>
        <w:rPr>
          <w:b/>
          <w:sz w:val="28"/>
        </w:rPr>
      </w:pPr>
    </w:p>
    <w:p>
      <w:pPr>
        <w:pStyle w:val="34"/>
        <w:tabs>
          <w:tab w:val="left" w:pos="1050"/>
        </w:tabs>
        <w:spacing w:line="360" w:lineRule="auto"/>
        <w:rPr>
          <w:b/>
          <w:sz w:val="28"/>
        </w:rPr>
      </w:pPr>
    </w:p>
    <w:p>
      <w:pPr>
        <w:pStyle w:val="34"/>
        <w:tabs>
          <w:tab w:val="left" w:pos="1050"/>
        </w:tabs>
        <w:spacing w:line="360" w:lineRule="auto"/>
        <w:rPr>
          <w:b/>
          <w:sz w:val="28"/>
        </w:rPr>
      </w:pPr>
    </w:p>
    <w:p>
      <w:pPr>
        <w:pStyle w:val="34"/>
        <w:tabs>
          <w:tab w:val="left" w:pos="1050"/>
        </w:tabs>
        <w:spacing w:line="240" w:lineRule="exact"/>
        <w:rPr>
          <w:b/>
        </w:rPr>
      </w:pPr>
    </w:p>
    <w:p>
      <w:pPr>
        <w:pStyle w:val="34"/>
        <w:tabs>
          <w:tab w:val="left" w:pos="1050"/>
        </w:tabs>
        <w:spacing w:line="240" w:lineRule="exact"/>
      </w:pPr>
      <w:r>
        <w:rPr>
          <w:b/>
        </w:rPr>
        <w:t>附件14</w:t>
      </w:r>
    </w:p>
    <w:p>
      <w:pPr>
        <w:snapToGrid w:val="0"/>
        <w:spacing w:beforeLines="50" w:after="50" w:line="360" w:lineRule="auto"/>
        <w:jc w:val="center"/>
        <w:rPr>
          <w:b/>
          <w:sz w:val="18"/>
          <w:szCs w:val="18"/>
        </w:rPr>
      </w:pPr>
      <w:r>
        <w:rPr>
          <w:b/>
          <w:bCs/>
          <w:kern w:val="0"/>
          <w:sz w:val="30"/>
          <w:szCs w:val="30"/>
        </w:rPr>
        <w:t>资信及商务需求响应表</w:t>
      </w: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b/>
                <w:szCs w:val="21"/>
              </w:rPr>
            </w:pPr>
            <w:r>
              <w:rPr>
                <w:b/>
                <w:szCs w:val="21"/>
              </w:rPr>
              <w:t>序号</w:t>
            </w:r>
          </w:p>
        </w:tc>
        <w:tc>
          <w:tcPr>
            <w:tcW w:w="1785" w:type="dxa"/>
            <w:vAlign w:val="center"/>
          </w:tcPr>
          <w:p>
            <w:pPr>
              <w:spacing w:line="280" w:lineRule="exact"/>
              <w:jc w:val="center"/>
              <w:rPr>
                <w:b/>
                <w:szCs w:val="21"/>
              </w:rPr>
            </w:pPr>
            <w:r>
              <w:rPr>
                <w:b/>
                <w:szCs w:val="21"/>
              </w:rPr>
              <w:t>内容</w:t>
            </w:r>
          </w:p>
        </w:tc>
        <w:tc>
          <w:tcPr>
            <w:tcW w:w="1785" w:type="dxa"/>
            <w:vAlign w:val="center"/>
          </w:tcPr>
          <w:p>
            <w:pPr>
              <w:spacing w:line="280" w:lineRule="exact"/>
              <w:ind w:left="53" w:leftChars="25" w:firstLine="211" w:firstLineChars="100"/>
              <w:jc w:val="center"/>
              <w:rPr>
                <w:b/>
                <w:szCs w:val="21"/>
              </w:rPr>
            </w:pPr>
            <w:r>
              <w:rPr>
                <w:b/>
                <w:szCs w:val="21"/>
              </w:rPr>
              <w:t>招标需求</w:t>
            </w:r>
          </w:p>
        </w:tc>
        <w:tc>
          <w:tcPr>
            <w:tcW w:w="1365" w:type="dxa"/>
            <w:vAlign w:val="center"/>
          </w:tcPr>
          <w:p>
            <w:pPr>
              <w:spacing w:line="280" w:lineRule="exact"/>
              <w:ind w:left="152"/>
              <w:jc w:val="center"/>
              <w:rPr>
                <w:b/>
                <w:szCs w:val="21"/>
              </w:rPr>
            </w:pPr>
            <w:r>
              <w:rPr>
                <w:b/>
                <w:szCs w:val="21"/>
              </w:rPr>
              <w:t>是否响应</w:t>
            </w:r>
          </w:p>
        </w:tc>
        <w:tc>
          <w:tcPr>
            <w:tcW w:w="2625" w:type="dxa"/>
            <w:vAlign w:val="center"/>
          </w:tcPr>
          <w:p>
            <w:pPr>
              <w:spacing w:line="280" w:lineRule="exact"/>
              <w:jc w:val="center"/>
              <w:rPr>
                <w:b/>
                <w:szCs w:val="21"/>
              </w:rPr>
            </w:pPr>
            <w:r>
              <w:rPr>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售后服务保障要求</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备品备件及耗材等要求</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质保期</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交货和服务</w:t>
            </w:r>
          </w:p>
          <w:p>
            <w:pPr>
              <w:snapToGrid w:val="0"/>
              <w:spacing w:line="280" w:lineRule="exact"/>
              <w:jc w:val="center"/>
              <w:rPr>
                <w:szCs w:val="21"/>
              </w:rPr>
            </w:pPr>
            <w:r>
              <w:rPr>
                <w:szCs w:val="21"/>
              </w:rPr>
              <w:t>时间及地点</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付款条件</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bl>
    <w:p>
      <w:pPr>
        <w:spacing w:line="360" w:lineRule="auto"/>
        <w:rPr>
          <w:szCs w:val="21"/>
        </w:rPr>
      </w:pPr>
    </w:p>
    <w:p>
      <w:pPr>
        <w:pStyle w:val="11"/>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tabs>
          <w:tab w:val="left" w:pos="2460"/>
        </w:tabs>
        <w:spacing w:line="360" w:lineRule="auto"/>
        <w:ind w:firstLine="435"/>
        <w:rPr>
          <w:b/>
          <w:szCs w:val="21"/>
        </w:rPr>
      </w:pPr>
    </w:p>
    <w:p>
      <w:pPr>
        <w:pStyle w:val="37"/>
        <w:rPr>
          <w:rFonts w:ascii="Times New Roman" w:hAnsi="Times New Roman" w:eastAsia="宋体" w:cs="Times New Roman"/>
        </w:rPr>
      </w:pPr>
    </w:p>
    <w:p>
      <w:pPr>
        <w:tabs>
          <w:tab w:val="left" w:pos="2460"/>
        </w:tabs>
        <w:spacing w:line="360" w:lineRule="auto"/>
        <w:ind w:firstLine="435"/>
        <w:rPr>
          <w:b/>
          <w:szCs w:val="21"/>
        </w:rPr>
      </w:pPr>
    </w:p>
    <w:p>
      <w:pPr>
        <w:tabs>
          <w:tab w:val="left" w:pos="2460"/>
        </w:tabs>
        <w:spacing w:line="360" w:lineRule="auto"/>
        <w:ind w:firstLine="435"/>
        <w:rPr>
          <w:b/>
          <w:sz w:val="28"/>
        </w:rPr>
      </w:pPr>
    </w:p>
    <w:p>
      <w:pPr>
        <w:tabs>
          <w:tab w:val="left" w:pos="2460"/>
        </w:tabs>
        <w:spacing w:line="360" w:lineRule="auto"/>
        <w:ind w:firstLine="435"/>
        <w:rPr>
          <w:b/>
          <w:sz w:val="28"/>
        </w:rPr>
      </w:pPr>
    </w:p>
    <w:p>
      <w:pPr>
        <w:tabs>
          <w:tab w:val="left" w:pos="2460"/>
        </w:tabs>
        <w:spacing w:line="360" w:lineRule="auto"/>
        <w:rPr>
          <w:b/>
          <w:szCs w:val="21"/>
        </w:rPr>
      </w:pPr>
      <w:r>
        <w:rPr>
          <w:b/>
          <w:szCs w:val="21"/>
        </w:rPr>
        <w:t>附件15</w:t>
      </w:r>
      <w:r>
        <w:rPr>
          <w:b/>
          <w:szCs w:val="21"/>
        </w:rPr>
        <w:tab/>
      </w:r>
    </w:p>
    <w:p>
      <w:pPr>
        <w:snapToGrid w:val="0"/>
        <w:spacing w:beforeLines="50" w:after="50" w:line="360" w:lineRule="auto"/>
        <w:jc w:val="center"/>
        <w:rPr>
          <w:b/>
          <w:sz w:val="36"/>
          <w:szCs w:val="36"/>
        </w:rPr>
      </w:pPr>
      <w:r>
        <w:rPr>
          <w:b/>
          <w:bCs/>
          <w:kern w:val="0"/>
          <w:sz w:val="30"/>
          <w:szCs w:val="30"/>
        </w:rPr>
        <w:t>售后服务情况表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8" w:hRule="atLeast"/>
          <w:jc w:val="center"/>
        </w:trPr>
        <w:tc>
          <w:tcPr>
            <w:tcW w:w="739" w:type="dxa"/>
            <w:vAlign w:val="center"/>
          </w:tcPr>
          <w:p>
            <w:pPr>
              <w:pStyle w:val="42"/>
              <w:spacing w:line="360" w:lineRule="auto"/>
              <w:jc w:val="center"/>
              <w:rPr>
                <w:b/>
                <w:szCs w:val="21"/>
              </w:rPr>
            </w:pPr>
            <w:r>
              <w:rPr>
                <w:b/>
                <w:szCs w:val="21"/>
              </w:rPr>
              <w:t>序号</w:t>
            </w:r>
          </w:p>
        </w:tc>
        <w:tc>
          <w:tcPr>
            <w:tcW w:w="2355" w:type="dxa"/>
            <w:vAlign w:val="center"/>
          </w:tcPr>
          <w:p>
            <w:pPr>
              <w:pStyle w:val="42"/>
              <w:spacing w:line="360" w:lineRule="auto"/>
              <w:jc w:val="center"/>
              <w:rPr>
                <w:b/>
                <w:szCs w:val="21"/>
              </w:rPr>
            </w:pPr>
            <w:r>
              <w:rPr>
                <w:b/>
                <w:szCs w:val="21"/>
              </w:rPr>
              <w:t>项目</w:t>
            </w:r>
          </w:p>
        </w:tc>
        <w:tc>
          <w:tcPr>
            <w:tcW w:w="4061" w:type="dxa"/>
            <w:vAlign w:val="center"/>
          </w:tcPr>
          <w:p>
            <w:pPr>
              <w:pStyle w:val="42"/>
              <w:spacing w:line="360" w:lineRule="auto"/>
              <w:jc w:val="center"/>
              <w:rPr>
                <w:b/>
                <w:szCs w:val="21"/>
              </w:rPr>
            </w:pPr>
            <w:r>
              <w:rPr>
                <w:b/>
                <w:szCs w:val="21"/>
              </w:rPr>
              <w:t>投标人情况</w:t>
            </w:r>
          </w:p>
        </w:tc>
        <w:tc>
          <w:tcPr>
            <w:tcW w:w="1373" w:type="dxa"/>
            <w:vAlign w:val="center"/>
          </w:tcPr>
          <w:p>
            <w:pPr>
              <w:pStyle w:val="42"/>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2"/>
              <w:spacing w:line="360" w:lineRule="auto"/>
              <w:jc w:val="center"/>
              <w:rPr>
                <w:bCs/>
                <w:szCs w:val="21"/>
              </w:rPr>
            </w:pPr>
            <w:r>
              <w:rPr>
                <w:bCs/>
                <w:szCs w:val="21"/>
              </w:rPr>
              <w:t>1</w:t>
            </w:r>
          </w:p>
        </w:tc>
        <w:tc>
          <w:tcPr>
            <w:tcW w:w="2355" w:type="dxa"/>
            <w:vMerge w:val="restart"/>
            <w:vAlign w:val="center"/>
          </w:tcPr>
          <w:p>
            <w:pPr>
              <w:pStyle w:val="42"/>
              <w:widowControl/>
              <w:spacing w:line="360" w:lineRule="auto"/>
              <w:jc w:val="left"/>
              <w:rPr>
                <w:bCs/>
                <w:szCs w:val="21"/>
              </w:rPr>
            </w:pPr>
            <w:r>
              <w:rPr>
                <w:bCs/>
                <w:szCs w:val="21"/>
              </w:rPr>
              <w:t>保修期内售后服务情况(服务方式、服务网点、售后服务的内容和措施等等，可用附页和宣传材料)</w:t>
            </w:r>
          </w:p>
        </w:tc>
        <w:tc>
          <w:tcPr>
            <w:tcW w:w="4061" w:type="dxa"/>
          </w:tcPr>
          <w:p>
            <w:pPr>
              <w:pStyle w:val="42"/>
              <w:spacing w:line="360" w:lineRule="auto"/>
              <w:rPr>
                <w:bCs/>
                <w:szCs w:val="21"/>
              </w:rPr>
            </w:pPr>
            <w:r>
              <w:rPr>
                <w:bCs/>
                <w:szCs w:val="21"/>
              </w:rPr>
              <w:t>生产厂商售后服务情况：</w:t>
            </w:r>
          </w:p>
        </w:tc>
        <w:tc>
          <w:tcPr>
            <w:tcW w:w="1373" w:type="dxa"/>
          </w:tcPr>
          <w:p>
            <w:pPr>
              <w:pStyle w:val="42"/>
              <w:spacing w:line="360" w:lineRule="auto"/>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2"/>
              <w:widowControl/>
              <w:spacing w:line="360" w:lineRule="auto"/>
              <w:jc w:val="left"/>
              <w:rPr>
                <w:bCs/>
                <w:szCs w:val="21"/>
              </w:rPr>
            </w:pPr>
          </w:p>
        </w:tc>
        <w:tc>
          <w:tcPr>
            <w:tcW w:w="2355" w:type="dxa"/>
            <w:vMerge w:val="continue"/>
            <w:vAlign w:val="center"/>
          </w:tcPr>
          <w:p>
            <w:pPr>
              <w:pStyle w:val="42"/>
              <w:widowControl/>
              <w:spacing w:line="360" w:lineRule="auto"/>
              <w:jc w:val="left"/>
              <w:rPr>
                <w:bCs/>
                <w:szCs w:val="21"/>
              </w:rPr>
            </w:pPr>
          </w:p>
        </w:tc>
        <w:tc>
          <w:tcPr>
            <w:tcW w:w="4061" w:type="dxa"/>
          </w:tcPr>
          <w:p>
            <w:pPr>
              <w:pStyle w:val="42"/>
              <w:spacing w:line="360" w:lineRule="auto"/>
              <w:rPr>
                <w:bCs/>
                <w:szCs w:val="21"/>
              </w:rPr>
            </w:pPr>
            <w:r>
              <w:rPr>
                <w:bCs/>
                <w:szCs w:val="21"/>
              </w:rPr>
              <w:t>投标人售后服务情况：</w:t>
            </w:r>
          </w:p>
        </w:tc>
        <w:tc>
          <w:tcPr>
            <w:tcW w:w="1373" w:type="dxa"/>
          </w:tcPr>
          <w:p>
            <w:pPr>
              <w:pStyle w:val="42"/>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2"/>
              <w:spacing w:line="360" w:lineRule="auto"/>
              <w:jc w:val="center"/>
              <w:rPr>
                <w:bCs/>
                <w:szCs w:val="21"/>
              </w:rPr>
            </w:pPr>
            <w:r>
              <w:rPr>
                <w:bCs/>
                <w:szCs w:val="21"/>
              </w:rPr>
              <w:t>2</w:t>
            </w:r>
          </w:p>
        </w:tc>
        <w:tc>
          <w:tcPr>
            <w:tcW w:w="2355" w:type="dxa"/>
            <w:vAlign w:val="center"/>
          </w:tcPr>
          <w:p>
            <w:pPr>
              <w:pStyle w:val="42"/>
              <w:spacing w:line="360" w:lineRule="auto"/>
              <w:rPr>
                <w:bCs/>
                <w:szCs w:val="21"/>
              </w:rPr>
            </w:pPr>
            <w:r>
              <w:rPr>
                <w:bCs/>
                <w:szCs w:val="21"/>
              </w:rPr>
              <w:t>保修期后售后服务</w:t>
            </w:r>
          </w:p>
        </w:tc>
        <w:tc>
          <w:tcPr>
            <w:tcW w:w="4061" w:type="dxa"/>
          </w:tcPr>
          <w:p>
            <w:pPr>
              <w:pStyle w:val="42"/>
              <w:widowControl/>
              <w:spacing w:line="360" w:lineRule="auto"/>
              <w:jc w:val="left"/>
              <w:rPr>
                <w:bCs/>
                <w:szCs w:val="21"/>
              </w:rPr>
            </w:pPr>
          </w:p>
          <w:p>
            <w:pPr>
              <w:pStyle w:val="42"/>
              <w:widowControl/>
              <w:spacing w:line="360" w:lineRule="auto"/>
              <w:jc w:val="left"/>
              <w:rPr>
                <w:bCs/>
                <w:szCs w:val="21"/>
              </w:rPr>
            </w:pPr>
          </w:p>
          <w:p>
            <w:pPr>
              <w:pStyle w:val="42"/>
              <w:spacing w:line="360" w:lineRule="auto"/>
              <w:rPr>
                <w:bCs/>
                <w:szCs w:val="21"/>
              </w:rPr>
            </w:pPr>
          </w:p>
        </w:tc>
        <w:tc>
          <w:tcPr>
            <w:tcW w:w="1373" w:type="dxa"/>
          </w:tcPr>
          <w:p>
            <w:pPr>
              <w:pStyle w:val="42"/>
              <w:widowControl/>
              <w:spacing w:line="360" w:lineRule="auto"/>
              <w:jc w:val="left"/>
              <w:rPr>
                <w:bCs/>
                <w:szCs w:val="21"/>
              </w:rPr>
            </w:pPr>
          </w:p>
          <w:p>
            <w:pPr>
              <w:pStyle w:val="42"/>
              <w:widowControl/>
              <w:spacing w:line="360" w:lineRule="auto"/>
              <w:jc w:val="left"/>
              <w:rPr>
                <w:bCs/>
                <w:szCs w:val="21"/>
              </w:rPr>
            </w:pPr>
          </w:p>
          <w:p>
            <w:pPr>
              <w:pStyle w:val="42"/>
              <w:spacing w:line="360" w:lineRule="auto"/>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2"/>
              <w:widowControl/>
              <w:spacing w:line="360" w:lineRule="auto"/>
              <w:jc w:val="left"/>
              <w:rPr>
                <w:bCs/>
                <w:szCs w:val="21"/>
              </w:rPr>
            </w:pPr>
            <w:r>
              <w:rPr>
                <w:bCs/>
                <w:szCs w:val="21"/>
              </w:rPr>
              <w:t xml:space="preserve"> 3</w:t>
            </w:r>
          </w:p>
        </w:tc>
        <w:tc>
          <w:tcPr>
            <w:tcW w:w="2355" w:type="dxa"/>
            <w:vAlign w:val="center"/>
          </w:tcPr>
          <w:p>
            <w:pPr>
              <w:pStyle w:val="42"/>
              <w:widowControl/>
              <w:spacing w:line="360" w:lineRule="auto"/>
              <w:jc w:val="left"/>
              <w:rPr>
                <w:bCs/>
                <w:szCs w:val="21"/>
              </w:rPr>
            </w:pPr>
            <w:r>
              <w:rPr>
                <w:bCs/>
                <w:szCs w:val="21"/>
              </w:rPr>
              <w:t>培训方案（可用附页）</w:t>
            </w:r>
          </w:p>
        </w:tc>
        <w:tc>
          <w:tcPr>
            <w:tcW w:w="4061" w:type="dxa"/>
          </w:tcPr>
          <w:p>
            <w:pPr>
              <w:pStyle w:val="42"/>
              <w:widowControl/>
              <w:spacing w:line="360" w:lineRule="auto"/>
              <w:jc w:val="left"/>
              <w:rPr>
                <w:bCs/>
                <w:i/>
                <w:szCs w:val="21"/>
              </w:rPr>
            </w:pPr>
          </w:p>
          <w:p>
            <w:pPr>
              <w:pStyle w:val="42"/>
              <w:widowControl/>
              <w:spacing w:line="360" w:lineRule="auto"/>
              <w:jc w:val="left"/>
              <w:rPr>
                <w:bCs/>
                <w:i/>
                <w:szCs w:val="21"/>
              </w:rPr>
            </w:pPr>
          </w:p>
        </w:tc>
        <w:tc>
          <w:tcPr>
            <w:tcW w:w="1373" w:type="dxa"/>
          </w:tcPr>
          <w:p>
            <w:pPr>
              <w:pStyle w:val="42"/>
              <w:widowControl/>
              <w:spacing w:line="360" w:lineRule="auto"/>
              <w:jc w:val="left"/>
              <w:rPr>
                <w:bCs/>
                <w:i/>
                <w:szCs w:val="21"/>
              </w:rPr>
            </w:pPr>
          </w:p>
          <w:p>
            <w:pPr>
              <w:pStyle w:val="42"/>
              <w:widowControl/>
              <w:spacing w:line="360" w:lineRule="auto"/>
              <w:jc w:val="left"/>
              <w:rPr>
                <w:bCs/>
                <w:i/>
                <w:szCs w:val="21"/>
              </w:rPr>
            </w:pPr>
          </w:p>
          <w:p>
            <w:pPr>
              <w:pStyle w:val="42"/>
              <w:widowControl/>
              <w:spacing w:line="360" w:lineRule="auto"/>
              <w:jc w:val="left"/>
              <w:rPr>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2"/>
              <w:widowControl/>
              <w:spacing w:line="360" w:lineRule="auto"/>
              <w:jc w:val="left"/>
              <w:rPr>
                <w:bCs/>
                <w:szCs w:val="21"/>
              </w:rPr>
            </w:pPr>
            <w:r>
              <w:rPr>
                <w:bCs/>
                <w:szCs w:val="21"/>
              </w:rPr>
              <w:t>……</w:t>
            </w:r>
          </w:p>
        </w:tc>
        <w:tc>
          <w:tcPr>
            <w:tcW w:w="2355" w:type="dxa"/>
            <w:vAlign w:val="center"/>
          </w:tcPr>
          <w:p>
            <w:pPr>
              <w:pStyle w:val="42"/>
              <w:widowControl/>
              <w:spacing w:line="360" w:lineRule="auto"/>
              <w:jc w:val="left"/>
              <w:rPr>
                <w:bCs/>
                <w:szCs w:val="21"/>
              </w:rPr>
            </w:pPr>
            <w:r>
              <w:rPr>
                <w:bCs/>
                <w:szCs w:val="21"/>
              </w:rPr>
              <w:t>……</w:t>
            </w:r>
          </w:p>
        </w:tc>
        <w:tc>
          <w:tcPr>
            <w:tcW w:w="4061" w:type="dxa"/>
          </w:tcPr>
          <w:p>
            <w:pPr>
              <w:pStyle w:val="42"/>
              <w:widowControl/>
              <w:spacing w:line="360" w:lineRule="auto"/>
              <w:jc w:val="left"/>
              <w:rPr>
                <w:bCs/>
                <w:szCs w:val="21"/>
              </w:rPr>
            </w:pPr>
          </w:p>
        </w:tc>
        <w:tc>
          <w:tcPr>
            <w:tcW w:w="1373" w:type="dxa"/>
          </w:tcPr>
          <w:p>
            <w:pPr>
              <w:pStyle w:val="42"/>
              <w:widowControl/>
              <w:spacing w:line="360" w:lineRule="auto"/>
              <w:jc w:val="left"/>
              <w:rPr>
                <w:bCs/>
                <w:szCs w:val="21"/>
              </w:rPr>
            </w:pPr>
          </w:p>
        </w:tc>
      </w:tr>
    </w:tbl>
    <w:p>
      <w:pPr>
        <w:spacing w:line="360" w:lineRule="auto"/>
        <w:ind w:left="42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3"/>
        <w:rPr>
          <w:rFonts w:ascii="Times New Roman" w:hAnsi="Times New Roman" w:eastAsia="宋体"/>
          <w:sz w:val="21"/>
          <w:szCs w:val="21"/>
        </w:rPr>
      </w:pPr>
    </w:p>
    <w:p>
      <w:pPr>
        <w:rPr>
          <w:szCs w:val="21"/>
        </w:rPr>
      </w:pPr>
    </w:p>
    <w:p>
      <w:pPr>
        <w:pStyle w:val="12"/>
      </w:pPr>
    </w:p>
    <w:p/>
    <w:p>
      <w:pPr>
        <w:rPr>
          <w:szCs w:val="21"/>
        </w:rPr>
      </w:pPr>
    </w:p>
    <w:p>
      <w:pPr>
        <w:pStyle w:val="3"/>
        <w:rPr>
          <w:rFonts w:ascii="Times New Roman" w:hAnsi="Times New Roman" w:eastAsia="宋体"/>
          <w:sz w:val="24"/>
        </w:rPr>
      </w:pPr>
    </w:p>
    <w:p>
      <w:pPr>
        <w:rPr>
          <w:sz w:val="24"/>
        </w:rPr>
      </w:pPr>
    </w:p>
    <w:p>
      <w:pPr>
        <w:pStyle w:val="11"/>
      </w:pPr>
    </w:p>
    <w:p>
      <w:pPr>
        <w:rPr>
          <w:sz w:val="24"/>
        </w:rPr>
      </w:pPr>
    </w:p>
    <w:p>
      <w:pPr>
        <w:pStyle w:val="43"/>
        <w:spacing w:line="240" w:lineRule="exact"/>
        <w:rPr>
          <w:rFonts w:ascii="Times New Roman" w:hAnsi="Times New Roman" w:eastAsia="宋体" w:cs="Times New Roman"/>
          <w:b/>
        </w:rPr>
      </w:pPr>
      <w:r>
        <w:rPr>
          <w:rFonts w:ascii="Times New Roman" w:hAnsi="Times New Roman" w:eastAsia="宋体" w:cs="Times New Roman"/>
          <w:b/>
        </w:rPr>
        <w:t>附件16</w:t>
      </w:r>
    </w:p>
    <w:p>
      <w:pPr>
        <w:snapToGrid w:val="0"/>
        <w:spacing w:beforeLines="50" w:after="50" w:line="360" w:lineRule="auto"/>
        <w:jc w:val="center"/>
        <w:rPr>
          <w:b/>
          <w:bCs/>
          <w:kern w:val="0"/>
          <w:sz w:val="30"/>
          <w:szCs w:val="30"/>
          <w:lang w:val="en-GB"/>
        </w:rPr>
      </w:pPr>
      <w:r>
        <w:rPr>
          <w:b/>
          <w:bCs/>
          <w:kern w:val="0"/>
          <w:sz w:val="30"/>
          <w:szCs w:val="30"/>
        </w:rPr>
        <w:t>主要货物用材响应表</w:t>
      </w:r>
    </w:p>
    <w:tbl>
      <w:tblPr>
        <w:tblStyle w:val="26"/>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bCs/>
                <w:szCs w:val="21"/>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品牌</w:t>
            </w:r>
          </w:p>
          <w:p>
            <w:pPr>
              <w:pStyle w:val="42"/>
              <w:autoSpaceDE w:val="0"/>
              <w:autoSpaceDN w:val="0"/>
              <w:adjustRightInd w:val="0"/>
              <w:spacing w:line="280" w:lineRule="exact"/>
              <w:ind w:right="84" w:rightChars="40"/>
              <w:jc w:val="center"/>
              <w:rPr>
                <w:szCs w:val="21"/>
              </w:rPr>
            </w:pPr>
            <w:r>
              <w:rPr>
                <w:szCs w:val="21"/>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bl>
    <w:p>
      <w:pPr>
        <w:spacing w:line="360" w:lineRule="auto"/>
        <w:rPr>
          <w:b/>
          <w:szCs w:val="21"/>
        </w:rPr>
      </w:pPr>
      <w:r>
        <w:rPr>
          <w:b/>
          <w:szCs w:val="21"/>
        </w:rPr>
        <w:t>要求：</w:t>
      </w:r>
    </w:p>
    <w:p>
      <w:pPr>
        <w:pStyle w:val="42"/>
        <w:spacing w:line="360" w:lineRule="auto"/>
        <w:ind w:left="689" w:leftChars="228" w:hanging="210" w:hangingChars="100"/>
        <w:rPr>
          <w:szCs w:val="21"/>
        </w:rPr>
      </w:pPr>
      <w:r>
        <w:rPr>
          <w:szCs w:val="21"/>
        </w:rPr>
        <w:t>1.请列出以上产品的各项主要用材、辅料、油漆、五金件等。</w:t>
      </w:r>
    </w:p>
    <w:p>
      <w:pPr>
        <w:pStyle w:val="42"/>
        <w:spacing w:line="360" w:lineRule="auto"/>
        <w:ind w:left="689" w:leftChars="228" w:hanging="210" w:hangingChars="100"/>
        <w:rPr>
          <w:szCs w:val="21"/>
        </w:rPr>
      </w:pPr>
      <w:r>
        <w:rPr>
          <w:szCs w:val="21"/>
        </w:rPr>
        <w:t>2.本表所列产品主要用材均为采购人抽样送检的范围。</w:t>
      </w:r>
    </w:p>
    <w:p>
      <w:pPr>
        <w:spacing w:line="360" w:lineRule="auto"/>
        <w:ind w:firstLine="420" w:firstLineChars="20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pacing w:line="360" w:lineRule="auto"/>
        <w:ind w:firstLine="435"/>
        <w:rPr>
          <w:szCs w:val="21"/>
        </w:rPr>
      </w:pPr>
    </w:p>
    <w:p>
      <w:pPr>
        <w:pStyle w:val="37"/>
        <w:rPr>
          <w:rFonts w:ascii="Times New Roman" w:hAnsi="Times New Roman" w:eastAsia="宋体" w:cs="Times New Roman"/>
        </w:rPr>
      </w:pPr>
    </w:p>
    <w:p>
      <w:pPr>
        <w:spacing w:line="360" w:lineRule="auto"/>
        <w:ind w:right="-110"/>
        <w:jc w:val="left"/>
        <w:rPr>
          <w:b/>
          <w:sz w:val="28"/>
        </w:rPr>
      </w:pPr>
    </w:p>
    <w:p>
      <w:pPr>
        <w:pStyle w:val="11"/>
      </w:pPr>
    </w:p>
    <w:p>
      <w:pPr>
        <w:spacing w:line="360" w:lineRule="auto"/>
        <w:ind w:right="-110"/>
        <w:jc w:val="left"/>
        <w:rPr>
          <w:b/>
          <w:sz w:val="28"/>
        </w:rPr>
      </w:pPr>
    </w:p>
    <w:p>
      <w:pPr>
        <w:spacing w:line="360" w:lineRule="auto"/>
        <w:ind w:right="-110"/>
        <w:jc w:val="left"/>
        <w:rPr>
          <w:b/>
          <w:szCs w:val="21"/>
        </w:rPr>
      </w:pPr>
      <w:r>
        <w:rPr>
          <w:b/>
          <w:szCs w:val="21"/>
        </w:rPr>
        <w:t>附件17</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eastAsia" w:eastAsia="宋体"/>
          <w:b/>
          <w:bCs/>
          <w:kern w:val="0"/>
          <w:sz w:val="36"/>
          <w:szCs w:val="36"/>
          <w:lang w:eastAsia="zh-CN"/>
        </w:rPr>
      </w:pPr>
      <w:r>
        <w:rPr>
          <w:rFonts w:hint="eastAsia"/>
          <w:b/>
          <w:bCs/>
          <w:kern w:val="0"/>
          <w:sz w:val="36"/>
          <w:szCs w:val="36"/>
          <w:lang w:eastAsia="zh-CN"/>
        </w:rPr>
        <w:t>玉环市人民医院健共体集团厨房设备采购</w:t>
      </w:r>
    </w:p>
    <w:p>
      <w:pPr>
        <w:spacing w:after="100" w:afterAutospacing="1" w:line="360" w:lineRule="auto"/>
        <w:ind w:right="-108"/>
        <w:jc w:val="center"/>
        <w:rPr>
          <w:rFonts w:hint="eastAsia" w:eastAsia="宋体"/>
          <w:b/>
          <w:kern w:val="0"/>
          <w:sz w:val="32"/>
          <w:lang w:eastAsia="zh-CN"/>
        </w:rPr>
      </w:pPr>
      <w:r>
        <w:rPr>
          <w:sz w:val="36"/>
          <w:szCs w:val="36"/>
        </w:rPr>
        <w:t>项目编号：</w:t>
      </w:r>
      <w:r>
        <w:rPr>
          <w:rFonts w:hint="eastAsia"/>
          <w:b/>
          <w:kern w:val="0"/>
          <w:sz w:val="32"/>
          <w:lang w:eastAsia="zh-CN"/>
        </w:rPr>
        <w:t>DDZX2023-Y-GK-20</w:t>
      </w:r>
    </w:p>
    <w:p>
      <w:pPr>
        <w:pStyle w:val="3"/>
        <w:rPr>
          <w:rFonts w:ascii="Times New Roman" w:hAnsi="Times New Roman" w:eastAsia="宋体"/>
        </w:rPr>
      </w:pPr>
    </w:p>
    <w:p>
      <w:pPr>
        <w:spacing w:after="100" w:afterAutospacing="1" w:line="360" w:lineRule="auto"/>
        <w:ind w:right="-108"/>
        <w:jc w:val="center"/>
        <w:rPr>
          <w:b/>
          <w:spacing w:val="40"/>
          <w:sz w:val="84"/>
          <w:szCs w:val="84"/>
        </w:rPr>
      </w:pPr>
      <w:r>
        <w:rPr>
          <w:b/>
          <w:spacing w:val="40"/>
          <w:sz w:val="84"/>
          <w:szCs w:val="84"/>
        </w:rPr>
        <w:t>报</w:t>
      </w:r>
    </w:p>
    <w:p>
      <w:pPr>
        <w:spacing w:after="100" w:afterAutospacing="1" w:line="360" w:lineRule="auto"/>
        <w:ind w:right="-108"/>
        <w:jc w:val="center"/>
        <w:rPr>
          <w:b/>
          <w:spacing w:val="40"/>
          <w:sz w:val="84"/>
          <w:szCs w:val="84"/>
        </w:rPr>
      </w:pPr>
      <w:r>
        <w:rPr>
          <w:b/>
          <w:spacing w:val="40"/>
          <w:sz w:val="84"/>
          <w:szCs w:val="84"/>
        </w:rPr>
        <w:t>价</w:t>
      </w:r>
    </w:p>
    <w:p>
      <w:pPr>
        <w:spacing w:after="100" w:afterAutospacing="1" w:line="360" w:lineRule="auto"/>
        <w:ind w:right="-108"/>
        <w:jc w:val="center"/>
        <w:rPr>
          <w:b/>
          <w:spacing w:val="40"/>
          <w:sz w:val="84"/>
          <w:szCs w:val="84"/>
        </w:rPr>
      </w:pPr>
      <w:r>
        <w:rPr>
          <w:b/>
          <w:spacing w:val="40"/>
          <w:sz w:val="84"/>
          <w:szCs w:val="84"/>
        </w:rPr>
        <w:t>文</w:t>
      </w:r>
    </w:p>
    <w:p>
      <w:pPr>
        <w:spacing w:after="100" w:afterAutospacing="1" w:line="360" w:lineRule="auto"/>
        <w:ind w:right="-108"/>
        <w:jc w:val="center"/>
        <w:rPr>
          <w:sz w:val="36"/>
          <w:szCs w:val="36"/>
        </w:rPr>
      </w:pPr>
      <w:r>
        <w:rPr>
          <w:b/>
          <w:spacing w:val="40"/>
          <w:sz w:val="84"/>
          <w:szCs w:val="84"/>
        </w:rPr>
        <w:t>件</w:t>
      </w:r>
    </w:p>
    <w:p>
      <w:pPr>
        <w:spacing w:line="360" w:lineRule="auto"/>
        <w:ind w:right="532"/>
        <w:rPr>
          <w:sz w:val="36"/>
          <w:szCs w:val="36"/>
        </w:rPr>
      </w:pPr>
    </w:p>
    <w:p>
      <w:pPr>
        <w:spacing w:line="360" w:lineRule="auto"/>
        <w:ind w:right="532"/>
        <w:jc w:val="center"/>
        <w:rPr>
          <w:sz w:val="36"/>
          <w:szCs w:val="36"/>
        </w:rPr>
      </w:pPr>
    </w:p>
    <w:p>
      <w:pPr>
        <w:spacing w:line="360" w:lineRule="auto"/>
        <w:ind w:right="532" w:firstLine="1680" w:firstLineChars="700"/>
        <w:rPr>
          <w:sz w:val="24"/>
        </w:rPr>
      </w:pPr>
      <w:r>
        <w:rPr>
          <w:sz w:val="24"/>
        </w:rPr>
        <w:t>投标人全称（公章）：</w:t>
      </w:r>
    </w:p>
    <w:p>
      <w:pPr>
        <w:spacing w:line="360" w:lineRule="auto"/>
        <w:ind w:right="532" w:firstLine="1680" w:firstLineChars="700"/>
        <w:rPr>
          <w:sz w:val="24"/>
        </w:rPr>
      </w:pPr>
      <w:r>
        <w:rPr>
          <w:sz w:val="24"/>
        </w:rPr>
        <w:t>地    址：</w:t>
      </w:r>
    </w:p>
    <w:p>
      <w:pPr>
        <w:spacing w:line="360" w:lineRule="auto"/>
        <w:ind w:right="532" w:firstLine="1680" w:firstLineChars="700"/>
        <w:rPr>
          <w:sz w:val="24"/>
        </w:rPr>
      </w:pPr>
      <w:r>
        <w:rPr>
          <w:sz w:val="24"/>
        </w:rPr>
        <w:t>时    间：</w:t>
      </w:r>
    </w:p>
    <w:p>
      <w:pPr>
        <w:spacing w:line="360" w:lineRule="auto"/>
        <w:ind w:right="-108"/>
        <w:jc w:val="center"/>
        <w:rPr>
          <w:b/>
          <w:sz w:val="30"/>
          <w:szCs w:val="30"/>
        </w:rPr>
      </w:pPr>
    </w:p>
    <w:p>
      <w:pPr>
        <w:pStyle w:val="12"/>
        <w:rPr>
          <w:b/>
          <w:sz w:val="30"/>
          <w:szCs w:val="30"/>
        </w:rPr>
      </w:pPr>
    </w:p>
    <w:p>
      <w:pPr>
        <w:pStyle w:val="19"/>
      </w:pPr>
    </w:p>
    <w:p>
      <w:pPr>
        <w:pStyle w:val="37"/>
        <w:rPr>
          <w:rFonts w:ascii="Times New Roman" w:hAnsi="Times New Roman" w:eastAsia="宋体" w:cs="Times New Roman"/>
        </w:rPr>
      </w:pPr>
    </w:p>
    <w:p>
      <w:pPr>
        <w:spacing w:line="360" w:lineRule="auto"/>
        <w:ind w:right="-108"/>
        <w:jc w:val="center"/>
        <w:rPr>
          <w:b/>
          <w:sz w:val="30"/>
          <w:szCs w:val="30"/>
        </w:rPr>
      </w:pPr>
      <w:r>
        <w:rPr>
          <w:b/>
          <w:sz w:val="30"/>
          <w:szCs w:val="30"/>
        </w:rPr>
        <w:t>报价文件目录</w:t>
      </w:r>
    </w:p>
    <w:p>
      <w:pPr>
        <w:spacing w:line="400" w:lineRule="exact"/>
        <w:ind w:firstLine="560" w:firstLineChars="200"/>
        <w:rPr>
          <w:sz w:val="28"/>
          <w:szCs w:val="28"/>
        </w:rPr>
      </w:pPr>
    </w:p>
    <w:p>
      <w:pPr>
        <w:snapToGrid w:val="0"/>
        <w:spacing w:line="600" w:lineRule="exact"/>
        <w:ind w:firstLine="420" w:firstLineChars="200"/>
        <w:jc w:val="left"/>
        <w:rPr>
          <w:szCs w:val="21"/>
        </w:rPr>
      </w:pPr>
      <w:r>
        <w:rPr>
          <w:szCs w:val="21"/>
        </w:rPr>
        <w:t>1、开标一览表（附件18）；</w:t>
      </w:r>
    </w:p>
    <w:p>
      <w:pPr>
        <w:pStyle w:val="15"/>
        <w:snapToGrid w:val="0"/>
        <w:spacing w:line="600" w:lineRule="exact"/>
        <w:ind w:left="0" w:leftChars="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2、报价明细表（附件19）</w:t>
      </w:r>
      <w:r>
        <w:rPr>
          <w:rFonts w:hint="eastAsia" w:ascii="Times New Roman" w:hAnsi="Times New Roman" w:eastAsia="宋体" w:cs="Times New Roman"/>
          <w:sz w:val="21"/>
          <w:szCs w:val="21"/>
        </w:rPr>
        <w:t>。</w:t>
      </w:r>
    </w:p>
    <w:p>
      <w:pPr>
        <w:spacing w:line="360" w:lineRule="auto"/>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pStyle w:val="12"/>
        <w:rPr>
          <w:b/>
          <w:sz w:val="28"/>
        </w:rPr>
      </w:pPr>
    </w:p>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pStyle w:val="11"/>
        <w:rPr>
          <w:b/>
          <w:sz w:val="28"/>
        </w:rPr>
      </w:pPr>
    </w:p>
    <w:p>
      <w:pPr>
        <w:rPr>
          <w:b/>
          <w:sz w:val="28"/>
        </w:rPr>
      </w:pPr>
    </w:p>
    <w:p>
      <w:pPr>
        <w:pStyle w:val="11"/>
        <w:rPr>
          <w:b/>
          <w:sz w:val="28"/>
        </w:rPr>
      </w:pPr>
    </w:p>
    <w:p/>
    <w:p>
      <w:pPr>
        <w:spacing w:line="240" w:lineRule="exact"/>
        <w:rPr>
          <w:b/>
          <w:szCs w:val="21"/>
        </w:rPr>
      </w:pPr>
      <w:r>
        <w:rPr>
          <w:b/>
          <w:szCs w:val="21"/>
        </w:rPr>
        <w:t>附件18</w:t>
      </w:r>
    </w:p>
    <w:p>
      <w:pPr>
        <w:snapToGrid w:val="0"/>
        <w:spacing w:beforeLines="50" w:after="50" w:line="360" w:lineRule="auto"/>
        <w:jc w:val="center"/>
        <w:rPr>
          <w:b/>
          <w:bCs/>
          <w:kern w:val="0"/>
          <w:sz w:val="30"/>
          <w:szCs w:val="30"/>
        </w:rPr>
      </w:pPr>
      <w:r>
        <w:rPr>
          <w:b/>
          <w:bCs/>
          <w:kern w:val="0"/>
          <w:sz w:val="30"/>
          <w:szCs w:val="30"/>
        </w:rPr>
        <w:t>开标一览表</w:t>
      </w:r>
    </w:p>
    <w:p>
      <w:pPr>
        <w:pStyle w:val="13"/>
        <w:spacing w:line="320" w:lineRule="exact"/>
        <w:rPr>
          <w:rFonts w:ascii="Times New Roman" w:hAnsi="Times New Roman" w:cs="Times New Roman"/>
          <w:b/>
          <w:szCs w:val="21"/>
        </w:rPr>
      </w:pPr>
      <w:r>
        <w:rPr>
          <w:rFonts w:ascii="Times New Roman" w:hAnsi="Times New Roman" w:cs="Times New Roman"/>
          <w:b/>
          <w:szCs w:val="21"/>
        </w:rPr>
        <w:t>项目编号：</w:t>
      </w:r>
    </w:p>
    <w:p>
      <w:pPr>
        <w:pStyle w:val="46"/>
        <w:spacing w:line="360" w:lineRule="auto"/>
        <w:ind w:right="-94"/>
        <w:jc w:val="left"/>
        <w:rPr>
          <w:szCs w:val="21"/>
        </w:rPr>
      </w:pPr>
      <w:r>
        <w:rPr>
          <w:b/>
          <w:szCs w:val="21"/>
        </w:rPr>
        <w:t>项目名称：</w:t>
      </w:r>
      <w:r>
        <w:rPr>
          <w:szCs w:val="21"/>
        </w:rPr>
        <w:t xml:space="preserve">                             </w:t>
      </w:r>
      <w:r>
        <w:rPr>
          <w:rFonts w:hint="eastAsia"/>
          <w:szCs w:val="21"/>
        </w:rPr>
        <w:t xml:space="preserve">             </w:t>
      </w:r>
      <w:r>
        <w:rPr>
          <w:szCs w:val="21"/>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szCs w:val="21"/>
              </w:rPr>
            </w:pPr>
          </w:p>
        </w:tc>
      </w:tr>
    </w:tbl>
    <w:p>
      <w:pPr>
        <w:spacing w:line="360" w:lineRule="auto"/>
        <w:rPr>
          <w:szCs w:val="21"/>
        </w:rPr>
      </w:pPr>
      <w:r>
        <w:rPr>
          <w:b/>
          <w:szCs w:val="21"/>
        </w:rPr>
        <w:t>填报要求：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eastAsia="宋体" w:cs="Times New Roman"/>
          <w:color w:val="auto"/>
          <w:szCs w:val="21"/>
          <w:highlight w:val="none"/>
        </w:rPr>
      </w:pPr>
      <w:r>
        <w:rPr>
          <w:bCs/>
          <w:kern w:val="0"/>
          <w:szCs w:val="21"/>
        </w:rPr>
        <w:t>1</w:t>
      </w:r>
      <w:r>
        <w:rPr>
          <w:kern w:val="0"/>
          <w:szCs w:val="21"/>
        </w:rPr>
        <w:t>.</w:t>
      </w:r>
      <w:r>
        <w:rPr>
          <w:rFonts w:hint="default" w:eastAsia="宋体"/>
          <w:szCs w:val="21"/>
          <w:lang w:val="zh-CN"/>
        </w:rPr>
        <w:t>总报价</w:t>
      </w:r>
      <w:r>
        <w:rPr>
          <w:rFonts w:hint="default" w:eastAsia="宋体"/>
          <w:szCs w:val="21"/>
        </w:rPr>
        <w:t>是履行合同的最终价格，应包括货款、标准附件、备品备件、专用工具、包装、运输、装卸、</w:t>
      </w:r>
      <w:r>
        <w:rPr>
          <w:rFonts w:hint="eastAsia"/>
          <w:szCs w:val="21"/>
          <w:lang w:val="en-US" w:eastAsia="zh-CN"/>
        </w:rPr>
        <w:t>仓储、</w:t>
      </w:r>
      <w:r>
        <w:rPr>
          <w:rFonts w:hint="default" w:eastAsia="宋体"/>
          <w:szCs w:val="21"/>
        </w:rPr>
        <w:t>货到就位以及安装、</w:t>
      </w:r>
      <w:r>
        <w:rPr>
          <w:rFonts w:hint="eastAsia"/>
          <w:szCs w:val="21"/>
          <w:lang w:val="en-US" w:eastAsia="zh-CN"/>
        </w:rPr>
        <w:t>验收检验、</w:t>
      </w:r>
      <w:r>
        <w:rPr>
          <w:rFonts w:hint="default" w:eastAsia="宋体"/>
          <w:szCs w:val="21"/>
        </w:rPr>
        <w:t>调试</w:t>
      </w:r>
      <w:r>
        <w:rPr>
          <w:rFonts w:hint="eastAsia"/>
          <w:szCs w:val="21"/>
          <w:lang w:eastAsia="zh-CN"/>
        </w:rPr>
        <w:t>（</w:t>
      </w:r>
      <w:r>
        <w:rPr>
          <w:rFonts w:hint="eastAsia"/>
          <w:szCs w:val="21"/>
          <w:lang w:val="en-US" w:eastAsia="zh-CN"/>
        </w:rPr>
        <w:t>试剂</w:t>
      </w:r>
      <w:r>
        <w:rPr>
          <w:rFonts w:hint="eastAsia"/>
          <w:szCs w:val="21"/>
          <w:lang w:eastAsia="zh-CN"/>
        </w:rPr>
        <w:t>）</w:t>
      </w:r>
      <w:r>
        <w:rPr>
          <w:rFonts w:hint="default" w:eastAsia="宋体"/>
          <w:szCs w:val="21"/>
        </w:rPr>
        <w:t>、培训、保修</w:t>
      </w:r>
      <w:r>
        <w:rPr>
          <w:rFonts w:hint="eastAsia" w:eastAsia="宋体"/>
          <w:szCs w:val="21"/>
          <w:lang w:eastAsia="zh-CN"/>
        </w:rPr>
        <w:t>、</w:t>
      </w:r>
      <w:r>
        <w:rPr>
          <w:rFonts w:hint="default" w:eastAsia="宋体"/>
          <w:szCs w:val="21"/>
        </w:rPr>
        <w:t>保险、税金、</w:t>
      </w:r>
      <w:r>
        <w:rPr>
          <w:rFonts w:hint="eastAsia" w:eastAsia="宋体"/>
          <w:szCs w:val="21"/>
          <w:lang w:val="en-US" w:eastAsia="zh-CN"/>
        </w:rPr>
        <w:t>招标</w:t>
      </w:r>
      <w:r>
        <w:rPr>
          <w:rFonts w:hint="default" w:eastAsia="宋体"/>
          <w:szCs w:val="21"/>
        </w:rPr>
        <w:t>代理服务费、合同包含的所有风险责任等各项费用及不可预见费等所需的全部费用。</w:t>
      </w:r>
    </w:p>
    <w:p>
      <w:pPr>
        <w:spacing w:line="460" w:lineRule="exact"/>
        <w:ind w:firstLine="420" w:firstLineChars="200"/>
        <w:rPr>
          <w:b/>
          <w:i/>
          <w:szCs w:val="21"/>
          <w:u w:val="single"/>
        </w:rPr>
      </w:pPr>
      <w:r>
        <w:rPr>
          <w:kern w:val="0"/>
          <w:szCs w:val="21"/>
        </w:rPr>
        <w:t>2.报价一经涂改，应在涂改处加盖单位公章，否则其投标作无效标处理。</w:t>
      </w:r>
    </w:p>
    <w:p>
      <w:pPr>
        <w:spacing w:line="360" w:lineRule="auto"/>
        <w:ind w:left="42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pacing w:line="360" w:lineRule="auto"/>
        <w:rPr>
          <w:b/>
          <w:szCs w:val="21"/>
        </w:rPr>
      </w:pPr>
    </w:p>
    <w:p>
      <w:pPr>
        <w:spacing w:line="360" w:lineRule="auto"/>
        <w:rPr>
          <w:b/>
          <w:sz w:val="28"/>
        </w:rPr>
      </w:pPr>
    </w:p>
    <w:p>
      <w:pPr>
        <w:spacing w:line="360" w:lineRule="auto"/>
        <w:rPr>
          <w:b/>
          <w:sz w:val="28"/>
        </w:rPr>
      </w:pPr>
    </w:p>
    <w:p>
      <w:pPr>
        <w:spacing w:line="360" w:lineRule="auto"/>
        <w:rPr>
          <w:b/>
          <w:sz w:val="28"/>
        </w:rPr>
      </w:pPr>
    </w:p>
    <w:p>
      <w:pPr>
        <w:pStyle w:val="11"/>
      </w:pPr>
    </w:p>
    <w:p>
      <w:pPr>
        <w:pStyle w:val="11"/>
      </w:pPr>
    </w:p>
    <w:p>
      <w:pPr>
        <w:pStyle w:val="11"/>
      </w:pPr>
    </w:p>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37"/>
        <w:rPr>
          <w:rFonts w:ascii="Times New Roman" w:hAnsi="Times New Roman" w:eastAsia="宋体" w:cs="Times New Roman"/>
        </w:rPr>
      </w:pPr>
    </w:p>
    <w:p>
      <w:pPr>
        <w:spacing w:line="240" w:lineRule="exact"/>
        <w:rPr>
          <w:b/>
          <w:sz w:val="24"/>
          <w:szCs w:val="22"/>
        </w:rPr>
      </w:pPr>
    </w:p>
    <w:p>
      <w:pPr>
        <w:spacing w:line="240" w:lineRule="exact"/>
        <w:rPr>
          <w:b/>
          <w:szCs w:val="21"/>
        </w:rPr>
      </w:pPr>
      <w:r>
        <w:rPr>
          <w:b/>
          <w:szCs w:val="21"/>
        </w:rPr>
        <w:t>附件19</w:t>
      </w:r>
    </w:p>
    <w:p>
      <w:pPr>
        <w:snapToGrid w:val="0"/>
        <w:spacing w:beforeLines="50" w:after="50" w:line="360" w:lineRule="auto"/>
        <w:jc w:val="center"/>
        <w:rPr>
          <w:b/>
          <w:bCs/>
          <w:kern w:val="0"/>
          <w:sz w:val="30"/>
          <w:szCs w:val="30"/>
        </w:rPr>
      </w:pPr>
      <w:r>
        <w:rPr>
          <w:b/>
          <w:bCs/>
          <w:kern w:val="0"/>
          <w:sz w:val="30"/>
          <w:szCs w:val="30"/>
        </w:rPr>
        <w:t>报价明细表</w:t>
      </w:r>
    </w:p>
    <w:p>
      <w:pPr>
        <w:spacing w:line="360" w:lineRule="auto"/>
        <w:rPr>
          <w:szCs w:val="21"/>
        </w:rPr>
      </w:pPr>
      <w:r>
        <w:rPr>
          <w:szCs w:val="21"/>
        </w:rPr>
        <w:t xml:space="preserve">  项目编号：                          </w:t>
      </w:r>
      <w:r>
        <w:rPr>
          <w:rFonts w:hint="eastAsia"/>
          <w:szCs w:val="21"/>
        </w:rPr>
        <w:t xml:space="preserve">          </w:t>
      </w:r>
      <w:r>
        <w:rPr>
          <w:szCs w:val="21"/>
        </w:rPr>
        <w:t xml:space="preserve">          [货币单位：人民币元]</w:t>
      </w:r>
    </w:p>
    <w:tbl>
      <w:tblPr>
        <w:tblStyle w:val="2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b/>
                <w:szCs w:val="21"/>
              </w:rPr>
            </w:pPr>
            <w:r>
              <w:rPr>
                <w:b/>
                <w:szCs w:val="21"/>
              </w:rPr>
              <w:t>序号</w:t>
            </w:r>
          </w:p>
        </w:tc>
        <w:tc>
          <w:tcPr>
            <w:tcW w:w="1460" w:type="dxa"/>
            <w:vAlign w:val="center"/>
          </w:tcPr>
          <w:p>
            <w:pPr>
              <w:tabs>
                <w:tab w:val="left" w:pos="8280"/>
              </w:tabs>
              <w:autoSpaceDE w:val="0"/>
              <w:autoSpaceDN w:val="0"/>
              <w:adjustRightInd w:val="0"/>
              <w:spacing w:line="360" w:lineRule="auto"/>
              <w:ind w:right="25"/>
              <w:jc w:val="center"/>
              <w:rPr>
                <w:b/>
                <w:szCs w:val="21"/>
              </w:rPr>
            </w:pPr>
            <w:r>
              <w:rPr>
                <w:b/>
                <w:szCs w:val="21"/>
              </w:rPr>
              <w:t>报价项目</w:t>
            </w:r>
          </w:p>
        </w:tc>
        <w:tc>
          <w:tcPr>
            <w:tcW w:w="1559" w:type="dxa"/>
            <w:vAlign w:val="center"/>
          </w:tcPr>
          <w:p>
            <w:pPr>
              <w:tabs>
                <w:tab w:val="left" w:pos="8280"/>
              </w:tabs>
              <w:autoSpaceDE w:val="0"/>
              <w:autoSpaceDN w:val="0"/>
              <w:adjustRightInd w:val="0"/>
              <w:spacing w:line="360" w:lineRule="auto"/>
              <w:ind w:right="25"/>
              <w:jc w:val="center"/>
              <w:rPr>
                <w:b/>
                <w:szCs w:val="21"/>
              </w:rPr>
            </w:pPr>
            <w:r>
              <w:rPr>
                <w:b/>
                <w:szCs w:val="21"/>
              </w:rPr>
              <w:t>品牌、产地</w:t>
            </w:r>
          </w:p>
        </w:tc>
        <w:tc>
          <w:tcPr>
            <w:tcW w:w="1559" w:type="dxa"/>
            <w:vAlign w:val="center"/>
          </w:tcPr>
          <w:p>
            <w:pPr>
              <w:spacing w:line="360" w:lineRule="auto"/>
              <w:ind w:left="52"/>
              <w:jc w:val="center"/>
              <w:rPr>
                <w:b/>
                <w:szCs w:val="21"/>
              </w:rPr>
            </w:pPr>
            <w:r>
              <w:rPr>
                <w:b/>
                <w:szCs w:val="21"/>
              </w:rPr>
              <w:t>型号规格</w:t>
            </w:r>
          </w:p>
        </w:tc>
        <w:tc>
          <w:tcPr>
            <w:tcW w:w="851" w:type="dxa"/>
            <w:vAlign w:val="center"/>
          </w:tcPr>
          <w:p>
            <w:pPr>
              <w:spacing w:line="360" w:lineRule="auto"/>
              <w:ind w:left="152"/>
              <w:jc w:val="center"/>
              <w:rPr>
                <w:b/>
                <w:szCs w:val="21"/>
              </w:rPr>
            </w:pPr>
            <w:r>
              <w:rPr>
                <w:b/>
                <w:szCs w:val="21"/>
              </w:rPr>
              <w:t>数量</w:t>
            </w:r>
          </w:p>
        </w:tc>
        <w:tc>
          <w:tcPr>
            <w:tcW w:w="992" w:type="dxa"/>
            <w:vAlign w:val="center"/>
          </w:tcPr>
          <w:p>
            <w:pPr>
              <w:spacing w:line="360" w:lineRule="auto"/>
              <w:jc w:val="center"/>
              <w:rPr>
                <w:b/>
                <w:szCs w:val="21"/>
              </w:rPr>
            </w:pPr>
            <w:r>
              <w:rPr>
                <w:b/>
                <w:szCs w:val="21"/>
              </w:rPr>
              <w:t>单价</w:t>
            </w:r>
          </w:p>
        </w:tc>
        <w:tc>
          <w:tcPr>
            <w:tcW w:w="992" w:type="dxa"/>
            <w:vAlign w:val="center"/>
          </w:tcPr>
          <w:p>
            <w:pPr>
              <w:spacing w:line="360" w:lineRule="auto"/>
              <w:jc w:val="center"/>
              <w:rPr>
                <w:b/>
                <w:szCs w:val="21"/>
              </w:rPr>
            </w:pPr>
            <w:r>
              <w:rPr>
                <w:b/>
                <w:szCs w:val="21"/>
              </w:rPr>
              <w:t>小计</w:t>
            </w:r>
          </w:p>
        </w:tc>
        <w:tc>
          <w:tcPr>
            <w:tcW w:w="709" w:type="dxa"/>
            <w:vAlign w:val="center"/>
          </w:tcPr>
          <w:p>
            <w:pPr>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b/>
                <w:szCs w:val="21"/>
              </w:rPr>
            </w:pPr>
            <w:r>
              <w:rPr>
                <w:b/>
                <w:szCs w:val="21"/>
              </w:rPr>
              <w:t>合计人民币：大写                               小写</w:t>
            </w:r>
          </w:p>
        </w:tc>
      </w:tr>
    </w:tbl>
    <w:p>
      <w:pPr>
        <w:spacing w:line="360" w:lineRule="auto"/>
        <w:rPr>
          <w:b/>
          <w:szCs w:val="21"/>
        </w:rPr>
      </w:pPr>
      <w:r>
        <w:rPr>
          <w:b/>
          <w:szCs w:val="21"/>
        </w:rPr>
        <w:t>要求：</w:t>
      </w:r>
    </w:p>
    <w:p>
      <w:pPr>
        <w:spacing w:line="440" w:lineRule="exact"/>
        <w:ind w:firstLine="420" w:firstLineChars="200"/>
        <w:rPr>
          <w:szCs w:val="21"/>
        </w:rPr>
      </w:pPr>
      <w:r>
        <w:rPr>
          <w:szCs w:val="21"/>
        </w:rPr>
        <w:t>1.本表为《开标一览表》的报价明细表，如有缺项、漏项，视为投标报价中已包含相关费用，采购人无需另外支付任何费用。</w:t>
      </w:r>
    </w:p>
    <w:p>
      <w:pPr>
        <w:spacing w:line="440" w:lineRule="exact"/>
        <w:ind w:firstLine="420" w:firstLineChars="200"/>
        <w:rPr>
          <w:szCs w:val="21"/>
          <w:lang w:val="zh-CN"/>
        </w:rPr>
      </w:pPr>
      <w:r>
        <w:rPr>
          <w:szCs w:val="21"/>
        </w:rPr>
        <w:t>2.</w:t>
      </w:r>
      <w:r>
        <w:rPr>
          <w:szCs w:val="21"/>
          <w:lang w:val="zh-CN"/>
        </w:rPr>
        <w:t>“报价明细表”中的报价合计应与“开标一览表”中的投标总报价相一致，不一致时，以开标一览表为准。</w:t>
      </w:r>
    </w:p>
    <w:p>
      <w:pPr>
        <w:spacing w:line="440" w:lineRule="exact"/>
        <w:ind w:firstLine="420" w:firstLineChars="200"/>
        <w:rPr>
          <w:szCs w:val="21"/>
          <w:lang w:val="zh-CN"/>
        </w:rPr>
      </w:pPr>
      <w:r>
        <w:rPr>
          <w:szCs w:val="21"/>
        </w:rPr>
        <w:t>3.</w:t>
      </w:r>
      <w:r>
        <w:rPr>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szCs w:val="21"/>
          <w:lang w:val="zh-CN"/>
        </w:rPr>
      </w:pPr>
      <w:r>
        <w:rPr>
          <w:szCs w:val="21"/>
          <w:lang w:val="zh-CN"/>
        </w:rPr>
        <w:t>▲4. 本表中的型号规格必须明确，招标文件中明确要求定制的除外。</w:t>
      </w:r>
    </w:p>
    <w:p>
      <w:pPr>
        <w:spacing w:line="360" w:lineRule="auto"/>
        <w:ind w:firstLine="420" w:firstLineChars="200"/>
        <w:rPr>
          <w:szCs w:val="21"/>
        </w:rPr>
      </w:pPr>
    </w:p>
    <w:p>
      <w:pPr>
        <w:pStyle w:val="11"/>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rPr>
      </w:pPr>
      <w:r>
        <w:rPr>
          <w:rFonts w:ascii="Times New Roman" w:hAnsi="Times New Roman" w:cs="Times New Roman"/>
          <w:sz w:val="21"/>
          <w:szCs w:val="21"/>
        </w:rPr>
        <w:t>日        期：</w:t>
      </w:r>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11"/>
        <w:rPr>
          <w:b/>
          <w:sz w:val="28"/>
          <w:lang w:val="en-GB"/>
        </w:rPr>
      </w:pPr>
    </w:p>
    <w:sectPr>
      <w:headerReference r:id="rId10" w:type="first"/>
      <w:footerReference r:id="rId12" w:type="first"/>
      <w:headerReference r:id="rId9" w:type="default"/>
      <w:footerReference r:id="rId11" w:type="default"/>
      <w:pgSz w:w="11906" w:h="16838"/>
      <w:pgMar w:top="1440" w:right="1800" w:bottom="1757" w:left="1800"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posOffset>2586355</wp:posOffset>
              </wp:positionH>
              <wp:positionV relativeFrom="paragraph">
                <wp:posOffset>76200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65pt;margin-top:6pt;height:144pt;width:144pt;mso-position-horizontal-relative:margin;mso-wrap-style:none;z-index:251661312;mso-width-relative:page;mso-height-relative:page;" filled="f" stroked="f" coordsize="21600,21600" o:gfxdata="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9Raq+1gAAAAoBAAAPAAAAAAAAAAEAIAAAACIAAABkcnMvZG93bnJl&#10;di54bWxQSwECFAAUAAAACACHTuJArLLe2jgCAABzBAAADgAAAAAAAAABACAAAAAlAQAAZHJzL2Uy&#10;b0RvYy54bWxQSwUGAAAAAAYABgBZAQAAz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r>
      <w:rPr>
        <w:kern w:val="0"/>
        <w:sz w:val="24"/>
      </w:rPr>
      <w:drawing>
        <wp:inline distT="0" distB="0" distL="114300" distR="114300">
          <wp:extent cx="259715" cy="246380"/>
          <wp:effectExtent l="0" t="0" r="6985" b="1270"/>
          <wp:docPr id="379" name="图片 3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大地工程咨询有限公司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posOffset>2548255</wp:posOffset>
              </wp:positionH>
              <wp:positionV relativeFrom="paragraph">
                <wp:posOffset>114300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65pt;margin-top:9pt;height:144pt;width:144pt;mso-position-horizontal-relative:margin;mso-wrap-style:none;z-index:251662336;mso-width-relative:page;mso-height-relative:page;" filled="f" stroked="f" coordsize="21600,21600" o:gfxdata="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xJ5T1gAAAAoBAAAPAAAAAAAAAAEAIAAAACIAAABkcnMvZG93bnJldi54bWxQ&#10;SwECFAAUAAAACACHTuJASMH2VTICAABlBAAADgAAAAAAAAABACAAAAAl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kern w:val="0"/>
        <w:sz w:val="24"/>
      </w:rPr>
      <w:drawing>
        <wp:inline distT="0" distB="0" distL="114300" distR="114300">
          <wp:extent cx="259715" cy="246380"/>
          <wp:effectExtent l="0" t="0" r="6985" b="1270"/>
          <wp:docPr id="261" name="图片 2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right"/>
      <w:rPr>
        <w:rFonts w:hint="eastAsia" w:eastAsia="宋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eastAsia="宋体"/>
        <w:sz w:val="18"/>
        <w:szCs w:val="18"/>
        <w:lang w:eastAsia="zh-CN"/>
      </w:rPr>
    </w:pPr>
    <w:r>
      <w:rPr>
        <w:rFonts w:hint="eastAsia"/>
        <w:sz w:val="18"/>
        <w:szCs w:val="18"/>
        <w:lang w:eastAsia="zh-CN"/>
      </w:rPr>
      <w:t>玉环市人民医院健共体集团厨房设备采购</w:t>
    </w:r>
  </w:p>
  <w:p>
    <w:pPr>
      <w:pBdr>
        <w:bottom w:val="none" w:color="auto" w:sz="0" w:space="1"/>
      </w:pBdr>
      <w:jc w:val="right"/>
      <w:rPr>
        <w:rFonts w:hint="eastAsia" w:eastAsia="宋体"/>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eastAsia="宋体"/>
        <w:sz w:val="18"/>
        <w:szCs w:val="18"/>
        <w:lang w:eastAsia="zh-CN"/>
      </w:rPr>
    </w:pPr>
    <w:r>
      <w:rPr>
        <w:rFonts w:hint="eastAsia"/>
        <w:sz w:val="18"/>
        <w:szCs w:val="18"/>
        <w:lang w:eastAsia="zh-CN"/>
      </w:rPr>
      <w:t>玉环市人民医院健共体集团厨房设备采购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8E646"/>
    <w:multiLevelType w:val="singleLevel"/>
    <w:tmpl w:val="F398E646"/>
    <w:lvl w:ilvl="0" w:tentative="0">
      <w:start w:val="1"/>
      <w:numFmt w:val="decimal"/>
      <w:pStyle w:val="7"/>
      <w:lvlText w:val="%1."/>
      <w:lvlJc w:val="left"/>
      <w:pPr>
        <w:tabs>
          <w:tab w:val="left" w:pos="360"/>
        </w:tabs>
        <w:ind w:left="360" w:hanging="360"/>
      </w:p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OTU1ODM3NDdhYzdkOTdjZGNhMzkxOWMyNTA3ZjkifQ=="/>
  </w:docVars>
  <w:rsids>
    <w:rsidRoot w:val="249C7798"/>
    <w:rsid w:val="00055CFD"/>
    <w:rsid w:val="00107CA3"/>
    <w:rsid w:val="001F630B"/>
    <w:rsid w:val="00454F28"/>
    <w:rsid w:val="005B6EEF"/>
    <w:rsid w:val="0063051E"/>
    <w:rsid w:val="006B4CF2"/>
    <w:rsid w:val="00992299"/>
    <w:rsid w:val="00B82D12"/>
    <w:rsid w:val="00D02CAF"/>
    <w:rsid w:val="00D55976"/>
    <w:rsid w:val="00D676A5"/>
    <w:rsid w:val="00F809E1"/>
    <w:rsid w:val="01297547"/>
    <w:rsid w:val="016D4D19"/>
    <w:rsid w:val="01F81C09"/>
    <w:rsid w:val="023D504C"/>
    <w:rsid w:val="028E7917"/>
    <w:rsid w:val="03B07F90"/>
    <w:rsid w:val="04B70E10"/>
    <w:rsid w:val="04F9407A"/>
    <w:rsid w:val="05AF55ED"/>
    <w:rsid w:val="06320859"/>
    <w:rsid w:val="0660759E"/>
    <w:rsid w:val="0754383F"/>
    <w:rsid w:val="076F552F"/>
    <w:rsid w:val="08705FF9"/>
    <w:rsid w:val="09A220CB"/>
    <w:rsid w:val="0A2637F8"/>
    <w:rsid w:val="0A674E1D"/>
    <w:rsid w:val="0ADF42E6"/>
    <w:rsid w:val="0AEA306C"/>
    <w:rsid w:val="0B4012AC"/>
    <w:rsid w:val="0BB67EFE"/>
    <w:rsid w:val="0BD170BC"/>
    <w:rsid w:val="0C2E7EF3"/>
    <w:rsid w:val="0CA44777"/>
    <w:rsid w:val="0D303E96"/>
    <w:rsid w:val="0D7B62CF"/>
    <w:rsid w:val="0D7C3FB3"/>
    <w:rsid w:val="0D9C674E"/>
    <w:rsid w:val="0DD9599C"/>
    <w:rsid w:val="0E284EDE"/>
    <w:rsid w:val="0F364A20"/>
    <w:rsid w:val="0FA522F5"/>
    <w:rsid w:val="0FC67784"/>
    <w:rsid w:val="108D60C3"/>
    <w:rsid w:val="10A219F0"/>
    <w:rsid w:val="11E413DB"/>
    <w:rsid w:val="122509C3"/>
    <w:rsid w:val="125D25C6"/>
    <w:rsid w:val="12A1010E"/>
    <w:rsid w:val="130F49EF"/>
    <w:rsid w:val="136F0E9E"/>
    <w:rsid w:val="147F1279"/>
    <w:rsid w:val="14DA6E8D"/>
    <w:rsid w:val="14EE1EA5"/>
    <w:rsid w:val="162D4D4B"/>
    <w:rsid w:val="163255F7"/>
    <w:rsid w:val="17EE4DC2"/>
    <w:rsid w:val="18773BF9"/>
    <w:rsid w:val="189C2339"/>
    <w:rsid w:val="194331B3"/>
    <w:rsid w:val="1A682A23"/>
    <w:rsid w:val="1AE35A8A"/>
    <w:rsid w:val="1B8E375C"/>
    <w:rsid w:val="1C840C9A"/>
    <w:rsid w:val="1CB57848"/>
    <w:rsid w:val="1D5E7DDA"/>
    <w:rsid w:val="1ECB6876"/>
    <w:rsid w:val="1FAE559A"/>
    <w:rsid w:val="1FEF02D5"/>
    <w:rsid w:val="2082538E"/>
    <w:rsid w:val="20987712"/>
    <w:rsid w:val="219E6317"/>
    <w:rsid w:val="22FC61B0"/>
    <w:rsid w:val="23BC20B9"/>
    <w:rsid w:val="246179DC"/>
    <w:rsid w:val="249C7798"/>
    <w:rsid w:val="25195459"/>
    <w:rsid w:val="256E7AB5"/>
    <w:rsid w:val="259E13DF"/>
    <w:rsid w:val="264614F4"/>
    <w:rsid w:val="27173893"/>
    <w:rsid w:val="27D341B3"/>
    <w:rsid w:val="27E7342F"/>
    <w:rsid w:val="27F71E86"/>
    <w:rsid w:val="28C67362"/>
    <w:rsid w:val="294E031C"/>
    <w:rsid w:val="2AA35792"/>
    <w:rsid w:val="2BE21400"/>
    <w:rsid w:val="2C0D4286"/>
    <w:rsid w:val="2C235791"/>
    <w:rsid w:val="2D4D4449"/>
    <w:rsid w:val="2D9C3201"/>
    <w:rsid w:val="2EC62FBB"/>
    <w:rsid w:val="2ED44B18"/>
    <w:rsid w:val="2F782BE3"/>
    <w:rsid w:val="30315E18"/>
    <w:rsid w:val="3035229A"/>
    <w:rsid w:val="31091BE5"/>
    <w:rsid w:val="31DD558E"/>
    <w:rsid w:val="329204B0"/>
    <w:rsid w:val="32B75170"/>
    <w:rsid w:val="34570891"/>
    <w:rsid w:val="34861D0B"/>
    <w:rsid w:val="34D614D4"/>
    <w:rsid w:val="34E47E75"/>
    <w:rsid w:val="352C502F"/>
    <w:rsid w:val="35CE6245"/>
    <w:rsid w:val="38123A65"/>
    <w:rsid w:val="384E2490"/>
    <w:rsid w:val="38CD0D64"/>
    <w:rsid w:val="39F86018"/>
    <w:rsid w:val="3BE04E90"/>
    <w:rsid w:val="3D532E3D"/>
    <w:rsid w:val="3E224C29"/>
    <w:rsid w:val="3F73054E"/>
    <w:rsid w:val="3FC07E6B"/>
    <w:rsid w:val="403501D5"/>
    <w:rsid w:val="42EA651C"/>
    <w:rsid w:val="43833022"/>
    <w:rsid w:val="44375C1F"/>
    <w:rsid w:val="456442B5"/>
    <w:rsid w:val="460D10DC"/>
    <w:rsid w:val="476514CC"/>
    <w:rsid w:val="479A549E"/>
    <w:rsid w:val="48004335"/>
    <w:rsid w:val="484E2E3F"/>
    <w:rsid w:val="48844676"/>
    <w:rsid w:val="48A81AA8"/>
    <w:rsid w:val="4A760647"/>
    <w:rsid w:val="4AD2737D"/>
    <w:rsid w:val="4B9E509C"/>
    <w:rsid w:val="4BC45601"/>
    <w:rsid w:val="4C4A2B51"/>
    <w:rsid w:val="4CF47740"/>
    <w:rsid w:val="4D9328FE"/>
    <w:rsid w:val="4DB04D65"/>
    <w:rsid w:val="4DF4356C"/>
    <w:rsid w:val="4E6C0423"/>
    <w:rsid w:val="4EF07272"/>
    <w:rsid w:val="4F0537F0"/>
    <w:rsid w:val="4F1B3E1A"/>
    <w:rsid w:val="4F7B372A"/>
    <w:rsid w:val="4F894964"/>
    <w:rsid w:val="4F976213"/>
    <w:rsid w:val="503556E2"/>
    <w:rsid w:val="508E53F4"/>
    <w:rsid w:val="50992AB6"/>
    <w:rsid w:val="51B6079D"/>
    <w:rsid w:val="531A2AAF"/>
    <w:rsid w:val="5336510B"/>
    <w:rsid w:val="53B10A91"/>
    <w:rsid w:val="53CB5038"/>
    <w:rsid w:val="54C321CD"/>
    <w:rsid w:val="553E34AA"/>
    <w:rsid w:val="569660C9"/>
    <w:rsid w:val="56AF6ADB"/>
    <w:rsid w:val="57407384"/>
    <w:rsid w:val="57BC4B4B"/>
    <w:rsid w:val="5872195A"/>
    <w:rsid w:val="587D1AD7"/>
    <w:rsid w:val="58B31602"/>
    <w:rsid w:val="594D1666"/>
    <w:rsid w:val="5A011459"/>
    <w:rsid w:val="5A1A396F"/>
    <w:rsid w:val="5B8A33F0"/>
    <w:rsid w:val="5BAB2D73"/>
    <w:rsid w:val="5C1454BB"/>
    <w:rsid w:val="5D45338D"/>
    <w:rsid w:val="5DE56A8F"/>
    <w:rsid w:val="5E107656"/>
    <w:rsid w:val="5E387E70"/>
    <w:rsid w:val="5EDB7953"/>
    <w:rsid w:val="5F8D2B0E"/>
    <w:rsid w:val="601F20E8"/>
    <w:rsid w:val="604278C0"/>
    <w:rsid w:val="60582AB7"/>
    <w:rsid w:val="611357EE"/>
    <w:rsid w:val="625E4AD8"/>
    <w:rsid w:val="62CE50D4"/>
    <w:rsid w:val="634879EE"/>
    <w:rsid w:val="64B942DC"/>
    <w:rsid w:val="66010CF5"/>
    <w:rsid w:val="66316F56"/>
    <w:rsid w:val="66490E8B"/>
    <w:rsid w:val="675B4757"/>
    <w:rsid w:val="68A02EE4"/>
    <w:rsid w:val="68CD3D40"/>
    <w:rsid w:val="68FC3B9B"/>
    <w:rsid w:val="69B710B6"/>
    <w:rsid w:val="6A324669"/>
    <w:rsid w:val="6B0F2BA7"/>
    <w:rsid w:val="6B391CA3"/>
    <w:rsid w:val="6B646F64"/>
    <w:rsid w:val="6B826FE1"/>
    <w:rsid w:val="6C3A737F"/>
    <w:rsid w:val="6C942154"/>
    <w:rsid w:val="6D46479F"/>
    <w:rsid w:val="6D5A5029"/>
    <w:rsid w:val="6F20663F"/>
    <w:rsid w:val="6F527C19"/>
    <w:rsid w:val="6F561F65"/>
    <w:rsid w:val="707A73CB"/>
    <w:rsid w:val="707D2F40"/>
    <w:rsid w:val="70FA6D60"/>
    <w:rsid w:val="71C2650D"/>
    <w:rsid w:val="723F7E6D"/>
    <w:rsid w:val="72CC5379"/>
    <w:rsid w:val="73B01AE0"/>
    <w:rsid w:val="740D3B0D"/>
    <w:rsid w:val="74582EB7"/>
    <w:rsid w:val="746B557E"/>
    <w:rsid w:val="74822639"/>
    <w:rsid w:val="74C85A97"/>
    <w:rsid w:val="779823EE"/>
    <w:rsid w:val="78E67760"/>
    <w:rsid w:val="7A1D3160"/>
    <w:rsid w:val="7A2B4A06"/>
    <w:rsid w:val="7AE838BD"/>
    <w:rsid w:val="7B597F2E"/>
    <w:rsid w:val="7B79073F"/>
    <w:rsid w:val="7BD7562D"/>
    <w:rsid w:val="7C035E50"/>
    <w:rsid w:val="7C9544E8"/>
    <w:rsid w:val="7D47463F"/>
    <w:rsid w:val="7F13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3"/>
    <w:unhideWhenUsed/>
    <w:qFormat/>
    <w:uiPriority w:val="0"/>
    <w:pPr>
      <w:keepNext/>
      <w:keepLines/>
      <w:spacing w:line="360" w:lineRule="auto"/>
      <w:outlineLvl w:val="3"/>
    </w:pPr>
    <w:rPr>
      <w:rFonts w:ascii="Arial" w:hAnsi="Arial" w:eastAsia="黑体"/>
      <w:b/>
      <w:sz w:val="28"/>
    </w:rPr>
  </w:style>
  <w:style w:type="paragraph" w:styleId="6">
    <w:name w:val="heading 5"/>
    <w:basedOn w:val="1"/>
    <w:next w:val="1"/>
    <w:unhideWhenUsed/>
    <w:qFormat/>
    <w:uiPriority w:val="0"/>
    <w:pPr>
      <w:keepNext/>
      <w:keepLines/>
      <w:spacing w:line="360" w:lineRule="auto"/>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next w:val="9"/>
    <w:qFormat/>
    <w:uiPriority w:val="0"/>
    <w:pPr>
      <w:ind w:firstLine="420"/>
    </w:pPr>
  </w:style>
  <w:style w:type="paragraph" w:styleId="9">
    <w:name w:val="Body Text Indent"/>
    <w:basedOn w:val="1"/>
    <w:next w:val="1"/>
    <w:qFormat/>
    <w:uiPriority w:val="0"/>
    <w:pPr>
      <w:spacing w:after="120"/>
      <w:ind w:left="420" w:leftChars="200"/>
    </w:pPr>
  </w:style>
  <w:style w:type="paragraph" w:styleId="10">
    <w:name w:val="annotation text"/>
    <w:basedOn w:val="1"/>
    <w:link w:val="48"/>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qFormat/>
    <w:uiPriority w:val="0"/>
    <w:pPr>
      <w:spacing w:line="312" w:lineRule="auto"/>
      <w:ind w:firstLine="420"/>
    </w:pPr>
  </w:style>
  <w:style w:type="paragraph" w:styleId="13">
    <w:name w:val="Plain Text"/>
    <w:basedOn w:val="1"/>
    <w:next w:val="14"/>
    <w:qFormat/>
    <w:uiPriority w:val="0"/>
    <w:rPr>
      <w:rFonts w:ascii="宋体" w:hAnsi="Courier New" w:cstheme="minorBidi"/>
    </w:rPr>
  </w:style>
  <w:style w:type="paragraph" w:styleId="1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6"/>
    <w:basedOn w:val="1"/>
    <w:next w:val="1"/>
    <w:qFormat/>
    <w:uiPriority w:val="0"/>
    <w:pPr>
      <w:ind w:left="840"/>
      <w:jc w:val="left"/>
    </w:pPr>
    <w:rPr>
      <w:rFonts w:ascii="Cambria" w:hAnsi="Cambria" w:cs="Cambria"/>
      <w:sz w:val="20"/>
    </w:rPr>
  </w:style>
  <w:style w:type="paragraph" w:styleId="20">
    <w:name w:val="Normal (Web)"/>
    <w:basedOn w:val="1"/>
    <w:next w:val="13"/>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spacing w:before="240" w:after="60"/>
      <w:jc w:val="center"/>
      <w:outlineLvl w:val="0"/>
    </w:pPr>
    <w:rPr>
      <w:rFonts w:ascii="Arial" w:hAnsi="Arial"/>
      <w:b/>
      <w:kern w:val="0"/>
      <w:sz w:val="32"/>
      <w:szCs w:val="20"/>
    </w:rPr>
  </w:style>
  <w:style w:type="paragraph" w:styleId="22">
    <w:name w:val="annotation subject"/>
    <w:basedOn w:val="10"/>
    <w:next w:val="10"/>
    <w:link w:val="49"/>
    <w:qFormat/>
    <w:uiPriority w:val="0"/>
    <w:rPr>
      <w:b/>
      <w:bCs/>
    </w:rPr>
  </w:style>
  <w:style w:type="paragraph" w:styleId="23">
    <w:name w:val="Body Text First Indent 2"/>
    <w:basedOn w:val="9"/>
    <w:next w:val="24"/>
    <w:qFormat/>
    <w:uiPriority w:val="0"/>
    <w:pPr>
      <w:tabs>
        <w:tab w:val="left" w:pos="720"/>
        <w:tab w:val="left" w:pos="1260"/>
        <w:tab w:val="left" w:pos="2160"/>
        <w:tab w:val="left" w:pos="2880"/>
        <w:tab w:val="left" w:pos="3600"/>
        <w:tab w:val="left" w:pos="4320"/>
        <w:tab w:val="left" w:pos="5040"/>
        <w:tab w:val="left" w:pos="5760"/>
      </w:tabs>
      <w:spacing w:after="0" w:line="240" w:lineRule="atLeast"/>
      <w:ind w:left="0" w:firstLine="420" w:firstLineChars="200"/>
    </w:pPr>
    <w:rPr>
      <w:rFonts w:hint="eastAsia" w:ascii="宋体" w:hAnsi="Courier New"/>
      <w:spacing w:val="-4"/>
      <w:sz w:val="18"/>
      <w:szCs w:val="18"/>
    </w:rPr>
  </w:style>
  <w:style w:type="paragraph" w:customStyle="1" w:styleId="24">
    <w:name w:val="xl53"/>
    <w:basedOn w:val="25"/>
    <w:next w:val="1"/>
    <w:qFormat/>
    <w:uiPriority w:val="0"/>
    <w:pPr>
      <w:spacing w:before="280" w:after="280" w:line="100" w:lineRule="exact"/>
      <w:jc w:val="center"/>
    </w:pPr>
    <w:rPr>
      <w:b/>
      <w:sz w:val="20"/>
    </w:rPr>
  </w:style>
  <w:style w:type="paragraph" w:customStyle="1" w:styleId="25">
    <w:name w:val="正文（四号）"/>
    <w:basedOn w:val="1"/>
    <w:qFormat/>
    <w:uiPriority w:val="0"/>
    <w:pPr>
      <w:snapToGrid w:val="0"/>
      <w:ind w:firstLine="200"/>
    </w:pPr>
    <w:rPr>
      <w:rFonts w:cs="宋体"/>
      <w:sz w:val="28"/>
      <w:szCs w:val="2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basedOn w:val="28"/>
    <w:qFormat/>
    <w:uiPriority w:val="0"/>
    <w:rPr>
      <w:color w:val="000000"/>
      <w:u w:val="none"/>
    </w:rPr>
  </w:style>
  <w:style w:type="character" w:styleId="32">
    <w:name w:val="annotation reference"/>
    <w:basedOn w:val="28"/>
    <w:qFormat/>
    <w:uiPriority w:val="0"/>
    <w:rPr>
      <w:sz w:val="21"/>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章正文"/>
    <w:basedOn w:val="1"/>
    <w:qFormat/>
    <w:uiPriority w:val="0"/>
    <w:pPr>
      <w:spacing w:beforeLines="50" w:after="120" w:line="300" w:lineRule="auto"/>
      <w:ind w:firstLine="480"/>
    </w:pPr>
    <w:rPr>
      <w:rFonts w:ascii="Helvetica" w:hAnsi="Helvetica"/>
      <w:kern w:val="0"/>
    </w:rPr>
  </w:style>
  <w:style w:type="paragraph" w:customStyle="1" w:styleId="36">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批注文字 Char"/>
    <w:basedOn w:val="28"/>
    <w:link w:val="10"/>
    <w:qFormat/>
    <w:uiPriority w:val="0"/>
    <w:rPr>
      <w:kern w:val="2"/>
      <w:sz w:val="21"/>
      <w:szCs w:val="24"/>
    </w:rPr>
  </w:style>
  <w:style w:type="character" w:customStyle="1" w:styleId="49">
    <w:name w:val="批注主题 Char"/>
    <w:basedOn w:val="48"/>
    <w:link w:val="22"/>
    <w:qFormat/>
    <w:uiPriority w:val="0"/>
    <w:rPr>
      <w:b/>
      <w:bCs/>
      <w:kern w:val="2"/>
      <w:sz w:val="21"/>
      <w:szCs w:val="24"/>
    </w:rPr>
  </w:style>
  <w:style w:type="character" w:customStyle="1" w:styleId="50">
    <w:name w:val="批注框文本 Char"/>
    <w:basedOn w:val="28"/>
    <w:link w:val="16"/>
    <w:qFormat/>
    <w:uiPriority w:val="0"/>
    <w:rPr>
      <w:kern w:val="2"/>
      <w:sz w:val="18"/>
      <w:szCs w:val="18"/>
    </w:rPr>
  </w:style>
  <w:style w:type="paragraph" w:customStyle="1" w:styleId="51">
    <w:name w:val="表格文字"/>
    <w:basedOn w:val="1"/>
    <w:next w:val="11"/>
    <w:qFormat/>
    <w:uiPriority w:val="0"/>
    <w:pPr>
      <w:jc w:val="left"/>
    </w:pPr>
    <w:rPr>
      <w:kern w:val="21"/>
    </w:rPr>
  </w:style>
  <w:style w:type="paragraph" w:customStyle="1" w:styleId="52">
    <w:name w:val="文档正文"/>
    <w:basedOn w:val="1"/>
    <w:qFormat/>
    <w:uiPriority w:val="0"/>
    <w:rPr>
      <w:rFonts w:ascii="宋体" w:hAnsi="宋体" w:cs="Arial"/>
      <w:bCs/>
    </w:rPr>
  </w:style>
  <w:style w:type="character" w:customStyle="1" w:styleId="53">
    <w:name w:val="标题 4 Char"/>
    <w:link w:val="5"/>
    <w:qFormat/>
    <w:uiPriority w:val="0"/>
    <w:rPr>
      <w:rFonts w:ascii="Arial" w:hAnsi="Arial" w:eastAsia="黑体"/>
      <w:b/>
      <w:sz w:val="28"/>
    </w:rPr>
  </w:style>
  <w:style w:type="paragraph" w:customStyle="1" w:styleId="5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table" w:customStyle="1" w:styleId="55">
    <w:name w:val="网格型1"/>
    <w:basedOn w:val="26"/>
    <w:qFormat/>
    <w:uiPriority w:val="59"/>
    <w:rPr>
      <w:rFonts w:ascii="Calibri" w:hAnsi="Calibri"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Normal]"/>
    <w:qFormat/>
    <w:uiPriority w:val="99"/>
    <w:rPr>
      <w:rFonts w:ascii="宋体" w:hAnsi="宋体" w:eastAsia="宋体" w:cs="Times New Roman"/>
      <w:sz w:val="24"/>
      <w:szCs w:val="22"/>
      <w:lang w:val="zh-CN" w:eastAsia="zh-CN" w:bidi="ar-SA"/>
    </w:rPr>
  </w:style>
  <w:style w:type="character" w:customStyle="1" w:styleId="57">
    <w:name w:val="NormalCharacter"/>
    <w:qFormat/>
    <w:uiPriority w:val="0"/>
    <w:rPr>
      <w:rFonts w:ascii="Times New Roman" w:hAnsi="Times New Roman" w:eastAsia="宋体" w:cs="Times New Roman"/>
    </w:rPr>
  </w:style>
  <w:style w:type="character" w:customStyle="1" w:styleId="58">
    <w:name w:val="font21"/>
    <w:basedOn w:val="28"/>
    <w:qFormat/>
    <w:uiPriority w:val="0"/>
    <w:rPr>
      <w:rFonts w:hint="eastAsia" w:ascii="宋体" w:hAnsi="宋体" w:eastAsia="宋体" w:cs="宋体"/>
      <w:color w:val="000000"/>
      <w:sz w:val="20"/>
      <w:szCs w:val="20"/>
      <w:u w:val="none"/>
    </w:rPr>
  </w:style>
  <w:style w:type="character" w:customStyle="1" w:styleId="59">
    <w:name w:val="font151"/>
    <w:basedOn w:val="28"/>
    <w:qFormat/>
    <w:uiPriority w:val="0"/>
    <w:rPr>
      <w:rFonts w:ascii="宋体" w:hAnsi="宋体" w:eastAsia="宋体" w:cs="宋体"/>
      <w:color w:val="000000"/>
      <w:sz w:val="20"/>
      <w:szCs w:val="20"/>
      <w:u w:val="none"/>
    </w:rPr>
  </w:style>
  <w:style w:type="paragraph" w:customStyle="1" w:styleId="60">
    <w:name w:val="_Style 2"/>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82.png"/><Relationship Id="rId93" Type="http://schemas.openxmlformats.org/officeDocument/2006/relationships/image" Target="media/image81.png"/><Relationship Id="rId92" Type="http://schemas.openxmlformats.org/officeDocument/2006/relationships/image" Target="media/image80.png"/><Relationship Id="rId91" Type="http://schemas.openxmlformats.org/officeDocument/2006/relationships/image" Target="media/image79.png"/><Relationship Id="rId90" Type="http://schemas.openxmlformats.org/officeDocument/2006/relationships/image" Target="media/image78.png"/><Relationship Id="rId9" Type="http://schemas.openxmlformats.org/officeDocument/2006/relationships/header" Target="header4.xml"/><Relationship Id="rId89" Type="http://schemas.openxmlformats.org/officeDocument/2006/relationships/image" Target="media/image77.png"/><Relationship Id="rId88" Type="http://schemas.openxmlformats.org/officeDocument/2006/relationships/image" Target="media/image76.png"/><Relationship Id="rId87" Type="http://schemas.openxmlformats.org/officeDocument/2006/relationships/image" Target="media/image75.png"/><Relationship Id="rId86" Type="http://schemas.openxmlformats.org/officeDocument/2006/relationships/image" Target="media/image74.png"/><Relationship Id="rId85" Type="http://schemas.openxmlformats.org/officeDocument/2006/relationships/image" Target="media/image73.png"/><Relationship Id="rId84" Type="http://schemas.openxmlformats.org/officeDocument/2006/relationships/image" Target="media/image72.png"/><Relationship Id="rId83" Type="http://schemas.openxmlformats.org/officeDocument/2006/relationships/image" Target="media/image71.png"/><Relationship Id="rId82" Type="http://schemas.openxmlformats.org/officeDocument/2006/relationships/image" Target="media/image70.png"/><Relationship Id="rId81" Type="http://schemas.openxmlformats.org/officeDocument/2006/relationships/image" Target="media/image69.png"/><Relationship Id="rId80" Type="http://schemas.openxmlformats.org/officeDocument/2006/relationships/image" Target="media/image68.png"/><Relationship Id="rId8" Type="http://schemas.openxmlformats.org/officeDocument/2006/relationships/footer" Target="footer3.xml"/><Relationship Id="rId79" Type="http://schemas.openxmlformats.org/officeDocument/2006/relationships/image" Target="media/image67.png"/><Relationship Id="rId78" Type="http://schemas.openxmlformats.org/officeDocument/2006/relationships/image" Target="media/image66.png"/><Relationship Id="rId77" Type="http://schemas.openxmlformats.org/officeDocument/2006/relationships/image" Target="media/image65.png"/><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footer" Target="footer2.xml"/><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footer" Target="footer1.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header" Target="header3.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99</Pages>
  <Words>51843</Words>
  <Characters>62611</Characters>
  <Lines>199</Lines>
  <Paragraphs>56</Paragraphs>
  <TotalTime>20</TotalTime>
  <ScaleCrop>false</ScaleCrop>
  <LinksUpToDate>false</LinksUpToDate>
  <CharactersWithSpaces>69133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2022-04-20T01:08:00Z</dcterms:created>
  <dc:creator>Administrator</dc:creator>
  <cp:lastModifiedBy>岁月如歌</cp:lastModifiedBy>
  <cp:lastPrinted>2023-12-06T08:00:00Z</cp:lastPrinted>
  <dcterms:modified xsi:type="dcterms:W3CDTF">2023-12-07T02:26:13Z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398ECC0835D44ACE966A74B65BC77B39</vt:lpwstr>
  </property>
  <property fmtid="{D5CDD505-2E9C-101B-9397-08002B2CF9AE}" pid="4" name="commondata">
    <vt:lpwstr>eyJoZGlkIjoiYjc3MjcyNjQwNzQ5MGZlMjQwZGYzNDViY2YzNWVhMDUifQ==</vt:lpwstr>
  </property>
</Properties>
</file>