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both"/>
        <w:rPr>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b/>
          <w:kern w:val="0"/>
          <w:sz w:val="52"/>
          <w:szCs w:val="52"/>
        </w:rPr>
      </w:pPr>
      <w:r>
        <w:rPr>
          <w:b/>
          <w:kern w:val="0"/>
          <w:sz w:val="52"/>
          <w:szCs w:val="52"/>
        </w:rPr>
        <w:t>玉环市政府采购招标文件</w:t>
      </w:r>
    </w:p>
    <w:p>
      <w:pPr>
        <w:pStyle w:val="3"/>
        <w:rPr>
          <w:kern w:val="0"/>
          <w:sz w:val="28"/>
        </w:rPr>
      </w:pPr>
    </w:p>
    <w:p>
      <w:pPr>
        <w:pStyle w:val="3"/>
        <w:rPr>
          <w:kern w:val="0"/>
          <w:sz w:val="28"/>
        </w:rPr>
      </w:pPr>
    </w:p>
    <w:p/>
    <w:p>
      <w:pPr>
        <w:pStyle w:val="4"/>
        <w:rPr>
          <w:rFonts w:ascii="Times New Roman" w:hAnsi="Times New Roman" w:cs="Times New Roman"/>
        </w:rPr>
      </w:pPr>
    </w:p>
    <w:p/>
    <w:p>
      <w:pPr>
        <w:pStyle w:val="3"/>
      </w:pPr>
    </w:p>
    <w:p>
      <w:pPr>
        <w:pStyle w:val="3"/>
      </w:pPr>
    </w:p>
    <w:p/>
    <w:p>
      <w:pPr>
        <w:pStyle w:val="3"/>
      </w:pPr>
    </w:p>
    <w:p>
      <w:pPr>
        <w:pStyle w:val="3"/>
      </w:pPr>
    </w:p>
    <w:p>
      <w:pPr>
        <w:pStyle w:val="3"/>
      </w:pPr>
    </w:p>
    <w:p>
      <w:pPr>
        <w:autoSpaceDE w:val="0"/>
        <w:autoSpaceDN w:val="0"/>
        <w:adjustRightInd w:val="0"/>
        <w:spacing w:line="920" w:lineRule="exact"/>
        <w:ind w:firstLine="360" w:firstLineChars="100"/>
        <w:rPr>
          <w:rFonts w:hint="default" w:eastAsia="宋体"/>
          <w:kern w:val="0"/>
          <w:sz w:val="36"/>
          <w:szCs w:val="36"/>
          <w:lang w:val="en-US" w:eastAsia="zh-CN"/>
        </w:rPr>
      </w:pPr>
      <w:r>
        <w:rPr>
          <w:kern w:val="0"/>
          <w:sz w:val="36"/>
          <w:szCs w:val="36"/>
        </w:rPr>
        <w:t>项目编号：</w:t>
      </w:r>
      <w:r>
        <w:rPr>
          <w:rFonts w:hint="eastAsia"/>
          <w:kern w:val="0"/>
          <w:sz w:val="36"/>
          <w:szCs w:val="36"/>
          <w:lang w:eastAsia="zh-CN"/>
        </w:rPr>
        <w:t>DDZX2022-Y-GK-22-1</w:t>
      </w:r>
    </w:p>
    <w:p>
      <w:pPr>
        <w:autoSpaceDE w:val="0"/>
        <w:autoSpaceDN w:val="0"/>
        <w:adjustRightInd w:val="0"/>
        <w:spacing w:line="920" w:lineRule="exact"/>
        <w:ind w:firstLine="360" w:firstLineChars="100"/>
        <w:rPr>
          <w:rFonts w:hint="eastAsia" w:eastAsia="宋体"/>
          <w:kern w:val="0"/>
          <w:sz w:val="28"/>
          <w:szCs w:val="28"/>
          <w:lang w:eastAsia="zh-CN"/>
        </w:rPr>
      </w:pPr>
      <w:r>
        <w:rPr>
          <w:rFonts w:hint="eastAsia"/>
          <w:kern w:val="0"/>
          <w:sz w:val="36"/>
          <w:szCs w:val="36"/>
        </w:rPr>
        <w:t>采购项目</w:t>
      </w:r>
      <w:r>
        <w:rPr>
          <w:kern w:val="0"/>
          <w:sz w:val="36"/>
          <w:szCs w:val="36"/>
        </w:rPr>
        <w:t>：</w:t>
      </w:r>
      <w:r>
        <w:rPr>
          <w:rFonts w:hint="eastAsia"/>
          <w:kern w:val="0"/>
          <w:sz w:val="28"/>
          <w:szCs w:val="28"/>
          <w:lang w:eastAsia="zh-CN"/>
        </w:rPr>
        <w:t>玉环市人民医院健共体集团数据中心设备采购</w:t>
      </w:r>
    </w:p>
    <w:p>
      <w:pPr>
        <w:autoSpaceDE w:val="0"/>
        <w:autoSpaceDN w:val="0"/>
        <w:adjustRightInd w:val="0"/>
        <w:spacing w:line="920" w:lineRule="exact"/>
        <w:ind w:firstLine="360" w:firstLineChars="100"/>
        <w:rPr>
          <w:rFonts w:hint="eastAsia" w:eastAsia="宋体"/>
          <w:kern w:val="0"/>
          <w:sz w:val="36"/>
          <w:szCs w:val="36"/>
          <w:lang w:eastAsia="zh-CN"/>
        </w:rPr>
      </w:pPr>
      <w:r>
        <w:rPr>
          <w:kern w:val="0"/>
          <w:sz w:val="36"/>
          <w:szCs w:val="36"/>
        </w:rPr>
        <w:t>采 购 人：</w:t>
      </w:r>
      <w:r>
        <w:rPr>
          <w:rFonts w:hint="eastAsia"/>
          <w:kern w:val="0"/>
          <w:sz w:val="36"/>
          <w:szCs w:val="36"/>
          <w:lang w:eastAsia="zh-CN"/>
        </w:rPr>
        <w:t>玉环市人民医院健共体集团</w:t>
      </w:r>
    </w:p>
    <w:p>
      <w:pPr>
        <w:autoSpaceDE w:val="0"/>
        <w:autoSpaceDN w:val="0"/>
        <w:adjustRightInd w:val="0"/>
        <w:spacing w:line="360" w:lineRule="auto"/>
        <w:ind w:firstLine="1797" w:firstLineChars="642"/>
        <w:jc w:val="left"/>
        <w:rPr>
          <w:kern w:val="0"/>
          <w:sz w:val="28"/>
        </w:rPr>
      </w:pPr>
    </w:p>
    <w:p>
      <w:pPr>
        <w:autoSpaceDE w:val="0"/>
        <w:autoSpaceDN w:val="0"/>
        <w:adjustRightInd w:val="0"/>
        <w:spacing w:line="360" w:lineRule="auto"/>
        <w:ind w:firstLine="1797" w:firstLineChars="642"/>
        <w:jc w:val="left"/>
        <w:rPr>
          <w:kern w:val="0"/>
          <w:sz w:val="28"/>
        </w:rPr>
      </w:pPr>
    </w:p>
    <w:p>
      <w:pPr>
        <w:pStyle w:val="3"/>
      </w:pPr>
    </w:p>
    <w:p/>
    <w:p>
      <w:pPr>
        <w:pStyle w:val="3"/>
      </w:pPr>
    </w:p>
    <w:p/>
    <w:p>
      <w:pPr>
        <w:pStyle w:val="3"/>
      </w:pPr>
    </w:p>
    <w:p/>
    <w:p>
      <w:pPr>
        <w:pStyle w:val="3"/>
      </w:pPr>
    </w:p>
    <w:p/>
    <w:p>
      <w:pPr>
        <w:autoSpaceDE w:val="0"/>
        <w:autoSpaceDN w:val="0"/>
        <w:adjustRightInd w:val="0"/>
        <w:spacing w:line="760" w:lineRule="exact"/>
        <w:jc w:val="center"/>
        <w:rPr>
          <w:kern w:val="0"/>
          <w:sz w:val="36"/>
          <w:szCs w:val="36"/>
        </w:rPr>
      </w:pPr>
      <w:r>
        <w:rPr>
          <w:kern w:val="0"/>
          <w:sz w:val="36"/>
          <w:szCs w:val="36"/>
        </w:rPr>
        <w:t>大地工程咨询有限公司</w:t>
      </w:r>
    </w:p>
    <w:p>
      <w:pPr>
        <w:autoSpaceDE w:val="0"/>
        <w:autoSpaceDN w:val="0"/>
        <w:adjustRightInd w:val="0"/>
        <w:spacing w:line="760" w:lineRule="exact"/>
        <w:jc w:val="center"/>
        <w:rPr>
          <w:kern w:val="0"/>
          <w:sz w:val="36"/>
          <w:szCs w:val="36"/>
        </w:rPr>
      </w:pPr>
      <w:r>
        <w:rPr>
          <w:kern w:val="0"/>
          <w:sz w:val="36"/>
          <w:szCs w:val="36"/>
        </w:rPr>
        <w:t>二O二二年</w:t>
      </w:r>
      <w:r>
        <w:rPr>
          <w:rFonts w:hint="eastAsia"/>
          <w:kern w:val="0"/>
          <w:sz w:val="36"/>
          <w:szCs w:val="36"/>
          <w:lang w:val="en-US" w:eastAsia="zh-CN"/>
        </w:rPr>
        <w:t>十一</w:t>
      </w:r>
      <w:r>
        <w:rPr>
          <w:kern w:val="0"/>
          <w:sz w:val="36"/>
          <w:szCs w:val="36"/>
        </w:rPr>
        <w:t>月</w:t>
      </w:r>
    </w:p>
    <w:p>
      <w:pPr>
        <w:pStyle w:val="23"/>
        <w:ind w:left="420" w:firstLine="704"/>
        <w:rPr>
          <w:rFonts w:hint="default" w:ascii="Times New Roman" w:hAnsi="Times New Roman"/>
          <w:kern w:val="0"/>
          <w:sz w:val="36"/>
          <w:szCs w:val="36"/>
        </w:rPr>
      </w:pPr>
    </w:p>
    <w:p>
      <w:pPr>
        <w:jc w:val="center"/>
        <w:rPr>
          <w:b/>
          <w:bCs/>
          <w:sz w:val="36"/>
          <w:szCs w:val="36"/>
        </w:rPr>
      </w:pPr>
      <w:r>
        <w:rPr>
          <w:b/>
          <w:bCs/>
          <w:sz w:val="36"/>
          <w:szCs w:val="36"/>
        </w:rPr>
        <w:t>目    录</w:t>
      </w:r>
    </w:p>
    <w:p>
      <w:pPr>
        <w:spacing w:line="240" w:lineRule="exact"/>
        <w:jc w:val="center"/>
        <w:rPr>
          <w:b/>
          <w:bCs/>
          <w:sz w:val="36"/>
          <w:szCs w:val="36"/>
        </w:rPr>
      </w:pPr>
    </w:p>
    <w:p>
      <w:pPr>
        <w:numPr>
          <w:ilvl w:val="0"/>
          <w:numId w:val="2"/>
        </w:numPr>
        <w:spacing w:line="360" w:lineRule="auto"/>
        <w:rPr>
          <w:rFonts w:eastAsiaTheme="minorEastAsia"/>
          <w:b/>
          <w:sz w:val="28"/>
          <w:szCs w:val="28"/>
        </w:rPr>
      </w:pPr>
      <w:r>
        <w:rPr>
          <w:rFonts w:eastAsiaTheme="minorEastAsia"/>
          <w:b/>
          <w:sz w:val="28"/>
          <w:szCs w:val="28"/>
        </w:rPr>
        <w:t>公开招标采购公告</w:t>
      </w:r>
    </w:p>
    <w:p>
      <w:pPr>
        <w:numPr>
          <w:ilvl w:val="0"/>
          <w:numId w:val="2"/>
        </w:numPr>
        <w:spacing w:line="360" w:lineRule="auto"/>
        <w:rPr>
          <w:rFonts w:eastAsiaTheme="minorEastAsia"/>
          <w:b/>
          <w:sz w:val="28"/>
          <w:szCs w:val="28"/>
        </w:rPr>
      </w:pPr>
      <w:r>
        <w:rPr>
          <w:rFonts w:eastAsiaTheme="minorEastAsia"/>
          <w:b/>
          <w:sz w:val="28"/>
          <w:szCs w:val="28"/>
        </w:rPr>
        <w:t>投标人须知</w:t>
      </w:r>
    </w:p>
    <w:p>
      <w:pPr>
        <w:numPr>
          <w:ilvl w:val="0"/>
          <w:numId w:val="2"/>
        </w:numPr>
        <w:spacing w:line="360" w:lineRule="auto"/>
        <w:rPr>
          <w:rFonts w:eastAsiaTheme="minorEastAsia"/>
          <w:b/>
          <w:sz w:val="28"/>
          <w:szCs w:val="28"/>
        </w:rPr>
      </w:pPr>
      <w:r>
        <w:rPr>
          <w:rFonts w:eastAsiaTheme="minorEastAsia"/>
          <w:b/>
          <w:sz w:val="28"/>
          <w:szCs w:val="28"/>
        </w:rPr>
        <w:t>评标办法及评分标准</w:t>
      </w:r>
    </w:p>
    <w:p>
      <w:pPr>
        <w:numPr>
          <w:ilvl w:val="0"/>
          <w:numId w:val="2"/>
        </w:numPr>
        <w:spacing w:line="360" w:lineRule="auto"/>
        <w:rPr>
          <w:rFonts w:eastAsiaTheme="minorEastAsia"/>
          <w:b/>
          <w:sz w:val="28"/>
          <w:szCs w:val="28"/>
        </w:rPr>
      </w:pPr>
      <w:r>
        <w:rPr>
          <w:rFonts w:eastAsiaTheme="minorEastAsia"/>
          <w:b/>
          <w:sz w:val="28"/>
          <w:szCs w:val="28"/>
        </w:rPr>
        <w:t>公开招标需求</w:t>
      </w:r>
    </w:p>
    <w:p>
      <w:pPr>
        <w:numPr>
          <w:ilvl w:val="0"/>
          <w:numId w:val="2"/>
        </w:numPr>
        <w:spacing w:line="360" w:lineRule="auto"/>
        <w:rPr>
          <w:rFonts w:eastAsiaTheme="minorEastAsia"/>
          <w:b/>
          <w:sz w:val="28"/>
          <w:szCs w:val="28"/>
        </w:rPr>
      </w:pPr>
      <w:r>
        <w:rPr>
          <w:rFonts w:eastAsiaTheme="minorEastAsia"/>
          <w:b/>
          <w:sz w:val="28"/>
          <w:szCs w:val="28"/>
        </w:rPr>
        <w:t>政府采购合同主要条款指引</w:t>
      </w:r>
    </w:p>
    <w:p>
      <w:pPr>
        <w:numPr>
          <w:ilvl w:val="0"/>
          <w:numId w:val="2"/>
        </w:numPr>
        <w:spacing w:line="360" w:lineRule="auto"/>
        <w:rPr>
          <w:rFonts w:eastAsiaTheme="minorEastAsia"/>
          <w:b/>
          <w:sz w:val="28"/>
          <w:szCs w:val="28"/>
        </w:rPr>
      </w:pPr>
      <w:r>
        <w:rPr>
          <w:rFonts w:eastAsiaTheme="minorEastAsia"/>
          <w:b/>
          <w:sz w:val="28"/>
          <w:szCs w:val="28"/>
        </w:rPr>
        <w:t>投标文件格式附件</w:t>
      </w:r>
    </w:p>
    <w:p/>
    <w:p>
      <w:pPr>
        <w:pStyle w:val="23"/>
        <w:ind w:left="420" w:firstLine="344"/>
        <w:rPr>
          <w:rFonts w:hint="default" w:ascii="Times New Roman" w:hAnsi="Times New Roman"/>
        </w:rPr>
      </w:pPr>
    </w:p>
    <w:p>
      <w:pPr>
        <w:pStyle w:val="24"/>
        <w:rPr>
          <w:rFonts w:cs="Times New Roman"/>
        </w:rPr>
      </w:pPr>
    </w:p>
    <w:p/>
    <w:p>
      <w:pPr>
        <w:pStyle w:val="23"/>
        <w:ind w:left="420" w:firstLine="344"/>
        <w:rPr>
          <w:rFonts w:hint="default" w:ascii="Times New Roman" w:hAnsi="Times New Roman"/>
        </w:rPr>
      </w:pPr>
    </w:p>
    <w:p>
      <w:pPr>
        <w:pStyle w:val="24"/>
        <w:rPr>
          <w:rFonts w:cs="Times New Roman"/>
        </w:rPr>
      </w:pPr>
    </w:p>
    <w:p/>
    <w:p>
      <w:pPr>
        <w:pStyle w:val="23"/>
        <w:ind w:left="420" w:firstLine="344"/>
        <w:rPr>
          <w:rFonts w:hint="default" w:ascii="Times New Roman" w:hAnsi="Times New Roman"/>
        </w:rPr>
      </w:pPr>
    </w:p>
    <w:p>
      <w:pPr>
        <w:pStyle w:val="24"/>
        <w:rPr>
          <w:rFonts w:cs="Times New Roman"/>
        </w:rPr>
      </w:pPr>
    </w:p>
    <w:p/>
    <w:p>
      <w:pPr>
        <w:pStyle w:val="23"/>
        <w:ind w:left="420" w:firstLine="344"/>
        <w:rPr>
          <w:rFonts w:hint="default" w:ascii="Times New Roman" w:hAnsi="Times New Roman"/>
        </w:rPr>
      </w:pPr>
    </w:p>
    <w:p>
      <w:pPr>
        <w:pStyle w:val="24"/>
        <w:rPr>
          <w:rFonts w:cs="Times New Roman"/>
        </w:rPr>
      </w:pPr>
    </w:p>
    <w:p/>
    <w:p>
      <w:pPr>
        <w:pStyle w:val="23"/>
        <w:ind w:left="420" w:firstLine="344"/>
        <w:rPr>
          <w:rFonts w:hint="default" w:ascii="Times New Roman" w:hAnsi="Times New Roman"/>
        </w:rPr>
      </w:pPr>
    </w:p>
    <w:p>
      <w:pPr>
        <w:pStyle w:val="24"/>
        <w:rPr>
          <w:rFonts w:cs="Times New Roman"/>
        </w:rPr>
      </w:pPr>
    </w:p>
    <w:p>
      <w:pPr>
        <w:rPr>
          <w:rFonts w:cs="Times New Roman"/>
        </w:rPr>
      </w:pPr>
    </w:p>
    <w:p>
      <w:pPr>
        <w:pStyle w:val="2"/>
        <w:rPr>
          <w:rFonts w:cs="Times New Roman"/>
        </w:rPr>
      </w:pPr>
    </w:p>
    <w:p>
      <w:pPr>
        <w:pStyle w:val="4"/>
        <w:rPr>
          <w:rFonts w:cs="Times New Roman"/>
        </w:rPr>
      </w:pPr>
    </w:p>
    <w:p/>
    <w:p/>
    <w:p>
      <w:pPr>
        <w:tabs>
          <w:tab w:val="left" w:pos="180"/>
          <w:tab w:val="left" w:pos="360"/>
          <w:tab w:val="left" w:pos="540"/>
          <w:tab w:val="left" w:pos="8280"/>
        </w:tabs>
        <w:autoSpaceDE w:val="0"/>
        <w:autoSpaceDN w:val="0"/>
        <w:adjustRightInd w:val="0"/>
        <w:spacing w:line="360" w:lineRule="auto"/>
        <w:ind w:right="23"/>
        <w:jc w:val="center"/>
        <w:rPr>
          <w:b/>
          <w:kern w:val="0"/>
          <w:sz w:val="28"/>
          <w:szCs w:val="28"/>
        </w:rPr>
      </w:pPr>
      <w:r>
        <w:rPr>
          <w:b/>
          <w:kern w:val="0"/>
          <w:sz w:val="28"/>
          <w:szCs w:val="28"/>
        </w:rPr>
        <w:t>第一章  公开</w:t>
      </w:r>
      <w:r>
        <w:rPr>
          <w:b/>
          <w:sz w:val="28"/>
          <w:szCs w:val="28"/>
        </w:rPr>
        <w:t>招标采购公告</w:t>
      </w:r>
    </w:p>
    <w:p>
      <w:pPr>
        <w:tabs>
          <w:tab w:val="left" w:pos="180"/>
          <w:tab w:val="left" w:pos="360"/>
          <w:tab w:val="left" w:pos="540"/>
          <w:tab w:val="left" w:pos="8280"/>
        </w:tabs>
        <w:autoSpaceDE w:val="0"/>
        <w:autoSpaceDN w:val="0"/>
        <w:adjustRightInd w:val="0"/>
        <w:spacing w:line="100" w:lineRule="exact"/>
        <w:ind w:right="23" w:firstLine="539"/>
        <w:jc w:val="left"/>
        <w:rPr>
          <w:kern w:val="0"/>
          <w:sz w:val="24"/>
        </w:rPr>
      </w:pPr>
    </w:p>
    <w:tbl>
      <w:tblPr>
        <w:tblStyle w:val="2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8516" w:type="dxa"/>
            <w:noWrap/>
          </w:tcPr>
          <w:p>
            <w:pPr>
              <w:pStyle w:val="20"/>
              <w:spacing w:before="75" w:beforeAutospacing="0" w:after="75" w:afterAutospacing="0" w:line="360" w:lineRule="exact"/>
              <w:rPr>
                <w:rFonts w:hint="default" w:ascii="Times New Roman" w:hAnsi="Times New Roman"/>
                <w:color w:val="auto"/>
                <w:kern w:val="2"/>
                <w:sz w:val="21"/>
                <w:szCs w:val="21"/>
              </w:rPr>
            </w:pPr>
            <w:r>
              <w:rPr>
                <w:rFonts w:hint="default" w:ascii="Times New Roman" w:hAnsi="Times New Roman"/>
                <w:color w:val="auto"/>
                <w:kern w:val="2"/>
                <w:sz w:val="21"/>
                <w:szCs w:val="21"/>
              </w:rPr>
              <w:t>项目概况</w:t>
            </w:r>
          </w:p>
          <w:p>
            <w:pPr>
              <w:pStyle w:val="20"/>
              <w:spacing w:before="75" w:beforeAutospacing="0" w:after="75" w:afterAutospacing="0" w:line="360" w:lineRule="exact"/>
              <w:ind w:firstLine="420" w:firstLineChars="200"/>
              <w:rPr>
                <w:rFonts w:hint="default" w:ascii="Times New Roman" w:hAnsi="Times New Roman"/>
                <w:color w:val="auto"/>
                <w:kern w:val="2"/>
                <w:sz w:val="21"/>
                <w:szCs w:val="21"/>
              </w:rPr>
            </w:pPr>
            <w:r>
              <w:rPr>
                <w:rFonts w:hint="eastAsia" w:ascii="Times New Roman" w:hAnsi="Times New Roman"/>
                <w:color w:val="auto"/>
                <w:sz w:val="21"/>
                <w:szCs w:val="21"/>
                <w:u w:val="single"/>
                <w:lang w:eastAsia="zh-CN"/>
              </w:rPr>
              <w:t>玉环市人民医院健共体集团数据中心设备采购</w:t>
            </w:r>
            <w:r>
              <w:rPr>
                <w:rFonts w:hint="default" w:ascii="Times New Roman" w:hAnsi="Times New Roman"/>
                <w:color w:val="auto"/>
                <w:kern w:val="2"/>
                <w:sz w:val="21"/>
                <w:szCs w:val="21"/>
              </w:rPr>
              <w:t>招标项目的潜在投标人应在“政府采购云平台”（https://www.zcygov.cn/）获取（下载）招标文件，并于 2022年</w:t>
            </w:r>
            <w:r>
              <w:rPr>
                <w:rFonts w:hint="eastAsia" w:ascii="Times New Roman" w:hAnsi="Times New Roman"/>
                <w:color w:val="auto"/>
                <w:kern w:val="2"/>
                <w:sz w:val="21"/>
                <w:szCs w:val="21"/>
                <w:lang w:val="en-US" w:eastAsia="zh-CN"/>
              </w:rPr>
              <w:t>12</w:t>
            </w:r>
            <w:r>
              <w:rPr>
                <w:rFonts w:hint="default" w:ascii="Times New Roman" w:hAnsi="Times New Roman"/>
                <w:color w:val="auto"/>
                <w:kern w:val="2"/>
                <w:sz w:val="21"/>
                <w:szCs w:val="21"/>
              </w:rPr>
              <w:t>月</w:t>
            </w:r>
            <w:r>
              <w:rPr>
                <w:rFonts w:hint="eastAsia" w:ascii="Times New Roman" w:hAnsi="Times New Roman"/>
                <w:color w:val="auto"/>
                <w:kern w:val="2"/>
                <w:sz w:val="21"/>
                <w:szCs w:val="21"/>
                <w:lang w:val="en-US" w:eastAsia="zh-CN"/>
              </w:rPr>
              <w:t xml:space="preserve">15 </w:t>
            </w:r>
            <w:r>
              <w:rPr>
                <w:rFonts w:hint="default" w:ascii="Times New Roman" w:hAnsi="Times New Roman"/>
                <w:color w:val="auto"/>
                <w:kern w:val="2"/>
                <w:sz w:val="21"/>
                <w:szCs w:val="21"/>
              </w:rPr>
              <w:t>日</w:t>
            </w:r>
            <w:r>
              <w:rPr>
                <w:rFonts w:hint="eastAsia" w:ascii="Times New Roman" w:hAnsi="Times New Roman"/>
                <w:color w:val="auto"/>
                <w:kern w:val="2"/>
                <w:sz w:val="21"/>
                <w:szCs w:val="21"/>
                <w:lang w:val="en-US" w:eastAsia="zh-CN"/>
              </w:rPr>
              <w:t>09</w:t>
            </w:r>
            <w:r>
              <w:rPr>
                <w:rFonts w:hint="default" w:ascii="Times New Roman" w:hAnsi="Times New Roman"/>
                <w:color w:val="auto"/>
                <w:kern w:val="2"/>
                <w:sz w:val="21"/>
                <w:szCs w:val="21"/>
              </w:rPr>
              <w:t>:</w:t>
            </w:r>
            <w:r>
              <w:rPr>
                <w:rFonts w:ascii="Times New Roman" w:hAnsi="Times New Roman"/>
                <w:color w:val="auto"/>
                <w:kern w:val="2"/>
                <w:sz w:val="21"/>
                <w:szCs w:val="21"/>
              </w:rPr>
              <w:t>3</w:t>
            </w:r>
            <w:r>
              <w:rPr>
                <w:rFonts w:hint="default" w:ascii="Times New Roman" w:hAnsi="Times New Roman"/>
                <w:color w:val="auto"/>
                <w:kern w:val="2"/>
                <w:sz w:val="21"/>
                <w:szCs w:val="21"/>
              </w:rPr>
              <w:t>0  （北京时间）前递交（上传）投标文件。</w:t>
            </w:r>
          </w:p>
        </w:tc>
      </w:tr>
    </w:tbl>
    <w:p>
      <w:pPr>
        <w:tabs>
          <w:tab w:val="left" w:pos="180"/>
          <w:tab w:val="left" w:pos="360"/>
          <w:tab w:val="left" w:pos="540"/>
          <w:tab w:val="left" w:pos="8280"/>
        </w:tabs>
        <w:autoSpaceDE w:val="0"/>
        <w:autoSpaceDN w:val="0"/>
        <w:adjustRightInd w:val="0"/>
        <w:spacing w:line="100" w:lineRule="exact"/>
        <w:ind w:right="23" w:firstLine="539"/>
        <w:jc w:val="left"/>
        <w:rPr>
          <w:color w:val="auto"/>
          <w:kern w:val="0"/>
          <w:sz w:val="24"/>
        </w:rPr>
      </w:pPr>
    </w:p>
    <w:p>
      <w:pPr>
        <w:pStyle w:val="20"/>
        <w:spacing w:beforeLines="50" w:beforeAutospacing="0" w:afterLines="50" w:afterAutospacing="0" w:line="320" w:lineRule="exact"/>
        <w:jc w:val="both"/>
        <w:rPr>
          <w:rFonts w:hint="default" w:ascii="Times New Roman" w:hAnsi="Times New Roman" w:eastAsia="新宋体"/>
          <w:color w:val="auto"/>
          <w:sz w:val="21"/>
          <w:szCs w:val="21"/>
        </w:rPr>
      </w:pPr>
      <w:r>
        <w:rPr>
          <w:rStyle w:val="29"/>
          <w:rFonts w:hint="default" w:ascii="Times New Roman" w:hAnsi="Times New Roman" w:eastAsia="新宋体"/>
          <w:color w:val="auto"/>
          <w:sz w:val="21"/>
          <w:szCs w:val="21"/>
        </w:rPr>
        <w:t>一、项目基本情况</w:t>
      </w:r>
      <w:r>
        <w:rPr>
          <w:rFonts w:hint="default" w:ascii="Times New Roman" w:hAnsi="Times New Roman" w:eastAsia="新宋体"/>
          <w:color w:val="auto"/>
          <w:sz w:val="21"/>
          <w:szCs w:val="21"/>
        </w:rPr>
        <w:t>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项目编号：</w:t>
      </w:r>
      <w:r>
        <w:rPr>
          <w:rFonts w:hint="eastAsia" w:ascii="Times New Roman" w:hAnsi="Times New Roman" w:eastAsia="新宋体"/>
          <w:color w:val="auto"/>
          <w:sz w:val="21"/>
          <w:szCs w:val="21"/>
          <w:lang w:eastAsia="zh-CN"/>
        </w:rPr>
        <w:t>DDZX2022-Y-GK-22-1</w:t>
      </w:r>
      <w:r>
        <w:rPr>
          <w:rFonts w:hint="default" w:ascii="Times New Roman" w:hAnsi="Times New Roman" w:eastAsia="新宋体"/>
          <w:color w:val="auto"/>
          <w:sz w:val="21"/>
          <w:szCs w:val="21"/>
        </w:rPr>
        <w:t> </w:t>
      </w:r>
    </w:p>
    <w:p>
      <w:pPr>
        <w:pStyle w:val="20"/>
        <w:spacing w:before="0" w:beforeAutospacing="0" w:after="0" w:afterAutospacing="0" w:line="320" w:lineRule="exact"/>
        <w:ind w:firstLine="420" w:firstLineChars="200"/>
        <w:rPr>
          <w:rFonts w:hint="eastAsia" w:ascii="Times New Roman" w:hAnsi="Times New Roman" w:eastAsia="新宋体"/>
          <w:color w:val="auto"/>
          <w:sz w:val="21"/>
          <w:szCs w:val="21"/>
          <w:lang w:eastAsia="zh-CN"/>
        </w:rPr>
      </w:pPr>
      <w:r>
        <w:rPr>
          <w:rFonts w:hint="default" w:ascii="Times New Roman" w:hAnsi="Times New Roman" w:eastAsia="新宋体"/>
          <w:color w:val="auto"/>
          <w:sz w:val="21"/>
          <w:szCs w:val="21"/>
        </w:rPr>
        <w:t>项目名称：</w:t>
      </w:r>
      <w:r>
        <w:rPr>
          <w:rFonts w:hint="eastAsia" w:ascii="Times New Roman" w:hAnsi="Times New Roman" w:eastAsia="新宋体"/>
          <w:color w:val="auto"/>
          <w:sz w:val="21"/>
          <w:szCs w:val="21"/>
          <w:lang w:eastAsia="zh-CN"/>
        </w:rPr>
        <w:t>玉环市人民医院健共体集团数据中心设备采购</w:t>
      </w:r>
    </w:p>
    <w:p>
      <w:pPr>
        <w:pStyle w:val="20"/>
        <w:spacing w:before="0" w:beforeAutospacing="0" w:after="0" w:afterAutospacing="0" w:line="320" w:lineRule="exact"/>
        <w:ind w:firstLine="420" w:firstLineChars="200"/>
        <w:rPr>
          <w:rFonts w:hint="eastAsia" w:ascii="Times New Roman" w:hAnsi="Times New Roman" w:eastAsia="新宋体"/>
          <w:color w:val="auto"/>
          <w:sz w:val="21"/>
          <w:szCs w:val="21"/>
          <w:lang w:eastAsia="zh-CN"/>
        </w:rPr>
      </w:pPr>
      <w:r>
        <w:rPr>
          <w:rFonts w:hint="default" w:ascii="Times New Roman" w:hAnsi="Times New Roman" w:eastAsia="新宋体"/>
          <w:color w:val="auto"/>
          <w:sz w:val="21"/>
          <w:szCs w:val="21"/>
        </w:rPr>
        <w:t>预算金额（元）：</w:t>
      </w:r>
      <w:r>
        <w:rPr>
          <w:rFonts w:hint="eastAsia" w:ascii="Times New Roman" w:hAnsi="Times New Roman" w:eastAsia="新宋体"/>
          <w:color w:val="auto"/>
          <w:sz w:val="21"/>
          <w:szCs w:val="21"/>
          <w:lang w:eastAsia="zh-CN"/>
        </w:rPr>
        <w:t>5370000</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最高限价（元）：</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采购需求：</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标项一：</w:t>
      </w:r>
    </w:p>
    <w:p>
      <w:pPr>
        <w:pStyle w:val="20"/>
        <w:spacing w:before="0" w:beforeAutospacing="0" w:after="0" w:afterAutospacing="0" w:line="320" w:lineRule="exact"/>
        <w:ind w:firstLine="420" w:firstLineChars="200"/>
        <w:rPr>
          <w:rFonts w:hint="eastAsia" w:ascii="Times New Roman" w:hAnsi="Times New Roman" w:eastAsia="新宋体"/>
          <w:color w:val="auto"/>
          <w:sz w:val="21"/>
          <w:szCs w:val="21"/>
          <w:lang w:eastAsia="zh-CN"/>
        </w:rPr>
      </w:pPr>
      <w:r>
        <w:rPr>
          <w:rFonts w:hint="default" w:ascii="Times New Roman" w:hAnsi="Times New Roman" w:eastAsia="新宋体"/>
          <w:color w:val="auto"/>
          <w:sz w:val="21"/>
          <w:szCs w:val="21"/>
        </w:rPr>
        <w:t>标项名称：</w:t>
      </w:r>
      <w:r>
        <w:rPr>
          <w:rFonts w:hint="eastAsia" w:ascii="Times New Roman" w:hAnsi="Times New Roman" w:eastAsia="新宋体"/>
          <w:color w:val="auto"/>
          <w:sz w:val="21"/>
          <w:szCs w:val="21"/>
          <w:lang w:eastAsia="zh-CN"/>
        </w:rPr>
        <w:t>玉环市人民医院健共体集团数据中心设备采购</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数量：1</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预算金额（元）：</w:t>
      </w:r>
      <w:r>
        <w:rPr>
          <w:rFonts w:hint="eastAsia" w:ascii="Times New Roman" w:hAnsi="Times New Roman" w:eastAsia="新宋体"/>
          <w:color w:val="auto"/>
          <w:sz w:val="21"/>
          <w:szCs w:val="21"/>
          <w:lang w:eastAsia="zh-CN"/>
        </w:rPr>
        <w:t>5370000</w:t>
      </w:r>
      <w:r>
        <w:rPr>
          <w:rFonts w:hint="default" w:ascii="Times New Roman" w:hAnsi="Times New Roman" w:eastAsia="新宋体"/>
          <w:color w:val="auto"/>
          <w:sz w:val="21"/>
          <w:szCs w:val="21"/>
        </w:rPr>
        <w:t xml:space="preserve">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简要规格描述或项目基本概况介绍、用途：具体要求详见招标文件</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备注：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合同履约期限：标项1：详见招标文件</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本项目不接受联合体投标。</w:t>
      </w:r>
    </w:p>
    <w:p>
      <w:pPr>
        <w:pStyle w:val="20"/>
        <w:spacing w:beforeLines="50" w:beforeAutospacing="0" w:afterLines="50" w:afterAutospacing="0" w:line="320" w:lineRule="exact"/>
        <w:jc w:val="both"/>
        <w:rPr>
          <w:rStyle w:val="29"/>
          <w:rFonts w:hint="default" w:ascii="Times New Roman" w:hAnsi="Times New Roman" w:eastAsia="新宋体"/>
          <w:color w:val="auto"/>
          <w:sz w:val="21"/>
          <w:szCs w:val="21"/>
        </w:rPr>
      </w:pPr>
      <w:r>
        <w:rPr>
          <w:rStyle w:val="29"/>
          <w:rFonts w:hint="default" w:ascii="Times New Roman" w:hAnsi="Times New Roman" w:eastAsia="新宋体"/>
          <w:color w:val="auto"/>
          <w:sz w:val="21"/>
          <w:szCs w:val="21"/>
        </w:rPr>
        <w:t>二、申请人的资格要求</w:t>
      </w:r>
    </w:p>
    <w:p>
      <w:pPr>
        <w:pStyle w:val="20"/>
        <w:wordWrap w:val="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20"/>
        <w:wordWrap w:val="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color w:val="auto"/>
          <w:sz w:val="21"/>
          <w:szCs w:val="21"/>
        </w:rPr>
        <w:t>2.落实政府采购政策需满足的资格要求：标项1：供应商为中小企业</w:t>
      </w:r>
    </w:p>
    <w:p>
      <w:pPr>
        <w:pStyle w:val="20"/>
        <w:spacing w:before="0" w:beforeAutospacing="0" w:after="0" w:afterAutospacing="0" w:line="320" w:lineRule="exact"/>
        <w:ind w:firstLine="420" w:firstLineChars="200"/>
        <w:rPr>
          <w:rFonts w:hint="default" w:ascii="Times New Roman" w:hAnsi="Times New Roman" w:eastAsia="新宋体"/>
          <w:color w:val="FF0000"/>
          <w:sz w:val="21"/>
          <w:szCs w:val="21"/>
        </w:rPr>
      </w:pPr>
      <w:r>
        <w:rPr>
          <w:rFonts w:hint="default" w:ascii="Times New Roman" w:hAnsi="Times New Roman" w:eastAsia="新宋体"/>
          <w:color w:val="auto"/>
          <w:sz w:val="21"/>
          <w:szCs w:val="21"/>
        </w:rPr>
        <w:t>3.本项目的特定资格要求：标项</w:t>
      </w:r>
      <w:r>
        <w:rPr>
          <w:rFonts w:ascii="Times New Roman" w:hAnsi="Times New Roman" w:eastAsia="新宋体"/>
          <w:color w:val="auto"/>
          <w:sz w:val="21"/>
          <w:szCs w:val="21"/>
        </w:rPr>
        <w:t>：无</w:t>
      </w:r>
    </w:p>
    <w:p>
      <w:pPr>
        <w:pStyle w:val="20"/>
        <w:spacing w:beforeLines="50" w:beforeAutospacing="0" w:afterLines="50" w:afterAutospacing="0" w:line="320" w:lineRule="exact"/>
        <w:jc w:val="both"/>
        <w:rPr>
          <w:rStyle w:val="29"/>
          <w:rFonts w:hint="default" w:ascii="Times New Roman" w:hAnsi="Times New Roman" w:eastAsia="新宋体"/>
          <w:sz w:val="21"/>
          <w:szCs w:val="21"/>
        </w:rPr>
      </w:pPr>
      <w:r>
        <w:rPr>
          <w:rStyle w:val="29"/>
          <w:rFonts w:hint="default" w:ascii="Times New Roman" w:hAnsi="Times New Roman" w:eastAsia="新宋体"/>
          <w:sz w:val="21"/>
          <w:szCs w:val="21"/>
        </w:rPr>
        <w:t>三、获取招标文件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时间：/至2022年</w:t>
      </w:r>
      <w:r>
        <w:rPr>
          <w:rFonts w:hint="eastAsia" w:ascii="Times New Roman" w:hAnsi="Times New Roman" w:eastAsia="新宋体"/>
          <w:sz w:val="21"/>
          <w:szCs w:val="21"/>
          <w:lang w:val="en-US" w:eastAsia="zh-CN"/>
        </w:rPr>
        <w:t>12</w:t>
      </w:r>
      <w:r>
        <w:rPr>
          <w:rFonts w:hint="default" w:ascii="Times New Roman" w:hAnsi="Times New Roman" w:eastAsia="新宋体"/>
          <w:sz w:val="21"/>
          <w:szCs w:val="21"/>
        </w:rPr>
        <w:t>月</w:t>
      </w:r>
      <w:r>
        <w:rPr>
          <w:rFonts w:hint="eastAsia" w:ascii="Times New Roman" w:hAnsi="Times New Roman" w:eastAsia="新宋体"/>
          <w:sz w:val="21"/>
          <w:szCs w:val="21"/>
          <w:lang w:val="en-US" w:eastAsia="zh-CN"/>
        </w:rPr>
        <w:t>15</w:t>
      </w:r>
      <w:r>
        <w:rPr>
          <w:rFonts w:hint="default" w:ascii="Times New Roman" w:hAnsi="Times New Roman" w:eastAsia="新宋体"/>
          <w:sz w:val="21"/>
          <w:szCs w:val="21"/>
        </w:rPr>
        <w:t>日 ，每天上午00:00至12:00 ，下午12:00至23:59（北京时间，线上获取法定节假日均可，线下获取文件法定节假日除外）</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地点（网址）：“政府采购云平台”（https://www.zcygov.cn/）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方式：本项目招标文件在“政府采购云平台”（https://www.zcygov.cn/）进行网上报名后可免费下载。投标人获取招标文件前应先完成“ 政府采购云平台”（https://www.zcygov.cn/）的账号注册。注：请投标人按上述要求获取招标文件，如未在“ 政府采购云平台”（https://www.zcygov.cn/）系统内完成相关流程，引起的投标无效责任自负。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售价（元）：0 </w:t>
      </w:r>
    </w:p>
    <w:p>
      <w:pPr>
        <w:pStyle w:val="20"/>
        <w:spacing w:beforeLines="50" w:beforeAutospacing="0" w:afterLines="50" w:afterAutospacing="0" w:line="320" w:lineRule="exact"/>
        <w:jc w:val="both"/>
        <w:rPr>
          <w:rStyle w:val="29"/>
          <w:rFonts w:hint="default" w:ascii="Times New Roman" w:hAnsi="Times New Roman" w:eastAsia="新宋体"/>
          <w:sz w:val="21"/>
          <w:szCs w:val="21"/>
        </w:rPr>
      </w:pPr>
      <w:r>
        <w:rPr>
          <w:rStyle w:val="29"/>
          <w:rFonts w:hint="default" w:ascii="Times New Roman" w:hAnsi="Times New Roman" w:eastAsia="新宋体"/>
          <w:sz w:val="21"/>
          <w:szCs w:val="21"/>
        </w:rPr>
        <w:t>四、提交投标文件截止时间、开标时间和地点</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hint="default" w:ascii="Times New Roman" w:hAnsi="Times New Roman" w:eastAsia="新宋体"/>
          <w:sz w:val="21"/>
          <w:szCs w:val="21"/>
        </w:rPr>
        <w:t>提交投标文件截止时</w:t>
      </w:r>
      <w:r>
        <w:rPr>
          <w:rFonts w:hint="default" w:ascii="Times New Roman" w:hAnsi="Times New Roman" w:eastAsia="新宋体"/>
          <w:color w:val="auto"/>
          <w:sz w:val="21"/>
          <w:szCs w:val="21"/>
        </w:rPr>
        <w:t>间：</w:t>
      </w:r>
      <w:r>
        <w:rPr>
          <w:rFonts w:hint="default" w:ascii="Times New Roman" w:hAnsi="Times New Roman"/>
          <w:color w:val="auto"/>
          <w:kern w:val="2"/>
          <w:sz w:val="21"/>
          <w:szCs w:val="21"/>
        </w:rPr>
        <w:t> 2022年</w:t>
      </w:r>
      <w:r>
        <w:rPr>
          <w:rFonts w:hint="eastAsia" w:ascii="Times New Roman" w:hAnsi="Times New Roman"/>
          <w:color w:val="auto"/>
          <w:kern w:val="2"/>
          <w:sz w:val="21"/>
          <w:szCs w:val="21"/>
          <w:lang w:val="en-US" w:eastAsia="zh-CN"/>
        </w:rPr>
        <w:t>12</w:t>
      </w:r>
      <w:r>
        <w:rPr>
          <w:rFonts w:hint="default" w:ascii="Times New Roman" w:hAnsi="Times New Roman"/>
          <w:color w:val="auto"/>
          <w:kern w:val="2"/>
          <w:sz w:val="21"/>
          <w:szCs w:val="21"/>
        </w:rPr>
        <w:t>月</w:t>
      </w:r>
      <w:r>
        <w:rPr>
          <w:rFonts w:hint="eastAsia" w:ascii="Times New Roman" w:hAnsi="Times New Roman"/>
          <w:color w:val="auto"/>
          <w:kern w:val="2"/>
          <w:sz w:val="21"/>
          <w:szCs w:val="21"/>
          <w:lang w:val="en-US" w:eastAsia="zh-CN"/>
        </w:rPr>
        <w:t xml:space="preserve">15 </w:t>
      </w:r>
      <w:r>
        <w:rPr>
          <w:rFonts w:hint="default" w:ascii="Times New Roman" w:hAnsi="Times New Roman"/>
          <w:color w:val="auto"/>
          <w:kern w:val="2"/>
          <w:sz w:val="21"/>
          <w:szCs w:val="21"/>
        </w:rPr>
        <w:t>日</w:t>
      </w:r>
      <w:r>
        <w:rPr>
          <w:rFonts w:hint="eastAsia" w:ascii="Times New Roman" w:hAnsi="Times New Roman"/>
          <w:color w:val="auto"/>
          <w:kern w:val="2"/>
          <w:sz w:val="21"/>
          <w:szCs w:val="21"/>
          <w:lang w:val="en-US" w:eastAsia="zh-CN"/>
        </w:rPr>
        <w:t>09</w:t>
      </w:r>
      <w:r>
        <w:rPr>
          <w:rFonts w:hint="default" w:ascii="Times New Roman" w:hAnsi="Times New Roman"/>
          <w:color w:val="auto"/>
          <w:kern w:val="2"/>
          <w:sz w:val="21"/>
          <w:szCs w:val="21"/>
        </w:rPr>
        <w:t>:</w:t>
      </w:r>
      <w:r>
        <w:rPr>
          <w:rFonts w:ascii="Times New Roman" w:hAnsi="Times New Roman"/>
          <w:color w:val="auto"/>
          <w:kern w:val="2"/>
          <w:sz w:val="21"/>
          <w:szCs w:val="21"/>
        </w:rPr>
        <w:t>3</w:t>
      </w:r>
      <w:r>
        <w:rPr>
          <w:rFonts w:hint="default" w:ascii="Times New Roman" w:hAnsi="Times New Roman"/>
          <w:color w:val="auto"/>
          <w:kern w:val="2"/>
          <w:sz w:val="21"/>
          <w:szCs w:val="21"/>
        </w:rPr>
        <w:t>0</w:t>
      </w:r>
      <w:r>
        <w:rPr>
          <w:rFonts w:hint="default" w:ascii="Times New Roman" w:hAnsi="Times New Roman" w:eastAsia="新宋体"/>
          <w:color w:val="auto"/>
          <w:sz w:val="21"/>
          <w:szCs w:val="21"/>
        </w:rPr>
        <w:t>（北京时间）</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投标地点（网址）：电子投标文件上传到“政府采购云平台” （https://www.zcygov.cn/）</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开标时间：</w:t>
      </w:r>
      <w:r>
        <w:rPr>
          <w:rFonts w:hint="default" w:ascii="Times New Roman" w:hAnsi="Times New Roman"/>
          <w:color w:val="auto"/>
          <w:kern w:val="2"/>
          <w:sz w:val="21"/>
          <w:szCs w:val="21"/>
        </w:rPr>
        <w:t> 2022年</w:t>
      </w:r>
      <w:r>
        <w:rPr>
          <w:rFonts w:hint="eastAsia" w:ascii="Times New Roman" w:hAnsi="Times New Roman"/>
          <w:color w:val="auto"/>
          <w:kern w:val="2"/>
          <w:sz w:val="21"/>
          <w:szCs w:val="21"/>
          <w:lang w:val="en-US" w:eastAsia="zh-CN"/>
        </w:rPr>
        <w:t>12</w:t>
      </w:r>
      <w:r>
        <w:rPr>
          <w:rFonts w:hint="default" w:ascii="Times New Roman" w:hAnsi="Times New Roman"/>
          <w:color w:val="auto"/>
          <w:kern w:val="2"/>
          <w:sz w:val="21"/>
          <w:szCs w:val="21"/>
        </w:rPr>
        <w:t>月</w:t>
      </w:r>
      <w:r>
        <w:rPr>
          <w:rFonts w:hint="eastAsia" w:ascii="Times New Roman" w:hAnsi="Times New Roman"/>
          <w:color w:val="auto"/>
          <w:kern w:val="2"/>
          <w:sz w:val="21"/>
          <w:szCs w:val="21"/>
          <w:lang w:val="en-US" w:eastAsia="zh-CN"/>
        </w:rPr>
        <w:t>15</w:t>
      </w:r>
      <w:r>
        <w:rPr>
          <w:rFonts w:hint="default" w:ascii="Times New Roman" w:hAnsi="Times New Roman"/>
          <w:color w:val="auto"/>
          <w:kern w:val="2"/>
          <w:sz w:val="21"/>
          <w:szCs w:val="21"/>
        </w:rPr>
        <w:t>日</w:t>
      </w:r>
      <w:r>
        <w:rPr>
          <w:rFonts w:hint="eastAsia" w:ascii="Times New Roman" w:hAnsi="Times New Roman"/>
          <w:color w:val="auto"/>
          <w:kern w:val="2"/>
          <w:sz w:val="21"/>
          <w:szCs w:val="21"/>
          <w:lang w:val="en-US" w:eastAsia="zh-CN"/>
        </w:rPr>
        <w:t>09</w:t>
      </w:r>
      <w:r>
        <w:rPr>
          <w:rFonts w:hint="default" w:ascii="Times New Roman" w:hAnsi="Times New Roman"/>
          <w:color w:val="auto"/>
          <w:kern w:val="2"/>
          <w:sz w:val="21"/>
          <w:szCs w:val="21"/>
        </w:rPr>
        <w:t>:</w:t>
      </w:r>
      <w:r>
        <w:rPr>
          <w:rFonts w:ascii="Times New Roman" w:hAnsi="Times New Roman"/>
          <w:color w:val="auto"/>
          <w:kern w:val="2"/>
          <w:sz w:val="21"/>
          <w:szCs w:val="21"/>
        </w:rPr>
        <w:t>3</w:t>
      </w:r>
      <w:r>
        <w:rPr>
          <w:rFonts w:hint="default" w:ascii="Times New Roman" w:hAnsi="Times New Roman"/>
          <w:color w:val="auto"/>
          <w:kern w:val="2"/>
          <w:sz w:val="21"/>
          <w:szCs w:val="21"/>
        </w:rPr>
        <w:t>0 </w:t>
      </w:r>
      <w:r>
        <w:rPr>
          <w:rFonts w:hint="default" w:ascii="Times New Roman" w:hAnsi="Times New Roman" w:eastAsia="新宋体"/>
          <w:sz w:val="21"/>
          <w:szCs w:val="21"/>
        </w:rPr>
        <w:t>（北京时间）</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开标地点（网址）：“政府采购云平台” （https://www.zcygov.cn/）在线开标  </w:t>
      </w:r>
    </w:p>
    <w:p>
      <w:pPr>
        <w:pStyle w:val="20"/>
        <w:spacing w:beforeLines="50" w:beforeAutospacing="0" w:afterLines="50" w:afterAutospacing="0" w:line="320" w:lineRule="exact"/>
        <w:jc w:val="both"/>
        <w:rPr>
          <w:rStyle w:val="29"/>
          <w:rFonts w:hint="default" w:ascii="Times New Roman" w:hAnsi="Times New Roman" w:eastAsia="新宋体"/>
          <w:sz w:val="21"/>
          <w:szCs w:val="21"/>
        </w:rPr>
      </w:pPr>
      <w:r>
        <w:rPr>
          <w:rStyle w:val="29"/>
          <w:rFonts w:hint="default" w:ascii="Times New Roman" w:hAnsi="Times New Roman" w:eastAsia="新宋体"/>
          <w:sz w:val="21"/>
          <w:szCs w:val="21"/>
        </w:rPr>
        <w:t>五、公告期限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自本公告发布之日起5个工作日。</w:t>
      </w:r>
    </w:p>
    <w:p>
      <w:pPr>
        <w:pStyle w:val="20"/>
        <w:spacing w:beforeLines="50" w:beforeAutospacing="0" w:afterLines="50" w:afterAutospacing="0" w:line="320" w:lineRule="exact"/>
        <w:jc w:val="both"/>
        <w:rPr>
          <w:rStyle w:val="29"/>
          <w:rFonts w:hint="default" w:ascii="Times New Roman" w:hAnsi="Times New Roman" w:eastAsia="新宋体"/>
          <w:sz w:val="21"/>
          <w:szCs w:val="21"/>
        </w:rPr>
      </w:pPr>
      <w:r>
        <w:rPr>
          <w:rStyle w:val="29"/>
          <w:rFonts w:hint="default" w:ascii="Times New Roman" w:hAnsi="Times New Roman" w:eastAsia="新宋体"/>
          <w:sz w:val="21"/>
          <w:szCs w:val="21"/>
        </w:rPr>
        <w:t>六、其他补充事宜</w:t>
      </w:r>
    </w:p>
    <w:p>
      <w:pPr>
        <w:pStyle w:val="20"/>
        <w:spacing w:before="0" w:beforeAutospacing="0" w:after="0" w:afterAutospacing="0" w:line="320" w:lineRule="exact"/>
        <w:ind w:firstLine="420" w:firstLineChars="200"/>
        <w:rPr>
          <w:rFonts w:hint="eastAsia" w:ascii="Times New Roman" w:hAnsi="Times New Roman" w:eastAsia="新宋体"/>
          <w:sz w:val="21"/>
          <w:szCs w:val="21"/>
          <w:lang w:val="en-US" w:eastAsia="zh-CN"/>
        </w:rPr>
      </w:pPr>
      <w:r>
        <w:rPr>
          <w:rFonts w:hint="default" w:ascii="Times New Roman" w:hAnsi="Times New Roman" w:eastAsia="新宋体"/>
          <w:sz w:val="21"/>
          <w:szCs w:val="21"/>
        </w:rPr>
        <w:t xml:space="preserve">   </w:t>
      </w:r>
      <w:r>
        <w:rPr>
          <w:rFonts w:hint="default" w:ascii="Times New Roman" w:hAnsi="Times New Roman" w:eastAsia="新宋体"/>
          <w:sz w:val="21"/>
          <w:szCs w:val="21"/>
          <w:lang w:val="en-US" w:eastAsia="zh-CN"/>
        </w:rPr>
        <w:t>  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eastAsia="新宋体"/>
          <w:sz w:val="21"/>
          <w:szCs w:val="21"/>
          <w:lang w:val="en-US" w:eastAsia="zh-CN"/>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4.其他事项</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 xml:space="preserve">在线投标响应（电子投标）说明：本项目采用资格后审，请拟投标人自行核对投标人资格条件，如不符合资格条件者，在资格审查时导致投标被拒绝的，责任自负。 ①本项目实行电子投标，投标人应通过“政府采购云平台”（https://www.zcygov.cn/）实行在线投标响应（电子投标），投标人应先安装“政采云电子交易客户端”，并按照本招标文件和“政府采购云平台”的要求，通过“政采云电子交易客户端”编制并加密投标文件。投标人未按规定加密的投标文件，“政府采购云平台”将予以拒收。 “政采云电子交易客户端”请自行前往“政府采购网-下载专区-电子交易客户端”进行下载；电子投标具体操作流程详见《供应商项目采购-电子招投标操作指南》；通过“政府采购云平台”参与在线投标时如遇平台技术问题详询400-881-7190。 ②为确保网上操作合法、有效和安全，投标人应当在投标截止时间前完成在“政府采购云平台”的身份认证，确保在电子投标过程中能够对相关数据电文进行加密和使用电子签章。使用“政采云电子交易客户端”需要提前办理申领CA数字证书，申领流程请自行前往“政府采购网-下载专区-电子交易客户端-CA驱动和申领流程”进行查阅。 ③投标人应当在投标截止时间前，将生成的“电子加密投标文件”上传递交至“政府采购云平台”（https://www.zcygov.cn/）。为确保采购项目顺利实施，避免因政采云上“电子加密投标文件”解密失败导致投标人投标无效，投标人可在投标文件截止时间前将在“政府采购云平台”电子投标工具制作生成的“备份电子加密投标文件”（u盘）以邮件的方式送到招标代理机构，联系人、联系地址及电话见下方。“备份电子加密投标文件”应当密封包装，并在包装上标注投标项目名称、投标人名称并加盖公章。 ④通过“政府采购云平台”（https://www.zcygov.cn/）上传递交的“电子加密投标文件”无法按时解密，投标人递交了“备份电子加密投标文件”的，以“备份电子加密投标文件”为依据，否则视为投标文件撤回。通过“政府采购云平台”上传递交的“电子加密投标文件”已按时解密的，“备份电子加密投标文件”自动失效。投标人仅递交“备份电子加密投标文件”的，投标无效。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 xml:space="preserve">投标人信用信息查询渠道及截止时点、信用信息查询记录和证据留存的具体方式、信用信息的使用规则： ①查询渠道：“信用中国”(www.creditchina.gov.cn)；“中国政府采购网”（http://www.ccgp.gov.cn/）。 ②截止时点：开标后评标前。 ③信用信息查询记录和证据留存的具体方式：由采购组织机构在规定查询时间内打印信用信息查询记录并归入项目档案。 ④使用规则：对列入失信被执行人、重大税收违法案件当事人名单、政府采购严重违法失信行为记录名单及其他不符合《中华人民共和国政府采购法》第二十二条规定条件的投标人，将被拒绝其参与政府采购活动。 </w:t>
      </w:r>
    </w:p>
    <w:p>
      <w:pPr>
        <w:pStyle w:val="20"/>
        <w:spacing w:beforeLines="50" w:beforeAutospacing="0" w:afterLines="50" w:afterAutospacing="0" w:line="320" w:lineRule="exact"/>
        <w:jc w:val="both"/>
        <w:rPr>
          <w:rStyle w:val="29"/>
          <w:rFonts w:hint="default" w:ascii="Times New Roman" w:hAnsi="Times New Roman" w:eastAsia="新宋体"/>
          <w:sz w:val="21"/>
          <w:szCs w:val="21"/>
        </w:rPr>
      </w:pPr>
      <w:r>
        <w:rPr>
          <w:rStyle w:val="29"/>
          <w:rFonts w:hint="default" w:ascii="Times New Roman" w:hAnsi="Times New Roman" w:eastAsia="新宋体"/>
          <w:sz w:val="21"/>
          <w:szCs w:val="21"/>
        </w:rPr>
        <w:t>七、对本次采购提出询问、质疑、投诉，请按以下方式联系</w:t>
      </w:r>
    </w:p>
    <w:p>
      <w:pPr>
        <w:pStyle w:val="20"/>
        <w:spacing w:before="0" w:beforeAutospacing="0" w:after="0" w:afterAutospacing="0" w:line="320" w:lineRule="exact"/>
        <w:ind w:firstLine="422" w:firstLineChars="200"/>
        <w:rPr>
          <w:rFonts w:hint="default" w:ascii="Times New Roman" w:hAnsi="Times New Roman" w:eastAsia="新宋体"/>
          <w:b/>
          <w:bCs/>
          <w:sz w:val="21"/>
          <w:szCs w:val="21"/>
        </w:rPr>
      </w:pPr>
      <w:r>
        <w:rPr>
          <w:rFonts w:hint="default" w:ascii="Times New Roman" w:hAnsi="Times New Roman" w:eastAsia="新宋体"/>
          <w:b/>
          <w:bCs/>
          <w:sz w:val="21"/>
          <w:szCs w:val="21"/>
        </w:rPr>
        <w:t>1.采购人信息</w:t>
      </w:r>
    </w:p>
    <w:p>
      <w:pPr>
        <w:pStyle w:val="20"/>
        <w:spacing w:before="0" w:beforeAutospacing="0" w:after="0" w:afterAutospacing="0" w:line="320" w:lineRule="exact"/>
        <w:ind w:firstLine="420" w:firstLineChars="200"/>
        <w:rPr>
          <w:rFonts w:hint="eastAsia" w:ascii="Times New Roman" w:hAnsi="Times New Roman" w:eastAsia="新宋体"/>
          <w:sz w:val="21"/>
          <w:szCs w:val="21"/>
          <w:lang w:eastAsia="zh-CN"/>
        </w:rPr>
      </w:pPr>
      <w:r>
        <w:rPr>
          <w:rFonts w:hint="default" w:ascii="Times New Roman" w:hAnsi="Times New Roman" w:eastAsia="新宋体"/>
          <w:sz w:val="21"/>
          <w:szCs w:val="21"/>
        </w:rPr>
        <w:t>名    称：</w:t>
      </w:r>
      <w:r>
        <w:rPr>
          <w:rFonts w:hint="eastAsia" w:ascii="Times New Roman" w:hAnsi="Times New Roman" w:eastAsia="新宋体"/>
          <w:sz w:val="21"/>
          <w:szCs w:val="21"/>
          <w:lang w:eastAsia="zh-CN"/>
        </w:rPr>
        <w:t>玉环市人民医院健共体集团</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地    址</w:t>
      </w:r>
      <w:r>
        <w:rPr>
          <w:rFonts w:hint="default" w:ascii="Times New Roman" w:hAnsi="Times New Roman" w:eastAsia="新宋体"/>
          <w:color w:val="auto"/>
          <w:sz w:val="21"/>
          <w:szCs w:val="21"/>
        </w:rPr>
        <w:t>：</w:t>
      </w:r>
      <w:r>
        <w:rPr>
          <w:rFonts w:hint="default" w:ascii="Times New Roman" w:hAnsi="Times New Roman" w:cs="Times New Roman"/>
          <w:color w:val="auto"/>
          <w:sz w:val="21"/>
          <w:szCs w:val="21"/>
          <w:lang w:eastAsia="zh-CN"/>
        </w:rPr>
        <w:t>玉环市玉城街道长乐路18号</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传    真：/  </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ascii="Times New Roman" w:hAnsi="Times New Roman" w:eastAsia="新宋体"/>
          <w:color w:val="auto"/>
          <w:sz w:val="21"/>
          <w:szCs w:val="21"/>
        </w:rPr>
        <w:t>项目联系人（询问）：</w:t>
      </w:r>
      <w:r>
        <w:rPr>
          <w:rFonts w:hint="eastAsia" w:ascii="Times New Roman" w:hAnsi="Times New Roman" w:eastAsia="宋体" w:cs="Times New Roman"/>
          <w:color w:val="auto"/>
          <w:sz w:val="21"/>
          <w:szCs w:val="21"/>
          <w:lang w:val="en-US" w:eastAsia="zh-CN"/>
        </w:rPr>
        <w:t>蔡女士</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ascii="Times New Roman" w:hAnsi="Times New Roman" w:eastAsia="新宋体"/>
          <w:color w:val="auto"/>
          <w:sz w:val="21"/>
          <w:szCs w:val="21"/>
        </w:rPr>
        <w:t>项目联系方式（询问）：</w:t>
      </w:r>
      <w:r>
        <w:rPr>
          <w:rFonts w:hint="eastAsia" w:ascii="Times New Roman" w:hAnsi="Times New Roman" w:eastAsia="宋体" w:cs="Times New Roman"/>
          <w:color w:val="auto"/>
          <w:sz w:val="21"/>
          <w:szCs w:val="21"/>
          <w:lang w:val="en-US" w:eastAsia="zh-CN"/>
        </w:rPr>
        <w:t>0576-87236020</w:t>
      </w:r>
    </w:p>
    <w:p>
      <w:pPr>
        <w:pStyle w:val="20"/>
        <w:spacing w:before="0" w:beforeAutospacing="0" w:after="0" w:afterAutospacing="0" w:line="320" w:lineRule="exact"/>
        <w:ind w:firstLine="420" w:firstLineChars="200"/>
        <w:rPr>
          <w:rFonts w:hint="default" w:ascii="Times New Roman" w:hAnsi="Times New Roman" w:eastAsia="新宋体"/>
          <w:color w:val="auto"/>
          <w:sz w:val="21"/>
          <w:szCs w:val="21"/>
        </w:rPr>
      </w:pPr>
      <w:r>
        <w:rPr>
          <w:rFonts w:ascii="Times New Roman" w:hAnsi="Times New Roman" w:eastAsia="新宋体"/>
          <w:color w:val="auto"/>
          <w:sz w:val="21"/>
          <w:szCs w:val="21"/>
        </w:rPr>
        <w:t>质疑联系人：</w:t>
      </w:r>
      <w:r>
        <w:rPr>
          <w:rFonts w:hint="eastAsia" w:ascii="Times New Roman" w:hAnsi="Times New Roman" w:eastAsia="宋体" w:cs="Times New Roman"/>
          <w:color w:val="auto"/>
          <w:sz w:val="21"/>
          <w:szCs w:val="21"/>
          <w:lang w:val="en-US" w:eastAsia="zh-CN"/>
        </w:rPr>
        <w:t>林先生</w:t>
      </w:r>
    </w:p>
    <w:p>
      <w:pPr>
        <w:pStyle w:val="20"/>
        <w:spacing w:before="0" w:beforeAutospacing="0" w:after="0" w:afterAutospacing="0" w:line="320" w:lineRule="exact"/>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新宋体"/>
          <w:sz w:val="21"/>
          <w:szCs w:val="21"/>
        </w:rPr>
        <w:t>质疑联系方式：</w:t>
      </w:r>
      <w:r>
        <w:rPr>
          <w:rFonts w:hint="eastAsia" w:ascii="Times New Roman" w:hAnsi="Times New Roman" w:eastAsia="宋体" w:cs="Times New Roman"/>
          <w:color w:val="auto"/>
          <w:sz w:val="21"/>
          <w:szCs w:val="21"/>
          <w:lang w:val="en-US" w:eastAsia="zh-CN"/>
        </w:rPr>
        <w:t>13575887522</w:t>
      </w:r>
    </w:p>
    <w:p>
      <w:pPr>
        <w:pStyle w:val="20"/>
        <w:spacing w:before="0" w:beforeAutospacing="0" w:after="0" w:afterAutospacing="0" w:line="320" w:lineRule="exact"/>
        <w:ind w:firstLine="422" w:firstLineChars="200"/>
        <w:rPr>
          <w:rFonts w:hint="default" w:ascii="Times New Roman" w:hAnsi="Times New Roman" w:eastAsia="新宋体"/>
          <w:sz w:val="21"/>
          <w:szCs w:val="21"/>
        </w:rPr>
      </w:pPr>
      <w:r>
        <w:rPr>
          <w:rFonts w:hint="default" w:ascii="Times New Roman" w:hAnsi="Times New Roman" w:eastAsia="新宋体"/>
          <w:b/>
          <w:bCs/>
          <w:sz w:val="21"/>
          <w:szCs w:val="21"/>
        </w:rPr>
        <w:t>2.采购代理机构信息</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名    称：大地工程咨询有限公司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地    址：浙江省玉环市玉城街道康育南路309号1503室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传    真：/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项目联系人（询问）：赵晓英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项目联系方式（询问）：0576-87237838</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质疑联系人：曾云木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质疑联系方式：0576-87237838　　　　　　     </w:t>
      </w:r>
    </w:p>
    <w:p>
      <w:pPr>
        <w:pStyle w:val="20"/>
        <w:spacing w:before="0" w:beforeAutospacing="0" w:after="0" w:afterAutospacing="0" w:line="320" w:lineRule="exact"/>
        <w:ind w:firstLine="422" w:firstLineChars="200"/>
        <w:rPr>
          <w:rFonts w:hint="default" w:ascii="Times New Roman" w:hAnsi="Times New Roman" w:eastAsia="新宋体"/>
          <w:sz w:val="21"/>
          <w:szCs w:val="21"/>
        </w:rPr>
      </w:pPr>
      <w:r>
        <w:rPr>
          <w:rFonts w:hint="default" w:ascii="Times New Roman" w:hAnsi="Times New Roman" w:eastAsia="新宋体"/>
          <w:b/>
          <w:bCs/>
          <w:sz w:val="21"/>
          <w:szCs w:val="21"/>
        </w:rPr>
        <w:t>3.同级政府采购监督管理部门 </w:t>
      </w:r>
      <w:r>
        <w:rPr>
          <w:rFonts w:hint="default" w:ascii="Times New Roman" w:hAnsi="Times New Roman" w:eastAsia="新宋体"/>
          <w:sz w:val="21"/>
          <w:szCs w:val="21"/>
        </w:rPr>
        <w:t>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名    称：玉环市财政局政府采购监督管理科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地    址：玉环市广陵路130号财政大楼5楼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传    真：/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联系人 ：谢主任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监督投诉电话：0576-87250185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 xml:space="preserve"> 若对项目采购电子交易系统操作有疑问，可登录政采云（https://www.zcygov.cn/），点击右侧咨询小采，获取采小蜜智能服务管家帮助，或拨打政采云服务热线400-881-7190获取热线服务帮助。    </w:t>
      </w:r>
    </w:p>
    <w:p>
      <w:pPr>
        <w:pStyle w:val="20"/>
        <w:spacing w:before="0" w:beforeAutospacing="0" w:after="0" w:afterAutospacing="0" w:line="320" w:lineRule="exact"/>
        <w:ind w:firstLine="420" w:firstLineChars="200"/>
        <w:rPr>
          <w:rFonts w:hint="default" w:ascii="Times New Roman" w:hAnsi="Times New Roman" w:eastAsia="新宋体"/>
          <w:sz w:val="21"/>
          <w:szCs w:val="21"/>
        </w:rPr>
      </w:pPr>
      <w:r>
        <w:rPr>
          <w:rFonts w:hint="default" w:ascii="Times New Roman" w:hAnsi="Times New Roman" w:eastAsia="新宋体"/>
          <w:sz w:val="21"/>
          <w:szCs w:val="21"/>
        </w:rPr>
        <w:t>CA问题联系电话（人工）：汇信CA 400-888-4636；天谷CA 400-087-8198</w:t>
      </w:r>
    </w:p>
    <w:p>
      <w:pPr>
        <w:tabs>
          <w:tab w:val="left" w:pos="180"/>
          <w:tab w:val="left" w:pos="360"/>
          <w:tab w:val="left" w:pos="540"/>
          <w:tab w:val="left" w:pos="8280"/>
        </w:tabs>
        <w:autoSpaceDE w:val="0"/>
        <w:autoSpaceDN w:val="0"/>
        <w:adjustRightInd w:val="0"/>
        <w:spacing w:line="360" w:lineRule="auto"/>
        <w:ind w:right="23"/>
        <w:jc w:val="center"/>
        <w:rPr>
          <w:b/>
          <w:kern w:val="0"/>
          <w:sz w:val="28"/>
          <w:szCs w:val="28"/>
        </w:rPr>
      </w:pPr>
      <w:r>
        <w:rPr>
          <w:b/>
          <w:kern w:val="0"/>
          <w:sz w:val="28"/>
          <w:szCs w:val="28"/>
        </w:rPr>
        <w:t>第二章  投标人须知</w:t>
      </w:r>
    </w:p>
    <w:p>
      <w:pPr>
        <w:spacing w:line="360" w:lineRule="auto"/>
        <w:jc w:val="center"/>
        <w:rPr>
          <w:b/>
          <w:sz w:val="24"/>
        </w:rPr>
      </w:pPr>
      <w:r>
        <w:rPr>
          <w:b/>
          <w:sz w:val="24"/>
        </w:rPr>
        <w:t>前  附  表</w:t>
      </w:r>
    </w:p>
    <w:tbl>
      <w:tblPr>
        <w:tblStyle w:val="26"/>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130"/>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序号</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项   目</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1</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供应商特定资格要求</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szCs w:val="21"/>
              </w:rPr>
            </w:pPr>
            <w:r>
              <w:rPr>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kern w:val="0"/>
                <w:szCs w:val="21"/>
              </w:rPr>
              <w:t>答疑会或</w:t>
            </w:r>
            <w:r>
              <w:rPr>
                <w:szCs w:val="21"/>
              </w:rPr>
              <w:t>现场踏勘</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3</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kern w:val="0"/>
                <w:szCs w:val="21"/>
              </w:rPr>
            </w:pPr>
            <w:r>
              <w:rPr>
                <w:kern w:val="0"/>
                <w:szCs w:val="21"/>
                <w:lang w:val="zh-CN"/>
              </w:rPr>
              <w:t>投标文件</w:t>
            </w:r>
            <w:r>
              <w:rPr>
                <w:kern w:val="0"/>
                <w:szCs w:val="21"/>
              </w:rPr>
              <w:t>说明</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ind w:left="17" w:right="199" w:rightChars="95" w:hanging="16" w:hangingChars="8"/>
              <w:rPr>
                <w:szCs w:val="21"/>
                <w:lang w:val="zh-CN"/>
              </w:rPr>
            </w:pPr>
            <w:r>
              <w:rPr>
                <w:szCs w:val="21"/>
                <w:lang w:val="zh-CN"/>
              </w:rPr>
              <w:t>1、</w:t>
            </w:r>
            <w:r>
              <w:rPr>
                <w:b/>
                <w:bCs/>
                <w:szCs w:val="21"/>
                <w:lang w:val="zh-CN"/>
              </w:rPr>
              <w:t>投标文件组成：</w:t>
            </w:r>
            <w:r>
              <w:rPr>
                <w:szCs w:val="21"/>
                <w:lang w:val="zh-CN"/>
              </w:rPr>
              <w:t>《资格</w:t>
            </w:r>
            <w:r>
              <w:rPr>
                <w:szCs w:val="21"/>
              </w:rPr>
              <w:t>证明</w:t>
            </w:r>
            <w:r>
              <w:rPr>
                <w:szCs w:val="21"/>
                <w:lang w:val="zh-CN"/>
              </w:rPr>
              <w:t>文件》及《商务</w:t>
            </w:r>
            <w:r>
              <w:rPr>
                <w:szCs w:val="21"/>
              </w:rPr>
              <w:t>与</w:t>
            </w:r>
            <w:r>
              <w:rPr>
                <w:szCs w:val="21"/>
                <w:lang w:val="zh-CN"/>
              </w:rPr>
              <w:t>技术文件》和《报价文件》。</w:t>
            </w:r>
          </w:p>
          <w:p>
            <w:pPr>
              <w:spacing w:line="340" w:lineRule="exact"/>
              <w:ind w:left="17" w:right="199" w:rightChars="95" w:hanging="16" w:hangingChars="8"/>
              <w:rPr>
                <w:szCs w:val="21"/>
                <w:lang w:val="zh-CN"/>
              </w:rPr>
            </w:pPr>
            <w:r>
              <w:rPr>
                <w:szCs w:val="21"/>
              </w:rPr>
              <w:t>2、</w:t>
            </w:r>
            <w:r>
              <w:rPr>
                <w:b/>
                <w:bCs/>
                <w:szCs w:val="21"/>
              </w:rPr>
              <w:t>投标文件编制：</w:t>
            </w:r>
            <w:r>
              <w:rPr>
                <w:bCs/>
                <w:szCs w:val="21"/>
              </w:rPr>
              <w:t>投标人</w:t>
            </w:r>
            <w:r>
              <w:rPr>
                <w:szCs w:val="21"/>
                <w:lang w:val="zh-CN"/>
              </w:rPr>
              <w:t>应先安装“政采云电子交易客户端”，并按照本</w:t>
            </w:r>
            <w:r>
              <w:rPr>
                <w:szCs w:val="21"/>
              </w:rPr>
              <w:t>招标</w:t>
            </w:r>
            <w:r>
              <w:rPr>
                <w:szCs w:val="21"/>
                <w:lang w:val="zh-CN"/>
              </w:rPr>
              <w:t>文件和“政府采购云平台”的要求，通过“政采云电子交易客户端”编制并加密投标文件。</w:t>
            </w:r>
          </w:p>
          <w:p>
            <w:pPr>
              <w:spacing w:line="340" w:lineRule="exact"/>
              <w:ind w:left="17" w:right="199" w:rightChars="95" w:hanging="16" w:hangingChars="8"/>
              <w:rPr>
                <w:szCs w:val="21"/>
              </w:rPr>
            </w:pPr>
            <w:r>
              <w:rPr>
                <w:szCs w:val="21"/>
              </w:rPr>
              <w:t>3、</w:t>
            </w:r>
            <w:r>
              <w:rPr>
                <w:b/>
                <w:bCs/>
                <w:szCs w:val="21"/>
              </w:rPr>
              <w:t>投标文件的签章：</w:t>
            </w:r>
            <w:r>
              <w:rPr>
                <w:szCs w:val="21"/>
                <w:lang w:val="zh-CN"/>
              </w:rPr>
              <w:t>电子签章。</w:t>
            </w:r>
          </w:p>
          <w:p>
            <w:pPr>
              <w:spacing w:line="340" w:lineRule="exact"/>
              <w:ind w:left="17" w:right="199" w:rightChars="95" w:hanging="16" w:hangingChars="8"/>
              <w:rPr>
                <w:szCs w:val="21"/>
                <w:lang w:val="zh-CN"/>
              </w:rPr>
            </w:pPr>
            <w:r>
              <w:rPr>
                <w:szCs w:val="21"/>
              </w:rPr>
              <w:t>4、</w:t>
            </w:r>
            <w:r>
              <w:rPr>
                <w:b/>
                <w:bCs/>
                <w:szCs w:val="21"/>
              </w:rPr>
              <w:t>投标文件的形式：</w:t>
            </w:r>
            <w:r>
              <w:rPr>
                <w:szCs w:val="21"/>
                <w:lang w:val="zh-CN"/>
              </w:rPr>
              <w:t>电子投标文件</w:t>
            </w:r>
            <w:r>
              <w:rPr>
                <w:szCs w:val="21"/>
              </w:rPr>
              <w:t>形式</w:t>
            </w:r>
            <w:r>
              <w:rPr>
                <w:szCs w:val="21"/>
                <w:lang w:val="zh-CN"/>
              </w:rPr>
              <w:t>：</w:t>
            </w:r>
          </w:p>
          <w:p>
            <w:pPr>
              <w:spacing w:line="340" w:lineRule="exact"/>
              <w:ind w:left="17" w:right="199" w:rightChars="95" w:hanging="16" w:hangingChars="8"/>
              <w:rPr>
                <w:szCs w:val="21"/>
              </w:rPr>
            </w:pPr>
            <w:r>
              <w:rPr>
                <w:szCs w:val="21"/>
                <w:lang w:val="zh-CN"/>
              </w:rPr>
              <w:t>（1）“电子加密投标文件”是指通过“政采云电子交易客户端”完成投标文件编制后生成并加密的数据电文形式的投标</w:t>
            </w:r>
            <w:r>
              <w:rPr>
                <w:szCs w:val="21"/>
              </w:rPr>
              <w:t>文件。</w:t>
            </w:r>
          </w:p>
          <w:p>
            <w:pPr>
              <w:spacing w:line="340" w:lineRule="exact"/>
              <w:ind w:left="17" w:right="199" w:rightChars="95" w:hanging="16" w:hangingChars="8"/>
              <w:rPr>
                <w:szCs w:val="21"/>
              </w:rPr>
            </w:pPr>
            <w:r>
              <w:rPr>
                <w:szCs w:val="21"/>
              </w:rPr>
              <w:t>（2）“备份电子加密投标文件”是指与“电子加密投标文件”同时生成的</w:t>
            </w:r>
            <w:r>
              <w:rPr>
                <w:bCs/>
                <w:szCs w:val="21"/>
              </w:rPr>
              <w:t>以介质（U盘）存储</w:t>
            </w:r>
            <w:r>
              <w:rPr>
                <w:szCs w:val="21"/>
              </w:rPr>
              <w:t>数据电文形式的电子文件（备份电子加密投标文件），其他方式编制的备份电子加密投标文件视为无效备份投标文件。</w:t>
            </w:r>
          </w:p>
          <w:p>
            <w:pPr>
              <w:spacing w:line="340" w:lineRule="exact"/>
              <w:ind w:left="17" w:right="199" w:rightChars="95" w:hanging="17" w:hangingChars="8"/>
              <w:rPr>
                <w:szCs w:val="21"/>
              </w:rPr>
            </w:pPr>
            <w:r>
              <w:rPr>
                <w:b/>
                <w:bCs/>
                <w:szCs w:val="21"/>
              </w:rPr>
              <w:t>5、投标文件份数：</w:t>
            </w:r>
            <w:r>
              <w:rPr>
                <w:szCs w:val="21"/>
              </w:rPr>
              <w:t>（1）“电子加密投标文件”：在线上传递交。按政采云平台供应商项目采购-电子招投标操作指南及本项目招标文件要求提交。（2）“备份电子加密投标文件”：一份。</w:t>
            </w:r>
          </w:p>
          <w:p>
            <w:pPr>
              <w:spacing w:line="340" w:lineRule="exact"/>
              <w:ind w:left="17" w:right="199" w:rightChars="95" w:hanging="17" w:hangingChars="8"/>
              <w:rPr>
                <w:b/>
                <w:bCs/>
                <w:szCs w:val="21"/>
              </w:rPr>
            </w:pPr>
            <w:r>
              <w:rPr>
                <w:b/>
                <w:bCs/>
                <w:szCs w:val="21"/>
              </w:rPr>
              <w:t>6、投标文件的上传和递交：</w:t>
            </w:r>
          </w:p>
          <w:p>
            <w:pPr>
              <w:spacing w:line="340" w:lineRule="exact"/>
              <w:ind w:left="17" w:right="199" w:rightChars="95" w:hanging="16" w:hangingChars="8"/>
              <w:rPr>
                <w:szCs w:val="21"/>
              </w:rPr>
            </w:pPr>
            <w:r>
              <w:rPr>
                <w:szCs w:val="21"/>
              </w:rPr>
              <w:t>（1）“电子加密投标文件”的上传、递交：</w:t>
            </w:r>
          </w:p>
          <w:p>
            <w:pPr>
              <w:spacing w:line="340" w:lineRule="exact"/>
              <w:ind w:left="17" w:right="199" w:rightChars="95" w:hanging="16" w:hangingChars="8"/>
              <w:rPr>
                <w:szCs w:val="21"/>
              </w:rPr>
            </w:pPr>
            <w:r>
              <w:rPr>
                <w:bCs/>
                <w:szCs w:val="21"/>
              </w:rPr>
              <w:t>投标人</w:t>
            </w:r>
            <w:r>
              <w:rPr>
                <w:szCs w:val="21"/>
              </w:rPr>
              <w:t>应在投标截止时间前将“电子加密投标文件”成功上传递交至“政府采购云平台”</w:t>
            </w:r>
            <w:r>
              <w:rPr>
                <w:rFonts w:eastAsia="新宋体"/>
                <w:szCs w:val="21"/>
              </w:rPr>
              <w:t>（</w:t>
            </w:r>
            <w:r>
              <w:rPr>
                <w:szCs w:val="21"/>
              </w:rPr>
              <w:t>https://www.zcygov.cn/</w:t>
            </w:r>
            <w:r>
              <w:rPr>
                <w:rFonts w:eastAsia="新宋体"/>
                <w:szCs w:val="21"/>
              </w:rPr>
              <w:t>）</w:t>
            </w:r>
            <w:r>
              <w:rPr>
                <w:szCs w:val="21"/>
              </w:rPr>
              <w:t>。</w:t>
            </w:r>
          </w:p>
          <w:p>
            <w:pPr>
              <w:spacing w:line="340" w:lineRule="exact"/>
              <w:ind w:left="17" w:right="199" w:rightChars="95" w:hanging="16" w:hangingChars="8"/>
              <w:rPr>
                <w:szCs w:val="21"/>
              </w:rPr>
            </w:pPr>
            <w:r>
              <w:rPr>
                <w:szCs w:val="21"/>
              </w:rPr>
              <w:t>（2）“备份电子加密投标文件”的密封包装、递交：</w:t>
            </w:r>
          </w:p>
          <w:p>
            <w:pPr>
              <w:spacing w:line="340" w:lineRule="exact"/>
              <w:ind w:right="199" w:rightChars="95" w:firstLine="420" w:firstLineChars="200"/>
              <w:rPr>
                <w:bCs/>
                <w:szCs w:val="21"/>
              </w:rPr>
            </w:pPr>
            <w:r>
              <w:rPr>
                <w:szCs w:val="21"/>
              </w:rPr>
              <w:t>a.</w:t>
            </w:r>
            <w:r>
              <w:rPr>
                <w:bCs/>
                <w:szCs w:val="21"/>
              </w:rPr>
              <w:t>投标人</w:t>
            </w:r>
            <w:r>
              <w:rPr>
                <w:szCs w:val="21"/>
              </w:rPr>
              <w:t>在“政府采购云平台”</w:t>
            </w:r>
            <w:r>
              <w:rPr>
                <w:rFonts w:eastAsia="新宋体"/>
                <w:szCs w:val="21"/>
              </w:rPr>
              <w:t>（</w:t>
            </w:r>
            <w:r>
              <w:rPr>
                <w:szCs w:val="21"/>
              </w:rPr>
              <w:t>https://www.zcygov.cn/</w:t>
            </w:r>
            <w:r>
              <w:rPr>
                <w:rFonts w:eastAsia="新宋体"/>
                <w:szCs w:val="21"/>
              </w:rPr>
              <w:t>）</w:t>
            </w:r>
            <w:r>
              <w:rPr>
                <w:szCs w:val="21"/>
              </w:rPr>
              <w:t xml:space="preserve">完成“电子加密投标文件”的上传递交后， </w:t>
            </w:r>
            <w:r>
              <w:rPr>
                <w:bCs/>
                <w:szCs w:val="21"/>
              </w:rPr>
              <w:t>投标人</w:t>
            </w:r>
            <w:r>
              <w:rPr>
                <w:szCs w:val="21"/>
              </w:rPr>
              <w:t>可递交“备份电子加密投标文件”的，</w:t>
            </w:r>
            <w:r>
              <w:rPr>
                <w:bCs/>
                <w:szCs w:val="21"/>
              </w:rPr>
              <w:t>在投标文件截止时间前将在“政府采购云平台”电子投标工具制作生成的“备份电子加密投标文件”（u盘）以邮件的方式送到招标代理机构，联系人、联系地址及电话见招标公告。</w:t>
            </w:r>
          </w:p>
          <w:p>
            <w:pPr>
              <w:spacing w:line="340" w:lineRule="exact"/>
              <w:ind w:right="199" w:rightChars="95" w:firstLine="420" w:firstLineChars="200"/>
              <w:rPr>
                <w:szCs w:val="21"/>
              </w:rPr>
            </w:pPr>
            <w:r>
              <w:rPr>
                <w:bCs/>
                <w:szCs w:val="21"/>
              </w:rPr>
              <w:t>b.“备份电子加密投标文件”应当密封包装，并在包装上标注投标项目名称、投标人名称并加盖公章。没有密封包装或者逾期邮寄送达的“备份电子加密投标文件”将不予接受。</w:t>
            </w:r>
          </w:p>
          <w:p>
            <w:pPr>
              <w:spacing w:line="340" w:lineRule="exact"/>
              <w:ind w:right="199" w:rightChars="95" w:firstLine="420" w:firstLineChars="200"/>
              <w:rPr>
                <w:szCs w:val="21"/>
              </w:rPr>
            </w:pPr>
            <w:r>
              <w:rPr>
                <w:szCs w:val="21"/>
              </w:rPr>
              <w:t>c.通过“政府采购云平台”成功上传递交的“电子加密投标文件”已按时解密的，“备份电子加密投标文件”自动失效。投标截止时间前，</w:t>
            </w:r>
            <w:r>
              <w:rPr>
                <w:bCs/>
                <w:szCs w:val="21"/>
              </w:rPr>
              <w:t>投标人</w:t>
            </w:r>
            <w:r>
              <w:rPr>
                <w:szCs w:val="21"/>
              </w:rPr>
              <w:t>仅递交了“备份电子加密投标文件”而未将“电子加密投标文件”成功上传至“政府采购云平台”的，投标无效。</w:t>
            </w:r>
          </w:p>
          <w:p>
            <w:pPr>
              <w:spacing w:line="340" w:lineRule="exact"/>
              <w:ind w:left="17" w:right="199" w:rightChars="95" w:hanging="17" w:hangingChars="8"/>
              <w:rPr>
                <w:b/>
                <w:bCs/>
                <w:szCs w:val="21"/>
              </w:rPr>
            </w:pPr>
            <w:r>
              <w:rPr>
                <w:b/>
                <w:bCs/>
                <w:szCs w:val="21"/>
              </w:rPr>
              <w:t>7、电子加密投标文件的解密和异常情况处理：</w:t>
            </w:r>
          </w:p>
          <w:p>
            <w:pPr>
              <w:spacing w:line="340" w:lineRule="exact"/>
              <w:ind w:left="17" w:right="199" w:rightChars="95" w:hanging="16" w:hangingChars="8"/>
              <w:rPr>
                <w:szCs w:val="21"/>
              </w:rPr>
            </w:pPr>
            <w:r>
              <w:rPr>
                <w:szCs w:val="21"/>
              </w:rPr>
              <w:t>（1）开标后，采购组织机构将向各</w:t>
            </w:r>
            <w:r>
              <w:rPr>
                <w:bCs/>
                <w:szCs w:val="21"/>
              </w:rPr>
              <w:t>投标人</w:t>
            </w:r>
            <w:r>
              <w:rPr>
                <w:szCs w:val="21"/>
              </w:rPr>
              <w:t>发出“电子加密投标文件”的解密通知，各</w:t>
            </w:r>
            <w:r>
              <w:rPr>
                <w:bCs/>
                <w:szCs w:val="21"/>
              </w:rPr>
              <w:t>投标人</w:t>
            </w:r>
            <w:r>
              <w:rPr>
                <w:szCs w:val="21"/>
              </w:rPr>
              <w:t>代表应当在接到解密通知后30分钟内自行完成“电子加密投标文件”的在线解密。</w:t>
            </w:r>
          </w:p>
          <w:p>
            <w:pPr>
              <w:spacing w:line="340" w:lineRule="exact"/>
              <w:ind w:left="17" w:right="199" w:rightChars="95" w:hanging="16" w:hangingChars="8"/>
              <w:rPr>
                <w:szCs w:val="21"/>
              </w:rPr>
            </w:pPr>
            <w:r>
              <w:rPr>
                <w:szCs w:val="21"/>
              </w:rPr>
              <w:t>（2）通过“政府采购云平台”成功上传递交的“电子加密投标文件”无法按时解密，</w:t>
            </w:r>
            <w:r>
              <w:rPr>
                <w:bCs/>
                <w:szCs w:val="21"/>
              </w:rPr>
              <w:t>投标人</w:t>
            </w:r>
            <w:r>
              <w:rPr>
                <w:szCs w:val="21"/>
              </w:rPr>
              <w:t>如按规定递交了“备份电子加密投标文件”的，以“备份电子加密投标文件”为依据（由采购组织机构按“政府采购云平台”操作规范将“备份电子加密投标文件”上传至“政府采购云平台”，上传成功后，“电子加密投标文件”自动失效），否则视为投标文件撤回。</w:t>
            </w:r>
          </w:p>
          <w:p>
            <w:pPr>
              <w:spacing w:line="340" w:lineRule="exact"/>
              <w:ind w:left="17" w:right="199" w:rightChars="95" w:hanging="16" w:hangingChars="8"/>
              <w:rPr>
                <w:szCs w:val="21"/>
              </w:rPr>
            </w:pPr>
            <w:r>
              <w:rPr>
                <w:szCs w:val="21"/>
              </w:rPr>
              <w:t>（3）投标截止时间前，</w:t>
            </w:r>
            <w:r>
              <w:rPr>
                <w:bCs/>
                <w:szCs w:val="21"/>
              </w:rPr>
              <w:t>投标人</w:t>
            </w:r>
            <w:r>
              <w:rPr>
                <w:szCs w:val="21"/>
              </w:rPr>
              <w:t>仅递交了“备份电子加密投标文件”而未将电子加密投标文件上传至“政府采购云平台”的，投标无效。</w:t>
            </w:r>
          </w:p>
          <w:p>
            <w:pPr>
              <w:spacing w:line="340" w:lineRule="exact"/>
              <w:ind w:left="17" w:right="199" w:rightChars="95" w:hanging="16" w:hangingChars="8"/>
              <w:rPr>
                <w:szCs w:val="21"/>
              </w:rPr>
            </w:pPr>
            <w:r>
              <w:rPr>
                <w:szCs w:val="21"/>
              </w:rPr>
              <w:t>（4）投标截止后，在投标有效期内，投标人不能撤销投标文件。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4</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投标文件留档备案</w:t>
            </w:r>
          </w:p>
        </w:tc>
        <w:tc>
          <w:tcPr>
            <w:tcW w:w="6531" w:type="dxa"/>
            <w:tcBorders>
              <w:top w:val="single" w:color="auto" w:sz="4" w:space="0"/>
              <w:left w:val="single" w:color="auto" w:sz="4" w:space="0"/>
              <w:bottom w:val="single" w:color="auto" w:sz="4" w:space="0"/>
              <w:right w:val="single" w:color="auto" w:sz="4" w:space="0"/>
            </w:tcBorders>
            <w:vAlign w:val="center"/>
          </w:tcPr>
          <w:p>
            <w:pPr>
              <w:wordWrap w:val="0"/>
              <w:spacing w:line="340" w:lineRule="exact"/>
              <w:rPr>
                <w:szCs w:val="21"/>
              </w:rPr>
            </w:pPr>
            <w:r>
              <w:rPr>
                <w:kern w:val="0"/>
                <w:szCs w:val="21"/>
              </w:rPr>
              <w:t>中标人需在中标确认后5个工作日内，邮寄5套纸质投标文件（与</w:t>
            </w:r>
            <w:r>
              <w:rPr>
                <w:szCs w:val="21"/>
              </w:rPr>
              <w:t>“电子加密投标文件”保持一致</w:t>
            </w:r>
            <w:r>
              <w:rPr>
                <w:kern w:val="0"/>
                <w:szCs w:val="21"/>
              </w:rPr>
              <w:t>）至招标代理机构（大地工程咨询有限公司：</w:t>
            </w:r>
            <w:r>
              <w:rPr>
                <w:szCs w:val="21"/>
              </w:rPr>
              <w:t>玉环市玉城街道康育南路309号1503室赵晓英收，电话0576-87237838</w:t>
            </w:r>
            <w:r>
              <w:rPr>
                <w:kern w:val="0"/>
                <w:szCs w:val="21"/>
              </w:rPr>
              <w:t>）</w:t>
            </w:r>
            <w:r>
              <w:rPr>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5</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投标有效期</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szCs w:val="21"/>
              </w:rPr>
            </w:pPr>
            <w:r>
              <w:rPr>
                <w:szCs w:val="21"/>
              </w:rPr>
              <w:t>90天，</w:t>
            </w:r>
            <w:r>
              <w:rPr>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6</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投标文件递交</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szCs w:val="21"/>
              </w:rPr>
            </w:pPr>
            <w:r>
              <w:rPr>
                <w:szCs w:val="21"/>
              </w:rPr>
              <w:t>截止时间：</w:t>
            </w:r>
            <w:r>
              <w:rPr>
                <w:rFonts w:hint="default" w:ascii="Times New Roman" w:hAnsi="Times New Roman" w:eastAsia="新宋体"/>
                <w:sz w:val="21"/>
                <w:szCs w:val="21"/>
              </w:rPr>
              <w:t>2022年</w:t>
            </w:r>
            <w:r>
              <w:rPr>
                <w:rFonts w:hint="eastAsia" w:eastAsia="新宋体"/>
                <w:sz w:val="21"/>
                <w:szCs w:val="21"/>
                <w:lang w:val="en-US" w:eastAsia="zh-CN"/>
              </w:rPr>
              <w:t>12</w:t>
            </w:r>
            <w:r>
              <w:rPr>
                <w:rFonts w:hint="default" w:ascii="Times New Roman" w:hAnsi="Times New Roman" w:eastAsia="新宋体"/>
                <w:sz w:val="21"/>
                <w:szCs w:val="21"/>
              </w:rPr>
              <w:t>月</w:t>
            </w:r>
            <w:r>
              <w:rPr>
                <w:rFonts w:hint="eastAsia" w:eastAsia="新宋体"/>
                <w:sz w:val="21"/>
                <w:szCs w:val="21"/>
                <w:lang w:val="en-US" w:eastAsia="zh-CN"/>
              </w:rPr>
              <w:t>15</w:t>
            </w:r>
            <w:r>
              <w:rPr>
                <w:rFonts w:hint="default" w:ascii="Times New Roman" w:hAnsi="Times New Roman" w:eastAsia="新宋体"/>
                <w:sz w:val="21"/>
                <w:szCs w:val="21"/>
              </w:rPr>
              <w:t xml:space="preserve">日 </w:t>
            </w:r>
            <w:r>
              <w:rPr>
                <w:rFonts w:hint="eastAsia" w:eastAsia="新宋体"/>
                <w:sz w:val="21"/>
                <w:szCs w:val="21"/>
                <w:lang w:val="en-US" w:eastAsia="zh-CN"/>
              </w:rPr>
              <w:t>09</w:t>
            </w:r>
            <w:r>
              <w:rPr>
                <w:rFonts w:hint="default" w:ascii="Times New Roman" w:hAnsi="Times New Roman" w:eastAsia="新宋体"/>
                <w:sz w:val="21"/>
                <w:szCs w:val="21"/>
              </w:rPr>
              <w:t>:</w:t>
            </w:r>
            <w:r>
              <w:rPr>
                <w:rFonts w:ascii="Times New Roman" w:hAnsi="Times New Roman" w:eastAsia="新宋体"/>
                <w:sz w:val="21"/>
                <w:szCs w:val="21"/>
              </w:rPr>
              <w:t>3</w:t>
            </w:r>
            <w:r>
              <w:rPr>
                <w:rFonts w:hint="default" w:ascii="Times New Roman" w:hAnsi="Times New Roman" w:eastAsia="新宋体"/>
                <w:sz w:val="21"/>
                <w:szCs w:val="21"/>
              </w:rPr>
              <w:t>0</w:t>
            </w:r>
            <w:r>
              <w:rPr>
                <w:rFonts w:eastAsia="新宋体"/>
                <w:szCs w:val="21"/>
              </w:rPr>
              <w:t>（北京时间）</w:t>
            </w:r>
          </w:p>
          <w:p>
            <w:pPr>
              <w:widowControl/>
              <w:spacing w:line="340" w:lineRule="exact"/>
              <w:jc w:val="left"/>
              <w:rPr>
                <w:szCs w:val="21"/>
              </w:rPr>
            </w:pPr>
            <w:r>
              <w:rPr>
                <w:szCs w:val="21"/>
              </w:rPr>
              <w:t>递交地点：通过“政府采购云平台（https://www.zcygov.cn/）”实行在线投标响应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7</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开标时间及地点</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szCs w:val="21"/>
              </w:rPr>
            </w:pPr>
            <w:r>
              <w:rPr>
                <w:szCs w:val="21"/>
              </w:rPr>
              <w:t>时间：</w:t>
            </w:r>
            <w:r>
              <w:rPr>
                <w:rFonts w:hint="default" w:ascii="Times New Roman" w:hAnsi="Times New Roman" w:eastAsia="新宋体"/>
                <w:sz w:val="21"/>
                <w:szCs w:val="21"/>
              </w:rPr>
              <w:t>2022年</w:t>
            </w:r>
            <w:r>
              <w:rPr>
                <w:rFonts w:hint="eastAsia" w:eastAsia="新宋体"/>
                <w:sz w:val="21"/>
                <w:szCs w:val="21"/>
                <w:lang w:val="en-US" w:eastAsia="zh-CN"/>
              </w:rPr>
              <w:t>12</w:t>
            </w:r>
            <w:r>
              <w:rPr>
                <w:rFonts w:hint="default" w:ascii="Times New Roman" w:hAnsi="Times New Roman" w:eastAsia="新宋体"/>
                <w:sz w:val="21"/>
                <w:szCs w:val="21"/>
              </w:rPr>
              <w:t>月</w:t>
            </w:r>
            <w:r>
              <w:rPr>
                <w:rFonts w:hint="eastAsia" w:eastAsia="新宋体"/>
                <w:sz w:val="21"/>
                <w:szCs w:val="21"/>
                <w:lang w:val="en-US" w:eastAsia="zh-CN"/>
              </w:rPr>
              <w:t>15</w:t>
            </w:r>
            <w:r>
              <w:rPr>
                <w:rFonts w:hint="default" w:ascii="Times New Roman" w:hAnsi="Times New Roman" w:eastAsia="新宋体"/>
                <w:sz w:val="21"/>
                <w:szCs w:val="21"/>
              </w:rPr>
              <w:t xml:space="preserve">日 </w:t>
            </w:r>
            <w:r>
              <w:rPr>
                <w:rFonts w:hint="eastAsia" w:eastAsia="新宋体"/>
                <w:sz w:val="21"/>
                <w:szCs w:val="21"/>
                <w:lang w:val="en-US" w:eastAsia="zh-CN"/>
              </w:rPr>
              <w:t>09</w:t>
            </w:r>
            <w:r>
              <w:rPr>
                <w:rFonts w:hint="default" w:ascii="Times New Roman" w:hAnsi="Times New Roman" w:eastAsia="新宋体"/>
                <w:sz w:val="21"/>
                <w:szCs w:val="21"/>
              </w:rPr>
              <w:t>:</w:t>
            </w:r>
            <w:r>
              <w:rPr>
                <w:rFonts w:ascii="Times New Roman" w:hAnsi="Times New Roman" w:eastAsia="新宋体"/>
                <w:sz w:val="21"/>
                <w:szCs w:val="21"/>
              </w:rPr>
              <w:t>3</w:t>
            </w:r>
            <w:r>
              <w:rPr>
                <w:rFonts w:hint="default" w:ascii="Times New Roman" w:hAnsi="Times New Roman" w:eastAsia="新宋体"/>
                <w:sz w:val="21"/>
                <w:szCs w:val="21"/>
              </w:rPr>
              <w:t>0</w:t>
            </w:r>
            <w:r>
              <w:rPr>
                <w:rFonts w:eastAsia="新宋体"/>
                <w:szCs w:val="21"/>
              </w:rPr>
              <w:t>（北京时间）</w:t>
            </w:r>
          </w:p>
          <w:p>
            <w:pPr>
              <w:spacing w:line="340" w:lineRule="exact"/>
              <w:ind w:right="199" w:rightChars="95"/>
              <w:rPr>
                <w:szCs w:val="21"/>
              </w:rPr>
            </w:pPr>
            <w:r>
              <w:rPr>
                <w:szCs w:val="21"/>
              </w:rPr>
              <w:t>地点：</w:t>
            </w:r>
            <w:r>
              <w:rPr>
                <w:bCs/>
                <w:kern w:val="0"/>
                <w:szCs w:val="21"/>
              </w:rPr>
              <w:t>“政府采购云平台”</w:t>
            </w:r>
            <w:r>
              <w:rPr>
                <w:rFonts w:eastAsia="新宋体"/>
                <w:szCs w:val="21"/>
              </w:rPr>
              <w:t>（</w:t>
            </w:r>
            <w:r>
              <w:rPr>
                <w:szCs w:val="21"/>
              </w:rPr>
              <w:t>https://www.zcygov.cn/</w:t>
            </w:r>
            <w:r>
              <w:rPr>
                <w:rFonts w:eastAsia="新宋体"/>
                <w:szCs w:val="21"/>
              </w:rPr>
              <w:t>）</w:t>
            </w:r>
            <w:r>
              <w:rPr>
                <w:bCs/>
                <w:kern w:val="0"/>
                <w:szCs w:val="21"/>
              </w:rPr>
              <w:t>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8</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投标保证金</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szCs w:val="21"/>
              </w:rPr>
            </w:pPr>
            <w:r>
              <w:rPr>
                <w:szCs w:val="21"/>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9</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履约保证金</w:t>
            </w:r>
          </w:p>
        </w:tc>
        <w:tc>
          <w:tcPr>
            <w:tcW w:w="6531" w:type="dxa"/>
            <w:tcBorders>
              <w:top w:val="single" w:color="auto" w:sz="4" w:space="0"/>
              <w:left w:val="single" w:color="auto" w:sz="4" w:space="0"/>
              <w:bottom w:val="single" w:color="auto" w:sz="4" w:space="0"/>
              <w:right w:val="single" w:color="auto" w:sz="4" w:space="0"/>
            </w:tcBorders>
            <w:vAlign w:val="center"/>
          </w:tcPr>
          <w:p>
            <w:pPr>
              <w:pStyle w:val="16"/>
              <w:spacing w:line="340" w:lineRule="exact"/>
              <w:ind w:left="0" w:leftChars="0"/>
              <w:rPr>
                <w:rFonts w:ascii="Times New Roman" w:hAnsi="Times New Roman" w:eastAsia="宋体" w:cs="Times New Roman"/>
                <w:sz w:val="21"/>
                <w:szCs w:val="21"/>
              </w:rPr>
            </w:pPr>
            <w:r>
              <w:rPr>
                <w:rFonts w:ascii="Times New Roman" w:hAnsi="Times New Roman" w:eastAsia="宋体" w:cs="Times New Roman"/>
                <w:sz w:val="21"/>
                <w:szCs w:val="21"/>
              </w:rPr>
              <w:t>投标人在签订合同前须交纳本项目合同金额的1%作为履约保证金（保函或现金形式）。</w:t>
            </w:r>
            <w:r>
              <w:rPr>
                <w:rFonts w:ascii="Times New Roman" w:hAnsi="Times New Roman" w:eastAsia="宋体" w:cs="Times New Roman"/>
                <w:kern w:val="0"/>
                <w:sz w:val="21"/>
                <w:szCs w:val="21"/>
                <w:lang w:val="zh-CN"/>
              </w:rPr>
              <w:t>履约保证金交至采购人处，在</w:t>
            </w:r>
            <w:r>
              <w:rPr>
                <w:rFonts w:ascii="Times New Roman" w:hAnsi="Times New Roman" w:eastAsia="宋体" w:cs="Times New Roman"/>
                <w:kern w:val="0"/>
                <w:sz w:val="21"/>
                <w:szCs w:val="21"/>
              </w:rPr>
              <w:t>服务期满后</w:t>
            </w:r>
            <w:r>
              <w:rPr>
                <w:rFonts w:ascii="Times New Roman" w:hAnsi="Times New Roman" w:eastAsia="宋体" w:cs="Times New Roman"/>
                <w:kern w:val="0"/>
                <w:sz w:val="21"/>
                <w:szCs w:val="21"/>
                <w:lang w:val="zh-CN"/>
              </w:rPr>
              <w:t>如无质量、服务投诉和索赔，该款无息返还。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10</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lang w:val="zh-CN"/>
              </w:rPr>
            </w:pPr>
            <w:r>
              <w:rPr>
                <w:szCs w:val="21"/>
                <w:lang w:val="zh-CN"/>
              </w:rPr>
              <w:t>实质性条款</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kern w:val="0"/>
                <w:szCs w:val="21"/>
                <w:lang w:val="zh-CN"/>
              </w:rPr>
            </w:pPr>
            <w:r>
              <w:rPr>
                <w:kern w:val="0"/>
                <w:szCs w:val="21"/>
                <w:lang w:val="zh-CN"/>
              </w:rPr>
              <w:t>带“</w:t>
            </w:r>
            <w:r>
              <w:rPr>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11</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 w:val="22"/>
                <w:szCs w:val="22"/>
              </w:rPr>
              <w:t>注意事项</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ind w:left="17" w:right="199" w:rightChars="95" w:hanging="16" w:hangingChars="8"/>
              <w:rPr>
                <w:szCs w:val="21"/>
              </w:rPr>
            </w:pPr>
            <w:r>
              <w:rPr>
                <w:szCs w:val="21"/>
              </w:rPr>
              <w:t>1.请务必确保投标文件制作客户端为最新版本，旧版本可能导致投标文件解密失败。</w:t>
            </w:r>
          </w:p>
          <w:p>
            <w:pPr>
              <w:spacing w:line="340" w:lineRule="exact"/>
              <w:rPr>
                <w:szCs w:val="21"/>
              </w:rPr>
            </w:pPr>
            <w:r>
              <w:rPr>
                <w:szCs w:val="21"/>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12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szCs w:val="21"/>
              </w:rPr>
            </w:pPr>
            <w:r>
              <w:rPr>
                <w:szCs w:val="21"/>
              </w:rPr>
              <w:t>解释权</w:t>
            </w:r>
          </w:p>
        </w:tc>
        <w:tc>
          <w:tcPr>
            <w:tcW w:w="6531" w:type="dxa"/>
            <w:tcBorders>
              <w:top w:val="single" w:color="auto" w:sz="4" w:space="0"/>
              <w:left w:val="single" w:color="auto" w:sz="4" w:space="0"/>
              <w:bottom w:val="single" w:color="auto" w:sz="4" w:space="0"/>
              <w:right w:val="single" w:color="auto" w:sz="4" w:space="0"/>
            </w:tcBorders>
            <w:vAlign w:val="center"/>
          </w:tcPr>
          <w:p>
            <w:pPr>
              <w:spacing w:line="340" w:lineRule="exact"/>
              <w:rPr>
                <w:szCs w:val="21"/>
              </w:rPr>
            </w:pPr>
            <w:r>
              <w:rPr>
                <w:szCs w:val="21"/>
              </w:rPr>
              <w:t>本招标文件解释权属于采购人和采购代理机构。</w:t>
            </w:r>
          </w:p>
        </w:tc>
      </w:tr>
    </w:tbl>
    <w:p/>
    <w:p>
      <w:pPr>
        <w:pStyle w:val="3"/>
        <w:spacing w:line="560" w:lineRule="exact"/>
        <w:ind w:firstLine="422" w:firstLineChars="200"/>
        <w:rPr>
          <w:b/>
          <w:bCs/>
          <w:sz w:val="21"/>
          <w:szCs w:val="21"/>
        </w:rPr>
      </w:pPr>
      <w:r>
        <w:rPr>
          <w:b/>
          <w:bCs/>
          <w:sz w:val="21"/>
          <w:szCs w:val="21"/>
        </w:rPr>
        <w:t>为优化政府采购营商环境，缓解供应商资金难题，政采云平台已推广应用“政采贷”、</w:t>
      </w:r>
      <w:r>
        <w:rPr>
          <w:b/>
          <w:bCs/>
          <w:spacing w:val="-14"/>
          <w:sz w:val="21"/>
          <w:szCs w:val="21"/>
        </w:rPr>
        <w:t>“政采保”服务，中标供应商如有融资需求，可使用以下金融、保险机构的“政采贷”、“政</w:t>
      </w:r>
      <w:r>
        <w:rPr>
          <w:b/>
          <w:bCs/>
          <w:sz w:val="21"/>
          <w:szCs w:val="21"/>
        </w:rPr>
        <w:t>采保”服务。</w:t>
      </w:r>
    </w:p>
    <w:p>
      <w:pPr>
        <w:spacing w:line="560" w:lineRule="exact"/>
        <w:ind w:firstLine="420" w:firstLineChars="200"/>
        <w:rPr>
          <w:szCs w:val="21"/>
        </w:rPr>
      </w:pPr>
      <w:r>
        <w:rPr>
          <w:szCs w:val="21"/>
        </w:rPr>
        <w:t>政采贷联系方式：</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33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369" w:type="dxa"/>
            <w:noWrap/>
            <w:vAlign w:val="center"/>
          </w:tcPr>
          <w:p>
            <w:pPr>
              <w:spacing w:line="360" w:lineRule="exact"/>
              <w:jc w:val="center"/>
              <w:rPr>
                <w:kern w:val="21"/>
                <w:szCs w:val="21"/>
              </w:rPr>
            </w:pPr>
            <w:r>
              <w:rPr>
                <w:kern w:val="21"/>
                <w:szCs w:val="21"/>
              </w:rPr>
              <w:t>银行</w:t>
            </w:r>
          </w:p>
        </w:tc>
        <w:tc>
          <w:tcPr>
            <w:tcW w:w="1334" w:type="dxa"/>
            <w:noWrap/>
            <w:vAlign w:val="center"/>
          </w:tcPr>
          <w:p>
            <w:pPr>
              <w:spacing w:line="360" w:lineRule="exact"/>
              <w:jc w:val="center"/>
              <w:rPr>
                <w:kern w:val="21"/>
                <w:szCs w:val="21"/>
              </w:rPr>
            </w:pPr>
            <w:r>
              <w:rPr>
                <w:kern w:val="21"/>
                <w:szCs w:val="21"/>
              </w:rPr>
              <w:t>贷款年利率</w:t>
            </w:r>
          </w:p>
        </w:tc>
        <w:tc>
          <w:tcPr>
            <w:tcW w:w="1688" w:type="dxa"/>
            <w:noWrap/>
            <w:vAlign w:val="center"/>
          </w:tcPr>
          <w:p>
            <w:pPr>
              <w:spacing w:line="360" w:lineRule="exact"/>
              <w:jc w:val="center"/>
              <w:rPr>
                <w:kern w:val="21"/>
                <w:szCs w:val="21"/>
              </w:rPr>
            </w:pPr>
            <w:r>
              <w:rPr>
                <w:kern w:val="21"/>
                <w:szCs w:val="21"/>
              </w:rPr>
              <w:t>联系人</w:t>
            </w:r>
          </w:p>
        </w:tc>
        <w:tc>
          <w:tcPr>
            <w:tcW w:w="2131" w:type="dxa"/>
            <w:noWrap/>
            <w:vAlign w:val="center"/>
          </w:tcPr>
          <w:p>
            <w:pPr>
              <w:spacing w:line="360" w:lineRule="exact"/>
              <w:jc w:val="center"/>
              <w:rPr>
                <w:kern w:val="21"/>
                <w:szCs w:val="21"/>
              </w:rPr>
            </w:pPr>
            <w:r>
              <w:rPr>
                <w:kern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kern w:val="21"/>
                <w:szCs w:val="21"/>
              </w:rPr>
            </w:pPr>
            <w:r>
              <w:rPr>
                <w:kern w:val="21"/>
                <w:szCs w:val="21"/>
              </w:rPr>
              <w:t>中国工商银行</w:t>
            </w:r>
          </w:p>
        </w:tc>
        <w:tc>
          <w:tcPr>
            <w:tcW w:w="1334" w:type="dxa"/>
            <w:noWrap/>
            <w:vAlign w:val="center"/>
          </w:tcPr>
          <w:p>
            <w:pPr>
              <w:spacing w:line="360" w:lineRule="exact"/>
              <w:jc w:val="center"/>
              <w:rPr>
                <w:kern w:val="21"/>
                <w:szCs w:val="21"/>
              </w:rPr>
            </w:pPr>
            <w:r>
              <w:rPr>
                <w:kern w:val="21"/>
                <w:szCs w:val="21"/>
              </w:rPr>
              <w:t>3.8%起</w:t>
            </w:r>
          </w:p>
        </w:tc>
        <w:tc>
          <w:tcPr>
            <w:tcW w:w="1688" w:type="dxa"/>
            <w:noWrap/>
            <w:vAlign w:val="center"/>
          </w:tcPr>
          <w:p>
            <w:pPr>
              <w:spacing w:line="360" w:lineRule="exact"/>
              <w:jc w:val="center"/>
              <w:rPr>
                <w:kern w:val="21"/>
                <w:szCs w:val="21"/>
              </w:rPr>
            </w:pPr>
            <w:r>
              <w:rPr>
                <w:kern w:val="21"/>
                <w:szCs w:val="21"/>
              </w:rPr>
              <w:t>谢美珍</w:t>
            </w:r>
          </w:p>
        </w:tc>
        <w:tc>
          <w:tcPr>
            <w:tcW w:w="2131" w:type="dxa"/>
            <w:noWrap/>
            <w:vAlign w:val="center"/>
          </w:tcPr>
          <w:p>
            <w:pPr>
              <w:spacing w:line="360" w:lineRule="exact"/>
              <w:jc w:val="center"/>
              <w:rPr>
                <w:kern w:val="21"/>
                <w:szCs w:val="21"/>
              </w:rPr>
            </w:pPr>
            <w:r>
              <w:rPr>
                <w:kern w:val="21"/>
                <w:szCs w:val="21"/>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kern w:val="21"/>
                <w:szCs w:val="21"/>
              </w:rPr>
            </w:pPr>
            <w:r>
              <w:rPr>
                <w:kern w:val="21"/>
                <w:szCs w:val="21"/>
              </w:rPr>
              <w:t>中国农业银行</w:t>
            </w:r>
          </w:p>
        </w:tc>
        <w:tc>
          <w:tcPr>
            <w:tcW w:w="1334" w:type="dxa"/>
            <w:noWrap/>
            <w:vAlign w:val="center"/>
          </w:tcPr>
          <w:p>
            <w:pPr>
              <w:spacing w:line="360" w:lineRule="exact"/>
              <w:jc w:val="center"/>
              <w:rPr>
                <w:kern w:val="21"/>
                <w:szCs w:val="21"/>
              </w:rPr>
            </w:pPr>
            <w:r>
              <w:rPr>
                <w:kern w:val="21"/>
                <w:szCs w:val="21"/>
              </w:rPr>
              <w:t>3.8%起</w:t>
            </w:r>
          </w:p>
        </w:tc>
        <w:tc>
          <w:tcPr>
            <w:tcW w:w="1688" w:type="dxa"/>
            <w:noWrap/>
            <w:vAlign w:val="center"/>
          </w:tcPr>
          <w:p>
            <w:pPr>
              <w:spacing w:line="360" w:lineRule="exact"/>
              <w:jc w:val="center"/>
              <w:rPr>
                <w:kern w:val="21"/>
                <w:szCs w:val="21"/>
              </w:rPr>
            </w:pPr>
            <w:r>
              <w:rPr>
                <w:kern w:val="21"/>
                <w:szCs w:val="21"/>
              </w:rPr>
              <w:t>吴佳怡</w:t>
            </w:r>
          </w:p>
        </w:tc>
        <w:tc>
          <w:tcPr>
            <w:tcW w:w="2131" w:type="dxa"/>
            <w:noWrap/>
            <w:vAlign w:val="center"/>
          </w:tcPr>
          <w:p>
            <w:pPr>
              <w:spacing w:line="360" w:lineRule="exact"/>
              <w:jc w:val="center"/>
              <w:rPr>
                <w:kern w:val="21"/>
                <w:szCs w:val="21"/>
              </w:rPr>
            </w:pPr>
            <w:r>
              <w:rPr>
                <w:kern w:val="21"/>
                <w:szCs w:val="21"/>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kern w:val="21"/>
                <w:szCs w:val="21"/>
              </w:rPr>
            </w:pPr>
            <w:r>
              <w:rPr>
                <w:kern w:val="21"/>
                <w:szCs w:val="21"/>
              </w:rPr>
              <w:t>中国建设银行</w:t>
            </w:r>
          </w:p>
        </w:tc>
        <w:tc>
          <w:tcPr>
            <w:tcW w:w="1334" w:type="dxa"/>
            <w:noWrap/>
            <w:vAlign w:val="center"/>
          </w:tcPr>
          <w:p>
            <w:pPr>
              <w:spacing w:line="360" w:lineRule="exact"/>
              <w:jc w:val="center"/>
              <w:rPr>
                <w:kern w:val="21"/>
                <w:szCs w:val="21"/>
              </w:rPr>
            </w:pPr>
            <w:r>
              <w:rPr>
                <w:kern w:val="21"/>
                <w:szCs w:val="21"/>
              </w:rPr>
              <w:t>3.85%起</w:t>
            </w:r>
          </w:p>
        </w:tc>
        <w:tc>
          <w:tcPr>
            <w:tcW w:w="1688" w:type="dxa"/>
            <w:noWrap/>
            <w:vAlign w:val="center"/>
          </w:tcPr>
          <w:p>
            <w:pPr>
              <w:spacing w:line="360" w:lineRule="exact"/>
              <w:jc w:val="center"/>
              <w:rPr>
                <w:kern w:val="21"/>
                <w:szCs w:val="21"/>
              </w:rPr>
            </w:pPr>
            <w:r>
              <w:rPr>
                <w:kern w:val="21"/>
                <w:szCs w:val="21"/>
              </w:rPr>
              <w:t>刘伟</w:t>
            </w:r>
          </w:p>
        </w:tc>
        <w:tc>
          <w:tcPr>
            <w:tcW w:w="2131" w:type="dxa"/>
            <w:noWrap/>
            <w:vAlign w:val="center"/>
          </w:tcPr>
          <w:p>
            <w:pPr>
              <w:spacing w:line="360" w:lineRule="exact"/>
              <w:jc w:val="center"/>
              <w:rPr>
                <w:kern w:val="21"/>
                <w:szCs w:val="21"/>
              </w:rPr>
            </w:pPr>
            <w:r>
              <w:rPr>
                <w:kern w:val="21"/>
                <w:szCs w:val="21"/>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kern w:val="21"/>
                <w:szCs w:val="21"/>
              </w:rPr>
            </w:pPr>
            <w:r>
              <w:rPr>
                <w:kern w:val="21"/>
                <w:szCs w:val="21"/>
              </w:rPr>
              <w:t>中国银行</w:t>
            </w:r>
          </w:p>
        </w:tc>
        <w:tc>
          <w:tcPr>
            <w:tcW w:w="1334" w:type="dxa"/>
            <w:noWrap/>
            <w:vAlign w:val="center"/>
          </w:tcPr>
          <w:p>
            <w:pPr>
              <w:spacing w:line="360" w:lineRule="exact"/>
              <w:jc w:val="center"/>
              <w:rPr>
                <w:kern w:val="21"/>
                <w:szCs w:val="21"/>
              </w:rPr>
            </w:pPr>
            <w:r>
              <w:rPr>
                <w:kern w:val="21"/>
                <w:szCs w:val="21"/>
              </w:rPr>
              <w:t>3.8%起</w:t>
            </w:r>
          </w:p>
        </w:tc>
        <w:tc>
          <w:tcPr>
            <w:tcW w:w="1688" w:type="dxa"/>
            <w:noWrap/>
            <w:vAlign w:val="center"/>
          </w:tcPr>
          <w:p>
            <w:pPr>
              <w:spacing w:line="360" w:lineRule="exact"/>
              <w:jc w:val="center"/>
              <w:rPr>
                <w:kern w:val="21"/>
                <w:szCs w:val="21"/>
              </w:rPr>
            </w:pPr>
            <w:r>
              <w:rPr>
                <w:kern w:val="21"/>
                <w:szCs w:val="21"/>
              </w:rPr>
              <w:t>张才国</w:t>
            </w:r>
          </w:p>
        </w:tc>
        <w:tc>
          <w:tcPr>
            <w:tcW w:w="2131" w:type="dxa"/>
            <w:noWrap/>
            <w:vAlign w:val="center"/>
          </w:tcPr>
          <w:p>
            <w:pPr>
              <w:spacing w:line="360" w:lineRule="exact"/>
              <w:jc w:val="center"/>
              <w:rPr>
                <w:kern w:val="21"/>
                <w:szCs w:val="21"/>
              </w:rPr>
            </w:pPr>
            <w:r>
              <w:rPr>
                <w:kern w:val="21"/>
                <w:szCs w:val="21"/>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kern w:val="21"/>
                <w:szCs w:val="21"/>
              </w:rPr>
            </w:pPr>
            <w:r>
              <w:rPr>
                <w:kern w:val="21"/>
                <w:szCs w:val="21"/>
              </w:rPr>
              <w:t>浙商银行</w:t>
            </w:r>
          </w:p>
        </w:tc>
        <w:tc>
          <w:tcPr>
            <w:tcW w:w="1334" w:type="dxa"/>
            <w:noWrap/>
            <w:vAlign w:val="center"/>
          </w:tcPr>
          <w:p>
            <w:pPr>
              <w:spacing w:line="360" w:lineRule="exact"/>
              <w:jc w:val="center"/>
              <w:rPr>
                <w:kern w:val="21"/>
                <w:szCs w:val="21"/>
              </w:rPr>
            </w:pPr>
            <w:r>
              <w:rPr>
                <w:kern w:val="21"/>
                <w:szCs w:val="21"/>
              </w:rPr>
              <w:t>6.01%起</w:t>
            </w:r>
          </w:p>
        </w:tc>
        <w:tc>
          <w:tcPr>
            <w:tcW w:w="1688" w:type="dxa"/>
            <w:noWrap/>
            <w:vAlign w:val="center"/>
          </w:tcPr>
          <w:p>
            <w:pPr>
              <w:spacing w:line="360" w:lineRule="exact"/>
              <w:jc w:val="center"/>
              <w:rPr>
                <w:kern w:val="21"/>
                <w:szCs w:val="21"/>
              </w:rPr>
            </w:pPr>
            <w:r>
              <w:rPr>
                <w:kern w:val="21"/>
                <w:szCs w:val="21"/>
              </w:rPr>
              <w:t>梅淑华</w:t>
            </w:r>
          </w:p>
        </w:tc>
        <w:tc>
          <w:tcPr>
            <w:tcW w:w="2131" w:type="dxa"/>
            <w:noWrap/>
            <w:vAlign w:val="center"/>
          </w:tcPr>
          <w:p>
            <w:pPr>
              <w:spacing w:line="360" w:lineRule="exact"/>
              <w:jc w:val="center"/>
              <w:rPr>
                <w:kern w:val="21"/>
                <w:szCs w:val="21"/>
              </w:rPr>
            </w:pPr>
            <w:r>
              <w:rPr>
                <w:kern w:val="21"/>
                <w:szCs w:val="21"/>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kern w:val="21"/>
                <w:szCs w:val="21"/>
              </w:rPr>
            </w:pPr>
            <w:r>
              <w:rPr>
                <w:kern w:val="21"/>
                <w:szCs w:val="21"/>
              </w:rPr>
              <w:t>农商银行</w:t>
            </w:r>
          </w:p>
        </w:tc>
        <w:tc>
          <w:tcPr>
            <w:tcW w:w="1334" w:type="dxa"/>
            <w:noWrap/>
            <w:vAlign w:val="center"/>
          </w:tcPr>
          <w:p>
            <w:pPr>
              <w:spacing w:line="360" w:lineRule="exact"/>
              <w:jc w:val="center"/>
              <w:rPr>
                <w:kern w:val="21"/>
                <w:szCs w:val="21"/>
              </w:rPr>
            </w:pPr>
            <w:r>
              <w:rPr>
                <w:kern w:val="21"/>
                <w:szCs w:val="21"/>
              </w:rPr>
              <w:t>4.35%起</w:t>
            </w:r>
          </w:p>
        </w:tc>
        <w:tc>
          <w:tcPr>
            <w:tcW w:w="1688" w:type="dxa"/>
            <w:noWrap/>
            <w:vAlign w:val="center"/>
          </w:tcPr>
          <w:p>
            <w:pPr>
              <w:spacing w:line="360" w:lineRule="exact"/>
              <w:jc w:val="center"/>
              <w:rPr>
                <w:kern w:val="21"/>
                <w:szCs w:val="21"/>
              </w:rPr>
            </w:pPr>
            <w:r>
              <w:rPr>
                <w:kern w:val="21"/>
                <w:szCs w:val="21"/>
              </w:rPr>
              <w:t>陈辉</w:t>
            </w:r>
          </w:p>
        </w:tc>
        <w:tc>
          <w:tcPr>
            <w:tcW w:w="2131" w:type="dxa"/>
            <w:noWrap/>
            <w:vAlign w:val="center"/>
          </w:tcPr>
          <w:p>
            <w:pPr>
              <w:spacing w:line="360" w:lineRule="exact"/>
              <w:jc w:val="center"/>
              <w:rPr>
                <w:kern w:val="21"/>
                <w:szCs w:val="21"/>
              </w:rPr>
            </w:pPr>
            <w:r>
              <w:rPr>
                <w:kern w:val="21"/>
                <w:szCs w:val="21"/>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69" w:type="dxa"/>
            <w:noWrap/>
            <w:vAlign w:val="center"/>
          </w:tcPr>
          <w:p>
            <w:pPr>
              <w:spacing w:line="360" w:lineRule="exact"/>
              <w:jc w:val="center"/>
              <w:rPr>
                <w:kern w:val="21"/>
                <w:szCs w:val="21"/>
              </w:rPr>
            </w:pPr>
            <w:r>
              <w:rPr>
                <w:kern w:val="21"/>
                <w:szCs w:val="21"/>
              </w:rPr>
              <w:t>泰隆银行</w:t>
            </w:r>
          </w:p>
        </w:tc>
        <w:tc>
          <w:tcPr>
            <w:tcW w:w="1334" w:type="dxa"/>
            <w:noWrap/>
            <w:vAlign w:val="center"/>
          </w:tcPr>
          <w:p>
            <w:pPr>
              <w:spacing w:line="360" w:lineRule="exact"/>
              <w:jc w:val="center"/>
              <w:rPr>
                <w:kern w:val="21"/>
                <w:szCs w:val="21"/>
              </w:rPr>
            </w:pPr>
            <w:r>
              <w:rPr>
                <w:kern w:val="21"/>
                <w:szCs w:val="21"/>
              </w:rPr>
              <w:t>6.00%起</w:t>
            </w:r>
          </w:p>
        </w:tc>
        <w:tc>
          <w:tcPr>
            <w:tcW w:w="1688" w:type="dxa"/>
            <w:noWrap/>
            <w:vAlign w:val="center"/>
          </w:tcPr>
          <w:p>
            <w:pPr>
              <w:spacing w:line="360" w:lineRule="exact"/>
              <w:jc w:val="center"/>
              <w:rPr>
                <w:kern w:val="21"/>
                <w:szCs w:val="21"/>
              </w:rPr>
            </w:pPr>
            <w:r>
              <w:rPr>
                <w:kern w:val="21"/>
                <w:szCs w:val="21"/>
              </w:rPr>
              <w:t>许超</w:t>
            </w:r>
          </w:p>
        </w:tc>
        <w:tc>
          <w:tcPr>
            <w:tcW w:w="2131" w:type="dxa"/>
            <w:noWrap/>
            <w:vAlign w:val="center"/>
          </w:tcPr>
          <w:p>
            <w:pPr>
              <w:spacing w:line="360" w:lineRule="exact"/>
              <w:jc w:val="center"/>
              <w:rPr>
                <w:kern w:val="21"/>
                <w:szCs w:val="21"/>
              </w:rPr>
            </w:pPr>
            <w:r>
              <w:rPr>
                <w:kern w:val="21"/>
                <w:szCs w:val="21"/>
              </w:rPr>
              <w:t>17858683351</w:t>
            </w:r>
          </w:p>
        </w:tc>
      </w:tr>
    </w:tbl>
    <w:p>
      <w:pPr>
        <w:spacing w:line="560" w:lineRule="exact"/>
        <w:ind w:firstLine="420" w:firstLineChars="200"/>
        <w:rPr>
          <w:szCs w:val="21"/>
        </w:rPr>
      </w:pPr>
      <w:r>
        <w:rPr>
          <w:szCs w:val="21"/>
        </w:rPr>
        <w:t>政采保联系方式：</w:t>
      </w:r>
    </w:p>
    <w:tbl>
      <w:tblPr>
        <w:tblStyle w:val="2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3025"/>
        <w:gridCol w:w="132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36" w:type="dxa"/>
            <w:noWrap/>
            <w:vAlign w:val="center"/>
          </w:tcPr>
          <w:p>
            <w:pPr>
              <w:spacing w:line="360" w:lineRule="exact"/>
              <w:jc w:val="center"/>
              <w:rPr>
                <w:szCs w:val="21"/>
              </w:rPr>
            </w:pPr>
            <w:r>
              <w:rPr>
                <w:szCs w:val="21"/>
              </w:rPr>
              <w:t>保险机构</w:t>
            </w:r>
          </w:p>
        </w:tc>
        <w:tc>
          <w:tcPr>
            <w:tcW w:w="3025" w:type="dxa"/>
            <w:noWrap/>
            <w:vAlign w:val="center"/>
          </w:tcPr>
          <w:p>
            <w:pPr>
              <w:spacing w:line="360" w:lineRule="exact"/>
              <w:jc w:val="center"/>
              <w:rPr>
                <w:szCs w:val="21"/>
              </w:rPr>
            </w:pPr>
            <w:r>
              <w:rPr>
                <w:szCs w:val="21"/>
              </w:rPr>
              <w:t>承保方案</w:t>
            </w:r>
          </w:p>
        </w:tc>
        <w:tc>
          <w:tcPr>
            <w:tcW w:w="1327" w:type="dxa"/>
            <w:noWrap/>
            <w:vAlign w:val="center"/>
          </w:tcPr>
          <w:p>
            <w:pPr>
              <w:spacing w:line="360" w:lineRule="exact"/>
              <w:jc w:val="center"/>
              <w:rPr>
                <w:szCs w:val="21"/>
              </w:rPr>
            </w:pPr>
            <w:r>
              <w:rPr>
                <w:szCs w:val="21"/>
              </w:rPr>
              <w:t>联系人</w:t>
            </w:r>
          </w:p>
        </w:tc>
        <w:tc>
          <w:tcPr>
            <w:tcW w:w="1980" w:type="dxa"/>
            <w:noWrap/>
            <w:vAlign w:val="center"/>
          </w:tcPr>
          <w:p>
            <w:pPr>
              <w:spacing w:line="360" w:lineRule="exact"/>
              <w:jc w:val="center"/>
              <w:rPr>
                <w:szCs w:val="21"/>
              </w:rPr>
            </w:pPr>
            <w:r>
              <w:rPr>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236" w:type="dxa"/>
            <w:noWrap/>
            <w:vAlign w:val="center"/>
          </w:tcPr>
          <w:p>
            <w:pPr>
              <w:spacing w:line="360" w:lineRule="exact"/>
              <w:jc w:val="center"/>
              <w:rPr>
                <w:szCs w:val="21"/>
              </w:rPr>
            </w:pPr>
            <w:r>
              <w:rPr>
                <w:szCs w:val="21"/>
              </w:rPr>
              <w:t>阳光财产保险股份有限公司玉环支公司</w:t>
            </w:r>
          </w:p>
        </w:tc>
        <w:tc>
          <w:tcPr>
            <w:tcW w:w="3025" w:type="dxa"/>
            <w:noWrap/>
            <w:vAlign w:val="center"/>
          </w:tcPr>
          <w:p>
            <w:pPr>
              <w:spacing w:line="360" w:lineRule="exact"/>
              <w:jc w:val="center"/>
              <w:rPr>
                <w:szCs w:val="21"/>
              </w:rPr>
            </w:pPr>
            <w:r>
              <w:rPr>
                <w:szCs w:val="21"/>
              </w:rPr>
              <w:t>合同（质量）履约按履约保证金年费率1%（1.5%），每单保函最低保险费为500元（300元）</w:t>
            </w:r>
          </w:p>
        </w:tc>
        <w:tc>
          <w:tcPr>
            <w:tcW w:w="1327" w:type="dxa"/>
            <w:noWrap/>
            <w:vAlign w:val="center"/>
          </w:tcPr>
          <w:p>
            <w:pPr>
              <w:spacing w:line="360" w:lineRule="exact"/>
              <w:jc w:val="center"/>
              <w:rPr>
                <w:szCs w:val="21"/>
              </w:rPr>
            </w:pPr>
            <w:r>
              <w:rPr>
                <w:szCs w:val="21"/>
              </w:rPr>
              <w:t>梁英超</w:t>
            </w:r>
          </w:p>
        </w:tc>
        <w:tc>
          <w:tcPr>
            <w:tcW w:w="1980" w:type="dxa"/>
            <w:noWrap/>
            <w:vAlign w:val="center"/>
          </w:tcPr>
          <w:p>
            <w:pPr>
              <w:spacing w:line="360" w:lineRule="exact"/>
              <w:jc w:val="center"/>
              <w:rPr>
                <w:szCs w:val="21"/>
              </w:rPr>
            </w:pPr>
            <w:r>
              <w:rPr>
                <w:szCs w:val="21"/>
              </w:rPr>
              <w:t>18067723172（微信同号）</w:t>
            </w:r>
          </w:p>
        </w:tc>
      </w:tr>
    </w:tbl>
    <w:p>
      <w:pPr>
        <w:pStyle w:val="2"/>
      </w:pPr>
    </w:p>
    <w:p>
      <w:pPr>
        <w:pStyle w:val="23"/>
        <w:ind w:left="420" w:firstLine="344"/>
        <w:rPr>
          <w:rFonts w:hint="default" w:ascii="Times New Roman" w:hAnsi="Times New Roman"/>
        </w:rPr>
      </w:pPr>
    </w:p>
    <w:p>
      <w:pPr>
        <w:pStyle w:val="24"/>
        <w:rPr>
          <w:rFonts w:cs="Times New Roman"/>
        </w:rPr>
      </w:pPr>
    </w:p>
    <w:p/>
    <w:p>
      <w:pPr>
        <w:pStyle w:val="3"/>
      </w:pPr>
    </w:p>
    <w:p>
      <w:pPr>
        <w:pStyle w:val="2"/>
      </w:pPr>
    </w:p>
    <w:p>
      <w:pPr>
        <w:pStyle w:val="2"/>
      </w:pPr>
    </w:p>
    <w:p>
      <w:pPr>
        <w:pStyle w:val="2"/>
      </w:pPr>
    </w:p>
    <w:p>
      <w:pPr>
        <w:pStyle w:val="4"/>
        <w:rPr>
          <w:rFonts w:ascii="Times New Roman" w:hAnsi="Times New Roman" w:cs="Times New Roman"/>
        </w:rPr>
      </w:pPr>
    </w:p>
    <w:p>
      <w:pPr>
        <w:pStyle w:val="14"/>
        <w:snapToGrid w:val="0"/>
        <w:spacing w:line="380" w:lineRule="exact"/>
        <w:rPr>
          <w:rFonts w:ascii="Times New Roman" w:hAnsi="Times New Roman" w:cs="Times New Roman"/>
          <w:b/>
          <w:szCs w:val="21"/>
        </w:rPr>
      </w:pPr>
      <w:r>
        <w:rPr>
          <w:rFonts w:ascii="Times New Roman" w:hAnsi="Times New Roman" w:cs="Times New Roman"/>
          <w:b/>
          <w:szCs w:val="21"/>
        </w:rPr>
        <w:t>一 、总  则</w:t>
      </w:r>
    </w:p>
    <w:p>
      <w:pPr>
        <w:snapToGrid w:val="0"/>
        <w:spacing w:line="380" w:lineRule="exact"/>
        <w:ind w:firstLine="422" w:firstLineChars="200"/>
        <w:jc w:val="left"/>
        <w:outlineLvl w:val="1"/>
        <w:rPr>
          <w:b/>
          <w:szCs w:val="21"/>
        </w:rPr>
      </w:pPr>
      <w:r>
        <w:rPr>
          <w:b/>
          <w:szCs w:val="21"/>
        </w:rPr>
        <w:t>（一） 适用范围</w:t>
      </w:r>
    </w:p>
    <w:p>
      <w:pPr>
        <w:snapToGrid w:val="0"/>
        <w:spacing w:line="380" w:lineRule="exact"/>
        <w:ind w:firstLine="420" w:firstLineChars="200"/>
        <w:jc w:val="left"/>
        <w:rPr>
          <w:szCs w:val="21"/>
        </w:rPr>
      </w:pPr>
      <w:r>
        <w:rPr>
          <w:szCs w:val="21"/>
        </w:rPr>
        <w:t>本招标文件适用于</w:t>
      </w:r>
      <w:r>
        <w:rPr>
          <w:bCs/>
          <w:szCs w:val="21"/>
        </w:rPr>
        <w:t>本次</w:t>
      </w:r>
      <w:r>
        <w:rPr>
          <w:szCs w:val="21"/>
        </w:rPr>
        <w:t>项目的招标、投标、评标、定标、验收、合同履约、付款等行为（法律、法规另有规定的，从其规定）。</w:t>
      </w:r>
    </w:p>
    <w:p>
      <w:pPr>
        <w:snapToGrid w:val="0"/>
        <w:spacing w:line="380" w:lineRule="exact"/>
        <w:ind w:firstLine="422" w:firstLineChars="200"/>
        <w:jc w:val="left"/>
        <w:outlineLvl w:val="1"/>
        <w:rPr>
          <w:b/>
          <w:szCs w:val="21"/>
        </w:rPr>
      </w:pPr>
      <w:r>
        <w:rPr>
          <w:b/>
          <w:szCs w:val="21"/>
        </w:rPr>
        <w:t>（二）定义</w:t>
      </w:r>
    </w:p>
    <w:p>
      <w:pPr>
        <w:snapToGrid w:val="0"/>
        <w:spacing w:line="380" w:lineRule="exact"/>
        <w:ind w:firstLine="420" w:firstLineChars="200"/>
        <w:jc w:val="left"/>
        <w:rPr>
          <w:szCs w:val="21"/>
        </w:rPr>
      </w:pPr>
      <w:r>
        <w:rPr>
          <w:szCs w:val="21"/>
        </w:rPr>
        <w:t>1、</w:t>
      </w:r>
      <w:r>
        <w:rPr>
          <w:szCs w:val="21"/>
          <w:lang w:val="zh-CN"/>
        </w:rPr>
        <w:t>“采购组织机构”指采购人委托组织招标的集中采购机构</w:t>
      </w:r>
      <w:r>
        <w:rPr>
          <w:szCs w:val="21"/>
        </w:rPr>
        <w:t>/</w:t>
      </w:r>
      <w:r>
        <w:rPr>
          <w:szCs w:val="21"/>
          <w:lang w:val="zh-CN"/>
        </w:rPr>
        <w:t>采购代理机构。</w:t>
      </w:r>
    </w:p>
    <w:p>
      <w:pPr>
        <w:snapToGrid w:val="0"/>
        <w:spacing w:line="380" w:lineRule="exact"/>
        <w:ind w:firstLine="420" w:firstLineChars="200"/>
        <w:jc w:val="left"/>
        <w:rPr>
          <w:szCs w:val="21"/>
        </w:rPr>
      </w:pPr>
      <w:r>
        <w:rPr>
          <w:szCs w:val="21"/>
        </w:rPr>
        <w:t>2、采购人：是指委托采购代理机构采购本次项目的国家机关、事业单位和团体组织。</w:t>
      </w:r>
    </w:p>
    <w:p>
      <w:pPr>
        <w:snapToGrid w:val="0"/>
        <w:spacing w:line="380" w:lineRule="exact"/>
        <w:ind w:firstLine="420" w:firstLineChars="200"/>
        <w:jc w:val="left"/>
        <w:rPr>
          <w:szCs w:val="21"/>
        </w:rPr>
      </w:pPr>
      <w:r>
        <w:rPr>
          <w:szCs w:val="21"/>
        </w:rPr>
        <w:t>3、投标人：是指向采购</w:t>
      </w:r>
      <w:r>
        <w:rPr>
          <w:szCs w:val="21"/>
          <w:lang w:val="zh-CN"/>
        </w:rPr>
        <w:t>组织</w:t>
      </w:r>
      <w:r>
        <w:rPr>
          <w:szCs w:val="21"/>
        </w:rPr>
        <w:t>机构提交投标文件的单位或个人。</w:t>
      </w:r>
    </w:p>
    <w:p>
      <w:pPr>
        <w:snapToGrid w:val="0"/>
        <w:spacing w:line="380" w:lineRule="exact"/>
        <w:ind w:firstLine="420" w:firstLineChars="200"/>
        <w:jc w:val="left"/>
        <w:rPr>
          <w:szCs w:val="21"/>
        </w:rPr>
      </w:pPr>
      <w:r>
        <w:rPr>
          <w:szCs w:val="21"/>
        </w:rPr>
        <w:t>4、货物：是指各种形态和种类的物品，包括原材料、燃料、设备、产品等。</w:t>
      </w:r>
    </w:p>
    <w:p>
      <w:pPr>
        <w:snapToGrid w:val="0"/>
        <w:spacing w:line="380" w:lineRule="exact"/>
        <w:ind w:firstLine="420" w:firstLineChars="200"/>
        <w:jc w:val="left"/>
        <w:rPr>
          <w:szCs w:val="21"/>
        </w:rPr>
      </w:pPr>
      <w:r>
        <w:rPr>
          <w:szCs w:val="21"/>
        </w:rPr>
        <w:t>5、服务：是指除货物和工程以外的政府采购对象，包括各类专业服务、信息网络开发服务、金融保险服务、运输服务，以及维修与维护服务等。</w:t>
      </w:r>
    </w:p>
    <w:p>
      <w:pPr>
        <w:snapToGrid w:val="0"/>
        <w:spacing w:line="380" w:lineRule="exact"/>
        <w:ind w:firstLine="420" w:firstLineChars="200"/>
        <w:jc w:val="left"/>
        <w:rPr>
          <w:szCs w:val="21"/>
        </w:rPr>
      </w:pPr>
      <w:r>
        <w:rPr>
          <w:szCs w:val="21"/>
        </w:rPr>
        <w:t>6、“书面形式”包括信函、传真等。</w:t>
      </w:r>
    </w:p>
    <w:p>
      <w:pPr>
        <w:snapToGrid w:val="0"/>
        <w:spacing w:line="380" w:lineRule="exact"/>
        <w:ind w:firstLine="420" w:firstLineChars="200"/>
        <w:jc w:val="left"/>
        <w:rPr>
          <w:szCs w:val="21"/>
        </w:rPr>
      </w:pPr>
      <w:r>
        <w:rPr>
          <w:szCs w:val="21"/>
        </w:rPr>
        <w:t>7、“▲”系指实质性要求条款。</w:t>
      </w:r>
    </w:p>
    <w:p>
      <w:pPr>
        <w:snapToGrid w:val="0"/>
        <w:spacing w:line="380" w:lineRule="exact"/>
        <w:ind w:firstLine="422" w:firstLineChars="200"/>
        <w:jc w:val="left"/>
        <w:outlineLvl w:val="1"/>
        <w:rPr>
          <w:b/>
          <w:szCs w:val="21"/>
        </w:rPr>
      </w:pPr>
      <w:r>
        <w:rPr>
          <w:b/>
          <w:szCs w:val="21"/>
        </w:rPr>
        <w:t>（三）投标费用</w:t>
      </w:r>
    </w:p>
    <w:p>
      <w:pPr>
        <w:snapToGrid w:val="0"/>
        <w:spacing w:line="380" w:lineRule="exact"/>
        <w:ind w:firstLine="420" w:firstLineChars="200"/>
        <w:jc w:val="left"/>
        <w:rPr>
          <w:szCs w:val="21"/>
        </w:rPr>
      </w:pPr>
      <w:r>
        <w:rPr>
          <w:szCs w:val="21"/>
        </w:rPr>
        <w:t>不论投标结果如何，投标人均应自行承担所有与投标有关的全部费用（招标文件有相关规定除外）。</w:t>
      </w:r>
    </w:p>
    <w:p>
      <w:pPr>
        <w:pStyle w:val="14"/>
        <w:snapToGrid w:val="0"/>
        <w:spacing w:line="380" w:lineRule="exact"/>
        <w:ind w:left="2" w:leftChars="1" w:firstLine="422" w:firstLineChars="200"/>
        <w:rPr>
          <w:rFonts w:ascii="Times New Roman" w:hAnsi="Times New Roman" w:cs="Times New Roman"/>
          <w:b/>
          <w:szCs w:val="21"/>
        </w:rPr>
      </w:pPr>
      <w:r>
        <w:rPr>
          <w:rFonts w:ascii="Times New Roman" w:hAnsi="Times New Roman" w:cs="Times New Roman"/>
          <w:b/>
          <w:szCs w:val="21"/>
        </w:rPr>
        <w:t>（四）特别说明</w:t>
      </w:r>
    </w:p>
    <w:p>
      <w:pPr>
        <w:snapToGrid w:val="0"/>
        <w:spacing w:line="380" w:lineRule="exact"/>
        <w:ind w:firstLine="420" w:firstLineChars="200"/>
        <w:jc w:val="left"/>
        <w:rPr>
          <w:szCs w:val="21"/>
        </w:rPr>
      </w:pPr>
      <w:r>
        <w:rPr>
          <w:szCs w:val="21"/>
        </w:rPr>
        <w:t>▲1、投标人投标所使用的资格、信誉、荣誉、业绩与企业认证必须为本法人所拥有。投标人投标所使用的采购项目实施人员必须为本法人员工（指本法人或控股公司正式员工）。</w:t>
      </w:r>
    </w:p>
    <w:p>
      <w:pPr>
        <w:snapToGrid w:val="0"/>
        <w:spacing w:line="380" w:lineRule="exact"/>
        <w:ind w:firstLine="420" w:firstLineChars="200"/>
        <w:jc w:val="left"/>
        <w:rPr>
          <w:szCs w:val="21"/>
        </w:rPr>
      </w:pPr>
      <w:r>
        <w:rPr>
          <w:szCs w:val="21"/>
        </w:rPr>
        <w:t>2、投标人所投产品除招标文件中明确规定要求“提供官网截图或相应检测报告的证明材料”以外，所有技术参数描述均以投标文件为准。投标人对所投产品技术参数的真实性承担法律责任。项目招标结束后、质疑期限内，如有质疑投标认为中标人所投产品、投标文件技术参数与招标需求存在重大偏离、错误、甚至造假的情况，应提供具体有效的证明材料。</w:t>
      </w:r>
    </w:p>
    <w:p>
      <w:pPr>
        <w:snapToGrid w:val="0"/>
        <w:spacing w:line="380" w:lineRule="exact"/>
        <w:ind w:firstLine="420" w:firstLineChars="200"/>
        <w:jc w:val="left"/>
        <w:rPr>
          <w:szCs w:val="21"/>
        </w:rPr>
      </w:pPr>
      <w:r>
        <w:rPr>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80" w:lineRule="exact"/>
        <w:ind w:firstLine="420" w:firstLineChars="200"/>
        <w:jc w:val="left"/>
        <w:rPr>
          <w:szCs w:val="21"/>
        </w:rPr>
      </w:pPr>
      <w:r>
        <w:rPr>
          <w:szCs w:val="21"/>
        </w:rPr>
        <w:t>▲4、投标人不得相互串通投标报价，不得妨碍其他投标人的公平竞争，不得损害采购人或其他投标人的合法权益，投标人不得以向采购人、评标委员会成员行贿或者采取其他不正当手段谋取中标。</w:t>
      </w:r>
    </w:p>
    <w:p>
      <w:pPr>
        <w:snapToGrid w:val="0"/>
        <w:spacing w:line="380" w:lineRule="exact"/>
        <w:ind w:firstLine="420" w:firstLineChars="200"/>
        <w:jc w:val="left"/>
        <w:rPr>
          <w:szCs w:val="21"/>
        </w:rPr>
      </w:pPr>
      <w:r>
        <w:rPr>
          <w:szCs w:val="21"/>
        </w:rPr>
        <w:t>▲5、为采购项目提供整体设计、规范编制或者项目管理、监理、检测等服务的投标人，不得再参加该采购项目的其他采购活动。</w:t>
      </w:r>
    </w:p>
    <w:p>
      <w:pPr>
        <w:snapToGrid w:val="0"/>
        <w:spacing w:line="380" w:lineRule="exact"/>
        <w:ind w:firstLine="420" w:firstLineChars="200"/>
        <w:jc w:val="left"/>
        <w:rPr>
          <w:szCs w:val="21"/>
        </w:rPr>
      </w:pPr>
      <w:r>
        <w:rPr>
          <w:szCs w:val="21"/>
        </w:rPr>
        <w:t>6、电子投标文件格式中的表格式样可以根据项目差别做适当调整，但应当保持表格样式基本形态不变。</w:t>
      </w:r>
    </w:p>
    <w:p>
      <w:pPr>
        <w:snapToGrid w:val="0"/>
        <w:spacing w:line="380" w:lineRule="exact"/>
        <w:ind w:firstLine="420" w:firstLineChars="200"/>
        <w:jc w:val="left"/>
        <w:rPr>
          <w:szCs w:val="21"/>
        </w:rPr>
      </w:pPr>
      <w:r>
        <w:rPr>
          <w:szCs w:val="21"/>
        </w:rPr>
        <w:t>▲7、单位负责人为同一人或者存在直接控股、管理关系的不同投标人，不得参加同一合同项下的政府采购活动。</w:t>
      </w:r>
    </w:p>
    <w:p>
      <w:pPr>
        <w:snapToGrid w:val="0"/>
        <w:spacing w:line="380" w:lineRule="exact"/>
        <w:ind w:firstLine="420" w:firstLineChars="200"/>
        <w:jc w:val="left"/>
        <w:rPr>
          <w:szCs w:val="21"/>
        </w:rPr>
      </w:pPr>
      <w:r>
        <w:rPr>
          <w:szCs w:val="21"/>
        </w:rPr>
        <w:t>8、本项目不允许分包。</w:t>
      </w:r>
    </w:p>
    <w:p>
      <w:pPr>
        <w:pStyle w:val="14"/>
        <w:snapToGrid w:val="0"/>
        <w:spacing w:line="380" w:lineRule="exact"/>
        <w:rPr>
          <w:rFonts w:ascii="Times New Roman" w:hAnsi="Times New Roman" w:cs="Times New Roman"/>
          <w:b/>
          <w:szCs w:val="21"/>
        </w:rPr>
      </w:pPr>
      <w:r>
        <w:rPr>
          <w:rFonts w:ascii="Times New Roman" w:hAnsi="Times New Roman" w:cs="Times New Roman"/>
          <w:b/>
          <w:szCs w:val="21"/>
        </w:rPr>
        <w:t>二、招标文件</w:t>
      </w:r>
    </w:p>
    <w:p>
      <w:pPr>
        <w:snapToGrid w:val="0"/>
        <w:spacing w:line="380" w:lineRule="exact"/>
        <w:ind w:firstLine="420" w:firstLineChars="200"/>
        <w:jc w:val="left"/>
        <w:rPr>
          <w:szCs w:val="21"/>
        </w:rPr>
      </w:pPr>
      <w:r>
        <w:rPr>
          <w:szCs w:val="21"/>
        </w:rPr>
        <w:t>（一）招标文件由招标文件总目录所列内容组成。</w:t>
      </w:r>
    </w:p>
    <w:p>
      <w:pPr>
        <w:snapToGrid w:val="0"/>
        <w:spacing w:line="380" w:lineRule="exact"/>
        <w:ind w:firstLine="420" w:firstLineChars="200"/>
        <w:jc w:val="left"/>
        <w:rPr>
          <w:szCs w:val="21"/>
        </w:rPr>
      </w:pPr>
      <w:r>
        <w:rPr>
          <w:szCs w:val="21"/>
        </w:rPr>
        <w:t>（二）招标文件的澄清或修改</w:t>
      </w:r>
    </w:p>
    <w:p>
      <w:pPr>
        <w:snapToGrid w:val="0"/>
        <w:spacing w:line="380" w:lineRule="exact"/>
        <w:ind w:firstLine="420" w:firstLineChars="200"/>
        <w:jc w:val="left"/>
        <w:rPr>
          <w:szCs w:val="21"/>
        </w:rPr>
      </w:pPr>
      <w:r>
        <w:rPr>
          <w:szCs w:val="21"/>
        </w:rPr>
        <w:t xml:space="preserve">1、采购组织机构可视采购具体情况对已发出的招标文件进行必要的澄清或者修改。澄清或者修改的内容可能影响电子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snapToGrid w:val="0"/>
        <w:spacing w:line="380" w:lineRule="exact"/>
        <w:ind w:firstLine="420" w:firstLineChars="200"/>
        <w:jc w:val="left"/>
        <w:rPr>
          <w:szCs w:val="21"/>
        </w:rPr>
      </w:pPr>
      <w:r>
        <w:rPr>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14"/>
        <w:snapToGrid w:val="0"/>
        <w:spacing w:line="380" w:lineRule="exact"/>
        <w:rPr>
          <w:rFonts w:ascii="Times New Roman" w:hAnsi="Times New Roman" w:cs="Times New Roman"/>
          <w:b/>
          <w:szCs w:val="21"/>
        </w:rPr>
      </w:pPr>
      <w:r>
        <w:rPr>
          <w:rFonts w:ascii="Times New Roman" w:hAnsi="Times New Roman" w:cs="Times New Roman"/>
          <w:b/>
          <w:szCs w:val="21"/>
        </w:rPr>
        <w:t>三、投标文件</w:t>
      </w:r>
    </w:p>
    <w:p>
      <w:pPr>
        <w:autoSpaceDE w:val="0"/>
        <w:autoSpaceDN w:val="0"/>
        <w:adjustRightInd w:val="0"/>
        <w:spacing w:line="380" w:lineRule="exact"/>
        <w:ind w:firstLine="422" w:firstLineChars="200"/>
        <w:rPr>
          <w:b/>
          <w:bCs/>
          <w:kern w:val="0"/>
          <w:szCs w:val="21"/>
        </w:rPr>
      </w:pPr>
      <w:r>
        <w:rPr>
          <w:b/>
          <w:szCs w:val="21"/>
          <w:lang w:val="zh-CN"/>
        </w:rPr>
        <w:t>（一）</w:t>
      </w:r>
      <w:r>
        <w:rPr>
          <w:b/>
          <w:bCs/>
          <w:kern w:val="0"/>
          <w:szCs w:val="21"/>
        </w:rPr>
        <w:t>投标文件的组成</w:t>
      </w:r>
    </w:p>
    <w:p>
      <w:pPr>
        <w:snapToGrid w:val="0"/>
        <w:spacing w:line="380" w:lineRule="exact"/>
        <w:ind w:firstLine="420" w:firstLineChars="200"/>
        <w:jc w:val="left"/>
        <w:rPr>
          <w:szCs w:val="21"/>
          <w:lang w:val="zh-CN"/>
        </w:rPr>
      </w:pPr>
      <w:r>
        <w:rPr>
          <w:szCs w:val="21"/>
        </w:rPr>
        <w:t>投标人网上报名下载招标文件后，按照采购组织机构的要求提供：资格证明文件、商务与技术文件、报价文件（特别提示：如在投标时要求提供资料原件的，将原件扫描放入电子投标文件）。</w:t>
      </w:r>
    </w:p>
    <w:p>
      <w:pPr>
        <w:snapToGrid w:val="0"/>
        <w:spacing w:line="380" w:lineRule="exact"/>
        <w:ind w:firstLine="422" w:firstLineChars="200"/>
        <w:rPr>
          <w:kern w:val="0"/>
          <w:szCs w:val="21"/>
        </w:rPr>
      </w:pPr>
      <w:r>
        <w:rPr>
          <w:b/>
          <w:szCs w:val="21"/>
        </w:rPr>
        <w:t>▲1、资格证明文件的组成：</w:t>
      </w:r>
    </w:p>
    <w:p>
      <w:pPr>
        <w:snapToGrid w:val="0"/>
        <w:spacing w:line="380" w:lineRule="exact"/>
        <w:ind w:firstLine="420" w:firstLineChars="200"/>
        <w:jc w:val="left"/>
        <w:rPr>
          <w:szCs w:val="21"/>
        </w:rPr>
      </w:pPr>
      <w:r>
        <w:rPr>
          <w:szCs w:val="21"/>
        </w:rPr>
        <w:t>（1）投标声明书；</w:t>
      </w:r>
    </w:p>
    <w:p>
      <w:pPr>
        <w:snapToGrid w:val="0"/>
        <w:spacing w:line="380" w:lineRule="exact"/>
        <w:ind w:firstLine="420" w:firstLineChars="200"/>
        <w:jc w:val="left"/>
        <w:rPr>
          <w:szCs w:val="21"/>
        </w:rPr>
      </w:pPr>
      <w:r>
        <w:rPr>
          <w:szCs w:val="21"/>
        </w:rPr>
        <w:t>（2）授权委托书（法定代表人亲自办理投标事宜的，则无需提交）；</w:t>
      </w:r>
    </w:p>
    <w:p>
      <w:pPr>
        <w:snapToGrid w:val="0"/>
        <w:spacing w:line="380" w:lineRule="exact"/>
        <w:ind w:firstLine="420" w:firstLineChars="200"/>
        <w:jc w:val="left"/>
        <w:rPr>
          <w:szCs w:val="21"/>
        </w:rPr>
      </w:pPr>
      <w:r>
        <w:rPr>
          <w:szCs w:val="21"/>
        </w:rPr>
        <w:t>（3）法人或者其他组织的营业执照等证明文件，自然人的身份证明；</w:t>
      </w:r>
    </w:p>
    <w:p>
      <w:pPr>
        <w:snapToGrid w:val="0"/>
        <w:spacing w:line="380" w:lineRule="exact"/>
        <w:ind w:firstLine="420" w:firstLineChars="200"/>
        <w:jc w:val="left"/>
      </w:pPr>
      <w:r>
        <w:rPr>
          <w:szCs w:val="21"/>
        </w:rPr>
        <w:t>（4）落实政府采购政策需满足的资格要求（中小企业声明函）；</w:t>
      </w:r>
    </w:p>
    <w:p>
      <w:pPr>
        <w:snapToGrid w:val="0"/>
        <w:spacing w:line="380" w:lineRule="exact"/>
        <w:ind w:firstLine="420" w:firstLineChars="200"/>
        <w:jc w:val="left"/>
        <w:rPr>
          <w:szCs w:val="21"/>
        </w:rPr>
      </w:pPr>
      <w:r>
        <w:rPr>
          <w:szCs w:val="21"/>
        </w:rPr>
        <w:t>（5）符合参加政府采购活动应当具备的一般条件的承诺函；</w:t>
      </w:r>
    </w:p>
    <w:p>
      <w:pPr>
        <w:snapToGrid w:val="0"/>
        <w:spacing w:line="380" w:lineRule="exact"/>
        <w:ind w:firstLine="420" w:firstLineChars="200"/>
        <w:jc w:val="left"/>
        <w:rPr>
          <w:szCs w:val="21"/>
        </w:rPr>
      </w:pPr>
      <w:r>
        <w:rPr>
          <w:szCs w:val="21"/>
        </w:rPr>
        <w:t>（6）提供采购公告中符合投标人特定条件的有效资质证书扫描件（投标人特定条件中有要求的必须提供），以及需要说明的其他资料。</w:t>
      </w:r>
    </w:p>
    <w:p>
      <w:pPr>
        <w:snapToGrid w:val="0"/>
        <w:spacing w:line="380" w:lineRule="exact"/>
        <w:ind w:firstLine="422" w:firstLineChars="200"/>
        <w:rPr>
          <w:szCs w:val="21"/>
          <w:u w:val="single"/>
        </w:rPr>
      </w:pPr>
      <w:r>
        <w:rPr>
          <w:b/>
          <w:szCs w:val="21"/>
        </w:rPr>
        <w:t>2、商务与技术文件的组成：</w:t>
      </w:r>
    </w:p>
    <w:p>
      <w:pPr>
        <w:snapToGrid w:val="0"/>
        <w:spacing w:line="380" w:lineRule="exact"/>
        <w:ind w:firstLine="420" w:firstLineChars="200"/>
        <w:jc w:val="left"/>
        <w:rPr>
          <w:szCs w:val="21"/>
        </w:rPr>
      </w:pPr>
      <w:r>
        <w:rPr>
          <w:szCs w:val="21"/>
        </w:rPr>
        <w:t>（1）投标人情况介绍（人员与技术力量、企业规模、经营业绩等）。</w:t>
      </w:r>
    </w:p>
    <w:p>
      <w:pPr>
        <w:snapToGrid w:val="0"/>
        <w:spacing w:line="380" w:lineRule="exact"/>
        <w:ind w:firstLine="420" w:firstLineChars="200"/>
        <w:jc w:val="left"/>
        <w:rPr>
          <w:szCs w:val="21"/>
        </w:rPr>
      </w:pPr>
      <w:r>
        <w:rPr>
          <w:szCs w:val="21"/>
        </w:rPr>
        <w:t>（2）投标方案描述：</w:t>
      </w:r>
    </w:p>
    <w:p>
      <w:pPr>
        <w:snapToGrid w:val="0"/>
        <w:spacing w:line="380" w:lineRule="exact"/>
        <w:ind w:firstLine="420" w:firstLineChars="200"/>
        <w:jc w:val="left"/>
        <w:rPr>
          <w:szCs w:val="21"/>
        </w:rPr>
      </w:pPr>
      <w:r>
        <w:rPr>
          <w:szCs w:val="21"/>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napToGrid w:val="0"/>
        <w:spacing w:line="380" w:lineRule="exact"/>
        <w:ind w:firstLine="420" w:firstLineChars="200"/>
        <w:jc w:val="left"/>
        <w:rPr>
          <w:szCs w:val="21"/>
        </w:rPr>
      </w:pPr>
      <w:r>
        <w:rPr>
          <w:szCs w:val="21"/>
        </w:rPr>
        <w:t>B.项目组织实施方案（包括项目工期、确保项目供货的措施或方案、项目实施进度安排、项目实施人员及项目负责人的资质、类似经验及社保证明等）。</w:t>
      </w:r>
    </w:p>
    <w:p>
      <w:pPr>
        <w:snapToGrid w:val="0"/>
        <w:spacing w:line="380" w:lineRule="exact"/>
        <w:ind w:firstLine="420" w:firstLineChars="200"/>
        <w:jc w:val="left"/>
        <w:rPr>
          <w:szCs w:val="21"/>
        </w:rPr>
      </w:pPr>
      <w:r>
        <w:rPr>
          <w:szCs w:val="21"/>
        </w:rPr>
        <w:t>C.验收方案（包括项目验收标准和验收方法等）和措施。</w:t>
      </w:r>
    </w:p>
    <w:p>
      <w:pPr>
        <w:snapToGrid w:val="0"/>
        <w:spacing w:line="380" w:lineRule="exact"/>
        <w:ind w:firstLine="420" w:firstLineChars="200"/>
        <w:jc w:val="left"/>
        <w:rPr>
          <w:szCs w:val="21"/>
        </w:rPr>
      </w:pPr>
      <w:r>
        <w:rPr>
          <w:szCs w:val="21"/>
        </w:rPr>
        <w:t>（3）商务及技术响应表。</w:t>
      </w:r>
    </w:p>
    <w:p>
      <w:pPr>
        <w:snapToGrid w:val="0"/>
        <w:spacing w:line="380" w:lineRule="exact"/>
        <w:ind w:firstLine="420" w:firstLineChars="200"/>
        <w:jc w:val="left"/>
        <w:rPr>
          <w:szCs w:val="21"/>
        </w:rPr>
      </w:pPr>
      <w:r>
        <w:rPr>
          <w:szCs w:val="21"/>
        </w:rPr>
        <w:t>（4）投标人通过的质量管理和质量保证体系、环保体系、自主创新相关证书、软件著作权证等等与本项目相关的认证证书或文件。</w:t>
      </w:r>
    </w:p>
    <w:p>
      <w:pPr>
        <w:snapToGrid w:val="0"/>
        <w:spacing w:line="380" w:lineRule="exact"/>
        <w:ind w:firstLine="420" w:firstLineChars="200"/>
        <w:jc w:val="left"/>
        <w:rPr>
          <w:szCs w:val="21"/>
        </w:rPr>
      </w:pPr>
      <w:r>
        <w:rPr>
          <w:szCs w:val="21"/>
        </w:rPr>
        <w:t>（5）近三年来类似项目的成功案例（投标人类似项目实施情况一览表、合同原件扫描件及其相应的发票、用户验收报告等。</w:t>
      </w:r>
    </w:p>
    <w:p>
      <w:pPr>
        <w:snapToGrid w:val="0"/>
        <w:spacing w:line="380" w:lineRule="exact"/>
        <w:ind w:firstLine="420" w:firstLineChars="200"/>
        <w:jc w:val="left"/>
        <w:rPr>
          <w:szCs w:val="21"/>
          <w:lang w:val="zh-CN"/>
        </w:rPr>
      </w:pPr>
      <w:r>
        <w:rPr>
          <w:szCs w:val="21"/>
        </w:rPr>
        <w:t>（6）投标人认为需要提供的其他资料（包括可能影响投标人商务与技术文件评分的各类证明材料）。</w:t>
      </w:r>
    </w:p>
    <w:p>
      <w:pPr>
        <w:snapToGrid w:val="0"/>
        <w:spacing w:line="380" w:lineRule="exact"/>
        <w:ind w:firstLine="420" w:firstLineChars="200"/>
        <w:jc w:val="left"/>
        <w:rPr>
          <w:szCs w:val="21"/>
        </w:rPr>
      </w:pPr>
      <w:r>
        <w:rPr>
          <w:szCs w:val="21"/>
        </w:rPr>
        <w:t>（7）售后服务描述及承诺：</w:t>
      </w:r>
    </w:p>
    <w:p>
      <w:pPr>
        <w:snapToGrid w:val="0"/>
        <w:spacing w:line="380" w:lineRule="exact"/>
        <w:ind w:firstLine="420" w:firstLineChars="200"/>
        <w:jc w:val="left"/>
        <w:rPr>
          <w:szCs w:val="21"/>
        </w:rPr>
      </w:pPr>
      <w:r>
        <w:rPr>
          <w:szCs w:val="21"/>
        </w:rPr>
        <w:t>A.距采购人最近的服务网点详细介绍（包括地理位置、资质资格、技术力量、工作业绩、服务内容及联系电话等）。</w:t>
      </w:r>
    </w:p>
    <w:p>
      <w:pPr>
        <w:snapToGrid w:val="0"/>
        <w:spacing w:line="380" w:lineRule="exact"/>
        <w:ind w:firstLine="420" w:firstLineChars="200"/>
        <w:jc w:val="left"/>
        <w:rPr>
          <w:szCs w:val="21"/>
        </w:rPr>
      </w:pPr>
      <w:r>
        <w:rPr>
          <w:szCs w:val="21"/>
        </w:rPr>
        <w:t>B.针对本项目的售后服务措施及承诺（售后技术服务方案、人员配备、故障响应时间、技术培训方案等）。</w:t>
      </w:r>
    </w:p>
    <w:p>
      <w:pPr>
        <w:snapToGrid w:val="0"/>
        <w:spacing w:line="380" w:lineRule="exact"/>
        <w:ind w:firstLine="420" w:firstLineChars="200"/>
        <w:jc w:val="left"/>
        <w:rPr>
          <w:szCs w:val="21"/>
        </w:rPr>
      </w:pPr>
      <w:r>
        <w:rPr>
          <w:szCs w:val="21"/>
        </w:rPr>
        <w:t>（8）评标办法中的评分内容章节描述及需要提供的其他材料。</w:t>
      </w:r>
    </w:p>
    <w:p>
      <w:pPr>
        <w:autoSpaceDE w:val="0"/>
        <w:autoSpaceDN w:val="0"/>
        <w:adjustRightInd w:val="0"/>
        <w:spacing w:line="380" w:lineRule="exact"/>
        <w:ind w:firstLine="422" w:firstLineChars="200"/>
        <w:rPr>
          <w:b/>
          <w:kern w:val="0"/>
          <w:szCs w:val="21"/>
        </w:rPr>
      </w:pPr>
      <w:r>
        <w:rPr>
          <w:b/>
          <w:kern w:val="0"/>
          <w:szCs w:val="21"/>
        </w:rPr>
        <w:t>3、报价文件的组成</w:t>
      </w:r>
    </w:p>
    <w:p>
      <w:pPr>
        <w:snapToGrid w:val="0"/>
        <w:spacing w:line="380" w:lineRule="exact"/>
        <w:ind w:firstLine="420" w:firstLineChars="200"/>
        <w:jc w:val="left"/>
        <w:rPr>
          <w:szCs w:val="21"/>
        </w:rPr>
      </w:pPr>
      <w:r>
        <w:rPr>
          <w:szCs w:val="21"/>
        </w:rPr>
        <w:t>（1）报价文件由开标一览表、报价明细表以及投标人认为其他需要说明的内容组成。</w:t>
      </w:r>
    </w:p>
    <w:p>
      <w:pPr>
        <w:snapToGrid w:val="0"/>
        <w:spacing w:line="380" w:lineRule="exact"/>
        <w:ind w:firstLine="420" w:firstLineChars="200"/>
        <w:jc w:val="left"/>
        <w:rPr>
          <w:szCs w:val="21"/>
        </w:rPr>
      </w:pPr>
      <w:r>
        <w:rPr>
          <w:szCs w:val="21"/>
        </w:rPr>
        <w:t>（2）此报价为投标人一次性报出唯一的最终价格，包含其它一切所要涉及到的费用，有选择的报价将被拒绝。</w:t>
      </w:r>
    </w:p>
    <w:p>
      <w:pPr>
        <w:widowControl/>
        <w:snapToGrid w:val="0"/>
        <w:spacing w:line="400" w:lineRule="exact"/>
        <w:ind w:firstLine="420" w:firstLineChars="200"/>
        <w:rPr>
          <w:rStyle w:val="31"/>
          <w:color w:val="auto"/>
          <w:szCs w:val="21"/>
        </w:rPr>
      </w:pPr>
      <w:r>
        <w:rPr>
          <w:rStyle w:val="31"/>
          <w:color w:val="auto"/>
          <w:szCs w:val="21"/>
          <w:lang w:val="zh-CN"/>
        </w:rPr>
        <w:t>（</w:t>
      </w:r>
      <w:r>
        <w:rPr>
          <w:rStyle w:val="31"/>
          <w:color w:val="auto"/>
          <w:szCs w:val="21"/>
        </w:rPr>
        <w:t>3</w:t>
      </w:r>
      <w:r>
        <w:rPr>
          <w:rStyle w:val="31"/>
          <w:color w:val="auto"/>
          <w:szCs w:val="21"/>
          <w:lang w:val="zh-CN"/>
        </w:rPr>
        <w:t>）总报价</w:t>
      </w:r>
      <w:r>
        <w:rPr>
          <w:rStyle w:val="31"/>
          <w:color w:val="auto"/>
          <w:szCs w:val="21"/>
        </w:rPr>
        <w:t>是含项目实施所需</w:t>
      </w:r>
      <w:r>
        <w:rPr>
          <w:rFonts w:hint="eastAsia"/>
          <w:szCs w:val="21"/>
        </w:rPr>
        <w:t>的</w:t>
      </w:r>
      <w:r>
        <w:rPr>
          <w:rFonts w:hint="eastAsia"/>
          <w:szCs w:val="21"/>
          <w:lang w:val="en-US" w:eastAsia="zh-CN"/>
        </w:rPr>
        <w:t>设备设计及供货、系统集成、安装及调试、培训、维护</w:t>
      </w:r>
      <w:r>
        <w:rPr>
          <w:rFonts w:hint="eastAsia"/>
          <w:szCs w:val="21"/>
        </w:rPr>
        <w:t>、利润、管理费、保险、税金、</w:t>
      </w:r>
      <w:r>
        <w:rPr>
          <w:szCs w:val="21"/>
        </w:rPr>
        <w:t>招标代理服务费</w:t>
      </w:r>
      <w:r>
        <w:rPr>
          <w:rFonts w:hint="eastAsia"/>
          <w:szCs w:val="21"/>
        </w:rPr>
        <w:t>、</w:t>
      </w:r>
      <w:r>
        <w:rPr>
          <w:rStyle w:val="31"/>
          <w:color w:val="auto"/>
          <w:szCs w:val="21"/>
        </w:rPr>
        <w:t>合同包含的所有风险责任等各项费用及不可预见费</w:t>
      </w:r>
      <w:r>
        <w:rPr>
          <w:rStyle w:val="31"/>
          <w:rFonts w:hint="eastAsia"/>
          <w:color w:val="auto"/>
          <w:szCs w:val="21"/>
        </w:rPr>
        <w:t>用</w:t>
      </w:r>
      <w:r>
        <w:rPr>
          <w:rStyle w:val="31"/>
          <w:color w:val="auto"/>
          <w:szCs w:val="21"/>
        </w:rPr>
        <w:t>等所需的全部费用。</w:t>
      </w:r>
    </w:p>
    <w:p>
      <w:pPr>
        <w:snapToGrid w:val="0"/>
        <w:spacing w:line="380" w:lineRule="exact"/>
        <w:ind w:firstLine="420" w:firstLineChars="200"/>
        <w:jc w:val="left"/>
        <w:rPr>
          <w:szCs w:val="21"/>
        </w:rPr>
      </w:pPr>
      <w:r>
        <w:rPr>
          <w:szCs w:val="21"/>
          <w:lang w:val="zh-CN"/>
        </w:rPr>
        <w:t>（</w:t>
      </w:r>
      <w:r>
        <w:rPr>
          <w:szCs w:val="21"/>
        </w:rPr>
        <w:t>4</w:t>
      </w:r>
      <w:r>
        <w:rPr>
          <w:szCs w:val="21"/>
          <w:lang w:val="zh-CN"/>
        </w:rPr>
        <w:t>）</w:t>
      </w:r>
      <w:r>
        <w:rPr>
          <w:szCs w:val="21"/>
        </w:rPr>
        <w:t>相关报价单需打印或用不退色的墨水填写，投标报价单不得涂改和增删，如有错漏必须修改，修改处须由同一签署人签字或盖章。由于字迹模糊或表达不清引起的后果由投标人负责。</w:t>
      </w:r>
    </w:p>
    <w:p>
      <w:pPr>
        <w:snapToGrid w:val="0"/>
        <w:spacing w:line="380" w:lineRule="exact"/>
        <w:ind w:firstLine="420" w:firstLineChars="200"/>
        <w:jc w:val="left"/>
        <w:rPr>
          <w:szCs w:val="21"/>
        </w:rPr>
      </w:pPr>
      <w:r>
        <w:rPr>
          <w:szCs w:val="21"/>
        </w:rPr>
        <w:t>（5）投标报价应按招标文件中相关附表格式填写。</w:t>
      </w:r>
    </w:p>
    <w:p>
      <w:pPr>
        <w:autoSpaceDE w:val="0"/>
        <w:autoSpaceDN w:val="0"/>
        <w:adjustRightInd w:val="0"/>
        <w:spacing w:line="380" w:lineRule="exact"/>
        <w:ind w:firstLine="422" w:firstLineChars="200"/>
        <w:rPr>
          <w:b/>
          <w:bCs/>
          <w:kern w:val="0"/>
          <w:szCs w:val="21"/>
        </w:rPr>
      </w:pPr>
      <w:r>
        <w:rPr>
          <w:b/>
          <w:bCs/>
          <w:kern w:val="0"/>
          <w:szCs w:val="21"/>
        </w:rPr>
        <w:t>（二）电子投标文件的制作及递交要求</w:t>
      </w:r>
    </w:p>
    <w:p>
      <w:pPr>
        <w:autoSpaceDE w:val="0"/>
        <w:autoSpaceDN w:val="0"/>
        <w:adjustRightInd w:val="0"/>
        <w:spacing w:line="380" w:lineRule="exact"/>
        <w:ind w:firstLine="422" w:firstLineChars="200"/>
        <w:rPr>
          <w:b/>
          <w:bCs/>
          <w:szCs w:val="21"/>
        </w:rPr>
      </w:pPr>
      <w:r>
        <w:rPr>
          <w:b/>
          <w:bCs/>
          <w:szCs w:val="21"/>
        </w:rPr>
        <w:t>1、电子投标文件的制作要求</w:t>
      </w:r>
    </w:p>
    <w:p>
      <w:pPr>
        <w:snapToGrid w:val="0"/>
        <w:spacing w:line="380" w:lineRule="exact"/>
        <w:ind w:firstLine="420" w:firstLineChars="200"/>
        <w:jc w:val="left"/>
        <w:rPr>
          <w:szCs w:val="21"/>
        </w:rPr>
      </w:pPr>
      <w:r>
        <w:rPr>
          <w:szCs w:val="21"/>
        </w:rPr>
        <w:t>（1）本项目通过“政府采购云平台”（https://www.zcygov.cn/）实行在线投标响应（电子投标）。投标人应通过“政采云电子交易客服端”，并按照本招标文件和“政府采购云平台”的要求编制并加密电子投标文件。</w:t>
      </w:r>
    </w:p>
    <w:p>
      <w:pPr>
        <w:snapToGrid w:val="0"/>
        <w:spacing w:line="380" w:lineRule="exact"/>
        <w:ind w:firstLine="420" w:firstLineChars="200"/>
        <w:jc w:val="left"/>
        <w:rPr>
          <w:szCs w:val="21"/>
        </w:rPr>
      </w:pPr>
      <w:r>
        <w:rPr>
          <w:szCs w:val="21"/>
        </w:rPr>
        <w:t>（2）投标人应当按照本章节“投标文件组成”规定的内容及顺序在“政采云电子交易客服端”编制电子投标文件。其中</w:t>
      </w:r>
      <w:r>
        <w:rPr>
          <w:szCs w:val="21"/>
          <w:lang w:val="zh-CN"/>
        </w:rPr>
        <w:t>《资格</w:t>
      </w:r>
      <w:r>
        <w:rPr>
          <w:szCs w:val="21"/>
        </w:rPr>
        <w:t>证明</w:t>
      </w:r>
      <w:r>
        <w:rPr>
          <w:szCs w:val="21"/>
          <w:lang w:val="zh-CN"/>
        </w:rPr>
        <w:t>文件》</w:t>
      </w:r>
      <w:r>
        <w:rPr>
          <w:szCs w:val="21"/>
        </w:rPr>
        <w:t>和</w:t>
      </w:r>
      <w:r>
        <w:rPr>
          <w:szCs w:val="21"/>
          <w:lang w:val="zh-CN"/>
        </w:rPr>
        <w:t>《商务</w:t>
      </w:r>
      <w:r>
        <w:rPr>
          <w:szCs w:val="21"/>
        </w:rPr>
        <w:t>与</w:t>
      </w:r>
      <w:r>
        <w:rPr>
          <w:szCs w:val="21"/>
          <w:lang w:val="zh-CN"/>
        </w:rPr>
        <w:t>技术文件》</w:t>
      </w:r>
      <w:r>
        <w:rPr>
          <w:szCs w:val="21"/>
        </w:rPr>
        <w:t>中不得出现本项目投标报价，如因投标人原因提前泄露投标报价，是投标人的责任。</w:t>
      </w:r>
    </w:p>
    <w:p>
      <w:pPr>
        <w:snapToGrid w:val="0"/>
        <w:spacing w:line="380" w:lineRule="exact"/>
        <w:ind w:firstLine="420" w:firstLineChars="200"/>
        <w:jc w:val="left"/>
        <w:rPr>
          <w:szCs w:val="21"/>
        </w:rPr>
      </w:pPr>
      <w:r>
        <w:rPr>
          <w:szCs w:val="21"/>
        </w:rPr>
        <w:t>（3）投标人应对所提供的全部资料的真实性承担法律责任，本文件中有提供格式的，投标人须参照格式进行编制（格式中要求提供相关证明材料的还需后附相关证明材料），并按格式要求在指定位置根据要求进行签章（电子签章）；本文件未提供格式的，请各投标单位自行拟定格式，并加盖单位公章（电子签章）。</w:t>
      </w:r>
    </w:p>
    <w:p>
      <w:pPr>
        <w:snapToGrid w:val="0"/>
        <w:spacing w:line="380" w:lineRule="exact"/>
        <w:ind w:firstLine="420" w:firstLineChars="200"/>
        <w:jc w:val="left"/>
        <w:rPr>
          <w:szCs w:val="21"/>
        </w:rPr>
      </w:pPr>
      <w:r>
        <w:rPr>
          <w:szCs w:val="21"/>
          <w:lang w:val="zh-CN"/>
        </w:rPr>
        <w:t>（</w:t>
      </w:r>
      <w:r>
        <w:rPr>
          <w:szCs w:val="21"/>
        </w:rPr>
        <w:t>4</w:t>
      </w:r>
      <w:r>
        <w:rPr>
          <w:szCs w:val="21"/>
          <w:lang w:val="zh-CN"/>
        </w:rPr>
        <w:t>）</w:t>
      </w:r>
      <w:r>
        <w:rPr>
          <w:szCs w:val="21"/>
        </w:rPr>
        <w:t>电子投标文件以及投标人与采购组织机构就有关投标事宜的所有来往函电，均应以中文汉语书写。除签字、盖章、专用名称等特殊情形外，以中文汉语以外的文字表述的投标文件视同未提供。</w:t>
      </w:r>
    </w:p>
    <w:p>
      <w:pPr>
        <w:snapToGrid w:val="0"/>
        <w:spacing w:line="380" w:lineRule="exact"/>
        <w:ind w:firstLine="420" w:firstLineChars="200"/>
        <w:jc w:val="left"/>
        <w:rPr>
          <w:szCs w:val="21"/>
        </w:rPr>
      </w:pPr>
      <w:r>
        <w:rPr>
          <w:szCs w:val="21"/>
        </w:rPr>
        <w:t>（5）投标计量单位，招标文件已有明确规定的，使用招标文件规定的计量单位；招标文件没有规定的，应采用中华人民共和国法定计量单位（货币单位：人民币元）。</w:t>
      </w:r>
    </w:p>
    <w:p>
      <w:pPr>
        <w:snapToGrid w:val="0"/>
        <w:spacing w:line="380" w:lineRule="exact"/>
        <w:ind w:firstLine="420" w:firstLineChars="200"/>
        <w:jc w:val="left"/>
        <w:rPr>
          <w:szCs w:val="21"/>
        </w:rPr>
      </w:pPr>
      <w:r>
        <w:rPr>
          <w:szCs w:val="21"/>
        </w:rPr>
        <w:t>（6）若投标人不按招标文件的要求提供资格审查材料，其风险由投标人自行承担。</w:t>
      </w:r>
    </w:p>
    <w:p>
      <w:pPr>
        <w:snapToGrid w:val="0"/>
        <w:spacing w:line="380" w:lineRule="exact"/>
        <w:ind w:firstLine="420" w:firstLineChars="200"/>
        <w:jc w:val="left"/>
        <w:rPr>
          <w:szCs w:val="21"/>
        </w:rPr>
      </w:pPr>
      <w:r>
        <w:rPr>
          <w:szCs w:val="21"/>
        </w:rPr>
        <w:t>（7）与本次投标无关的内容请不要制作在内，确保投标文件有针对性、简洁明了。</w:t>
      </w:r>
    </w:p>
    <w:p>
      <w:pPr>
        <w:autoSpaceDE w:val="0"/>
        <w:autoSpaceDN w:val="0"/>
        <w:adjustRightInd w:val="0"/>
        <w:spacing w:line="380" w:lineRule="exact"/>
        <w:ind w:firstLine="422" w:firstLineChars="200"/>
        <w:rPr>
          <w:b/>
          <w:bCs/>
          <w:szCs w:val="21"/>
        </w:rPr>
      </w:pPr>
      <w:r>
        <w:rPr>
          <w:b/>
          <w:bCs/>
          <w:szCs w:val="21"/>
        </w:rPr>
        <w:t>2、电子投标文件的递交要求</w:t>
      </w:r>
    </w:p>
    <w:p>
      <w:pPr>
        <w:snapToGrid w:val="0"/>
        <w:spacing w:line="380" w:lineRule="exact"/>
        <w:ind w:firstLine="420" w:firstLineChars="200"/>
        <w:jc w:val="left"/>
        <w:rPr>
          <w:szCs w:val="21"/>
        </w:rPr>
      </w:pPr>
      <w:r>
        <w:rPr>
          <w:szCs w:val="21"/>
        </w:rPr>
        <w:t>（1）电子投标文件的上传、递交：见《前附表》。</w:t>
      </w:r>
    </w:p>
    <w:p>
      <w:pPr>
        <w:snapToGrid w:val="0"/>
        <w:spacing w:line="380" w:lineRule="exact"/>
        <w:ind w:firstLine="420" w:firstLineChars="200"/>
        <w:jc w:val="left"/>
        <w:rPr>
          <w:szCs w:val="21"/>
        </w:rPr>
      </w:pPr>
      <w:r>
        <w:rPr>
          <w:szCs w:val="21"/>
        </w:rPr>
        <w:t>（2）“电子加密投标文件”解密和异常情况处理：见《前附表》。</w:t>
      </w:r>
    </w:p>
    <w:p>
      <w:pPr>
        <w:snapToGrid w:val="0"/>
        <w:spacing w:line="380" w:lineRule="exact"/>
        <w:ind w:firstLine="420" w:firstLineChars="200"/>
        <w:jc w:val="left"/>
        <w:rPr>
          <w:szCs w:val="21"/>
        </w:rPr>
      </w:pPr>
      <w:r>
        <w:rPr>
          <w:szCs w:val="21"/>
        </w:rPr>
        <w:t>（3）电子投标文件的补充、修改或撤回</w:t>
      </w:r>
    </w:p>
    <w:p>
      <w:pPr>
        <w:snapToGrid w:val="0"/>
        <w:spacing w:line="380" w:lineRule="exact"/>
        <w:ind w:firstLine="420" w:firstLineChars="200"/>
        <w:jc w:val="left"/>
        <w:rPr>
          <w:szCs w:val="21"/>
        </w:rPr>
      </w:pPr>
      <w:r>
        <w:rPr>
          <w:szCs w:val="21"/>
        </w:rPr>
        <w:t>投标人应当在投标截止时间前完成“电子加密投标文件”的上传、递交，并可以补充、修改或者撤回“电子加密投标文件”。补充或者修改“电子加密投标文件”的，应当先行撤回原文件，补充、修改后重新上传、递交。投标截止时间前未完成上传、递交的，视为撤回“电子加密投标文件”。投标截止时间后递交的“电子加密投标文件”，“政府采购云平台”将予以拒收;投标截止时间后，投标人不得撤回、修改“电子加密投标文件”。</w:t>
      </w:r>
    </w:p>
    <w:p>
      <w:pPr>
        <w:snapToGrid w:val="0"/>
        <w:spacing w:line="380" w:lineRule="exact"/>
        <w:ind w:firstLine="420" w:firstLineChars="200"/>
        <w:jc w:val="left"/>
        <w:rPr>
          <w:szCs w:val="21"/>
        </w:rPr>
      </w:pPr>
      <w:r>
        <w:rPr>
          <w:szCs w:val="21"/>
        </w:rPr>
        <w:t>（4）投标文件的备选方案</w:t>
      </w:r>
    </w:p>
    <w:p>
      <w:pPr>
        <w:snapToGrid w:val="0"/>
        <w:spacing w:line="380" w:lineRule="exact"/>
        <w:ind w:firstLine="420" w:firstLineChars="200"/>
        <w:jc w:val="left"/>
        <w:rPr>
          <w:szCs w:val="21"/>
        </w:rPr>
      </w:pPr>
      <w:r>
        <w:rPr>
          <w:szCs w:val="21"/>
        </w:rPr>
        <w:t>投标人不得递交任何的投标备选（替代）方案，否则其投标文件将作无效标处理。与“电子加密投标文件”同时生成的“备份电子加密投标文件”不是投标备选（替代）方案。</w:t>
      </w:r>
    </w:p>
    <w:p>
      <w:pPr>
        <w:snapToGrid w:val="0"/>
        <w:spacing w:line="380" w:lineRule="exact"/>
        <w:ind w:firstLine="420" w:firstLineChars="200"/>
        <w:jc w:val="left"/>
        <w:rPr>
          <w:szCs w:val="21"/>
        </w:rPr>
      </w:pPr>
      <w:r>
        <w:rPr>
          <w:szCs w:val="21"/>
        </w:rPr>
        <w:t>（5）投标截止期</w:t>
      </w:r>
    </w:p>
    <w:p>
      <w:pPr>
        <w:snapToGrid w:val="0"/>
        <w:spacing w:line="380" w:lineRule="exact"/>
        <w:ind w:firstLine="420" w:firstLineChars="200"/>
        <w:jc w:val="left"/>
        <w:rPr>
          <w:szCs w:val="21"/>
        </w:rPr>
      </w:pPr>
      <w:r>
        <w:rPr>
          <w:szCs w:val="21"/>
        </w:rPr>
        <w:t>投标人应按前附表中规定的时间、地点将电子投标文件递交给采购人，采购人或采购代理机构将拒绝接受逾期送达的电子投标文件；</w:t>
      </w:r>
    </w:p>
    <w:p>
      <w:pPr>
        <w:snapToGrid w:val="0"/>
        <w:spacing w:line="380" w:lineRule="exact"/>
        <w:ind w:firstLine="420" w:firstLineChars="200"/>
        <w:jc w:val="left"/>
        <w:rPr>
          <w:szCs w:val="21"/>
        </w:rPr>
      </w:pPr>
      <w:r>
        <w:rPr>
          <w:szCs w:val="21"/>
        </w:rPr>
        <w:t>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80" w:lineRule="exact"/>
        <w:ind w:firstLine="422" w:firstLineChars="200"/>
        <w:rPr>
          <w:b/>
          <w:kern w:val="0"/>
          <w:szCs w:val="21"/>
        </w:rPr>
      </w:pPr>
      <w:r>
        <w:rPr>
          <w:b/>
          <w:kern w:val="0"/>
          <w:szCs w:val="21"/>
        </w:rPr>
        <w:t>（三）投标文件的有效期</w:t>
      </w:r>
    </w:p>
    <w:p>
      <w:pPr>
        <w:snapToGrid w:val="0"/>
        <w:spacing w:line="380" w:lineRule="exact"/>
        <w:ind w:firstLine="420" w:firstLineChars="200"/>
        <w:jc w:val="left"/>
        <w:rPr>
          <w:szCs w:val="21"/>
          <w:lang w:val="en-GB"/>
        </w:rPr>
      </w:pPr>
      <w:r>
        <w:rPr>
          <w:szCs w:val="21"/>
        </w:rPr>
        <w:t>1、</w:t>
      </w:r>
      <w:r>
        <w:rPr>
          <w:szCs w:val="21"/>
          <w:lang w:val="en-GB"/>
        </w:rPr>
        <w:t>自投标截止日起90天</w:t>
      </w:r>
      <w:r>
        <w:rPr>
          <w:szCs w:val="21"/>
        </w:rPr>
        <w:t>电子</w:t>
      </w:r>
      <w:r>
        <w:rPr>
          <w:szCs w:val="21"/>
          <w:lang w:val="en-GB"/>
        </w:rPr>
        <w:t>投标文件应保持有效。有效期不足的</w:t>
      </w:r>
      <w:r>
        <w:rPr>
          <w:szCs w:val="21"/>
        </w:rPr>
        <w:t>电子</w:t>
      </w:r>
      <w:r>
        <w:rPr>
          <w:szCs w:val="21"/>
          <w:lang w:val="en-GB"/>
        </w:rPr>
        <w:t>投标文件将被拒绝。</w:t>
      </w:r>
    </w:p>
    <w:p>
      <w:pPr>
        <w:snapToGrid w:val="0"/>
        <w:spacing w:line="380" w:lineRule="exact"/>
        <w:ind w:firstLine="420" w:firstLineChars="200"/>
        <w:jc w:val="left"/>
        <w:rPr>
          <w:szCs w:val="21"/>
          <w:lang w:val="en-GB"/>
        </w:rPr>
      </w:pPr>
      <w:r>
        <w:rPr>
          <w:szCs w:val="21"/>
        </w:rPr>
        <w:t>2、</w:t>
      </w:r>
      <w:r>
        <w:rPr>
          <w:szCs w:val="21"/>
          <w:lang w:val="en-GB"/>
        </w:rPr>
        <w:t>在特殊情况下，采购人可与投标人协商延长</w:t>
      </w:r>
      <w:r>
        <w:rPr>
          <w:szCs w:val="21"/>
        </w:rPr>
        <w:t>电子</w:t>
      </w:r>
      <w:r>
        <w:rPr>
          <w:szCs w:val="21"/>
          <w:lang w:val="en-GB"/>
        </w:rPr>
        <w:t>投标文件的有效期，这种要求和答复均以书面形式进行。</w:t>
      </w:r>
    </w:p>
    <w:p>
      <w:pPr>
        <w:snapToGrid w:val="0"/>
        <w:spacing w:line="380" w:lineRule="exact"/>
        <w:ind w:firstLine="420" w:firstLineChars="200"/>
        <w:jc w:val="left"/>
        <w:rPr>
          <w:szCs w:val="21"/>
        </w:rPr>
      </w:pPr>
      <w:r>
        <w:rPr>
          <w:szCs w:val="21"/>
        </w:rPr>
        <w:t>3、中标人的电子投标文件自开标之日起至合同履行完毕均应保持有效。</w:t>
      </w:r>
    </w:p>
    <w:p>
      <w:pPr>
        <w:autoSpaceDE w:val="0"/>
        <w:autoSpaceDN w:val="0"/>
        <w:adjustRightInd w:val="0"/>
        <w:spacing w:line="380" w:lineRule="exact"/>
        <w:rPr>
          <w:rFonts w:eastAsiaTheme="minorEastAsia"/>
          <w:b/>
          <w:kern w:val="0"/>
          <w:szCs w:val="21"/>
          <w:lang w:val="en-GB"/>
        </w:rPr>
      </w:pPr>
      <w:r>
        <w:rPr>
          <w:rFonts w:eastAsiaTheme="minorEastAsia"/>
          <w:b/>
          <w:kern w:val="0"/>
          <w:szCs w:val="21"/>
          <w:lang w:val="en-GB"/>
        </w:rPr>
        <w:t>四、开标</w:t>
      </w:r>
    </w:p>
    <w:p>
      <w:pPr>
        <w:tabs>
          <w:tab w:val="left" w:pos="1898"/>
        </w:tabs>
        <w:autoSpaceDE w:val="0"/>
        <w:autoSpaceDN w:val="0"/>
        <w:adjustRightInd w:val="0"/>
        <w:spacing w:line="380" w:lineRule="exact"/>
        <w:ind w:firstLine="211" w:firstLineChars="100"/>
        <w:rPr>
          <w:b/>
          <w:kern w:val="0"/>
          <w:szCs w:val="21"/>
        </w:rPr>
      </w:pPr>
      <w:r>
        <w:rPr>
          <w:b/>
          <w:kern w:val="0"/>
          <w:szCs w:val="21"/>
        </w:rPr>
        <w:t>（一）开标形式</w:t>
      </w:r>
    </w:p>
    <w:p>
      <w:pPr>
        <w:snapToGrid w:val="0"/>
        <w:spacing w:line="380" w:lineRule="exact"/>
        <w:ind w:firstLine="420" w:firstLineChars="200"/>
        <w:jc w:val="left"/>
        <w:rPr>
          <w:szCs w:val="21"/>
        </w:rPr>
      </w:pPr>
      <w:r>
        <w:rPr>
          <w:szCs w:val="21"/>
        </w:rPr>
        <w:t>采购组织机构将按照采购文件规定的时间通过“政府采购云平台”组织开标、开启投标文件，所有投标人均应当准时在线参加。</w:t>
      </w:r>
    </w:p>
    <w:p>
      <w:pPr>
        <w:pStyle w:val="14"/>
        <w:snapToGrid w:val="0"/>
        <w:spacing w:line="380" w:lineRule="exact"/>
        <w:ind w:right="199" w:rightChars="95" w:firstLine="211" w:firstLineChars="100"/>
        <w:outlineLvl w:val="1"/>
        <w:rPr>
          <w:rFonts w:ascii="Times New Roman" w:hAnsi="Times New Roman" w:cs="Times New Roman"/>
          <w:b/>
          <w:kern w:val="0"/>
          <w:szCs w:val="21"/>
        </w:rPr>
      </w:pPr>
      <w:r>
        <w:rPr>
          <w:rFonts w:ascii="Times New Roman" w:hAnsi="Times New Roman" w:cs="Times New Roman"/>
          <w:b/>
          <w:kern w:val="0"/>
          <w:szCs w:val="21"/>
        </w:rPr>
        <w:t>（二） 开标准备</w:t>
      </w:r>
    </w:p>
    <w:p>
      <w:pPr>
        <w:snapToGrid w:val="0"/>
        <w:spacing w:line="380" w:lineRule="exact"/>
        <w:ind w:firstLine="420" w:firstLineChars="200"/>
        <w:jc w:val="left"/>
        <w:rPr>
          <w:szCs w:val="21"/>
        </w:rPr>
      </w:pPr>
      <w:r>
        <w:rPr>
          <w:szCs w:val="21"/>
        </w:rPr>
        <w:t>1、开标的准备工作由采购组织机构负责落实；</w:t>
      </w:r>
    </w:p>
    <w:p>
      <w:pPr>
        <w:snapToGrid w:val="0"/>
        <w:spacing w:line="380" w:lineRule="exact"/>
        <w:ind w:firstLine="420" w:firstLineChars="200"/>
        <w:jc w:val="left"/>
        <w:rPr>
          <w:szCs w:val="21"/>
        </w:rPr>
      </w:pPr>
      <w:r>
        <w:rPr>
          <w:szCs w:val="21"/>
        </w:rPr>
        <w:t>2、采购组织机构将按照采购文件规定的时间通过“政府采购云平台”组织开标、开启投标文件，所有投标人均应当准时在线参加。投标人如不参加开标的，视同认可开标结果，事后不得对采购相关人员、开标过程和开标结果提出异议，同时投标人因未在线参加开标而导致电子投标文件无法按时解密等一切后果由投标人自己承担。</w:t>
      </w:r>
    </w:p>
    <w:p>
      <w:pPr>
        <w:pStyle w:val="14"/>
        <w:snapToGrid w:val="0"/>
        <w:spacing w:line="380" w:lineRule="exact"/>
        <w:ind w:right="199" w:rightChars="95" w:firstLine="211" w:firstLineChars="100"/>
        <w:outlineLvl w:val="1"/>
        <w:rPr>
          <w:rFonts w:ascii="Times New Roman" w:hAnsi="Times New Roman" w:cs="Times New Roman"/>
          <w:b/>
          <w:bCs/>
          <w:kern w:val="0"/>
          <w:szCs w:val="21"/>
        </w:rPr>
      </w:pPr>
      <w:r>
        <w:rPr>
          <w:rFonts w:ascii="Times New Roman" w:hAnsi="Times New Roman" w:cs="Times New Roman"/>
          <w:b/>
          <w:bCs/>
          <w:kern w:val="0"/>
          <w:szCs w:val="21"/>
        </w:rPr>
        <w:t>（三）开标流程（两阶段）</w:t>
      </w:r>
    </w:p>
    <w:p>
      <w:pPr>
        <w:snapToGrid w:val="0"/>
        <w:spacing w:line="380" w:lineRule="exact"/>
        <w:ind w:firstLine="422" w:firstLineChars="200"/>
        <w:jc w:val="left"/>
        <w:rPr>
          <w:b/>
          <w:bCs/>
          <w:szCs w:val="21"/>
        </w:rPr>
      </w:pPr>
      <w:r>
        <w:rPr>
          <w:b/>
          <w:bCs/>
          <w:szCs w:val="21"/>
        </w:rPr>
        <w:t>1、开标第一阶段</w:t>
      </w:r>
    </w:p>
    <w:p>
      <w:pPr>
        <w:snapToGrid w:val="0"/>
        <w:spacing w:line="380" w:lineRule="exact"/>
        <w:ind w:firstLine="420" w:firstLineChars="200"/>
        <w:jc w:val="left"/>
        <w:rPr>
          <w:szCs w:val="21"/>
        </w:rPr>
      </w:pPr>
      <w:r>
        <w:rPr>
          <w:szCs w:val="21"/>
        </w:rPr>
        <w:t>（1）向各投标人发出电子加密投标文件【开始解密】通知，由投标人按采购文件规定的时间内自行进行投标文件解密。投标人在规定的时间内无法完成已递交的“电子加密投标文件”解密的或解密失败，如已按规定递交了“备份电子加密投标文件”的，将由采购组织机构按“政府采购云平台”操作规范将“备份电子加密投标文件”上传至“政府采购云平台”，以完成开标，“电子加密投标文件”自动失效；</w:t>
      </w:r>
    </w:p>
    <w:p>
      <w:pPr>
        <w:snapToGrid w:val="0"/>
        <w:spacing w:line="380" w:lineRule="exact"/>
        <w:ind w:firstLine="420" w:firstLineChars="200"/>
        <w:jc w:val="left"/>
        <w:rPr>
          <w:szCs w:val="21"/>
        </w:rPr>
      </w:pPr>
      <w:r>
        <w:rPr>
          <w:szCs w:val="21"/>
        </w:rPr>
        <w:t>（2）进入资格审查；</w:t>
      </w:r>
    </w:p>
    <w:p>
      <w:pPr>
        <w:snapToGrid w:val="0"/>
        <w:spacing w:line="380" w:lineRule="exact"/>
        <w:ind w:firstLine="420" w:firstLineChars="200"/>
        <w:jc w:val="left"/>
        <w:rPr>
          <w:szCs w:val="21"/>
        </w:rPr>
      </w:pPr>
      <w:r>
        <w:rPr>
          <w:szCs w:val="21"/>
        </w:rPr>
        <w:t>（3）资格审查结束后投标人的商务与技术文件进入符合性审查、商务技术评审；</w:t>
      </w:r>
    </w:p>
    <w:p>
      <w:pPr>
        <w:snapToGrid w:val="0"/>
        <w:spacing w:line="380" w:lineRule="exact"/>
        <w:ind w:firstLine="420" w:firstLineChars="200"/>
        <w:jc w:val="left"/>
        <w:rPr>
          <w:szCs w:val="21"/>
        </w:rPr>
      </w:pPr>
      <w:r>
        <w:rPr>
          <w:szCs w:val="21"/>
        </w:rPr>
        <w:t>（4）第一阶段开标结束。</w:t>
      </w:r>
    </w:p>
    <w:p>
      <w:pPr>
        <w:snapToGrid w:val="0"/>
        <w:spacing w:line="380" w:lineRule="exact"/>
        <w:ind w:firstLine="422" w:firstLineChars="200"/>
        <w:jc w:val="left"/>
        <w:rPr>
          <w:b/>
          <w:bCs/>
          <w:szCs w:val="21"/>
        </w:rPr>
      </w:pPr>
      <w:r>
        <w:rPr>
          <w:b/>
          <w:bCs/>
          <w:szCs w:val="21"/>
        </w:rPr>
        <w:t>2、开标第二阶段</w:t>
      </w:r>
    </w:p>
    <w:p>
      <w:pPr>
        <w:snapToGrid w:val="0"/>
        <w:spacing w:line="380" w:lineRule="exact"/>
        <w:ind w:firstLine="420" w:firstLineChars="200"/>
        <w:jc w:val="left"/>
        <w:rPr>
          <w:szCs w:val="21"/>
        </w:rPr>
      </w:pPr>
      <w:r>
        <w:rPr>
          <w:szCs w:val="21"/>
        </w:rPr>
        <w:t>（1）符合性审查、资信技术评审结束后，公布符合性审查、资信技术评审无效投标人名称及理由；公布经资信技术评审后有效投标人的名单，同时公布其资信技术得分情况</w:t>
      </w:r>
      <w:r>
        <w:rPr>
          <w:rFonts w:hint="eastAsia"/>
          <w:szCs w:val="21"/>
        </w:rPr>
        <w:t>；</w:t>
      </w:r>
    </w:p>
    <w:p>
      <w:pPr>
        <w:snapToGrid w:val="0"/>
        <w:spacing w:line="380" w:lineRule="exact"/>
        <w:ind w:firstLine="420" w:firstLineChars="200"/>
        <w:jc w:val="left"/>
        <w:rPr>
          <w:szCs w:val="21"/>
        </w:rPr>
      </w:pPr>
      <w:r>
        <w:rPr>
          <w:szCs w:val="21"/>
        </w:rPr>
        <w:t>（2）开启符合性审查、资信技术评审有效投标人的《报价文件》，公布开标一览表有关内容，同时当场制作开标记录表。唱标结束后，由评标委员会对报价的合理性、准确性等进行审查核实</w:t>
      </w:r>
      <w:r>
        <w:rPr>
          <w:rFonts w:hint="eastAsia"/>
          <w:szCs w:val="21"/>
        </w:rPr>
        <w:t>；</w:t>
      </w:r>
    </w:p>
    <w:p>
      <w:pPr>
        <w:snapToGrid w:val="0"/>
        <w:spacing w:line="380" w:lineRule="exact"/>
        <w:ind w:firstLine="420" w:firstLineChars="200"/>
        <w:jc w:val="left"/>
        <w:rPr>
          <w:szCs w:val="21"/>
        </w:rPr>
      </w:pPr>
      <w:r>
        <w:rPr>
          <w:szCs w:val="21"/>
        </w:rPr>
        <w:t>（3）评审结束后，公布中标（成交）候选供应商名单，及采购人最终确定中标或成交供应商名单的时间和公告方式等。</w:t>
      </w:r>
    </w:p>
    <w:p>
      <w:pPr>
        <w:snapToGrid w:val="0"/>
        <w:spacing w:line="380" w:lineRule="exact"/>
        <w:ind w:firstLine="420" w:firstLineChars="200"/>
        <w:jc w:val="left"/>
        <w:rPr>
          <w:szCs w:val="21"/>
        </w:rPr>
      </w:pPr>
      <w:r>
        <w:rPr>
          <w:szCs w:val="21"/>
        </w:rPr>
        <w:t>特别说明：开标细则按政采云电子评标流程进行。如遇“政府采购云平台”电子化开标或评审程序调整的，按调整后程序执行。</w:t>
      </w:r>
    </w:p>
    <w:p>
      <w:pPr>
        <w:pStyle w:val="14"/>
        <w:snapToGrid w:val="0"/>
        <w:spacing w:line="380" w:lineRule="exact"/>
        <w:rPr>
          <w:rFonts w:ascii="Times New Roman" w:hAnsi="Times New Roman" w:cs="Times New Roman"/>
          <w:b/>
          <w:szCs w:val="21"/>
        </w:rPr>
      </w:pPr>
      <w:r>
        <w:rPr>
          <w:rFonts w:ascii="Times New Roman" w:hAnsi="Times New Roman" w:cs="Times New Roman"/>
          <w:b/>
          <w:szCs w:val="21"/>
        </w:rPr>
        <w:t>五、评标</w:t>
      </w:r>
    </w:p>
    <w:p>
      <w:pPr>
        <w:pStyle w:val="14"/>
        <w:snapToGrid w:val="0"/>
        <w:spacing w:line="380" w:lineRule="exact"/>
        <w:ind w:firstLine="422" w:firstLineChars="200"/>
        <w:rPr>
          <w:rFonts w:ascii="Times New Roman" w:hAnsi="Times New Roman" w:cs="Times New Roman"/>
          <w:b/>
          <w:szCs w:val="21"/>
        </w:rPr>
      </w:pPr>
      <w:r>
        <w:rPr>
          <w:rFonts w:ascii="Times New Roman" w:hAnsi="Times New Roman" w:cs="Times New Roman"/>
          <w:b/>
          <w:szCs w:val="21"/>
        </w:rPr>
        <w:t>（一）组建评标委员会</w:t>
      </w:r>
    </w:p>
    <w:p>
      <w:pPr>
        <w:snapToGrid w:val="0"/>
        <w:spacing w:line="380" w:lineRule="exact"/>
        <w:ind w:firstLine="420" w:firstLineChars="200"/>
        <w:jc w:val="left"/>
        <w:rPr>
          <w:szCs w:val="21"/>
        </w:rPr>
      </w:pPr>
      <w:r>
        <w:rPr>
          <w:szCs w:val="21"/>
        </w:rPr>
        <w:t>本项目评标委员会由</w:t>
      </w:r>
      <w:r>
        <w:rPr>
          <w:rFonts w:hint="eastAsia"/>
          <w:color w:val="auto"/>
          <w:szCs w:val="21"/>
        </w:rPr>
        <w:t>政府采购评审专家和采购单位评审代表</w:t>
      </w:r>
      <w:r>
        <w:rPr>
          <w:szCs w:val="21"/>
        </w:rPr>
        <w:t>组成。</w:t>
      </w:r>
    </w:p>
    <w:p>
      <w:pPr>
        <w:pStyle w:val="14"/>
        <w:snapToGrid w:val="0"/>
        <w:spacing w:line="380" w:lineRule="exact"/>
        <w:ind w:firstLine="422" w:firstLineChars="200"/>
        <w:rPr>
          <w:rFonts w:ascii="Times New Roman" w:hAnsi="Times New Roman" w:cs="Times New Roman"/>
          <w:b/>
          <w:szCs w:val="21"/>
        </w:rPr>
      </w:pPr>
      <w:r>
        <w:rPr>
          <w:rFonts w:ascii="Times New Roman" w:hAnsi="Times New Roman" w:cs="Times New Roman"/>
          <w:b/>
          <w:szCs w:val="21"/>
        </w:rPr>
        <w:t>（二）</w:t>
      </w:r>
      <w:r>
        <w:rPr>
          <w:rFonts w:ascii="Times New Roman" w:hAnsi="Times New Roman" w:cs="Times New Roman"/>
          <w:b/>
          <w:bCs/>
          <w:szCs w:val="21"/>
        </w:rPr>
        <w:t>评标程序</w:t>
      </w:r>
    </w:p>
    <w:p>
      <w:pPr>
        <w:snapToGrid w:val="0"/>
        <w:spacing w:line="380" w:lineRule="exact"/>
        <w:ind w:firstLine="413" w:firstLineChars="196"/>
        <w:rPr>
          <w:b/>
          <w:bCs/>
          <w:szCs w:val="21"/>
        </w:rPr>
      </w:pPr>
      <w:r>
        <w:rPr>
          <w:b/>
          <w:bCs/>
          <w:szCs w:val="21"/>
        </w:rPr>
        <w:t>1、资格审查</w:t>
      </w:r>
    </w:p>
    <w:p>
      <w:pPr>
        <w:snapToGrid w:val="0"/>
        <w:spacing w:line="380" w:lineRule="exact"/>
        <w:ind w:firstLine="420" w:firstLineChars="200"/>
        <w:jc w:val="left"/>
        <w:rPr>
          <w:szCs w:val="21"/>
        </w:rPr>
      </w:pPr>
      <w:r>
        <w:rPr>
          <w:szCs w:val="21"/>
        </w:rPr>
        <w:t>公开招标采购项目开标结束后，采购人或者采购组织机构应当依法对投标人的资格进行审查，对审查发现无效的进行必要的询标，结束后在线公布无效投标的投标人名单、投标无效的原因。</w:t>
      </w:r>
    </w:p>
    <w:p>
      <w:pPr>
        <w:pStyle w:val="20"/>
        <w:spacing w:before="0" w:beforeAutospacing="0" w:after="0" w:afterAutospacing="0" w:line="380" w:lineRule="exact"/>
        <w:ind w:firstLine="413" w:firstLineChars="196"/>
        <w:jc w:val="both"/>
        <w:rPr>
          <w:rFonts w:hint="default" w:ascii="Times New Roman" w:hAnsi="Times New Roman"/>
          <w:b/>
          <w:bCs/>
          <w:sz w:val="21"/>
          <w:szCs w:val="21"/>
        </w:rPr>
      </w:pPr>
      <w:r>
        <w:rPr>
          <w:rFonts w:hint="default" w:ascii="Times New Roman" w:hAnsi="Times New Roman"/>
          <w:b/>
          <w:bCs/>
          <w:sz w:val="21"/>
          <w:szCs w:val="21"/>
        </w:rPr>
        <w:t>2、符合性审查</w:t>
      </w:r>
    </w:p>
    <w:p>
      <w:pPr>
        <w:snapToGrid w:val="0"/>
        <w:spacing w:line="380" w:lineRule="exact"/>
        <w:ind w:firstLine="420" w:firstLineChars="200"/>
        <w:jc w:val="left"/>
        <w:rPr>
          <w:szCs w:val="21"/>
        </w:rPr>
      </w:pPr>
      <w:r>
        <w:rPr>
          <w:szCs w:val="21"/>
        </w:rPr>
        <w:t>评标委员会应当对符合资格的投标人的电子投标文件进行符合性审查，以确定其是否满足招标文件的实质性要求，对审查发现无效的进行必要的询标，结束后在线公布无效投标的投标人名单、投标无效的原因。</w:t>
      </w:r>
    </w:p>
    <w:p>
      <w:pPr>
        <w:pStyle w:val="20"/>
        <w:spacing w:before="0" w:beforeAutospacing="0" w:after="0" w:afterAutospacing="0" w:line="380" w:lineRule="exact"/>
        <w:ind w:firstLine="422" w:firstLineChars="200"/>
        <w:jc w:val="both"/>
        <w:rPr>
          <w:rFonts w:hint="default" w:ascii="Times New Roman" w:hAnsi="Times New Roman"/>
          <w:sz w:val="21"/>
          <w:szCs w:val="21"/>
        </w:rPr>
      </w:pPr>
      <w:r>
        <w:rPr>
          <w:rFonts w:hint="default" w:ascii="Times New Roman" w:hAnsi="Times New Roman"/>
          <w:b/>
          <w:bCs/>
          <w:sz w:val="21"/>
          <w:szCs w:val="21"/>
        </w:rPr>
        <w:t>3、综合比较与评价</w:t>
      </w:r>
    </w:p>
    <w:p>
      <w:pPr>
        <w:snapToGrid w:val="0"/>
        <w:spacing w:line="380" w:lineRule="exact"/>
        <w:ind w:firstLine="420" w:firstLineChars="200"/>
        <w:jc w:val="left"/>
        <w:rPr>
          <w:szCs w:val="21"/>
        </w:rPr>
      </w:pPr>
      <w:r>
        <w:rPr>
          <w:szCs w:val="21"/>
        </w:rPr>
        <w:t>（1）对于电子投标文件中含义不明确、同类问题表述不一致或者有明显文字和计算错误的内容，评标委员会应当以在线形式要求投标人作出必要的澄清、说明或者补正。</w:t>
      </w:r>
    </w:p>
    <w:p>
      <w:pPr>
        <w:snapToGrid w:val="0"/>
        <w:spacing w:line="380" w:lineRule="exact"/>
        <w:ind w:firstLine="420" w:firstLineChars="200"/>
        <w:jc w:val="left"/>
        <w:rPr>
          <w:szCs w:val="21"/>
        </w:rPr>
      </w:pPr>
      <w:r>
        <w:rPr>
          <w:szCs w:val="21"/>
        </w:rPr>
        <w:t>（2）评标委员会应当按照招标文件中规定的评标方法和标准，对符合性审查合格的电子投标文件进行商务和技术评估，综合比较与评价。</w:t>
      </w:r>
    </w:p>
    <w:p>
      <w:pPr>
        <w:snapToGrid w:val="0"/>
        <w:spacing w:line="380" w:lineRule="exact"/>
        <w:ind w:firstLine="420" w:firstLineChars="200"/>
        <w:jc w:val="left"/>
        <w:rPr>
          <w:szCs w:val="21"/>
        </w:rPr>
      </w:pPr>
      <w:r>
        <w:rPr>
          <w:szCs w:val="21"/>
        </w:rPr>
        <w:t>（3）评标时，评标委员会各成员应当独立对每个投标人的电子投标文件进行评价，并汇总每个投标人的得分。</w:t>
      </w:r>
    </w:p>
    <w:p>
      <w:pPr>
        <w:numPr>
          <w:ilvl w:val="255"/>
          <w:numId w:val="0"/>
        </w:numPr>
        <w:snapToGrid w:val="0"/>
        <w:spacing w:line="380" w:lineRule="exact"/>
        <w:ind w:firstLine="422" w:firstLineChars="200"/>
        <w:rPr>
          <w:b/>
          <w:bCs/>
          <w:szCs w:val="21"/>
        </w:rPr>
      </w:pPr>
      <w:r>
        <w:rPr>
          <w:b/>
          <w:bCs/>
          <w:szCs w:val="21"/>
        </w:rPr>
        <w:t>4、得分确认及评审报告编写</w:t>
      </w:r>
    </w:p>
    <w:p>
      <w:pPr>
        <w:snapToGrid w:val="0"/>
        <w:spacing w:line="380" w:lineRule="exact"/>
        <w:ind w:firstLine="420" w:firstLineChars="200"/>
        <w:jc w:val="left"/>
        <w:rPr>
          <w:szCs w:val="21"/>
        </w:rPr>
      </w:pPr>
      <w:r>
        <w:rPr>
          <w:szCs w:val="21"/>
        </w:rPr>
        <w:t>（1）评标委员会对报价文件进行复核，对于系统计算出的价格分及总得分进行确认。</w:t>
      </w:r>
    </w:p>
    <w:p>
      <w:pPr>
        <w:snapToGrid w:val="0"/>
        <w:spacing w:line="380" w:lineRule="exact"/>
        <w:ind w:firstLine="420" w:firstLineChars="200"/>
        <w:jc w:val="left"/>
        <w:rPr>
          <w:szCs w:val="21"/>
        </w:rPr>
      </w:pPr>
      <w:r>
        <w:rPr>
          <w:szCs w:val="21"/>
        </w:rPr>
        <w:t>（2）评标委员会应当按照招标文件中规定的评标方法和标准，对符合性审查合格的电子投标文件进行商务和技术评估，综合比较与评价。</w:t>
      </w:r>
    </w:p>
    <w:p>
      <w:pPr>
        <w:snapToGrid w:val="0"/>
        <w:spacing w:line="380" w:lineRule="exact"/>
        <w:ind w:firstLine="420" w:firstLineChars="200"/>
        <w:jc w:val="left"/>
        <w:rPr>
          <w:szCs w:val="21"/>
        </w:rPr>
      </w:pPr>
      <w:r>
        <w:rPr>
          <w:szCs w:val="21"/>
        </w:rPr>
        <w:t>（3）评标委员会按评标原则及得分情况编写评审报告。</w:t>
      </w:r>
    </w:p>
    <w:p>
      <w:pPr>
        <w:numPr>
          <w:ilvl w:val="255"/>
          <w:numId w:val="0"/>
        </w:numPr>
        <w:snapToGrid w:val="0"/>
        <w:spacing w:line="380" w:lineRule="exact"/>
        <w:ind w:firstLine="422" w:firstLineChars="200"/>
        <w:rPr>
          <w:b/>
          <w:bCs/>
          <w:szCs w:val="21"/>
        </w:rPr>
      </w:pPr>
      <w:r>
        <w:rPr>
          <w:b/>
          <w:bCs/>
          <w:szCs w:val="21"/>
        </w:rPr>
        <w:t>5、评价</w:t>
      </w:r>
    </w:p>
    <w:p>
      <w:pPr>
        <w:snapToGrid w:val="0"/>
        <w:spacing w:line="380" w:lineRule="exact"/>
        <w:ind w:firstLine="420" w:firstLineChars="200"/>
        <w:jc w:val="left"/>
        <w:rPr>
          <w:szCs w:val="21"/>
        </w:rPr>
      </w:pPr>
      <w:r>
        <w:rPr>
          <w:szCs w:val="21"/>
        </w:rPr>
        <w:t>采购组织机构对评标委员会评审专家进行评价。</w:t>
      </w:r>
    </w:p>
    <w:p>
      <w:pPr>
        <w:snapToGrid w:val="0"/>
        <w:spacing w:line="380" w:lineRule="exact"/>
        <w:ind w:firstLine="422" w:firstLineChars="200"/>
        <w:rPr>
          <w:b/>
          <w:szCs w:val="21"/>
        </w:rPr>
      </w:pPr>
      <w:r>
        <w:rPr>
          <w:b/>
          <w:szCs w:val="21"/>
        </w:rPr>
        <w:t>（三）澄清问题的形式</w:t>
      </w:r>
    </w:p>
    <w:p>
      <w:pPr>
        <w:snapToGrid w:val="0"/>
        <w:spacing w:line="380" w:lineRule="exact"/>
        <w:ind w:firstLine="420" w:firstLineChars="200"/>
        <w:jc w:val="left"/>
        <w:rPr>
          <w:szCs w:val="21"/>
        </w:rPr>
      </w:pPr>
      <w:r>
        <w:rPr>
          <w:szCs w:val="21"/>
        </w:rPr>
        <w:t>1、对于电子投标文件中含义不明确、同类问题表述不一致或者有明显文字和计算错误的内容，评标委员会将通过“政府采购云平台”在线询标的形式要求投标人在规定的时间内作出必要的澄清、说明或者补正，投标人澄清、说明或补正时间为30分钟。</w:t>
      </w:r>
    </w:p>
    <w:p>
      <w:pPr>
        <w:snapToGrid w:val="0"/>
        <w:spacing w:line="380" w:lineRule="exact"/>
        <w:ind w:firstLine="420" w:firstLineChars="200"/>
        <w:jc w:val="left"/>
        <w:rPr>
          <w:szCs w:val="21"/>
        </w:rPr>
      </w:pPr>
      <w:r>
        <w:rPr>
          <w:szCs w:val="21"/>
        </w:rPr>
        <w:t>2、投标人的澄清、说明或者补正应当通过“政府采购云平台”在线答复的形式提交，并加盖公章（电子签章）。投标人的澄清、说明或者补正不得超出电子投标文件的范围或者改变电子投标文件的实质性内容。</w:t>
      </w:r>
    </w:p>
    <w:p>
      <w:pPr>
        <w:pStyle w:val="14"/>
        <w:snapToGrid w:val="0"/>
        <w:spacing w:line="380" w:lineRule="exact"/>
        <w:ind w:left="690" w:leftChars="228" w:hanging="211" w:hangingChars="100"/>
        <w:rPr>
          <w:rFonts w:ascii="Times New Roman" w:hAnsi="Times New Roman" w:cs="Times New Roman"/>
          <w:b/>
          <w:szCs w:val="21"/>
        </w:rPr>
      </w:pPr>
      <w:r>
        <w:rPr>
          <w:rFonts w:ascii="Times New Roman" w:hAnsi="Times New Roman" w:cs="Times New Roman"/>
          <w:b/>
          <w:szCs w:val="21"/>
        </w:rPr>
        <w:t>（四）错误修正</w:t>
      </w:r>
    </w:p>
    <w:p>
      <w:pPr>
        <w:snapToGrid w:val="0"/>
        <w:spacing w:line="380" w:lineRule="exact"/>
        <w:ind w:firstLine="420" w:firstLineChars="200"/>
        <w:jc w:val="left"/>
        <w:rPr>
          <w:szCs w:val="21"/>
        </w:rPr>
      </w:pPr>
      <w:r>
        <w:rPr>
          <w:szCs w:val="21"/>
        </w:rPr>
        <w:t>电子投标文件报价出现前后不一致的，除招标文件另有规定外，按照下列规定修正：</w:t>
      </w:r>
    </w:p>
    <w:p>
      <w:pPr>
        <w:snapToGrid w:val="0"/>
        <w:spacing w:line="380" w:lineRule="exact"/>
        <w:ind w:firstLine="420" w:firstLineChars="200"/>
        <w:jc w:val="left"/>
        <w:rPr>
          <w:szCs w:val="21"/>
        </w:rPr>
      </w:pPr>
      <w:r>
        <w:rPr>
          <w:szCs w:val="21"/>
        </w:rPr>
        <w:t>1、电子投标文件中开标一览表（报价表）内容与电子投标文件中相应内容不一致的，以开标一览表（报价表）为准</w:t>
      </w:r>
      <w:r>
        <w:rPr>
          <w:rFonts w:hint="eastAsia"/>
          <w:szCs w:val="21"/>
        </w:rPr>
        <w:t>。</w:t>
      </w:r>
    </w:p>
    <w:p>
      <w:pPr>
        <w:snapToGrid w:val="0"/>
        <w:spacing w:line="380" w:lineRule="exact"/>
        <w:ind w:firstLine="420" w:firstLineChars="200"/>
        <w:jc w:val="left"/>
        <w:rPr>
          <w:szCs w:val="21"/>
        </w:rPr>
      </w:pPr>
      <w:r>
        <w:rPr>
          <w:szCs w:val="21"/>
        </w:rPr>
        <w:t>2、大写金额和小写金额不一致的，以大写金额为准</w:t>
      </w:r>
      <w:r>
        <w:rPr>
          <w:rFonts w:hint="eastAsia"/>
          <w:szCs w:val="21"/>
        </w:rPr>
        <w:t>。</w:t>
      </w:r>
    </w:p>
    <w:p>
      <w:pPr>
        <w:snapToGrid w:val="0"/>
        <w:spacing w:line="380" w:lineRule="exact"/>
        <w:ind w:firstLine="420" w:firstLineChars="200"/>
        <w:jc w:val="left"/>
        <w:rPr>
          <w:szCs w:val="21"/>
        </w:rPr>
      </w:pPr>
      <w:r>
        <w:rPr>
          <w:szCs w:val="21"/>
        </w:rPr>
        <w:t>3、单价金额小数点或者百分比有明显错位的，以开标一览表的总价为准，并修改单价</w:t>
      </w:r>
      <w:r>
        <w:rPr>
          <w:rFonts w:hint="eastAsia"/>
          <w:szCs w:val="21"/>
        </w:rPr>
        <w:t>。</w:t>
      </w:r>
    </w:p>
    <w:p>
      <w:pPr>
        <w:snapToGrid w:val="0"/>
        <w:spacing w:line="380" w:lineRule="exact"/>
        <w:ind w:firstLine="420" w:firstLineChars="200"/>
        <w:jc w:val="left"/>
        <w:rPr>
          <w:szCs w:val="21"/>
        </w:rPr>
      </w:pPr>
      <w:r>
        <w:rPr>
          <w:szCs w:val="21"/>
        </w:rPr>
        <w:t>4、总价金额与按单价汇总金额不一致的，以单价金额计算结果为准。</w:t>
      </w:r>
    </w:p>
    <w:p>
      <w:pPr>
        <w:snapToGrid w:val="0"/>
        <w:spacing w:line="380" w:lineRule="exact"/>
        <w:ind w:firstLine="420" w:firstLineChars="200"/>
        <w:jc w:val="left"/>
        <w:rPr>
          <w:szCs w:val="21"/>
        </w:rPr>
      </w:pPr>
      <w:r>
        <w:rPr>
          <w:szCs w:val="21"/>
        </w:rPr>
        <w:t>同时出现两种以上不一致的，按照前款规定的顺序修正。修正应当采用电子询标，并加盖公章（电子签章）。修正后的报价经投标人确认后产生约束力，投标人不确认的，其投标无效。</w:t>
      </w:r>
    </w:p>
    <w:p>
      <w:pPr>
        <w:pStyle w:val="20"/>
        <w:spacing w:before="0" w:beforeAutospacing="0" w:after="0" w:afterAutospacing="0" w:line="380" w:lineRule="exact"/>
        <w:ind w:firstLine="316" w:firstLineChars="150"/>
        <w:jc w:val="both"/>
        <w:rPr>
          <w:rFonts w:hint="default" w:ascii="Times New Roman" w:hAnsi="Times New Roman"/>
          <w:b/>
          <w:sz w:val="21"/>
          <w:szCs w:val="21"/>
        </w:rPr>
      </w:pPr>
      <w:r>
        <w:rPr>
          <w:rFonts w:hint="default" w:ascii="Times New Roman" w:hAnsi="Times New Roman"/>
          <w:b/>
          <w:bCs/>
          <w:sz w:val="21"/>
          <w:szCs w:val="21"/>
        </w:rPr>
        <w:t>（五）</w:t>
      </w:r>
      <w:r>
        <w:rPr>
          <w:rFonts w:hint="default" w:ascii="Times New Roman" w:hAnsi="Times New Roman"/>
          <w:b/>
          <w:sz w:val="21"/>
          <w:szCs w:val="21"/>
        </w:rPr>
        <w:t>投标人存在下列情况之一的，投标无效</w:t>
      </w:r>
    </w:p>
    <w:p>
      <w:pPr>
        <w:snapToGrid w:val="0"/>
        <w:spacing w:line="380" w:lineRule="exact"/>
        <w:ind w:firstLine="420" w:firstLineChars="200"/>
        <w:jc w:val="left"/>
        <w:rPr>
          <w:szCs w:val="21"/>
        </w:rPr>
      </w:pPr>
      <w:r>
        <w:rPr>
          <w:szCs w:val="21"/>
        </w:rPr>
        <w:t>1、在资格证明文件或商务与技术文件中出现投标报价的，或者报价文件中报价的货物跟商务与技术文件中的投标货物出现重大偏差的。</w:t>
      </w:r>
    </w:p>
    <w:p>
      <w:pPr>
        <w:snapToGrid w:val="0"/>
        <w:spacing w:line="380" w:lineRule="exact"/>
        <w:ind w:firstLine="420" w:firstLineChars="200"/>
        <w:jc w:val="left"/>
        <w:rPr>
          <w:szCs w:val="21"/>
        </w:rPr>
      </w:pPr>
      <w:r>
        <w:rPr>
          <w:szCs w:val="21"/>
        </w:rPr>
        <w:t>2、不具备招标文件中规定的资格要求的。</w:t>
      </w:r>
      <w:r>
        <w:rPr>
          <w:szCs w:val="21"/>
        </w:rPr>
        <w:tab/>
      </w:r>
    </w:p>
    <w:p>
      <w:pPr>
        <w:snapToGrid w:val="0"/>
        <w:spacing w:line="380" w:lineRule="exact"/>
        <w:ind w:firstLine="420" w:firstLineChars="200"/>
        <w:jc w:val="left"/>
        <w:rPr>
          <w:szCs w:val="21"/>
        </w:rPr>
      </w:pPr>
      <w:r>
        <w:rPr>
          <w:szCs w:val="21"/>
        </w:rPr>
        <w:t>3、电子投标文件含有采购人不能接受的附加条件的。</w:t>
      </w:r>
    </w:p>
    <w:p>
      <w:pPr>
        <w:snapToGrid w:val="0"/>
        <w:spacing w:line="380" w:lineRule="exact"/>
        <w:ind w:firstLine="420" w:firstLineChars="200"/>
        <w:jc w:val="left"/>
        <w:rPr>
          <w:szCs w:val="21"/>
        </w:rPr>
      </w:pPr>
      <w:r>
        <w:rPr>
          <w:szCs w:val="21"/>
        </w:rPr>
        <w:t>4、评标委员会认为投标人的报价明显低于其他通过符合性审查投标人的报价，有可能影响产品质量或者不能诚信履约的，应当要求其在评标现场合理的时间内提供电子答复，必要时提交相关证明材料；投标人不能证明其报价合理性的，评标委员会应当将其作为无效投标处理。</w:t>
      </w:r>
    </w:p>
    <w:p>
      <w:pPr>
        <w:snapToGrid w:val="0"/>
        <w:spacing w:line="380" w:lineRule="exact"/>
        <w:ind w:firstLine="420" w:firstLineChars="200"/>
        <w:jc w:val="left"/>
        <w:rPr>
          <w:szCs w:val="21"/>
        </w:rPr>
      </w:pPr>
      <w:r>
        <w:rPr>
          <w:szCs w:val="21"/>
        </w:rPr>
        <w:t xml:space="preserve">5、报价超过招标文件中规定的预算金额/最高限价。 </w:t>
      </w:r>
    </w:p>
    <w:p>
      <w:pPr>
        <w:snapToGrid w:val="0"/>
        <w:spacing w:line="380" w:lineRule="exact"/>
        <w:ind w:firstLine="420" w:firstLineChars="200"/>
        <w:jc w:val="left"/>
        <w:rPr>
          <w:szCs w:val="21"/>
        </w:rPr>
      </w:pPr>
      <w:r>
        <w:rPr>
          <w:szCs w:val="21"/>
        </w:rPr>
        <w:t>6、投标参数未如实填写，完全复制粘贴招标参数的。</w:t>
      </w:r>
    </w:p>
    <w:p>
      <w:pPr>
        <w:snapToGrid w:val="0"/>
        <w:spacing w:line="380" w:lineRule="exact"/>
        <w:ind w:firstLine="420" w:firstLineChars="200"/>
        <w:jc w:val="left"/>
        <w:rPr>
          <w:szCs w:val="21"/>
        </w:rPr>
      </w:pPr>
      <w:r>
        <w:rPr>
          <w:szCs w:val="21"/>
        </w:rPr>
        <w:t xml:space="preserve">7、电子投标文件提供虚假材料的。 </w:t>
      </w:r>
    </w:p>
    <w:p>
      <w:pPr>
        <w:snapToGrid w:val="0"/>
        <w:spacing w:line="380" w:lineRule="exact"/>
        <w:ind w:firstLine="420" w:firstLineChars="200"/>
        <w:jc w:val="left"/>
        <w:rPr>
          <w:szCs w:val="21"/>
        </w:rPr>
      </w:pPr>
      <w:r>
        <w:rPr>
          <w:szCs w:val="21"/>
        </w:rPr>
        <w:t>8、不符合中华人民共和国财政部令第87号《政府采购货物和服务招标投标管理办法》第三十七条情形之一的，视为投标人串通投标，其投标无效，并移送采购监管部门：</w:t>
      </w:r>
    </w:p>
    <w:p>
      <w:pPr>
        <w:snapToGrid w:val="0"/>
        <w:spacing w:line="380" w:lineRule="exact"/>
        <w:ind w:firstLine="420" w:firstLineChars="200"/>
        <w:jc w:val="left"/>
        <w:rPr>
          <w:szCs w:val="21"/>
        </w:rPr>
      </w:pPr>
      <w:r>
        <w:rPr>
          <w:szCs w:val="21"/>
        </w:rPr>
        <w:t>（1）不同投标人的电子投标文件由同一单位或者个人编制；</w:t>
      </w:r>
    </w:p>
    <w:p>
      <w:pPr>
        <w:snapToGrid w:val="0"/>
        <w:spacing w:line="380" w:lineRule="exact"/>
        <w:ind w:firstLine="420" w:firstLineChars="200"/>
        <w:jc w:val="left"/>
        <w:rPr>
          <w:szCs w:val="21"/>
        </w:rPr>
      </w:pPr>
      <w:r>
        <w:rPr>
          <w:szCs w:val="21"/>
        </w:rPr>
        <w:t>（2）不同投标人委托同一单位或者个人办理投标事宜；</w:t>
      </w:r>
    </w:p>
    <w:p>
      <w:pPr>
        <w:snapToGrid w:val="0"/>
        <w:spacing w:line="380" w:lineRule="exact"/>
        <w:ind w:firstLine="420" w:firstLineChars="200"/>
        <w:jc w:val="left"/>
        <w:rPr>
          <w:szCs w:val="21"/>
        </w:rPr>
      </w:pPr>
      <w:r>
        <w:rPr>
          <w:szCs w:val="21"/>
        </w:rPr>
        <w:t>（3）不同投标人的电子投标文件载明的项目管理成员或者联系人员为同一人；</w:t>
      </w:r>
    </w:p>
    <w:p>
      <w:pPr>
        <w:snapToGrid w:val="0"/>
        <w:spacing w:line="380" w:lineRule="exact"/>
        <w:ind w:firstLine="420" w:firstLineChars="200"/>
        <w:jc w:val="left"/>
        <w:rPr>
          <w:szCs w:val="21"/>
        </w:rPr>
      </w:pPr>
      <w:r>
        <w:rPr>
          <w:szCs w:val="21"/>
        </w:rPr>
        <w:t>（4）不同投标人的电子投标文件异常一致或者投标报价呈规律性差异。</w:t>
      </w:r>
    </w:p>
    <w:p>
      <w:pPr>
        <w:snapToGrid w:val="0"/>
        <w:spacing w:line="380" w:lineRule="exact"/>
        <w:ind w:firstLine="420" w:firstLineChars="200"/>
        <w:jc w:val="left"/>
        <w:rPr>
          <w:szCs w:val="21"/>
        </w:rPr>
      </w:pPr>
      <w:r>
        <w:rPr>
          <w:szCs w:val="21"/>
        </w:rPr>
        <w:t>9、不符合法律、法规和招标文件中规定的其他实质性要求的（招标文件中打“▲”内容及被拒绝的条款）。</w:t>
      </w:r>
    </w:p>
    <w:p>
      <w:pPr>
        <w:snapToGrid w:val="0"/>
        <w:spacing w:line="380" w:lineRule="exact"/>
        <w:ind w:firstLine="420" w:firstLineChars="200"/>
        <w:jc w:val="left"/>
        <w:rPr>
          <w:szCs w:val="21"/>
        </w:rPr>
      </w:pPr>
      <w:r>
        <w:rPr>
          <w:szCs w:val="21"/>
        </w:rPr>
        <w:t>10、商务条款不响应。</w:t>
      </w:r>
    </w:p>
    <w:p>
      <w:pPr>
        <w:snapToGrid w:val="0"/>
        <w:spacing w:line="380" w:lineRule="exact"/>
        <w:ind w:firstLine="420" w:firstLineChars="200"/>
        <w:jc w:val="left"/>
        <w:rPr>
          <w:szCs w:val="21"/>
        </w:rPr>
      </w:pPr>
      <w:r>
        <w:rPr>
          <w:szCs w:val="21"/>
        </w:rPr>
        <w:t>11、“电子加密投标文件”未按时解密，又未提供“备份电子加密投标文件”的。</w:t>
      </w:r>
    </w:p>
    <w:p>
      <w:pPr>
        <w:snapToGrid w:val="0"/>
        <w:spacing w:line="380" w:lineRule="exact"/>
        <w:ind w:firstLine="420" w:firstLineChars="200"/>
        <w:jc w:val="left"/>
        <w:rPr>
          <w:szCs w:val="21"/>
        </w:rPr>
      </w:pPr>
      <w:r>
        <w:rPr>
          <w:szCs w:val="21"/>
        </w:rPr>
        <w:t>12、投标人仅提交“备份电子加密投标文件”的。</w:t>
      </w:r>
    </w:p>
    <w:p>
      <w:pPr>
        <w:autoSpaceDE w:val="0"/>
        <w:autoSpaceDN w:val="0"/>
        <w:adjustRightInd w:val="0"/>
        <w:spacing w:line="380" w:lineRule="exact"/>
        <w:ind w:left="480"/>
        <w:rPr>
          <w:kern w:val="0"/>
          <w:szCs w:val="21"/>
        </w:rPr>
      </w:pPr>
      <w:r>
        <w:rPr>
          <w:b/>
          <w:kern w:val="0"/>
          <w:szCs w:val="21"/>
        </w:rPr>
        <w:t>（六）有下列情况之一的，本次招标作为废标处理</w:t>
      </w:r>
    </w:p>
    <w:p>
      <w:pPr>
        <w:snapToGrid w:val="0"/>
        <w:spacing w:line="380" w:lineRule="exact"/>
        <w:ind w:firstLine="420" w:firstLineChars="200"/>
        <w:jc w:val="left"/>
        <w:rPr>
          <w:szCs w:val="21"/>
        </w:rPr>
      </w:pPr>
      <w:r>
        <w:rPr>
          <w:szCs w:val="21"/>
        </w:rPr>
        <w:t>1、出现影响采购公正的违法、违规行为的</w:t>
      </w:r>
      <w:r>
        <w:rPr>
          <w:rFonts w:hint="eastAsia"/>
          <w:szCs w:val="21"/>
        </w:rPr>
        <w:t>。</w:t>
      </w:r>
    </w:p>
    <w:p>
      <w:pPr>
        <w:snapToGrid w:val="0"/>
        <w:spacing w:line="380" w:lineRule="exact"/>
        <w:ind w:firstLine="420" w:firstLineChars="200"/>
        <w:jc w:val="left"/>
        <w:rPr>
          <w:szCs w:val="21"/>
        </w:rPr>
      </w:pPr>
      <w:r>
        <w:rPr>
          <w:szCs w:val="21"/>
        </w:rPr>
        <w:t>2、评标委员会发现招标文件存在歧义、重大缺陷导致评标工作无法进行，或者招标文件内容违反国家有关强制性规定的</w:t>
      </w:r>
      <w:r>
        <w:rPr>
          <w:rFonts w:hint="eastAsia"/>
          <w:szCs w:val="21"/>
        </w:rPr>
        <w:t>。</w:t>
      </w:r>
      <w:r>
        <w:rPr>
          <w:szCs w:val="21"/>
        </w:rPr>
        <w:t xml:space="preserve"> </w:t>
      </w:r>
    </w:p>
    <w:p>
      <w:pPr>
        <w:snapToGrid w:val="0"/>
        <w:spacing w:line="380" w:lineRule="exact"/>
        <w:ind w:firstLine="420" w:firstLineChars="200"/>
        <w:jc w:val="left"/>
        <w:rPr>
          <w:szCs w:val="21"/>
        </w:rPr>
      </w:pPr>
      <w:r>
        <w:rPr>
          <w:szCs w:val="21"/>
        </w:rPr>
        <w:t>3、因重大变故，采购任务取消的</w:t>
      </w:r>
      <w:r>
        <w:rPr>
          <w:rFonts w:hint="eastAsia"/>
          <w:szCs w:val="21"/>
        </w:rPr>
        <w:t>。</w:t>
      </w:r>
    </w:p>
    <w:p>
      <w:pPr>
        <w:snapToGrid w:val="0"/>
        <w:spacing w:line="380" w:lineRule="exact"/>
        <w:ind w:firstLine="420" w:firstLineChars="200"/>
        <w:jc w:val="left"/>
        <w:rPr>
          <w:szCs w:val="21"/>
        </w:rPr>
      </w:pPr>
      <w:r>
        <w:rPr>
          <w:szCs w:val="21"/>
        </w:rPr>
        <w:t>4、法律、法规和招标文件规定的其他导致评标结果无效的。</w:t>
      </w:r>
    </w:p>
    <w:p>
      <w:pPr>
        <w:pStyle w:val="14"/>
        <w:tabs>
          <w:tab w:val="left" w:pos="630"/>
        </w:tabs>
        <w:snapToGrid w:val="0"/>
        <w:spacing w:line="380" w:lineRule="exact"/>
        <w:ind w:firstLine="413" w:firstLineChars="196"/>
        <w:rPr>
          <w:rFonts w:ascii="Times New Roman" w:hAnsi="Times New Roman" w:cs="Times New Roman"/>
          <w:b/>
          <w:szCs w:val="21"/>
        </w:rPr>
      </w:pPr>
      <w:r>
        <w:rPr>
          <w:rFonts w:ascii="Times New Roman" w:hAnsi="Times New Roman" w:cs="Times New Roman"/>
          <w:b/>
          <w:szCs w:val="21"/>
        </w:rPr>
        <w:t>（七）评标原则和评标办法</w:t>
      </w:r>
    </w:p>
    <w:p>
      <w:pPr>
        <w:snapToGrid w:val="0"/>
        <w:spacing w:line="380" w:lineRule="exact"/>
        <w:ind w:firstLine="420" w:firstLineChars="200"/>
        <w:jc w:val="left"/>
        <w:rPr>
          <w:szCs w:val="21"/>
        </w:rPr>
      </w:pPr>
      <w:r>
        <w:rPr>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80" w:lineRule="exact"/>
        <w:ind w:firstLine="420" w:firstLineChars="200"/>
        <w:jc w:val="left"/>
        <w:rPr>
          <w:szCs w:val="21"/>
        </w:rPr>
      </w:pPr>
      <w:r>
        <w:rPr>
          <w:szCs w:val="21"/>
        </w:rPr>
        <w:t>2、评标办法。具体评标内容及评分标准等详见《第三章：评标方法及评分标准》。</w:t>
      </w:r>
    </w:p>
    <w:p>
      <w:pPr>
        <w:pStyle w:val="14"/>
        <w:snapToGrid w:val="0"/>
        <w:spacing w:line="380" w:lineRule="exact"/>
        <w:ind w:firstLine="413" w:firstLineChars="196"/>
        <w:rPr>
          <w:rFonts w:ascii="Times New Roman" w:hAnsi="Times New Roman" w:cs="Times New Roman"/>
          <w:b/>
          <w:szCs w:val="21"/>
        </w:rPr>
      </w:pPr>
      <w:r>
        <w:rPr>
          <w:rFonts w:ascii="Times New Roman" w:hAnsi="Times New Roman" w:cs="Times New Roman"/>
          <w:b/>
          <w:szCs w:val="21"/>
        </w:rPr>
        <w:t>（八）评标过程的监控</w:t>
      </w:r>
    </w:p>
    <w:p>
      <w:pPr>
        <w:snapToGrid w:val="0"/>
        <w:spacing w:line="380" w:lineRule="exact"/>
        <w:ind w:firstLine="420" w:firstLineChars="200"/>
        <w:jc w:val="left"/>
        <w:rPr>
          <w:szCs w:val="21"/>
        </w:rPr>
      </w:pPr>
      <w:r>
        <w:rPr>
          <w:szCs w:val="21"/>
        </w:rPr>
        <w:t>本项目评标过程实行全程录音、录像监控，政府采购监管部门视情进行现场监督，投标人在评标过程中所进行的试图影响评标结果的不公正活动，可能导致其投标被拒绝。</w:t>
      </w:r>
    </w:p>
    <w:p>
      <w:pPr>
        <w:pStyle w:val="14"/>
        <w:snapToGrid w:val="0"/>
        <w:spacing w:line="380" w:lineRule="exact"/>
        <w:rPr>
          <w:rFonts w:ascii="Times New Roman" w:hAnsi="Times New Roman" w:cs="Times New Roman"/>
          <w:b/>
          <w:szCs w:val="21"/>
        </w:rPr>
      </w:pPr>
      <w:r>
        <w:rPr>
          <w:rFonts w:ascii="Times New Roman" w:hAnsi="Times New Roman" w:cs="Times New Roman"/>
          <w:b/>
          <w:szCs w:val="21"/>
        </w:rPr>
        <w:t>六、定标</w:t>
      </w:r>
    </w:p>
    <w:p>
      <w:pPr>
        <w:snapToGrid w:val="0"/>
        <w:spacing w:line="380" w:lineRule="exact"/>
        <w:ind w:firstLine="420" w:firstLineChars="200"/>
        <w:jc w:val="left"/>
        <w:rPr>
          <w:szCs w:val="21"/>
        </w:rPr>
      </w:pPr>
      <w:r>
        <w:rPr>
          <w:szCs w:val="21"/>
        </w:rPr>
        <w:t>1、确定中标投标人。评标委员会根据采购单位的《授权意见确认书》，</w:t>
      </w:r>
      <w:r>
        <w:rPr>
          <w:rFonts w:hint="default" w:eastAsia="宋体"/>
          <w:szCs w:val="21"/>
        </w:rPr>
        <w:t>推荐</w:t>
      </w:r>
      <w:r>
        <w:rPr>
          <w:rFonts w:hint="default" w:eastAsia="宋体"/>
          <w:szCs w:val="21"/>
          <w:lang w:val="en-US" w:eastAsia="zh-CN"/>
        </w:rPr>
        <w:t>2名</w:t>
      </w:r>
      <w:r>
        <w:rPr>
          <w:rFonts w:eastAsia="宋体"/>
          <w:szCs w:val="21"/>
        </w:rPr>
        <w:t>中标</w:t>
      </w:r>
      <w:r>
        <w:rPr>
          <w:szCs w:val="21"/>
        </w:rPr>
        <w:t>候选人。其中推荐中标候选人的，采购组织机构在评审结束后2个工作日内将评标报告送采购人，采购人自收到评审报告之日起5个工作日内在评审报告推荐的中标候选人中按顺序确定中标人。</w:t>
      </w:r>
    </w:p>
    <w:p>
      <w:pPr>
        <w:snapToGrid w:val="0"/>
        <w:spacing w:line="380" w:lineRule="exact"/>
        <w:ind w:firstLine="420" w:firstLineChars="200"/>
        <w:jc w:val="left"/>
        <w:rPr>
          <w:szCs w:val="21"/>
        </w:rPr>
      </w:pPr>
      <w:r>
        <w:rPr>
          <w:szCs w:val="21"/>
        </w:rPr>
        <w:t>2、发布中标结果公告。采购组织机构应当自中标人确定之日起2个工作日内，在省级以上财政部门指定的媒体及相关网站上公告中标结果，招标文件应当随中标结果同时公告。</w:t>
      </w:r>
    </w:p>
    <w:p>
      <w:pPr>
        <w:snapToGrid w:val="0"/>
        <w:spacing w:line="380" w:lineRule="exact"/>
        <w:ind w:firstLine="420" w:firstLineChars="200"/>
        <w:jc w:val="left"/>
        <w:rPr>
          <w:szCs w:val="21"/>
        </w:rPr>
      </w:pPr>
      <w:r>
        <w:rPr>
          <w:szCs w:val="21"/>
        </w:rPr>
        <w:t>3、发出中标通知书。采购组织机构在发布中标结果的同时，向中标人发出中标通知书。</w:t>
      </w:r>
    </w:p>
    <w:p>
      <w:pPr>
        <w:pStyle w:val="14"/>
        <w:snapToGrid w:val="0"/>
        <w:spacing w:line="380" w:lineRule="exact"/>
        <w:rPr>
          <w:rFonts w:ascii="Times New Roman" w:hAnsi="Times New Roman" w:cs="Times New Roman"/>
          <w:b/>
          <w:szCs w:val="21"/>
        </w:rPr>
      </w:pPr>
      <w:r>
        <w:rPr>
          <w:rFonts w:ascii="Times New Roman" w:hAnsi="Times New Roman" w:cs="Times New Roman"/>
          <w:b/>
          <w:szCs w:val="21"/>
        </w:rPr>
        <w:t>七、合同签订及公告</w:t>
      </w:r>
    </w:p>
    <w:p>
      <w:pPr>
        <w:spacing w:line="380" w:lineRule="exact"/>
        <w:ind w:firstLine="422" w:firstLineChars="200"/>
        <w:rPr>
          <w:b/>
          <w:kern w:val="0"/>
          <w:szCs w:val="21"/>
        </w:rPr>
      </w:pPr>
      <w:r>
        <w:rPr>
          <w:b/>
          <w:szCs w:val="21"/>
        </w:rPr>
        <w:t>（一）签订合同</w:t>
      </w:r>
    </w:p>
    <w:p>
      <w:pPr>
        <w:snapToGrid w:val="0"/>
        <w:spacing w:line="380" w:lineRule="exact"/>
        <w:ind w:firstLine="420" w:firstLineChars="200"/>
        <w:jc w:val="left"/>
        <w:rPr>
          <w:szCs w:val="21"/>
        </w:rPr>
      </w:pPr>
      <w:r>
        <w:rPr>
          <w:szCs w:val="21"/>
        </w:rPr>
        <w:t>1、采购人应当自中标通知书发出之日起10个工作日内，按照招标文件和中标人电子投标文件的规定，与中标人签订书面合同。所签订的合同不得对招标文件确定的事项和中标人投标文件作实质性修改。</w:t>
      </w:r>
    </w:p>
    <w:p>
      <w:pPr>
        <w:snapToGrid w:val="0"/>
        <w:spacing w:line="380" w:lineRule="exact"/>
        <w:ind w:firstLine="420" w:firstLineChars="200"/>
        <w:jc w:val="left"/>
        <w:rPr>
          <w:szCs w:val="21"/>
        </w:rPr>
      </w:pPr>
      <w:r>
        <w:rPr>
          <w:szCs w:val="21"/>
        </w:rPr>
        <w:t>2、采购人不得向中标人提出任何不合理的要求作为签订合同的条件。</w:t>
      </w:r>
    </w:p>
    <w:p>
      <w:pPr>
        <w:snapToGrid w:val="0"/>
        <w:spacing w:line="380" w:lineRule="exact"/>
        <w:ind w:firstLine="420" w:firstLineChars="200"/>
        <w:jc w:val="left"/>
        <w:rPr>
          <w:szCs w:val="21"/>
        </w:rPr>
      </w:pPr>
      <w:r>
        <w:rPr>
          <w:szCs w:val="21"/>
        </w:rPr>
        <w:t>3、中标人无故拖延、拒签合同的,取消中标资格。</w:t>
      </w:r>
    </w:p>
    <w:p>
      <w:pPr>
        <w:snapToGrid w:val="0"/>
        <w:spacing w:line="380" w:lineRule="exact"/>
        <w:ind w:firstLine="420" w:firstLineChars="200"/>
        <w:jc w:val="left"/>
        <w:rPr>
          <w:szCs w:val="21"/>
        </w:rPr>
      </w:pPr>
      <w:r>
        <w:rPr>
          <w:szCs w:val="21"/>
        </w:rPr>
        <w:t>4、中标人拒绝与采购人签订合同的，采购人可以按照评审报告推荐的中标候选人名单排序，确定下一候选人为中标人，也可以重新开展政府采购活动。同时，拒绝与采购人签订合同的投标人，由同级财政部门依法作出处理。</w:t>
      </w:r>
    </w:p>
    <w:p>
      <w:pPr>
        <w:snapToGrid w:val="0"/>
        <w:spacing w:line="380" w:lineRule="exact"/>
        <w:ind w:firstLine="420" w:firstLineChars="200"/>
        <w:jc w:val="left"/>
        <w:rPr>
          <w:szCs w:val="21"/>
        </w:rPr>
      </w:pPr>
      <w:r>
        <w:rPr>
          <w:szCs w:val="21"/>
        </w:rPr>
        <w:t>5、询问或者质疑事项可能影响中标结果的，采购人应当暂停签订合同，已经签订合同的，应当中止履行合同（中标结果的质疑期为中标结果公告期限届满之日起七个工作日）。</w:t>
      </w:r>
    </w:p>
    <w:p>
      <w:pPr>
        <w:pStyle w:val="20"/>
        <w:spacing w:before="0" w:beforeAutospacing="0" w:after="0" w:afterAutospacing="0" w:line="380" w:lineRule="exact"/>
        <w:ind w:firstLine="371" w:firstLineChars="176"/>
        <w:rPr>
          <w:rFonts w:hint="default" w:ascii="Times New Roman" w:hAnsi="Times New Roman"/>
          <w:b/>
          <w:sz w:val="21"/>
          <w:szCs w:val="21"/>
        </w:rPr>
      </w:pPr>
      <w:r>
        <w:rPr>
          <w:rFonts w:hint="default" w:ascii="Times New Roman" w:hAnsi="Times New Roman"/>
          <w:b/>
          <w:sz w:val="21"/>
          <w:szCs w:val="21"/>
        </w:rPr>
        <w:t>（二）合同公告及备案</w:t>
      </w:r>
    </w:p>
    <w:p>
      <w:pPr>
        <w:snapToGrid w:val="0"/>
        <w:spacing w:line="380" w:lineRule="exact"/>
        <w:ind w:firstLine="420" w:firstLineChars="200"/>
        <w:jc w:val="left"/>
        <w:rPr>
          <w:szCs w:val="21"/>
        </w:rPr>
      </w:pPr>
      <w:r>
        <w:rPr>
          <w:szCs w:val="21"/>
        </w:rPr>
        <w:t>1、采购人应当自政府采购合同签订之日起2个工作日内，在省级以上财政部门指定的政府采购信息发布媒体及相关网站上公告。</w:t>
      </w:r>
    </w:p>
    <w:p>
      <w:pPr>
        <w:snapToGrid w:val="0"/>
        <w:spacing w:line="380" w:lineRule="exact"/>
        <w:ind w:firstLine="420" w:firstLineChars="200"/>
        <w:jc w:val="left"/>
        <w:rPr>
          <w:szCs w:val="21"/>
        </w:rPr>
      </w:pPr>
      <w:r>
        <w:rPr>
          <w:szCs w:val="21"/>
        </w:rPr>
        <w:t>2、采购人应当自政府采购合同签订之日起7个工作日内，将政府采购合同通过政采云网站提交至同级人民政府财政部门备案以及采购组织机构存档。</w:t>
      </w:r>
    </w:p>
    <w:p>
      <w:pPr>
        <w:pStyle w:val="14"/>
        <w:snapToGrid w:val="0"/>
        <w:spacing w:line="380" w:lineRule="exact"/>
        <w:rPr>
          <w:rFonts w:ascii="Times New Roman" w:hAnsi="Times New Roman" w:cs="Times New Roman"/>
          <w:b/>
          <w:szCs w:val="21"/>
        </w:rPr>
      </w:pPr>
      <w:r>
        <w:rPr>
          <w:rFonts w:ascii="Times New Roman" w:hAnsi="Times New Roman" w:cs="Times New Roman"/>
          <w:b/>
          <w:szCs w:val="21"/>
        </w:rPr>
        <w:t>八、招标代理服务费</w:t>
      </w:r>
    </w:p>
    <w:p>
      <w:pPr>
        <w:pStyle w:val="14"/>
        <w:spacing w:line="340" w:lineRule="exact"/>
        <w:ind w:firstLine="422" w:firstLineChars="200"/>
        <w:rPr>
          <w:rFonts w:ascii="Times New Roman" w:hAnsi="Times New Roman" w:cs="Times New Roman"/>
          <w:b/>
          <w:bCs/>
          <w:color w:val="000000"/>
          <w:szCs w:val="21"/>
        </w:rPr>
      </w:pPr>
      <w:r>
        <w:rPr>
          <w:rFonts w:ascii="Times New Roman" w:hAnsi="Times New Roman" w:cs="Times New Roman"/>
          <w:b/>
          <w:bCs/>
          <w:color w:val="000000"/>
          <w:szCs w:val="21"/>
        </w:rPr>
        <w:t>中标人在领取中标通知书前向招标代理机构支付招标代理服务费</w:t>
      </w:r>
      <w:r>
        <w:rPr>
          <w:rFonts w:ascii="Times New Roman" w:hAnsi="Times New Roman" w:cs="Times New Roman"/>
          <w:b/>
          <w:bCs/>
          <w:color w:val="000000"/>
          <w:szCs w:val="21"/>
          <w:u w:val="single"/>
        </w:rPr>
        <w:t>人民币</w:t>
      </w:r>
      <w:r>
        <w:rPr>
          <w:rFonts w:hint="eastAsia" w:ascii="Times New Roman" w:hAnsi="Times New Roman" w:cs="Times New Roman"/>
          <w:b/>
          <w:bCs/>
          <w:color w:val="000000"/>
          <w:szCs w:val="21"/>
          <w:u w:val="single"/>
          <w:lang w:val="en-US" w:eastAsia="zh-CN"/>
        </w:rPr>
        <w:t>陆万贰仟</w:t>
      </w:r>
      <w:r>
        <w:rPr>
          <w:rFonts w:ascii="Times New Roman" w:hAnsi="Times New Roman" w:cs="Times New Roman"/>
          <w:b/>
          <w:bCs/>
          <w:color w:val="000000"/>
          <w:szCs w:val="21"/>
          <w:u w:val="single"/>
        </w:rPr>
        <w:t>元整</w:t>
      </w:r>
      <w:r>
        <w:rPr>
          <w:rFonts w:ascii="Times New Roman" w:hAnsi="Times New Roman" w:cs="Times New Roman"/>
          <w:b/>
          <w:bCs/>
          <w:color w:val="000000"/>
          <w:szCs w:val="21"/>
        </w:rPr>
        <w:t>，招标代理服务费已包含在投标总报价中。</w:t>
      </w:r>
    </w:p>
    <w:p>
      <w:pPr>
        <w:snapToGrid w:val="0"/>
        <w:spacing w:line="380" w:lineRule="exact"/>
        <w:ind w:firstLine="420" w:firstLineChars="200"/>
        <w:jc w:val="left"/>
        <w:rPr>
          <w:szCs w:val="21"/>
        </w:rPr>
      </w:pPr>
    </w:p>
    <w:p>
      <w:pPr>
        <w:snapToGrid w:val="0"/>
        <w:spacing w:line="380" w:lineRule="exact"/>
        <w:ind w:firstLine="420" w:firstLineChars="200"/>
        <w:jc w:val="left"/>
        <w:rPr>
          <w:szCs w:val="21"/>
        </w:rPr>
      </w:pPr>
    </w:p>
    <w:p>
      <w:pPr>
        <w:pStyle w:val="3"/>
        <w:rPr>
          <w:szCs w:val="21"/>
        </w:rPr>
      </w:pPr>
    </w:p>
    <w:p>
      <w:pPr>
        <w:rPr>
          <w:szCs w:val="21"/>
        </w:rPr>
      </w:pPr>
    </w:p>
    <w:p>
      <w:pPr>
        <w:pStyle w:val="3"/>
        <w:rPr>
          <w:szCs w:val="21"/>
        </w:rPr>
      </w:pPr>
    </w:p>
    <w:p/>
    <w:p>
      <w:pPr>
        <w:rPr>
          <w:szCs w:val="21"/>
        </w:rPr>
      </w:pPr>
    </w:p>
    <w:p>
      <w:pPr>
        <w:spacing w:line="700" w:lineRule="exact"/>
        <w:jc w:val="center"/>
        <w:rPr>
          <w:rFonts w:eastAsiaTheme="minorEastAsia"/>
          <w:b/>
          <w:sz w:val="32"/>
          <w:szCs w:val="32"/>
        </w:rPr>
      </w:pPr>
      <w:r>
        <w:rPr>
          <w:rFonts w:hint="eastAsia" w:eastAsiaTheme="minorEastAsia"/>
          <w:b/>
          <w:sz w:val="32"/>
          <w:szCs w:val="32"/>
        </w:rPr>
        <w:t>第三章</w:t>
      </w:r>
      <w:r>
        <w:rPr>
          <w:rFonts w:eastAsiaTheme="minorEastAsia"/>
          <w:b/>
          <w:sz w:val="32"/>
          <w:szCs w:val="32"/>
        </w:rPr>
        <w:t xml:space="preserve">  </w:t>
      </w:r>
      <w:r>
        <w:rPr>
          <w:rFonts w:hint="eastAsia" w:eastAsiaTheme="minorEastAsia"/>
          <w:b/>
          <w:sz w:val="32"/>
          <w:szCs w:val="32"/>
        </w:rPr>
        <w:t>评标办法及评分标准</w:t>
      </w:r>
    </w:p>
    <w:p>
      <w:pPr>
        <w:autoSpaceDE w:val="0"/>
        <w:autoSpaceDN w:val="0"/>
        <w:spacing w:line="100" w:lineRule="exact"/>
        <w:ind w:firstLine="482" w:firstLineChars="200"/>
        <w:rPr>
          <w:rFonts w:eastAsiaTheme="minorEastAsia"/>
          <w:b/>
          <w:kern w:val="0"/>
          <w:sz w:val="24"/>
        </w:rPr>
      </w:pPr>
    </w:p>
    <w:p>
      <w:pPr>
        <w:autoSpaceDE w:val="0"/>
        <w:autoSpaceDN w:val="0"/>
        <w:spacing w:line="390" w:lineRule="exact"/>
        <w:ind w:firstLine="420" w:firstLineChars="200"/>
        <w:rPr>
          <w:b w:val="0"/>
          <w:bCs/>
          <w:i/>
          <w:kern w:val="0"/>
          <w:szCs w:val="21"/>
        </w:rPr>
      </w:pPr>
      <w:r>
        <w:rPr>
          <w:rFonts w:hint="eastAsia"/>
          <w:bCs/>
          <w:kern w:val="0"/>
          <w:szCs w:val="21"/>
        </w:rPr>
        <w:t>一、采购组织机构将组织评标委员会，对投标人提供的电子投标文件进行综合评审。</w:t>
      </w:r>
    </w:p>
    <w:p>
      <w:pPr>
        <w:spacing w:line="390" w:lineRule="exact"/>
        <w:ind w:firstLine="420" w:firstLineChars="200"/>
        <w:contextualSpacing/>
        <w:rPr>
          <w:bCs/>
          <w:kern w:val="0"/>
          <w:szCs w:val="21"/>
          <w:lang w:val="zh-CN"/>
        </w:rPr>
      </w:pPr>
      <w:r>
        <w:rPr>
          <w:rFonts w:hint="eastAsia"/>
          <w:bCs/>
          <w:kern w:val="0"/>
          <w:szCs w:val="21"/>
        </w:rPr>
        <w:t>二、本次招标项目的评标方法为综合评分法，总计100分，</w:t>
      </w:r>
      <w:r>
        <w:rPr>
          <w:rFonts w:hint="eastAsia"/>
          <w:bCs/>
          <w:szCs w:val="21"/>
        </w:rPr>
        <w:t>最终得分为商务与技术文件得分+投标报价得分，以四舍五入法整合到小数点后二位</w:t>
      </w:r>
      <w:r>
        <w:rPr>
          <w:rFonts w:hint="eastAsia"/>
          <w:bCs/>
          <w:kern w:val="0"/>
          <w:szCs w:val="21"/>
        </w:rPr>
        <w:t>。</w:t>
      </w:r>
    </w:p>
    <w:p>
      <w:pPr>
        <w:autoSpaceDE w:val="0"/>
        <w:autoSpaceDN w:val="0"/>
        <w:adjustRightInd w:val="0"/>
        <w:spacing w:line="390" w:lineRule="exact"/>
        <w:ind w:firstLine="420" w:firstLineChars="200"/>
        <w:jc w:val="left"/>
        <w:rPr>
          <w:bCs/>
          <w:kern w:val="0"/>
          <w:szCs w:val="21"/>
          <w:lang w:val="zh-CN"/>
        </w:rPr>
      </w:pPr>
      <w:r>
        <w:rPr>
          <w:rFonts w:hint="eastAsia"/>
          <w:bCs/>
          <w:kern w:val="0"/>
          <w:szCs w:val="21"/>
          <w:lang w:val="zh-CN"/>
        </w:rPr>
        <w:t>（一）商务与技术文件中的客观分由评标委员会讨论后统一打分；其余在规定的分值内单独评定打分。</w:t>
      </w:r>
    </w:p>
    <w:p>
      <w:pPr>
        <w:autoSpaceDE w:val="0"/>
        <w:autoSpaceDN w:val="0"/>
        <w:adjustRightInd w:val="0"/>
        <w:spacing w:line="390" w:lineRule="exact"/>
        <w:ind w:firstLine="420" w:firstLineChars="200"/>
        <w:jc w:val="left"/>
        <w:rPr>
          <w:bCs/>
          <w:kern w:val="0"/>
          <w:szCs w:val="21"/>
          <w:lang w:val="zh-CN"/>
        </w:rPr>
      </w:pPr>
      <w:r>
        <w:rPr>
          <w:rFonts w:hint="eastAsia"/>
          <w:bCs/>
          <w:kern w:val="0"/>
          <w:szCs w:val="21"/>
          <w:lang w:val="zh-CN"/>
        </w:rPr>
        <w:t>（二）各投标人商务与技术文件得分按照评标委员会成员的独立评分结果汇总后的算术平均分计算，计算公式为：</w:t>
      </w:r>
    </w:p>
    <w:p>
      <w:pPr>
        <w:autoSpaceDE w:val="0"/>
        <w:autoSpaceDN w:val="0"/>
        <w:adjustRightInd w:val="0"/>
        <w:spacing w:line="390" w:lineRule="exact"/>
        <w:ind w:firstLine="420" w:firstLineChars="200"/>
        <w:jc w:val="left"/>
        <w:rPr>
          <w:bCs/>
          <w:kern w:val="0"/>
          <w:szCs w:val="21"/>
          <w:lang w:val="zh-CN"/>
        </w:rPr>
      </w:pPr>
      <w:r>
        <w:rPr>
          <w:rFonts w:hint="eastAsia"/>
          <w:bCs/>
          <w:kern w:val="0"/>
          <w:szCs w:val="21"/>
          <w:lang w:val="zh-CN"/>
        </w:rPr>
        <w:t>商务与技术文件得分=评标委员会所有成员评分合计数/评标委员会组成人员数。</w:t>
      </w:r>
    </w:p>
    <w:p>
      <w:pPr>
        <w:autoSpaceDE w:val="0"/>
        <w:autoSpaceDN w:val="0"/>
        <w:adjustRightInd w:val="0"/>
        <w:spacing w:line="390" w:lineRule="exact"/>
        <w:ind w:firstLine="420" w:firstLineChars="200"/>
        <w:jc w:val="left"/>
        <w:rPr>
          <w:bCs/>
          <w:kern w:val="0"/>
          <w:szCs w:val="21"/>
          <w:lang w:val="zh-CN"/>
        </w:rPr>
      </w:pPr>
      <w:r>
        <w:rPr>
          <w:rFonts w:hint="eastAsia"/>
          <w:bCs/>
          <w:kern w:val="0"/>
          <w:szCs w:val="21"/>
          <w:lang w:val="zh-CN"/>
        </w:rPr>
        <w:t>（三）投标报价得分采用低价优先法计算，即满足招标文件要求且投标价格最低的投标报价为评标基准价，其报价得满分。其他投标人的投标报价得分按下列公式计算：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90" w:lineRule="exact"/>
        <w:ind w:firstLine="420" w:firstLineChars="200"/>
        <w:rPr>
          <w:bCs/>
          <w:szCs w:val="21"/>
          <w:u w:val="single"/>
        </w:rPr>
      </w:pPr>
      <w:r>
        <w:rPr>
          <w:rFonts w:hint="eastAsia"/>
          <w:bCs/>
          <w:szCs w:val="21"/>
          <w:u w:val="single"/>
        </w:rPr>
        <w:t>投标报价得分=（评标基准价／投标报价）×</w:t>
      </w:r>
      <w:r>
        <w:rPr>
          <w:rFonts w:hint="eastAsia"/>
          <w:bCs/>
          <w:szCs w:val="21"/>
          <w:u w:val="single"/>
          <w:lang w:val="en-US" w:eastAsia="zh-CN"/>
        </w:rPr>
        <w:t>30</w:t>
      </w:r>
      <w:r>
        <w:rPr>
          <w:bCs/>
          <w:szCs w:val="21"/>
          <w:u w:val="single"/>
        </w:rPr>
        <w:t>%×100</w:t>
      </w:r>
      <w:r>
        <w:rPr>
          <w:rFonts w:hint="eastAsia"/>
          <w:bCs/>
          <w:szCs w:val="21"/>
        </w:rPr>
        <w:t>。</w:t>
      </w:r>
    </w:p>
    <w:p>
      <w:pPr>
        <w:autoSpaceDE w:val="0"/>
        <w:autoSpaceDN w:val="0"/>
        <w:adjustRightInd w:val="0"/>
        <w:spacing w:line="390" w:lineRule="exact"/>
        <w:ind w:firstLine="420" w:firstLineChars="200"/>
        <w:rPr>
          <w:bCs/>
          <w:szCs w:val="21"/>
          <w:lang w:val="zh-CN"/>
        </w:rPr>
      </w:pPr>
      <w:r>
        <w:rPr>
          <w:rFonts w:hint="eastAsia"/>
          <w:bCs/>
          <w:szCs w:val="21"/>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90" w:lineRule="exact"/>
        <w:ind w:firstLine="420" w:firstLineChars="200"/>
        <w:rPr>
          <w:bCs/>
          <w:szCs w:val="21"/>
          <w:lang w:val="zh-CN"/>
        </w:rPr>
      </w:pPr>
      <w:r>
        <w:rPr>
          <w:rFonts w:hint="eastAsia"/>
          <w:bCs/>
          <w:szCs w:val="21"/>
          <w:lang w:val="zh-CN"/>
        </w:rPr>
        <w:t>五、提供相同品牌产品的不同投标人参加同一合同项下投标的，按一家</w:t>
      </w:r>
      <w:r>
        <w:rPr>
          <w:rFonts w:hint="eastAsia"/>
          <w:bCs/>
          <w:szCs w:val="21"/>
        </w:rPr>
        <w:t>投标人</w:t>
      </w:r>
      <w:r>
        <w:rPr>
          <w:rFonts w:hint="eastAsia"/>
          <w:bCs/>
          <w:szCs w:val="21"/>
          <w:lang w:val="zh-CN"/>
        </w:rPr>
        <w:t>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90" w:lineRule="exact"/>
        <w:ind w:firstLine="420" w:firstLineChars="200"/>
        <w:rPr>
          <w:bCs/>
          <w:szCs w:val="21"/>
        </w:rPr>
      </w:pPr>
      <w:r>
        <w:rPr>
          <w:rFonts w:hint="eastAsia"/>
          <w:bCs/>
          <w:kern w:val="0"/>
          <w:szCs w:val="21"/>
        </w:rPr>
        <w:t>六、本次评分具体分值细化条款如下表</w:t>
      </w:r>
      <w:r>
        <w:rPr>
          <w:rFonts w:hint="eastAsia"/>
          <w:bCs/>
          <w:szCs w:val="21"/>
        </w:rPr>
        <w:t>：</w:t>
      </w:r>
    </w:p>
    <w:tbl>
      <w:tblPr>
        <w:tblStyle w:val="26"/>
        <w:tblpPr w:leftFromText="180" w:rightFromText="180" w:vertAnchor="text" w:horzAnchor="page" w:tblpX="1390" w:tblpY="452"/>
        <w:tblOverlap w:val="never"/>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86"/>
        <w:gridCol w:w="645"/>
        <w:gridCol w:w="516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59" w:type="dxa"/>
            <w:vAlign w:val="center"/>
          </w:tcPr>
          <w:p>
            <w:pPr>
              <w:adjustRightInd w:val="0"/>
              <w:snapToGrid w:val="0"/>
              <w:spacing w:line="340" w:lineRule="exact"/>
              <w:jc w:val="center"/>
              <w:rPr>
                <w:rFonts w:hint="default"/>
                <w:b w:val="0"/>
                <w:bCs/>
                <w:szCs w:val="21"/>
              </w:rPr>
            </w:pPr>
            <w:r>
              <w:rPr>
                <w:rFonts w:hint="default"/>
                <w:b w:val="0"/>
                <w:bCs/>
                <w:szCs w:val="21"/>
              </w:rPr>
              <w:t>序号</w:t>
            </w:r>
          </w:p>
        </w:tc>
        <w:tc>
          <w:tcPr>
            <w:tcW w:w="1186" w:type="dxa"/>
            <w:vAlign w:val="center"/>
          </w:tcPr>
          <w:p>
            <w:pPr>
              <w:adjustRightInd w:val="0"/>
              <w:snapToGrid w:val="0"/>
              <w:spacing w:line="340" w:lineRule="exact"/>
              <w:jc w:val="center"/>
              <w:rPr>
                <w:rFonts w:hint="default"/>
                <w:b w:val="0"/>
                <w:bCs/>
                <w:szCs w:val="21"/>
              </w:rPr>
            </w:pPr>
            <w:r>
              <w:rPr>
                <w:rFonts w:hint="default"/>
                <w:b w:val="0"/>
                <w:bCs/>
                <w:szCs w:val="21"/>
              </w:rPr>
              <w:t>评审因素</w:t>
            </w:r>
          </w:p>
        </w:tc>
        <w:tc>
          <w:tcPr>
            <w:tcW w:w="645" w:type="dxa"/>
            <w:vAlign w:val="center"/>
          </w:tcPr>
          <w:p>
            <w:pPr>
              <w:adjustRightInd w:val="0"/>
              <w:snapToGrid w:val="0"/>
              <w:spacing w:line="340" w:lineRule="exact"/>
              <w:jc w:val="center"/>
              <w:rPr>
                <w:rFonts w:hint="default"/>
                <w:b w:val="0"/>
                <w:bCs/>
                <w:szCs w:val="21"/>
              </w:rPr>
            </w:pPr>
            <w:r>
              <w:rPr>
                <w:rFonts w:hint="default"/>
                <w:b w:val="0"/>
                <w:bCs/>
                <w:szCs w:val="21"/>
              </w:rPr>
              <w:t>分值</w:t>
            </w:r>
          </w:p>
        </w:tc>
        <w:tc>
          <w:tcPr>
            <w:tcW w:w="5160" w:type="dxa"/>
            <w:vAlign w:val="center"/>
          </w:tcPr>
          <w:p>
            <w:pPr>
              <w:adjustRightInd w:val="0"/>
              <w:snapToGrid w:val="0"/>
              <w:spacing w:line="340" w:lineRule="exact"/>
              <w:jc w:val="center"/>
              <w:rPr>
                <w:rFonts w:hint="default"/>
                <w:b w:val="0"/>
                <w:bCs/>
                <w:szCs w:val="21"/>
              </w:rPr>
            </w:pPr>
            <w:r>
              <w:rPr>
                <w:rFonts w:hint="default"/>
                <w:b w:val="0"/>
                <w:bCs/>
                <w:szCs w:val="21"/>
              </w:rPr>
              <w:t>评分标准</w:t>
            </w:r>
          </w:p>
          <w:p>
            <w:pPr>
              <w:adjustRightInd w:val="0"/>
              <w:snapToGrid w:val="0"/>
              <w:spacing w:line="340" w:lineRule="exact"/>
              <w:jc w:val="center"/>
              <w:rPr>
                <w:rFonts w:hint="default"/>
                <w:b w:val="0"/>
                <w:bCs/>
                <w:szCs w:val="21"/>
              </w:rPr>
            </w:pPr>
            <w:r>
              <w:rPr>
                <w:rFonts w:hint="default"/>
                <w:b w:val="0"/>
                <w:bCs/>
                <w:szCs w:val="21"/>
              </w:rPr>
              <w:t>（以下要求提供证书、证件、文件资料等可以以电子文件或扫描形式）</w:t>
            </w:r>
          </w:p>
        </w:tc>
        <w:tc>
          <w:tcPr>
            <w:tcW w:w="2008" w:type="dxa"/>
            <w:vAlign w:val="center"/>
          </w:tcPr>
          <w:p>
            <w:pPr>
              <w:adjustRightInd w:val="0"/>
              <w:snapToGrid w:val="0"/>
              <w:spacing w:line="340" w:lineRule="exact"/>
              <w:jc w:val="center"/>
              <w:rPr>
                <w:rFonts w:hint="default"/>
                <w:b w:val="0"/>
                <w:bCs/>
                <w:szCs w:val="21"/>
              </w:rPr>
            </w:pPr>
            <w:r>
              <w:rPr>
                <w:rFonts w:hint="default"/>
                <w:b w:val="0"/>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restart"/>
            <w:vAlign w:val="center"/>
          </w:tcPr>
          <w:p>
            <w:pPr>
              <w:adjustRightInd w:val="0"/>
              <w:snapToGrid w:val="0"/>
              <w:spacing w:line="340" w:lineRule="exact"/>
              <w:jc w:val="center"/>
              <w:rPr>
                <w:rFonts w:hint="default"/>
                <w:bCs/>
                <w:szCs w:val="21"/>
              </w:rPr>
            </w:pPr>
            <w:r>
              <w:rPr>
                <w:rFonts w:hint="default"/>
                <w:bCs/>
                <w:szCs w:val="21"/>
              </w:rPr>
              <w:t>1</w:t>
            </w:r>
          </w:p>
        </w:tc>
        <w:tc>
          <w:tcPr>
            <w:tcW w:w="1186" w:type="dxa"/>
            <w:vMerge w:val="restart"/>
            <w:vAlign w:val="center"/>
          </w:tcPr>
          <w:p>
            <w:pPr>
              <w:adjustRightInd w:val="0"/>
              <w:snapToGrid w:val="0"/>
              <w:spacing w:line="340" w:lineRule="exact"/>
              <w:jc w:val="center"/>
              <w:rPr>
                <w:rFonts w:hint="default"/>
                <w:bCs/>
                <w:szCs w:val="21"/>
              </w:rPr>
            </w:pPr>
            <w:r>
              <w:rPr>
                <w:rFonts w:hint="default"/>
                <w:bCs/>
                <w:szCs w:val="21"/>
              </w:rPr>
              <w:t>企业综合实力</w:t>
            </w:r>
          </w:p>
        </w:tc>
        <w:tc>
          <w:tcPr>
            <w:tcW w:w="645" w:type="dxa"/>
            <w:vAlign w:val="center"/>
          </w:tcPr>
          <w:p>
            <w:pPr>
              <w:adjustRightInd w:val="0"/>
              <w:snapToGrid w:val="0"/>
              <w:spacing w:line="340" w:lineRule="exact"/>
              <w:jc w:val="center"/>
              <w:rPr>
                <w:rFonts w:hint="default" w:ascii="Times New Roman" w:hAnsi="Times New Roman" w:eastAsia="宋体" w:cs="Times New Roman"/>
                <w:bCs/>
                <w:kern w:val="2"/>
                <w:sz w:val="21"/>
                <w:szCs w:val="21"/>
                <w:lang w:val="en-US" w:eastAsia="zh-CN" w:bidi="ar-SA"/>
              </w:rPr>
            </w:pPr>
            <w:r>
              <w:rPr>
                <w:rFonts w:hint="default"/>
                <w:bCs/>
                <w:szCs w:val="21"/>
                <w:lang w:val="en-US" w:eastAsia="zh-CN"/>
              </w:rPr>
              <w:t>2</w:t>
            </w:r>
          </w:p>
        </w:tc>
        <w:tc>
          <w:tcPr>
            <w:tcW w:w="5160" w:type="dxa"/>
            <w:vAlign w:val="center"/>
          </w:tcPr>
          <w:p>
            <w:pPr>
              <w:spacing w:line="340" w:lineRule="exact"/>
              <w:jc w:val="left"/>
              <w:rPr>
                <w:rFonts w:hint="default" w:ascii="Times New Roman" w:hAnsi="Times New Roman" w:eastAsia="宋体" w:cs="Times New Roman"/>
                <w:bCs/>
                <w:kern w:val="2"/>
                <w:sz w:val="21"/>
                <w:szCs w:val="21"/>
                <w:lang w:val="en-US" w:eastAsia="zh-CN" w:bidi="ar-SA"/>
              </w:rPr>
            </w:pPr>
            <w:r>
              <w:rPr>
                <w:rFonts w:hint="default"/>
                <w:bCs/>
                <w:iCs/>
                <w:szCs w:val="21"/>
              </w:rPr>
              <w:t>投标人</w:t>
            </w:r>
            <w:r>
              <w:rPr>
                <w:rFonts w:hint="default"/>
                <w:bCs/>
                <w:iCs/>
                <w:szCs w:val="21"/>
                <w:lang w:val="en-US" w:eastAsia="zh-CN"/>
              </w:rPr>
              <w:t>具有有效期内</w:t>
            </w:r>
            <w:r>
              <w:rPr>
                <w:rFonts w:hint="default"/>
                <w:szCs w:val="21"/>
              </w:rPr>
              <w:t>电子</w:t>
            </w:r>
            <w:r>
              <w:rPr>
                <w:rFonts w:hint="eastAsia"/>
                <w:szCs w:val="21"/>
                <w:lang w:val="en-US" w:eastAsia="zh-CN"/>
              </w:rPr>
              <w:t>与</w:t>
            </w:r>
            <w:r>
              <w:rPr>
                <w:rFonts w:hint="default"/>
                <w:szCs w:val="21"/>
              </w:rPr>
              <w:t>智能化</w:t>
            </w:r>
            <w:r>
              <w:rPr>
                <w:rFonts w:hint="eastAsia"/>
                <w:szCs w:val="21"/>
                <w:lang w:val="en-US" w:eastAsia="zh-CN"/>
              </w:rPr>
              <w:t>工程专业</w:t>
            </w:r>
            <w:r>
              <w:rPr>
                <w:rFonts w:hint="default"/>
                <w:szCs w:val="21"/>
              </w:rPr>
              <w:t>二级及以上</w:t>
            </w:r>
            <w:r>
              <w:rPr>
                <w:rFonts w:hint="eastAsia"/>
                <w:szCs w:val="21"/>
                <w:lang w:val="en-US" w:eastAsia="zh-CN"/>
              </w:rPr>
              <w:t>资质</w:t>
            </w:r>
            <w:r>
              <w:rPr>
                <w:rFonts w:hint="default"/>
                <w:szCs w:val="21"/>
              </w:rPr>
              <w:t>证书</w:t>
            </w:r>
            <w:r>
              <w:rPr>
                <w:rFonts w:hint="default"/>
                <w:szCs w:val="21"/>
                <w:lang w:val="en-US" w:eastAsia="zh-CN"/>
              </w:rPr>
              <w:t>的</w:t>
            </w:r>
            <w:r>
              <w:rPr>
                <w:rFonts w:hint="default"/>
                <w:szCs w:val="21"/>
              </w:rPr>
              <w:t>得2分；</w:t>
            </w:r>
          </w:p>
        </w:tc>
        <w:tc>
          <w:tcPr>
            <w:tcW w:w="2008" w:type="dxa"/>
            <w:vAlign w:val="center"/>
          </w:tcPr>
          <w:p>
            <w:pPr>
              <w:spacing w:line="340" w:lineRule="exact"/>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bCs/>
                <w:iCs/>
                <w:color w:val="000000" w:themeColor="text1"/>
                <w:szCs w:val="21"/>
                <w14:textFill>
                  <w14:solidFill>
                    <w14:schemeClr w14:val="tx1"/>
                  </w14:solidFill>
                </w14:textFill>
              </w:rPr>
              <w:t>投标人提供相应证书等证明材料。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9" w:type="dxa"/>
            <w:vMerge w:val="continue"/>
            <w:vAlign w:val="center"/>
          </w:tcPr>
          <w:p>
            <w:pPr>
              <w:adjustRightInd w:val="0"/>
              <w:snapToGrid w:val="0"/>
              <w:spacing w:line="340" w:lineRule="exact"/>
              <w:jc w:val="center"/>
              <w:rPr>
                <w:rFonts w:hint="default"/>
                <w:bCs/>
                <w:szCs w:val="21"/>
              </w:rPr>
            </w:pPr>
          </w:p>
        </w:tc>
        <w:tc>
          <w:tcPr>
            <w:tcW w:w="1186" w:type="dxa"/>
            <w:vMerge w:val="continue"/>
            <w:vAlign w:val="center"/>
          </w:tcPr>
          <w:p>
            <w:pPr>
              <w:adjustRightInd w:val="0"/>
              <w:snapToGrid w:val="0"/>
              <w:spacing w:line="340" w:lineRule="exact"/>
              <w:jc w:val="center"/>
              <w:rPr>
                <w:rFonts w:hint="default"/>
                <w:bCs/>
                <w:szCs w:val="21"/>
              </w:rPr>
            </w:pPr>
          </w:p>
        </w:tc>
        <w:tc>
          <w:tcPr>
            <w:tcW w:w="645" w:type="dxa"/>
            <w:vAlign w:val="center"/>
          </w:tcPr>
          <w:p>
            <w:pPr>
              <w:adjustRightInd w:val="0"/>
              <w:snapToGrid w:val="0"/>
              <w:spacing w:line="340" w:lineRule="exact"/>
              <w:jc w:val="center"/>
              <w:rPr>
                <w:rFonts w:hint="default" w:ascii="Times New Roman" w:hAnsi="Times New Roman" w:eastAsia="宋体" w:cs="Times New Roman"/>
                <w:bCs/>
                <w:kern w:val="2"/>
                <w:sz w:val="21"/>
                <w:szCs w:val="21"/>
                <w:lang w:val="en-US" w:eastAsia="zh-CN" w:bidi="ar-SA"/>
              </w:rPr>
            </w:pPr>
            <w:r>
              <w:rPr>
                <w:rFonts w:hint="default"/>
                <w:bCs/>
                <w:szCs w:val="21"/>
                <w:lang w:val="en-US" w:eastAsia="zh-CN"/>
              </w:rPr>
              <w:t>2</w:t>
            </w:r>
          </w:p>
        </w:tc>
        <w:tc>
          <w:tcPr>
            <w:tcW w:w="5160" w:type="dxa"/>
            <w:vAlign w:val="center"/>
          </w:tcPr>
          <w:p>
            <w:pPr>
              <w:spacing w:line="340" w:lineRule="exact"/>
              <w:rPr>
                <w:rFonts w:hint="default" w:ascii="Times New Roman" w:hAnsi="Times New Roman" w:eastAsia="宋体" w:cs="Times New Roman"/>
                <w:bCs/>
                <w:kern w:val="2"/>
                <w:sz w:val="21"/>
                <w:szCs w:val="21"/>
                <w:lang w:val="en-US" w:eastAsia="zh-CN" w:bidi="ar-SA"/>
              </w:rPr>
            </w:pPr>
            <w:r>
              <w:rPr>
                <w:rFonts w:hint="default"/>
                <w:bCs/>
                <w:iCs/>
                <w:szCs w:val="21"/>
              </w:rPr>
              <w:t>投标人</w:t>
            </w:r>
            <w:r>
              <w:rPr>
                <w:rFonts w:hint="default"/>
                <w:bCs/>
                <w:iCs/>
                <w:szCs w:val="21"/>
                <w:lang w:val="en-US" w:eastAsia="zh-CN"/>
              </w:rPr>
              <w:t>具有有效期内</w:t>
            </w:r>
            <w:r>
              <w:rPr>
                <w:rFonts w:hint="default"/>
                <w:color w:val="000000"/>
                <w:szCs w:val="21"/>
              </w:rPr>
              <w:t>ISO22301业务连续性体系认证证书</w:t>
            </w:r>
            <w:r>
              <w:rPr>
                <w:rFonts w:hint="default"/>
                <w:color w:val="000000"/>
                <w:szCs w:val="21"/>
                <w:lang w:val="en-US" w:eastAsia="zh-CN"/>
              </w:rPr>
              <w:t>的</w:t>
            </w:r>
            <w:r>
              <w:rPr>
                <w:rFonts w:hint="default"/>
                <w:color w:val="000000"/>
                <w:szCs w:val="21"/>
              </w:rPr>
              <w:t>得2分</w:t>
            </w:r>
            <w:r>
              <w:rPr>
                <w:rFonts w:hint="default"/>
                <w:bCs/>
                <w:iCs/>
                <w:szCs w:val="21"/>
              </w:rPr>
              <w:t>。</w:t>
            </w:r>
          </w:p>
        </w:tc>
        <w:tc>
          <w:tcPr>
            <w:tcW w:w="2008" w:type="dxa"/>
            <w:vAlign w:val="center"/>
          </w:tcPr>
          <w:p>
            <w:pPr>
              <w:spacing w:line="340" w:lineRule="exact"/>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bCs/>
                <w:iCs/>
                <w:color w:val="000000" w:themeColor="text1"/>
                <w:szCs w:val="21"/>
                <w14:textFill>
                  <w14:solidFill>
                    <w14:schemeClr w14:val="tx1"/>
                  </w14:solidFill>
                </w14:textFill>
              </w:rPr>
              <w:t>投标人提供相应证书等证明材料。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59" w:type="dxa"/>
            <w:vMerge w:val="continue"/>
            <w:vAlign w:val="center"/>
          </w:tcPr>
          <w:p>
            <w:pPr>
              <w:adjustRightInd w:val="0"/>
              <w:snapToGrid w:val="0"/>
              <w:spacing w:line="340" w:lineRule="exact"/>
              <w:jc w:val="center"/>
              <w:rPr>
                <w:rFonts w:hint="default"/>
                <w:bCs/>
                <w:szCs w:val="21"/>
              </w:rPr>
            </w:pPr>
          </w:p>
        </w:tc>
        <w:tc>
          <w:tcPr>
            <w:tcW w:w="1186" w:type="dxa"/>
            <w:vMerge w:val="continue"/>
            <w:vAlign w:val="center"/>
          </w:tcPr>
          <w:p>
            <w:pPr>
              <w:adjustRightInd w:val="0"/>
              <w:snapToGrid w:val="0"/>
              <w:spacing w:line="340" w:lineRule="exact"/>
              <w:jc w:val="center"/>
              <w:rPr>
                <w:rFonts w:hint="default"/>
                <w:bCs/>
                <w:szCs w:val="21"/>
              </w:rPr>
            </w:pPr>
          </w:p>
        </w:tc>
        <w:tc>
          <w:tcPr>
            <w:tcW w:w="645" w:type="dxa"/>
            <w:vAlign w:val="center"/>
          </w:tcPr>
          <w:p>
            <w:pPr>
              <w:adjustRightInd w:val="0"/>
              <w:snapToGrid w:val="0"/>
              <w:spacing w:line="340" w:lineRule="exact"/>
              <w:jc w:val="center"/>
              <w:rPr>
                <w:rFonts w:hint="default" w:ascii="Times New Roman" w:hAnsi="Times New Roman" w:eastAsia="宋体" w:cs="Times New Roman"/>
                <w:bCs/>
                <w:kern w:val="2"/>
                <w:sz w:val="21"/>
                <w:szCs w:val="21"/>
                <w:lang w:val="en-US" w:eastAsia="zh-CN" w:bidi="ar-SA"/>
              </w:rPr>
            </w:pPr>
            <w:r>
              <w:rPr>
                <w:rFonts w:hint="default"/>
                <w:bCs/>
                <w:szCs w:val="21"/>
              </w:rPr>
              <w:t>2</w:t>
            </w:r>
          </w:p>
        </w:tc>
        <w:tc>
          <w:tcPr>
            <w:tcW w:w="5160" w:type="dxa"/>
            <w:vAlign w:val="center"/>
          </w:tcPr>
          <w:p>
            <w:pPr>
              <w:adjustRightInd/>
              <w:snapToGrid/>
              <w:spacing w:line="340" w:lineRule="exact"/>
              <w:jc w:val="left"/>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bCs/>
                <w:iCs/>
                <w:color w:val="auto"/>
                <w:szCs w:val="21"/>
              </w:rPr>
              <w:t>投标人</w:t>
            </w:r>
            <w:r>
              <w:rPr>
                <w:rFonts w:hint="default"/>
                <w:bCs/>
                <w:iCs/>
                <w:color w:val="auto"/>
                <w:szCs w:val="21"/>
                <w:lang w:val="en-US" w:eastAsia="zh-CN"/>
              </w:rPr>
              <w:t>具有有效期内</w:t>
            </w:r>
            <w:r>
              <w:rPr>
                <w:rFonts w:hint="default"/>
                <w:color w:val="auto"/>
                <w:szCs w:val="21"/>
              </w:rPr>
              <w:t>C</w:t>
            </w:r>
            <w:r>
              <w:rPr>
                <w:rFonts w:hint="eastAsia"/>
                <w:color w:val="auto"/>
                <w:szCs w:val="21"/>
                <w:lang w:val="en-US" w:eastAsia="zh-CN"/>
              </w:rPr>
              <w:t>C</w:t>
            </w:r>
            <w:r>
              <w:rPr>
                <w:rFonts w:hint="default"/>
                <w:color w:val="auto"/>
                <w:szCs w:val="21"/>
              </w:rPr>
              <w:t>RC信息安全服务资质二级及以上资质（包含安全开发、安全运维）认证证书</w:t>
            </w:r>
            <w:r>
              <w:rPr>
                <w:rFonts w:hint="default"/>
                <w:color w:val="auto"/>
                <w:szCs w:val="21"/>
                <w:lang w:val="en-US" w:eastAsia="zh-CN"/>
              </w:rPr>
              <w:t>的</w:t>
            </w:r>
            <w:r>
              <w:rPr>
                <w:rFonts w:hint="default"/>
                <w:color w:val="auto"/>
                <w:szCs w:val="21"/>
              </w:rPr>
              <w:t>得2分</w:t>
            </w:r>
            <w:r>
              <w:rPr>
                <w:rFonts w:hint="default"/>
                <w:color w:val="auto"/>
                <w:szCs w:val="21"/>
                <w:lang w:eastAsia="zh-CN"/>
              </w:rPr>
              <w:t>。</w:t>
            </w:r>
          </w:p>
        </w:tc>
        <w:tc>
          <w:tcPr>
            <w:tcW w:w="2008" w:type="dxa"/>
            <w:vAlign w:val="center"/>
          </w:tcPr>
          <w:p>
            <w:pPr>
              <w:spacing w:line="340" w:lineRule="exact"/>
              <w:rPr>
                <w:rFonts w:hint="default"/>
                <w:bCs/>
                <w:color w:val="000000" w:themeColor="text1"/>
                <w:szCs w:val="21"/>
                <w14:textFill>
                  <w14:solidFill>
                    <w14:schemeClr w14:val="tx1"/>
                  </w14:solidFill>
                </w14:textFill>
              </w:rPr>
            </w:pPr>
            <w:r>
              <w:rPr>
                <w:rFonts w:hint="default"/>
                <w:bCs/>
                <w:iCs/>
                <w:color w:val="000000" w:themeColor="text1"/>
                <w:szCs w:val="21"/>
                <w14:textFill>
                  <w14:solidFill>
                    <w14:schemeClr w14:val="tx1"/>
                  </w14:solidFill>
                </w14:textFill>
              </w:rPr>
              <w:t>投标人提供相应证书等证明材料。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9" w:type="dxa"/>
            <w:vMerge w:val="continue"/>
            <w:vAlign w:val="center"/>
          </w:tcPr>
          <w:p>
            <w:pPr>
              <w:adjustRightInd w:val="0"/>
              <w:snapToGrid w:val="0"/>
              <w:spacing w:line="340" w:lineRule="exact"/>
              <w:jc w:val="center"/>
              <w:rPr>
                <w:rFonts w:hint="default"/>
                <w:bCs/>
                <w:szCs w:val="21"/>
              </w:rPr>
            </w:pPr>
          </w:p>
        </w:tc>
        <w:tc>
          <w:tcPr>
            <w:tcW w:w="1186" w:type="dxa"/>
            <w:vMerge w:val="continue"/>
            <w:vAlign w:val="center"/>
          </w:tcPr>
          <w:p>
            <w:pPr>
              <w:adjustRightInd w:val="0"/>
              <w:snapToGrid w:val="0"/>
              <w:spacing w:line="340" w:lineRule="exact"/>
              <w:jc w:val="center"/>
              <w:rPr>
                <w:rFonts w:hint="default"/>
                <w:bCs/>
                <w:szCs w:val="21"/>
              </w:rPr>
            </w:pPr>
          </w:p>
        </w:tc>
        <w:tc>
          <w:tcPr>
            <w:tcW w:w="645" w:type="dxa"/>
            <w:vAlign w:val="center"/>
          </w:tcPr>
          <w:p>
            <w:pPr>
              <w:adjustRightInd w:val="0"/>
              <w:snapToGrid w:val="0"/>
              <w:spacing w:line="340" w:lineRule="exact"/>
              <w:jc w:val="center"/>
              <w:rPr>
                <w:rFonts w:hint="default" w:ascii="Times New Roman" w:hAnsi="Times New Roman" w:eastAsia="宋体" w:cs="Times New Roman"/>
                <w:kern w:val="2"/>
                <w:sz w:val="21"/>
                <w:szCs w:val="21"/>
                <w:lang w:val="en-US" w:eastAsia="zh-CN" w:bidi="ar-SA"/>
              </w:rPr>
            </w:pPr>
            <w:r>
              <w:rPr>
                <w:rFonts w:hint="default"/>
                <w:szCs w:val="21"/>
                <w:lang w:val="en-US" w:eastAsia="zh-CN"/>
              </w:rPr>
              <w:t>2</w:t>
            </w:r>
          </w:p>
        </w:tc>
        <w:tc>
          <w:tcPr>
            <w:tcW w:w="5160" w:type="dxa"/>
            <w:vAlign w:val="center"/>
          </w:tcPr>
          <w:p>
            <w:pPr>
              <w:adjustRightInd w:val="0"/>
              <w:snapToGrid w:val="0"/>
              <w:spacing w:line="340" w:lineRule="exact"/>
              <w:rPr>
                <w:rFonts w:hint="default" w:ascii="Times New Roman" w:hAnsi="Times New Roman" w:eastAsia="宋体" w:cs="Times New Roman"/>
                <w:bCs/>
                <w:iCs/>
                <w:kern w:val="2"/>
                <w:sz w:val="21"/>
                <w:szCs w:val="21"/>
                <w:lang w:val="en-US" w:eastAsia="zh-CN" w:bidi="ar-SA"/>
              </w:rPr>
            </w:pPr>
            <w:r>
              <w:rPr>
                <w:rFonts w:hint="default"/>
                <w:bCs/>
                <w:iCs/>
                <w:szCs w:val="21"/>
              </w:rPr>
              <w:t>投标人</w:t>
            </w:r>
            <w:r>
              <w:rPr>
                <w:rFonts w:hint="default"/>
                <w:bCs/>
                <w:iCs/>
                <w:szCs w:val="21"/>
                <w:lang w:val="en-US" w:eastAsia="zh-CN"/>
              </w:rPr>
              <w:t>具有有效期内</w:t>
            </w:r>
            <w:r>
              <w:rPr>
                <w:rFonts w:hint="default"/>
                <w:szCs w:val="21"/>
              </w:rPr>
              <w:t>ISO27701隐私信息管理体系认证证书</w:t>
            </w:r>
            <w:r>
              <w:rPr>
                <w:rFonts w:hint="default"/>
                <w:szCs w:val="21"/>
                <w:lang w:val="en-US" w:eastAsia="zh-CN"/>
              </w:rPr>
              <w:t>的</w:t>
            </w:r>
            <w:r>
              <w:rPr>
                <w:rFonts w:hint="default"/>
                <w:szCs w:val="21"/>
              </w:rPr>
              <w:t>得2分</w:t>
            </w:r>
            <w:r>
              <w:rPr>
                <w:rFonts w:hint="default"/>
                <w:szCs w:val="21"/>
                <w:lang w:eastAsia="zh-CN"/>
              </w:rPr>
              <w:t>。</w:t>
            </w:r>
          </w:p>
        </w:tc>
        <w:tc>
          <w:tcPr>
            <w:tcW w:w="2008" w:type="dxa"/>
            <w:vAlign w:val="center"/>
          </w:tcPr>
          <w:p>
            <w:pPr>
              <w:adjustRightInd w:val="0"/>
              <w:snapToGrid w:val="0"/>
              <w:spacing w:line="340" w:lineRule="exact"/>
              <w:rPr>
                <w:rFonts w:hint="default"/>
                <w:bCs/>
                <w:color w:val="000000" w:themeColor="text1"/>
                <w:szCs w:val="21"/>
                <w14:textFill>
                  <w14:solidFill>
                    <w14:schemeClr w14:val="tx1"/>
                  </w14:solidFill>
                </w14:textFill>
              </w:rPr>
            </w:pPr>
            <w:r>
              <w:rPr>
                <w:rFonts w:hint="default"/>
                <w:bCs/>
                <w:iCs/>
                <w:color w:val="000000" w:themeColor="text1"/>
                <w:szCs w:val="21"/>
                <w14:textFill>
                  <w14:solidFill>
                    <w14:schemeClr w14:val="tx1"/>
                  </w14:solidFill>
                </w14:textFill>
              </w:rPr>
              <w:t>投标人提供相应证书等证明材料。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9" w:type="dxa"/>
            <w:vMerge w:val="continue"/>
            <w:vAlign w:val="center"/>
          </w:tcPr>
          <w:p>
            <w:pPr>
              <w:adjustRightInd w:val="0"/>
              <w:snapToGrid w:val="0"/>
              <w:spacing w:line="340" w:lineRule="exact"/>
              <w:rPr>
                <w:rFonts w:hint="default"/>
                <w:szCs w:val="21"/>
              </w:rPr>
            </w:pPr>
          </w:p>
        </w:tc>
        <w:tc>
          <w:tcPr>
            <w:tcW w:w="1186" w:type="dxa"/>
            <w:vMerge w:val="continue"/>
            <w:vAlign w:val="center"/>
          </w:tcPr>
          <w:p>
            <w:pPr>
              <w:adjustRightInd w:val="0"/>
              <w:snapToGrid w:val="0"/>
              <w:spacing w:line="340" w:lineRule="exact"/>
              <w:rPr>
                <w:rFonts w:hint="default"/>
                <w:szCs w:val="21"/>
              </w:rPr>
            </w:pPr>
          </w:p>
        </w:tc>
        <w:tc>
          <w:tcPr>
            <w:tcW w:w="645" w:type="dxa"/>
            <w:vAlign w:val="center"/>
          </w:tcPr>
          <w:p>
            <w:pPr>
              <w:adjustRightInd w:val="0"/>
              <w:snapToGrid w:val="0"/>
              <w:spacing w:line="340" w:lineRule="exact"/>
              <w:jc w:val="center"/>
              <w:rPr>
                <w:rFonts w:hint="default" w:ascii="Times New Roman" w:hAnsi="Times New Roman" w:eastAsia="宋体" w:cs="Times New Roman"/>
                <w:bCs/>
                <w:iCs/>
                <w:kern w:val="2"/>
                <w:sz w:val="21"/>
                <w:szCs w:val="21"/>
                <w:lang w:val="en-US" w:eastAsia="zh-CN" w:bidi="ar-SA"/>
              </w:rPr>
            </w:pPr>
            <w:r>
              <w:rPr>
                <w:rFonts w:hint="default"/>
                <w:bCs/>
                <w:iCs/>
                <w:szCs w:val="21"/>
                <w:lang w:val="en-US" w:eastAsia="zh-CN"/>
              </w:rPr>
              <w:t>2</w:t>
            </w:r>
          </w:p>
        </w:tc>
        <w:tc>
          <w:tcPr>
            <w:tcW w:w="5160" w:type="dxa"/>
            <w:vAlign w:val="center"/>
          </w:tcPr>
          <w:p>
            <w:pPr>
              <w:adjustRightInd w:val="0"/>
              <w:snapToGrid w:val="0"/>
              <w:spacing w:line="340" w:lineRule="exact"/>
              <w:rPr>
                <w:rFonts w:hint="default" w:ascii="Times New Roman" w:hAnsi="Times New Roman" w:eastAsia="宋体" w:cs="Times New Roman"/>
                <w:bCs/>
                <w:iCs/>
                <w:kern w:val="2"/>
                <w:sz w:val="21"/>
                <w:szCs w:val="21"/>
                <w:lang w:val="en-US" w:eastAsia="zh-CN" w:bidi="ar-SA"/>
              </w:rPr>
            </w:pPr>
            <w:r>
              <w:rPr>
                <w:rFonts w:hint="default"/>
                <w:bCs/>
                <w:iCs/>
                <w:szCs w:val="21"/>
              </w:rPr>
              <w:t>投标人</w:t>
            </w:r>
            <w:r>
              <w:rPr>
                <w:rFonts w:hint="default"/>
                <w:bCs/>
                <w:iCs/>
                <w:szCs w:val="21"/>
                <w:lang w:val="en-US" w:eastAsia="zh-CN"/>
              </w:rPr>
              <w:t>具有有效期内</w:t>
            </w:r>
            <w:r>
              <w:rPr>
                <w:rFonts w:hint="default"/>
                <w:szCs w:val="21"/>
              </w:rPr>
              <w:t>省级及以上安防资质等级一级认证证书</w:t>
            </w:r>
            <w:r>
              <w:rPr>
                <w:rFonts w:hint="default"/>
                <w:szCs w:val="21"/>
                <w:lang w:val="en-US" w:eastAsia="zh-CN"/>
              </w:rPr>
              <w:t>的</w:t>
            </w:r>
            <w:r>
              <w:rPr>
                <w:rFonts w:hint="default"/>
                <w:szCs w:val="21"/>
              </w:rPr>
              <w:t>得2分</w:t>
            </w:r>
            <w:r>
              <w:rPr>
                <w:rFonts w:hint="default"/>
                <w:szCs w:val="21"/>
                <w:lang w:eastAsia="zh-CN"/>
              </w:rPr>
              <w:t>。</w:t>
            </w:r>
          </w:p>
        </w:tc>
        <w:tc>
          <w:tcPr>
            <w:tcW w:w="2008" w:type="dxa"/>
            <w:vAlign w:val="center"/>
          </w:tcPr>
          <w:p>
            <w:pPr>
              <w:adjustRightInd w:val="0"/>
              <w:snapToGrid w:val="0"/>
              <w:spacing w:line="340" w:lineRule="exact"/>
              <w:rPr>
                <w:rFonts w:hint="default"/>
                <w:bCs/>
                <w:iCs/>
                <w:szCs w:val="21"/>
              </w:rPr>
            </w:pPr>
            <w:r>
              <w:rPr>
                <w:rFonts w:hint="default"/>
                <w:bCs/>
                <w:iCs/>
                <w:color w:val="000000" w:themeColor="text1"/>
                <w:szCs w:val="21"/>
                <w14:textFill>
                  <w14:solidFill>
                    <w14:schemeClr w14:val="tx1"/>
                  </w14:solidFill>
                </w14:textFill>
              </w:rPr>
              <w:t>投标人提供相应证书等证明材料。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59" w:type="dxa"/>
            <w:vMerge w:val="continue"/>
            <w:vAlign w:val="center"/>
          </w:tcPr>
          <w:p>
            <w:pPr>
              <w:adjustRightInd w:val="0"/>
              <w:snapToGrid w:val="0"/>
              <w:spacing w:line="340" w:lineRule="exact"/>
              <w:rPr>
                <w:rFonts w:hint="default"/>
                <w:bCs/>
                <w:iCs/>
                <w:szCs w:val="21"/>
              </w:rPr>
            </w:pPr>
          </w:p>
        </w:tc>
        <w:tc>
          <w:tcPr>
            <w:tcW w:w="1186" w:type="dxa"/>
            <w:vMerge w:val="continue"/>
            <w:vAlign w:val="center"/>
          </w:tcPr>
          <w:p>
            <w:pPr>
              <w:adjustRightInd w:val="0"/>
              <w:snapToGrid w:val="0"/>
              <w:spacing w:line="340" w:lineRule="exact"/>
              <w:rPr>
                <w:rFonts w:hint="default"/>
                <w:bCs/>
                <w:iCs/>
                <w:szCs w:val="21"/>
              </w:rPr>
            </w:pPr>
          </w:p>
        </w:tc>
        <w:tc>
          <w:tcPr>
            <w:tcW w:w="645" w:type="dxa"/>
            <w:vAlign w:val="center"/>
          </w:tcPr>
          <w:p>
            <w:pPr>
              <w:adjustRightInd w:val="0"/>
              <w:snapToGrid w:val="0"/>
              <w:spacing w:line="340" w:lineRule="exact"/>
              <w:jc w:val="center"/>
              <w:rPr>
                <w:rFonts w:hint="default" w:eastAsia="宋体"/>
                <w:bCs/>
                <w:iCs/>
                <w:szCs w:val="21"/>
                <w:lang w:val="en-US" w:eastAsia="zh-CN"/>
              </w:rPr>
            </w:pPr>
            <w:r>
              <w:rPr>
                <w:rFonts w:hint="default"/>
                <w:bCs/>
                <w:iCs/>
                <w:szCs w:val="21"/>
                <w:lang w:val="en-US" w:eastAsia="zh-CN"/>
              </w:rPr>
              <w:t>2</w:t>
            </w:r>
          </w:p>
        </w:tc>
        <w:tc>
          <w:tcPr>
            <w:tcW w:w="5160" w:type="dxa"/>
            <w:vAlign w:val="center"/>
          </w:tcPr>
          <w:p>
            <w:pPr>
              <w:adjustRightInd w:val="0"/>
              <w:snapToGrid w:val="0"/>
              <w:spacing w:line="340" w:lineRule="exact"/>
              <w:rPr>
                <w:rFonts w:hint="default" w:ascii="Times New Roman" w:hAnsi="Times New Roman" w:eastAsia="宋体" w:cs="Times New Roman"/>
                <w:szCs w:val="21"/>
                <w:lang w:eastAsia="zh-CN"/>
              </w:rPr>
            </w:pPr>
            <w:r>
              <w:rPr>
                <w:rFonts w:hint="default" w:ascii="Times New Roman" w:hAnsi="Times New Roman" w:eastAsia="宋体" w:cs="Times New Roman"/>
                <w:szCs w:val="21"/>
              </w:rPr>
              <w:t>投标人</w:t>
            </w:r>
            <w:r>
              <w:rPr>
                <w:rFonts w:hint="default" w:ascii="Times New Roman" w:hAnsi="Times New Roman" w:eastAsia="宋体" w:cs="Times New Roman"/>
                <w:szCs w:val="21"/>
                <w:lang w:val="en-US" w:eastAsia="zh-CN"/>
              </w:rPr>
              <w:t>具有有效期内</w:t>
            </w:r>
            <w:r>
              <w:rPr>
                <w:rFonts w:hint="default" w:ascii="Times New Roman" w:hAnsi="Times New Roman" w:eastAsia="宋体" w:cs="Times New Roman"/>
                <w:szCs w:val="21"/>
              </w:rPr>
              <w:t>ITSS信息技术服务运行维护标准二级及以上认证证书</w:t>
            </w:r>
            <w:r>
              <w:rPr>
                <w:rFonts w:hint="default" w:ascii="Times New Roman" w:hAnsi="Times New Roman" w:eastAsia="宋体" w:cs="Times New Roman"/>
                <w:szCs w:val="21"/>
                <w:lang w:val="en-US" w:eastAsia="zh-CN"/>
              </w:rPr>
              <w:t>的</w:t>
            </w:r>
            <w:r>
              <w:rPr>
                <w:rFonts w:hint="default" w:ascii="Times New Roman" w:hAnsi="Times New Roman" w:eastAsia="宋体" w:cs="Times New Roman"/>
                <w:szCs w:val="21"/>
              </w:rPr>
              <w:t>得2分</w:t>
            </w:r>
            <w:r>
              <w:rPr>
                <w:rFonts w:hint="default" w:ascii="Times New Roman" w:hAnsi="Times New Roman" w:eastAsia="宋体" w:cs="Times New Roman"/>
                <w:szCs w:val="21"/>
                <w:lang w:eastAsia="zh-CN"/>
              </w:rPr>
              <w:t>。</w:t>
            </w:r>
          </w:p>
        </w:tc>
        <w:tc>
          <w:tcPr>
            <w:tcW w:w="2008" w:type="dxa"/>
            <w:vAlign w:val="center"/>
          </w:tcPr>
          <w:p>
            <w:pPr>
              <w:adjustRightInd w:val="0"/>
              <w:snapToGrid w:val="0"/>
              <w:spacing w:line="340" w:lineRule="exact"/>
              <w:rPr>
                <w:rFonts w:hint="default"/>
                <w:bCs/>
                <w:iCs/>
                <w:szCs w:val="21"/>
              </w:rPr>
            </w:pPr>
            <w:r>
              <w:rPr>
                <w:rFonts w:hint="default"/>
                <w:bCs/>
                <w:iCs/>
                <w:color w:val="000000" w:themeColor="text1"/>
                <w:szCs w:val="21"/>
                <w14:textFill>
                  <w14:solidFill>
                    <w14:schemeClr w14:val="tx1"/>
                  </w14:solidFill>
                </w14:textFill>
              </w:rPr>
              <w:t>投标人提供相应证书等证明材料。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59" w:type="dxa"/>
            <w:vMerge w:val="restart"/>
            <w:vAlign w:val="center"/>
          </w:tcPr>
          <w:p>
            <w:pPr>
              <w:adjustRightInd w:val="0"/>
              <w:snapToGrid w:val="0"/>
              <w:spacing w:line="340" w:lineRule="exact"/>
              <w:jc w:val="center"/>
              <w:rPr>
                <w:rFonts w:hint="default"/>
                <w:bCs/>
                <w:szCs w:val="21"/>
              </w:rPr>
            </w:pPr>
            <w:r>
              <w:rPr>
                <w:rFonts w:hint="default"/>
                <w:bCs/>
                <w:szCs w:val="21"/>
              </w:rPr>
              <w:t>2</w:t>
            </w:r>
          </w:p>
        </w:tc>
        <w:tc>
          <w:tcPr>
            <w:tcW w:w="1186" w:type="dxa"/>
            <w:vMerge w:val="restart"/>
            <w:vAlign w:val="center"/>
          </w:tcPr>
          <w:p>
            <w:pPr>
              <w:adjustRightInd w:val="0"/>
              <w:snapToGrid w:val="0"/>
              <w:spacing w:line="340" w:lineRule="exact"/>
              <w:rPr>
                <w:rFonts w:hint="default"/>
                <w:bCs/>
                <w:szCs w:val="21"/>
              </w:rPr>
            </w:pPr>
            <w:r>
              <w:rPr>
                <w:rFonts w:hint="default"/>
                <w:bCs/>
                <w:szCs w:val="21"/>
              </w:rPr>
              <w:t>拟投入技术力量</w:t>
            </w:r>
          </w:p>
        </w:tc>
        <w:tc>
          <w:tcPr>
            <w:tcW w:w="645" w:type="dxa"/>
            <w:vAlign w:val="center"/>
          </w:tcPr>
          <w:p>
            <w:pPr>
              <w:adjustRightInd w:val="0"/>
              <w:snapToGrid w:val="0"/>
              <w:spacing w:line="340" w:lineRule="exact"/>
              <w:jc w:val="center"/>
              <w:rPr>
                <w:rFonts w:hint="eastAsia" w:eastAsia="宋体"/>
                <w:bCs/>
                <w:szCs w:val="21"/>
                <w:lang w:eastAsia="zh-CN"/>
              </w:rPr>
            </w:pPr>
            <w:r>
              <w:rPr>
                <w:rFonts w:hint="eastAsia" w:ascii="Times New Roman" w:hAnsi="Times New Roman" w:eastAsia="宋体" w:cs="Times New Roman"/>
                <w:bCs/>
                <w:szCs w:val="21"/>
                <w:lang w:val="en-US" w:eastAsia="zh-CN"/>
              </w:rPr>
              <w:t>4</w:t>
            </w:r>
          </w:p>
        </w:tc>
        <w:tc>
          <w:tcPr>
            <w:tcW w:w="5160" w:type="dxa"/>
            <w:vAlign w:val="center"/>
          </w:tcPr>
          <w:p>
            <w:pPr>
              <w:spacing w:line="340" w:lineRule="exact"/>
              <w:jc w:val="left"/>
              <w:rPr>
                <w:rFonts w:hint="default"/>
                <w:bCs/>
                <w:color w:val="auto"/>
                <w:szCs w:val="21"/>
              </w:rPr>
            </w:pPr>
            <w:r>
              <w:rPr>
                <w:rFonts w:hint="default"/>
                <w:bCs/>
                <w:color w:val="auto"/>
                <w:szCs w:val="21"/>
              </w:rPr>
              <w:t>人员配置：</w:t>
            </w:r>
          </w:p>
          <w:p>
            <w:pPr>
              <w:spacing w:line="340" w:lineRule="exact"/>
              <w:jc w:val="left"/>
              <w:rPr>
                <w:rFonts w:hint="default"/>
                <w:b w:val="0"/>
                <w:bCs/>
                <w:szCs w:val="21"/>
              </w:rPr>
            </w:pPr>
            <w:r>
              <w:rPr>
                <w:rFonts w:hint="default"/>
                <w:color w:val="000000"/>
                <w:szCs w:val="21"/>
              </w:rPr>
              <w:t>项目负责人具备注册信息安全专业人员（CISP）证书、信息系统项目管理师证书、一级建造师（通信与广电工程）证书、中级及以上工程师证书，每具备一个得1分，最高得4分。</w:t>
            </w:r>
          </w:p>
        </w:tc>
        <w:tc>
          <w:tcPr>
            <w:tcW w:w="2008" w:type="dxa"/>
            <w:vMerge w:val="restart"/>
            <w:vAlign w:val="center"/>
          </w:tcPr>
          <w:p>
            <w:pPr>
              <w:spacing w:line="340" w:lineRule="exact"/>
              <w:rPr>
                <w:rFonts w:hint="default"/>
                <w:b w:val="0"/>
                <w:bCs/>
                <w:color w:val="000000" w:themeColor="text1"/>
                <w:sz w:val="21"/>
                <w:szCs w:val="21"/>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提供相应证书等证明材料及</w:t>
            </w: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为其投保的投标截止日之前三个月以内的社保参保证明。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59" w:type="dxa"/>
            <w:vMerge w:val="continue"/>
            <w:vAlign w:val="center"/>
          </w:tcPr>
          <w:p>
            <w:pPr>
              <w:spacing w:line="340" w:lineRule="exact"/>
              <w:jc w:val="left"/>
              <w:rPr>
                <w:rFonts w:hint="default"/>
                <w:szCs w:val="21"/>
              </w:rPr>
            </w:pPr>
          </w:p>
        </w:tc>
        <w:tc>
          <w:tcPr>
            <w:tcW w:w="1186" w:type="dxa"/>
            <w:vMerge w:val="continue"/>
            <w:vAlign w:val="center"/>
          </w:tcPr>
          <w:p>
            <w:pPr>
              <w:spacing w:line="340" w:lineRule="exact"/>
              <w:jc w:val="left"/>
              <w:rPr>
                <w:rFonts w:hint="default"/>
                <w:szCs w:val="21"/>
              </w:rPr>
            </w:pPr>
          </w:p>
        </w:tc>
        <w:tc>
          <w:tcPr>
            <w:tcW w:w="645" w:type="dxa"/>
            <w:vAlign w:val="center"/>
          </w:tcPr>
          <w:p>
            <w:pPr>
              <w:spacing w:line="340" w:lineRule="exact"/>
              <w:jc w:val="center"/>
              <w:rPr>
                <w:rFonts w:hint="eastAsia"/>
                <w:szCs w:val="21"/>
              </w:rPr>
            </w:pPr>
            <w:r>
              <w:rPr>
                <w:rFonts w:hint="default" w:ascii="Times New Roman" w:hAnsi="Times New Roman" w:eastAsia="宋体" w:cs="Times New Roman"/>
                <w:bCs/>
                <w:szCs w:val="21"/>
                <w:lang w:val="en-US" w:eastAsia="zh-CN"/>
              </w:rPr>
              <w:t>3</w:t>
            </w:r>
          </w:p>
        </w:tc>
        <w:tc>
          <w:tcPr>
            <w:tcW w:w="5160" w:type="dxa"/>
            <w:vAlign w:val="center"/>
          </w:tcPr>
          <w:p>
            <w:pPr>
              <w:spacing w:line="340" w:lineRule="exact"/>
              <w:jc w:val="left"/>
              <w:rPr>
                <w:rFonts w:hint="default"/>
                <w:bCs/>
                <w:iCs/>
                <w:color w:val="auto"/>
                <w:szCs w:val="21"/>
              </w:rPr>
            </w:pPr>
            <w:r>
              <w:rPr>
                <w:rFonts w:hint="default"/>
                <w:color w:val="000000"/>
                <w:szCs w:val="21"/>
              </w:rPr>
              <w:t>技术负责人具备中级及以上网络工程师证书、信息技术应用创新专业人员证书、高级数据分析师证书，每具备一个得1分，最高得3分。</w:t>
            </w:r>
          </w:p>
        </w:tc>
        <w:tc>
          <w:tcPr>
            <w:tcW w:w="2008" w:type="dxa"/>
            <w:vMerge w:val="continue"/>
            <w:vAlign w:val="center"/>
          </w:tcPr>
          <w:p>
            <w:pPr>
              <w:spacing w:line="340" w:lineRule="exact"/>
              <w:jc w:val="left"/>
              <w:rPr>
                <w:rFonts w:hint="default"/>
                <w:bCs/>
                <w:i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659" w:type="dxa"/>
            <w:vMerge w:val="continue"/>
            <w:vAlign w:val="center"/>
          </w:tcPr>
          <w:p>
            <w:pPr>
              <w:adjustRightInd w:val="0"/>
              <w:snapToGrid w:val="0"/>
              <w:spacing w:line="340" w:lineRule="exact"/>
              <w:jc w:val="center"/>
              <w:rPr>
                <w:rFonts w:hint="default"/>
                <w:bCs/>
                <w:szCs w:val="21"/>
              </w:rPr>
            </w:pPr>
          </w:p>
        </w:tc>
        <w:tc>
          <w:tcPr>
            <w:tcW w:w="1186" w:type="dxa"/>
            <w:vMerge w:val="continue"/>
            <w:vAlign w:val="center"/>
          </w:tcPr>
          <w:p>
            <w:pPr>
              <w:adjustRightInd w:val="0"/>
              <w:snapToGrid w:val="0"/>
              <w:spacing w:line="340" w:lineRule="exact"/>
              <w:rPr>
                <w:rFonts w:hint="default"/>
                <w:bCs/>
                <w:szCs w:val="21"/>
              </w:rPr>
            </w:pPr>
          </w:p>
        </w:tc>
        <w:tc>
          <w:tcPr>
            <w:tcW w:w="645" w:type="dxa"/>
            <w:vAlign w:val="center"/>
          </w:tcPr>
          <w:p>
            <w:pPr>
              <w:adjustRightInd w:val="0"/>
              <w:snapToGrid w:val="0"/>
              <w:spacing w:line="340" w:lineRule="exact"/>
              <w:jc w:val="center"/>
              <w:rPr>
                <w:rFonts w:hint="default" w:eastAsia="宋体"/>
                <w:bCs/>
                <w:color w:val="auto"/>
                <w:szCs w:val="21"/>
                <w:lang w:eastAsia="zh-CN"/>
              </w:rPr>
            </w:pPr>
            <w:r>
              <w:rPr>
                <w:rFonts w:hint="default"/>
                <w:bCs/>
                <w:color w:val="auto"/>
                <w:szCs w:val="21"/>
                <w:lang w:val="en-US" w:eastAsia="zh-CN"/>
              </w:rPr>
              <w:t>5</w:t>
            </w:r>
          </w:p>
        </w:tc>
        <w:tc>
          <w:tcPr>
            <w:tcW w:w="5160" w:type="dxa"/>
            <w:vAlign w:val="center"/>
          </w:tcPr>
          <w:p>
            <w:pPr>
              <w:spacing w:line="340" w:lineRule="exact"/>
              <w:jc w:val="left"/>
              <w:rPr>
                <w:rFonts w:hint="default"/>
                <w:bCs/>
                <w:color w:val="auto"/>
                <w:szCs w:val="21"/>
              </w:rPr>
            </w:pPr>
            <w:r>
              <w:rPr>
                <w:rFonts w:hint="default"/>
                <w:bCs/>
                <w:color w:val="auto"/>
                <w:szCs w:val="21"/>
              </w:rPr>
              <w:t>项目组成员（除项目负责人、技术负责人外）</w:t>
            </w:r>
            <w:r>
              <w:rPr>
                <w:rFonts w:hint="eastAsia"/>
                <w:bCs/>
                <w:color w:val="auto"/>
                <w:szCs w:val="21"/>
                <w:lang w:val="en-US" w:eastAsia="zh-CN"/>
              </w:rPr>
              <w:t>中具有</w:t>
            </w:r>
            <w:r>
              <w:rPr>
                <w:rFonts w:hint="default"/>
                <w:bCs/>
                <w:color w:val="auto"/>
                <w:szCs w:val="21"/>
              </w:rPr>
              <w:t>：</w:t>
            </w:r>
          </w:p>
          <w:p>
            <w:pPr>
              <w:spacing w:line="340" w:lineRule="exact"/>
              <w:jc w:val="left"/>
              <w:rPr>
                <w:rFonts w:hint="default"/>
                <w:b w:val="0"/>
                <w:bCs/>
                <w:color w:val="auto"/>
                <w:szCs w:val="21"/>
              </w:rPr>
            </w:pPr>
            <w:r>
              <w:rPr>
                <w:rFonts w:hint="default"/>
                <w:color w:val="000000"/>
                <w:szCs w:val="21"/>
              </w:rPr>
              <w:t>①网络工程师证书，②信息技术应用创新专业人员证书，③信息安全保障人员认证(CISAW) 证书，④软件架构高级测评证书，⑤信息工程高级工程师证书。</w:t>
            </w:r>
            <w:r>
              <w:rPr>
                <w:rFonts w:hint="eastAsia"/>
                <w:color w:val="000000"/>
                <w:szCs w:val="21"/>
                <w:lang w:val="en-US" w:eastAsia="zh-CN"/>
              </w:rPr>
              <w:t>每具备一个得1分，</w:t>
            </w:r>
            <w:r>
              <w:rPr>
                <w:rFonts w:hint="default"/>
                <w:color w:val="000000"/>
                <w:szCs w:val="21"/>
              </w:rPr>
              <w:t>一个人有多本证书的按一本计算，</w:t>
            </w:r>
            <w:r>
              <w:rPr>
                <w:rFonts w:hint="default"/>
                <w:color w:val="000000"/>
                <w:szCs w:val="21"/>
                <w:lang w:val="en-US" w:eastAsia="zh-CN"/>
              </w:rPr>
              <w:t>本项最高5分。</w:t>
            </w:r>
          </w:p>
        </w:tc>
        <w:tc>
          <w:tcPr>
            <w:tcW w:w="2008" w:type="dxa"/>
            <w:vAlign w:val="center"/>
          </w:tcPr>
          <w:p>
            <w:pPr>
              <w:spacing w:line="340" w:lineRule="exact"/>
              <w:rPr>
                <w:rFonts w:hint="default"/>
                <w:b w:val="0"/>
                <w:bCs/>
                <w:color w:val="000000" w:themeColor="text1"/>
                <w:sz w:val="21"/>
                <w:szCs w:val="21"/>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提供相应证书等证明材料及</w:t>
            </w: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为其投保的投标截止日之前</w:t>
            </w:r>
            <w:r>
              <w:rPr>
                <w:rFonts w:hint="default"/>
                <w:bCs/>
                <w:color w:val="000000" w:themeColor="text1"/>
                <w:szCs w:val="21"/>
                <w:lang w:val="en-US" w:eastAsia="zh-CN"/>
                <w14:textFill>
                  <w14:solidFill>
                    <w14:schemeClr w14:val="tx1"/>
                  </w14:solidFill>
                </w14:textFill>
              </w:rPr>
              <w:t>六</w:t>
            </w:r>
            <w:r>
              <w:rPr>
                <w:rFonts w:hint="default"/>
                <w:bCs/>
                <w:color w:val="000000" w:themeColor="text1"/>
                <w:szCs w:val="21"/>
                <w14:textFill>
                  <w14:solidFill>
                    <w14:schemeClr w14:val="tx1"/>
                  </w14:solidFill>
                </w14:textFill>
              </w:rPr>
              <w:t>个月以内的社保参保证明。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59" w:type="dxa"/>
            <w:vAlign w:val="center"/>
          </w:tcPr>
          <w:p>
            <w:pPr>
              <w:adjustRightInd w:val="0"/>
              <w:snapToGrid w:val="0"/>
              <w:spacing w:line="340" w:lineRule="exact"/>
              <w:jc w:val="center"/>
              <w:rPr>
                <w:rFonts w:hint="eastAsia" w:eastAsia="宋体"/>
                <w:bCs/>
                <w:szCs w:val="21"/>
                <w:lang w:eastAsia="zh-CN"/>
              </w:rPr>
            </w:pPr>
            <w:r>
              <w:rPr>
                <w:rFonts w:hint="eastAsia"/>
                <w:bCs/>
                <w:szCs w:val="21"/>
                <w:lang w:val="en-US" w:eastAsia="zh-CN"/>
              </w:rPr>
              <w:t>3</w:t>
            </w:r>
          </w:p>
        </w:tc>
        <w:tc>
          <w:tcPr>
            <w:tcW w:w="1186" w:type="dxa"/>
            <w:vAlign w:val="center"/>
          </w:tcPr>
          <w:p>
            <w:pPr>
              <w:adjustRightInd w:val="0"/>
              <w:snapToGrid w:val="0"/>
              <w:spacing w:line="340" w:lineRule="exact"/>
              <w:rPr>
                <w:rFonts w:hint="default"/>
                <w:bCs/>
                <w:szCs w:val="21"/>
              </w:rPr>
            </w:pPr>
            <w:r>
              <w:rPr>
                <w:rFonts w:hint="default"/>
                <w:bCs/>
                <w:szCs w:val="21"/>
              </w:rPr>
              <w:t>同类业绩</w:t>
            </w:r>
          </w:p>
          <w:p>
            <w:pPr>
              <w:adjustRightInd w:val="0"/>
              <w:snapToGrid w:val="0"/>
              <w:spacing w:line="340" w:lineRule="exact"/>
              <w:rPr>
                <w:rFonts w:hint="default"/>
                <w:bCs/>
                <w:szCs w:val="21"/>
              </w:rPr>
            </w:pPr>
          </w:p>
        </w:tc>
        <w:tc>
          <w:tcPr>
            <w:tcW w:w="645" w:type="dxa"/>
            <w:vAlign w:val="center"/>
          </w:tcPr>
          <w:p>
            <w:pPr>
              <w:spacing w:line="340" w:lineRule="exact"/>
              <w:jc w:val="center"/>
              <w:rPr>
                <w:rFonts w:hint="eastAsia"/>
                <w:bCs/>
                <w:color w:val="auto"/>
                <w:szCs w:val="21"/>
              </w:rPr>
            </w:pPr>
            <w:r>
              <w:rPr>
                <w:rFonts w:hint="eastAsia" w:ascii="Times New Roman" w:hAnsi="Times New Roman" w:eastAsia="宋体" w:cs="Times New Roman"/>
                <w:bCs/>
                <w:color w:val="auto"/>
                <w:szCs w:val="21"/>
                <w:lang w:eastAsia="zh-CN"/>
              </w:rPr>
              <w:t>3</w:t>
            </w:r>
          </w:p>
        </w:tc>
        <w:tc>
          <w:tcPr>
            <w:tcW w:w="5160" w:type="dxa"/>
            <w:vAlign w:val="center"/>
          </w:tcPr>
          <w:p>
            <w:pPr>
              <w:spacing w:line="340" w:lineRule="exact"/>
              <w:jc w:val="left"/>
              <w:rPr>
                <w:rFonts w:hint="default"/>
                <w:b w:val="0"/>
                <w:bCs/>
                <w:color w:val="auto"/>
                <w:szCs w:val="21"/>
              </w:rPr>
            </w:pPr>
            <w:r>
              <w:rPr>
                <w:rFonts w:hint="default"/>
                <w:bCs/>
                <w:iCs/>
                <w:color w:val="auto"/>
                <w:szCs w:val="21"/>
              </w:rPr>
              <w:t>投标人</w:t>
            </w:r>
            <w:r>
              <w:rPr>
                <w:rFonts w:hint="default"/>
                <w:bCs/>
                <w:color w:val="auto"/>
                <w:szCs w:val="21"/>
              </w:rPr>
              <w:t>自20</w:t>
            </w:r>
            <w:r>
              <w:rPr>
                <w:rFonts w:hint="default"/>
                <w:bCs/>
                <w:color w:val="auto"/>
                <w:szCs w:val="21"/>
                <w:lang w:val="en-US" w:eastAsia="zh-CN"/>
              </w:rPr>
              <w:t>19</w:t>
            </w:r>
            <w:r>
              <w:rPr>
                <w:rFonts w:hint="default"/>
                <w:bCs/>
                <w:color w:val="auto"/>
                <w:szCs w:val="21"/>
              </w:rPr>
              <w:t>年1</w:t>
            </w:r>
            <w:r>
              <w:rPr>
                <w:rFonts w:hint="default"/>
                <w:bCs/>
                <w:color w:val="auto"/>
                <w:szCs w:val="21"/>
                <w:lang w:val="en-US" w:eastAsia="zh-CN"/>
              </w:rPr>
              <w:t>0</w:t>
            </w:r>
            <w:r>
              <w:rPr>
                <w:rFonts w:hint="default"/>
                <w:bCs/>
                <w:color w:val="auto"/>
                <w:szCs w:val="21"/>
              </w:rPr>
              <w:t>月1日以来（</w:t>
            </w:r>
            <w:r>
              <w:rPr>
                <w:rFonts w:hint="default"/>
                <w:color w:val="000000"/>
                <w:szCs w:val="21"/>
              </w:rPr>
              <w:t>（以合同签订时间或中标通知书时间为准）</w:t>
            </w:r>
            <w:r>
              <w:rPr>
                <w:rFonts w:hint="default"/>
                <w:bCs/>
                <w:color w:val="auto"/>
                <w:szCs w:val="21"/>
              </w:rPr>
              <w:t>）承担过有同类</w:t>
            </w:r>
            <w:r>
              <w:rPr>
                <w:rFonts w:hint="default"/>
                <w:bCs/>
                <w:color w:val="auto"/>
                <w:szCs w:val="21"/>
                <w:lang w:val="en-US" w:eastAsia="zh-CN"/>
              </w:rPr>
              <w:t>项目</w:t>
            </w:r>
            <w:r>
              <w:rPr>
                <w:rFonts w:hint="default"/>
                <w:bCs/>
                <w:color w:val="auto"/>
                <w:szCs w:val="21"/>
              </w:rPr>
              <w:t>业绩每</w:t>
            </w:r>
            <w:r>
              <w:rPr>
                <w:rFonts w:hint="default"/>
                <w:bCs/>
                <w:color w:val="auto"/>
                <w:szCs w:val="21"/>
                <w:lang w:val="en-US" w:eastAsia="zh-CN"/>
              </w:rPr>
              <w:t>提供一</w:t>
            </w:r>
            <w:r>
              <w:rPr>
                <w:rFonts w:hint="default"/>
                <w:bCs/>
                <w:color w:val="auto"/>
                <w:szCs w:val="21"/>
              </w:rPr>
              <w:t>个</w:t>
            </w:r>
            <w:r>
              <w:rPr>
                <w:rFonts w:hint="default"/>
                <w:bCs/>
                <w:color w:val="auto"/>
                <w:szCs w:val="21"/>
                <w:lang w:val="en-US" w:eastAsia="zh-CN"/>
              </w:rPr>
              <w:t>合同</w:t>
            </w:r>
            <w:r>
              <w:rPr>
                <w:rFonts w:hint="default"/>
                <w:bCs/>
                <w:color w:val="auto"/>
                <w:szCs w:val="21"/>
              </w:rPr>
              <w:t>得</w:t>
            </w:r>
            <w:r>
              <w:rPr>
                <w:rFonts w:hint="default"/>
                <w:bCs/>
                <w:color w:val="auto"/>
                <w:szCs w:val="21"/>
                <w:lang w:val="en-US" w:eastAsia="zh-CN"/>
              </w:rPr>
              <w:t>1</w:t>
            </w:r>
            <w:r>
              <w:rPr>
                <w:rFonts w:hint="default"/>
                <w:bCs/>
                <w:color w:val="auto"/>
                <w:szCs w:val="21"/>
              </w:rPr>
              <w:t>分，最多得</w:t>
            </w:r>
            <w:r>
              <w:rPr>
                <w:rFonts w:hint="default"/>
                <w:bCs/>
                <w:color w:val="auto"/>
                <w:szCs w:val="21"/>
                <w:lang w:val="en-US" w:eastAsia="zh-CN"/>
              </w:rPr>
              <w:t>3</w:t>
            </w:r>
            <w:r>
              <w:rPr>
                <w:rFonts w:hint="default"/>
                <w:bCs/>
                <w:color w:val="auto"/>
                <w:szCs w:val="21"/>
              </w:rPr>
              <w:t>分。</w:t>
            </w:r>
          </w:p>
        </w:tc>
        <w:tc>
          <w:tcPr>
            <w:tcW w:w="2008" w:type="dxa"/>
            <w:vAlign w:val="center"/>
          </w:tcPr>
          <w:p>
            <w:pPr>
              <w:spacing w:line="340" w:lineRule="exact"/>
              <w:rPr>
                <w:rFonts w:hint="default"/>
                <w:b w:val="0"/>
                <w:bCs/>
                <w:color w:val="000000" w:themeColor="text1"/>
                <w:sz w:val="21"/>
                <w:szCs w:val="21"/>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提供</w:t>
            </w:r>
            <w:r>
              <w:rPr>
                <w:rFonts w:hint="eastAsia"/>
                <w:bCs/>
                <w:color w:val="000000" w:themeColor="text1"/>
                <w:szCs w:val="21"/>
                <w:lang w:val="en-US" w:eastAsia="zh-CN"/>
                <w14:textFill>
                  <w14:solidFill>
                    <w14:schemeClr w14:val="tx1"/>
                  </w14:solidFill>
                </w14:textFill>
              </w:rPr>
              <w:t>不同用户的</w:t>
            </w:r>
            <w:r>
              <w:rPr>
                <w:rFonts w:hint="default"/>
                <w:bCs/>
                <w:color w:val="000000" w:themeColor="text1"/>
                <w:szCs w:val="21"/>
                <w14:textFill>
                  <w14:solidFill>
                    <w14:schemeClr w14:val="tx1"/>
                  </w14:solidFill>
                </w14:textFill>
              </w:rPr>
              <w:t>合同</w:t>
            </w:r>
            <w:r>
              <w:rPr>
                <w:rFonts w:hint="default"/>
                <w:bCs/>
                <w:color w:val="000000" w:themeColor="text1"/>
                <w:szCs w:val="21"/>
                <w:lang w:val="en-US" w:eastAsia="zh-CN"/>
                <w14:textFill>
                  <w14:solidFill>
                    <w14:schemeClr w14:val="tx1"/>
                  </w14:solidFill>
                </w14:textFill>
              </w:rPr>
              <w:t>等</w:t>
            </w:r>
            <w:r>
              <w:rPr>
                <w:rFonts w:hint="default"/>
                <w:bCs/>
                <w:color w:val="000000" w:themeColor="text1"/>
                <w:szCs w:val="21"/>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59" w:type="dxa"/>
            <w:vAlign w:val="center"/>
          </w:tcPr>
          <w:p>
            <w:pPr>
              <w:adjustRightInd w:val="0"/>
              <w:snapToGrid w:val="0"/>
              <w:spacing w:line="34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4</w:t>
            </w:r>
          </w:p>
        </w:tc>
        <w:tc>
          <w:tcPr>
            <w:tcW w:w="1186" w:type="dxa"/>
            <w:vAlign w:val="center"/>
          </w:tcPr>
          <w:p>
            <w:pPr>
              <w:adjustRightInd w:val="0"/>
              <w:snapToGrid w:val="0"/>
              <w:spacing w:line="340" w:lineRule="exact"/>
              <w:rPr>
                <w:rFonts w:hint="default" w:ascii="Times New Roman" w:hAnsi="Times New Roman" w:eastAsia="宋体" w:cs="Times New Roman"/>
                <w:bCs/>
                <w:szCs w:val="21"/>
              </w:rPr>
            </w:pPr>
            <w:r>
              <w:rPr>
                <w:color w:val="auto"/>
                <w:szCs w:val="21"/>
              </w:rPr>
              <w:t>产品性能、技术指标</w:t>
            </w:r>
          </w:p>
        </w:tc>
        <w:tc>
          <w:tcPr>
            <w:tcW w:w="645" w:type="dxa"/>
            <w:vAlign w:val="center"/>
          </w:tcPr>
          <w:p>
            <w:pPr>
              <w:spacing w:line="340" w:lineRule="exact"/>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16</w:t>
            </w:r>
          </w:p>
        </w:tc>
        <w:tc>
          <w:tcPr>
            <w:tcW w:w="5160" w:type="dxa"/>
            <w:vAlign w:val="center"/>
          </w:tcPr>
          <w:p>
            <w:pPr>
              <w:keepNext w:val="0"/>
              <w:keepLines w:val="0"/>
              <w:pageBreakBefore w:val="0"/>
              <w:kinsoku/>
              <w:wordWrap/>
              <w:overflowPunct/>
              <w:topLinePunct w:val="0"/>
              <w:autoSpaceDE/>
              <w:autoSpaceDN/>
              <w:bidi w:val="0"/>
              <w:spacing w:line="360" w:lineRule="exact"/>
              <w:jc w:val="both"/>
              <w:textAlignment w:val="auto"/>
              <w:rPr>
                <w:rFonts w:hint="eastAsia" w:ascii="宋体" w:hAnsi="宋体" w:eastAsia="宋体" w:cs="宋体"/>
                <w:color w:val="auto"/>
                <w:szCs w:val="21"/>
              </w:rPr>
            </w:pPr>
            <w:r>
              <w:rPr>
                <w:rFonts w:hint="eastAsia" w:ascii="宋体" w:hAnsi="宋体" w:cs="宋体"/>
                <w:color w:val="auto"/>
                <w:szCs w:val="21"/>
                <w:lang w:val="en-US" w:eastAsia="zh-CN"/>
              </w:rPr>
              <w:t>满</w:t>
            </w:r>
            <w:r>
              <w:rPr>
                <w:rFonts w:hint="eastAsia" w:ascii="宋体" w:hAnsi="宋体" w:eastAsia="宋体" w:cs="宋体"/>
                <w:color w:val="auto"/>
                <w:szCs w:val="21"/>
              </w:rPr>
              <w:t>足招标货物的所有性能及技术指标要求得</w:t>
            </w:r>
            <w:r>
              <w:rPr>
                <w:rFonts w:hint="eastAsia" w:ascii="宋体" w:hAnsi="宋体" w:eastAsia="宋体" w:cs="宋体"/>
                <w:color w:val="auto"/>
                <w:szCs w:val="21"/>
                <w:lang w:val="en-US" w:eastAsia="zh-CN"/>
              </w:rPr>
              <w:t>16</w:t>
            </w:r>
            <w:r>
              <w:rPr>
                <w:rFonts w:hint="eastAsia" w:ascii="宋体" w:hAnsi="宋体" w:eastAsia="宋体" w:cs="宋体"/>
                <w:color w:val="auto"/>
                <w:szCs w:val="21"/>
              </w:rPr>
              <w:t>分。</w:t>
            </w:r>
          </w:p>
          <w:p>
            <w:pPr>
              <w:spacing w:line="340" w:lineRule="exact"/>
              <w:jc w:val="left"/>
              <w:rPr>
                <w:rFonts w:hint="default" w:ascii="Times New Roman" w:hAnsi="Times New Roman" w:eastAsia="宋体" w:cs="Times New Roman"/>
                <w:b w:val="0"/>
                <w:bCs/>
                <w:color w:val="auto"/>
                <w:szCs w:val="21"/>
              </w:rPr>
            </w:pPr>
            <w:r>
              <w:rPr>
                <w:rFonts w:hint="eastAsia"/>
                <w:color w:val="000000"/>
                <w:lang w:val="en-US" w:eastAsia="zh-CN"/>
              </w:rPr>
              <w:t>投标</w:t>
            </w:r>
            <w:r>
              <w:rPr>
                <w:rFonts w:hint="eastAsia"/>
                <w:color w:val="000000"/>
              </w:rPr>
              <w:t>文件对采购文件第二章“</w:t>
            </w:r>
            <w:r>
              <w:rPr>
                <w:rFonts w:ascii="Times New Roman" w:hAnsi="Times New Roman"/>
                <w:color w:val="000000"/>
              </w:rPr>
              <w:t>技术要求</w:t>
            </w:r>
            <w:r>
              <w:rPr>
                <w:rFonts w:hint="eastAsia"/>
                <w:color w:val="000000"/>
              </w:rPr>
              <w:t>”部分的响应情况，每1项不能满足</w:t>
            </w:r>
            <w:r>
              <w:rPr>
                <w:rFonts w:hint="eastAsia"/>
                <w:color w:val="000000"/>
                <w:lang w:val="en-US" w:eastAsia="zh-CN"/>
              </w:rPr>
              <w:t>招标</w:t>
            </w:r>
            <w:r>
              <w:rPr>
                <w:rFonts w:hint="eastAsia"/>
                <w:color w:val="000000"/>
              </w:rPr>
              <w:t>文件要求扣1分，每1项</w:t>
            </w:r>
            <w:r>
              <w:rPr>
                <w:rFonts w:hint="eastAsia" w:ascii="宋体" w:hAnsi="宋体" w:cs="Arial"/>
                <w:color w:val="000000"/>
                <w:szCs w:val="21"/>
              </w:rPr>
              <w:t>标有“</w:t>
            </w:r>
            <w:r>
              <w:rPr>
                <w:rFonts w:hint="eastAsia"/>
                <w:color w:val="000000"/>
              </w:rPr>
              <w:t>★</w:t>
            </w:r>
            <w:r>
              <w:rPr>
                <w:rFonts w:hint="eastAsia" w:ascii="宋体" w:hAnsi="宋体" w:cs="Arial"/>
                <w:color w:val="000000"/>
                <w:szCs w:val="21"/>
              </w:rPr>
              <w:t>”的</w:t>
            </w:r>
            <w:r>
              <w:rPr>
                <w:rFonts w:hint="eastAsia"/>
                <w:color w:val="000000"/>
              </w:rPr>
              <w:t>不能满足</w:t>
            </w:r>
            <w:r>
              <w:rPr>
                <w:rFonts w:hint="eastAsia"/>
                <w:color w:val="000000"/>
                <w:lang w:val="en-US" w:eastAsia="zh-CN"/>
              </w:rPr>
              <w:t>招标</w:t>
            </w:r>
            <w:r>
              <w:rPr>
                <w:rFonts w:hint="eastAsia"/>
                <w:color w:val="000000"/>
              </w:rPr>
              <w:t>文件要求扣2分，扣完为止</w:t>
            </w:r>
          </w:p>
        </w:tc>
        <w:tc>
          <w:tcPr>
            <w:tcW w:w="2008" w:type="dxa"/>
            <w:vAlign w:val="center"/>
          </w:tcPr>
          <w:p>
            <w:pPr>
              <w:spacing w:line="340" w:lineRule="exact"/>
              <w:rPr>
                <w:rFonts w:hint="default" w:ascii="Times New Roman" w:hAnsi="Times New Roman" w:eastAsia="宋体" w:cs="Times New Roman"/>
                <w:bCs/>
                <w:iCs/>
                <w:color w:val="000000" w:themeColor="text1"/>
                <w:szCs w:val="21"/>
                <w14:textFill>
                  <w14:solidFill>
                    <w14:schemeClr w14:val="tx1"/>
                  </w14:solidFill>
                </w14:textFill>
              </w:rPr>
            </w:pPr>
            <w:r>
              <w:rPr>
                <w:color w:val="auto"/>
                <w:szCs w:val="21"/>
              </w:rPr>
              <w:t>投标人描述。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659" w:type="dxa"/>
            <w:vMerge w:val="restart"/>
            <w:vAlign w:val="center"/>
          </w:tcPr>
          <w:p>
            <w:pPr>
              <w:adjustRightInd w:val="0"/>
              <w:snapToGrid w:val="0"/>
              <w:spacing w:line="340" w:lineRule="exact"/>
              <w:jc w:val="center"/>
              <w:rPr>
                <w:rFonts w:hint="default"/>
                <w:bCs/>
                <w:szCs w:val="21"/>
              </w:rPr>
            </w:pPr>
            <w:r>
              <w:rPr>
                <w:rFonts w:hint="default"/>
                <w:bCs/>
                <w:szCs w:val="21"/>
              </w:rPr>
              <w:t>5</w:t>
            </w:r>
          </w:p>
        </w:tc>
        <w:tc>
          <w:tcPr>
            <w:tcW w:w="1186" w:type="dxa"/>
            <w:vMerge w:val="restart"/>
            <w:vAlign w:val="center"/>
          </w:tcPr>
          <w:p>
            <w:pPr>
              <w:adjustRightInd w:val="0"/>
              <w:snapToGrid w:val="0"/>
              <w:spacing w:line="340" w:lineRule="exact"/>
              <w:jc w:val="left"/>
              <w:rPr>
                <w:rFonts w:hint="default" w:eastAsia="宋体"/>
                <w:bCs/>
                <w:szCs w:val="21"/>
                <w:lang w:val="en-US" w:eastAsia="zh-CN"/>
              </w:rPr>
            </w:pPr>
            <w:r>
              <w:rPr>
                <w:rFonts w:hint="eastAsia"/>
                <w:bCs/>
                <w:szCs w:val="21"/>
                <w:lang w:val="en-US" w:eastAsia="zh-CN"/>
              </w:rPr>
              <w:t>总体</w:t>
            </w:r>
            <w:r>
              <w:rPr>
                <w:rFonts w:hint="default"/>
                <w:bCs/>
                <w:szCs w:val="21"/>
              </w:rPr>
              <w:t>方案</w:t>
            </w:r>
            <w:r>
              <w:rPr>
                <w:rFonts w:hint="default"/>
                <w:bCs/>
                <w:szCs w:val="21"/>
                <w:lang w:val="en-US" w:eastAsia="zh-CN"/>
              </w:rPr>
              <w:t>设计</w:t>
            </w:r>
          </w:p>
          <w:p>
            <w:pPr>
              <w:adjustRightInd w:val="0"/>
              <w:snapToGrid w:val="0"/>
              <w:spacing w:line="340" w:lineRule="exact"/>
              <w:jc w:val="left"/>
              <w:rPr>
                <w:rFonts w:hint="default"/>
                <w:bCs/>
                <w:szCs w:val="21"/>
              </w:rPr>
            </w:pPr>
          </w:p>
        </w:tc>
        <w:tc>
          <w:tcPr>
            <w:tcW w:w="645" w:type="dxa"/>
            <w:vAlign w:val="center"/>
          </w:tcPr>
          <w:p>
            <w:pPr>
              <w:spacing w:line="340" w:lineRule="exact"/>
              <w:jc w:val="center"/>
              <w:rPr>
                <w:rFonts w:hint="default" w:eastAsia="宋体"/>
                <w:bCs/>
                <w:szCs w:val="21"/>
                <w:lang w:eastAsia="zh-CN"/>
              </w:rPr>
            </w:pPr>
            <w:r>
              <w:rPr>
                <w:rFonts w:hint="default"/>
                <w:bCs/>
                <w:szCs w:val="21"/>
                <w:lang w:val="en-US" w:eastAsia="zh-CN"/>
              </w:rPr>
              <w:t>4</w:t>
            </w:r>
          </w:p>
        </w:tc>
        <w:tc>
          <w:tcPr>
            <w:tcW w:w="5160" w:type="dxa"/>
            <w:vAlign w:val="center"/>
          </w:tcPr>
          <w:p>
            <w:pPr>
              <w:spacing w:line="340" w:lineRule="exact"/>
              <w:jc w:val="left"/>
              <w:rPr>
                <w:rFonts w:hint="default"/>
                <w:bCs/>
                <w:szCs w:val="21"/>
              </w:rPr>
            </w:pPr>
            <w:r>
              <w:rPr>
                <w:rFonts w:hint="default"/>
                <w:color w:val="000000"/>
                <w:szCs w:val="21"/>
              </w:rPr>
              <w:t>投标方案总体设计、建设方案、软件开发方案等情况，详细阐述系统的体系架构、功能模块、实现思路和关键技术，以及对功能设计和实施计划的建议，方案合理可行4分，方案基本合理可行2分，方案较差1分。</w:t>
            </w:r>
          </w:p>
        </w:tc>
        <w:tc>
          <w:tcPr>
            <w:tcW w:w="2008" w:type="dxa"/>
            <w:vAlign w:val="center"/>
          </w:tcPr>
          <w:p>
            <w:pPr>
              <w:spacing w:line="340" w:lineRule="exact"/>
              <w:rPr>
                <w:rFonts w:hint="eastAsia" w:eastAsia="宋体"/>
                <w:bCs/>
                <w:iCs/>
                <w:color w:val="000000" w:themeColor="text1"/>
                <w:szCs w:val="21"/>
                <w:lang w:eastAsia="zh-CN"/>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描述</w:t>
            </w:r>
            <w:r>
              <w:rPr>
                <w:rFonts w:hint="eastAsia"/>
                <w:bCs/>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59" w:type="dxa"/>
            <w:vMerge w:val="continue"/>
          </w:tcPr>
          <w:p>
            <w:pPr>
              <w:spacing w:line="340" w:lineRule="exact"/>
              <w:rPr>
                <w:rFonts w:hint="default"/>
                <w:bCs/>
                <w:szCs w:val="21"/>
              </w:rPr>
            </w:pPr>
          </w:p>
        </w:tc>
        <w:tc>
          <w:tcPr>
            <w:tcW w:w="1186" w:type="dxa"/>
            <w:vMerge w:val="continue"/>
            <w:vAlign w:val="center"/>
          </w:tcPr>
          <w:p>
            <w:pPr>
              <w:spacing w:line="340" w:lineRule="exact"/>
              <w:rPr>
                <w:rFonts w:hint="default"/>
                <w:bCs/>
                <w:szCs w:val="21"/>
              </w:rPr>
            </w:pPr>
          </w:p>
        </w:tc>
        <w:tc>
          <w:tcPr>
            <w:tcW w:w="645" w:type="dxa"/>
            <w:vAlign w:val="center"/>
          </w:tcPr>
          <w:p>
            <w:pPr>
              <w:spacing w:line="340" w:lineRule="exact"/>
              <w:jc w:val="center"/>
              <w:rPr>
                <w:rFonts w:hint="default" w:eastAsia="宋体"/>
                <w:bCs/>
                <w:szCs w:val="21"/>
                <w:lang w:eastAsia="zh-CN"/>
              </w:rPr>
            </w:pPr>
            <w:r>
              <w:rPr>
                <w:rFonts w:hint="default"/>
                <w:bCs/>
                <w:szCs w:val="21"/>
                <w:lang w:val="en-US" w:eastAsia="zh-CN"/>
              </w:rPr>
              <w:t>2</w:t>
            </w:r>
          </w:p>
        </w:tc>
        <w:tc>
          <w:tcPr>
            <w:tcW w:w="5160" w:type="dxa"/>
            <w:vAlign w:val="center"/>
          </w:tcPr>
          <w:p>
            <w:pPr>
              <w:widowControl/>
              <w:spacing w:line="340" w:lineRule="exact"/>
              <w:jc w:val="left"/>
              <w:rPr>
                <w:rFonts w:hint="default"/>
                <w:bCs/>
                <w:szCs w:val="21"/>
              </w:rPr>
            </w:pPr>
            <w:r>
              <w:rPr>
                <w:rFonts w:hint="default"/>
                <w:color w:val="000000"/>
                <w:szCs w:val="21"/>
              </w:rPr>
              <w:t>投标方案的科学性、先进性、可行性、扩展性、安全严密性，以及优势性，方案合理可行2分，方案基本合理可行1分，方案较差0分。</w:t>
            </w:r>
          </w:p>
        </w:tc>
        <w:tc>
          <w:tcPr>
            <w:tcW w:w="2008" w:type="dxa"/>
            <w:vAlign w:val="center"/>
          </w:tcPr>
          <w:p>
            <w:pPr>
              <w:spacing w:line="340" w:lineRule="exact"/>
              <w:rPr>
                <w:rFonts w:hint="eastAsia" w:eastAsia="宋体"/>
                <w:bCs/>
                <w:color w:val="000000" w:themeColor="text1"/>
                <w:szCs w:val="21"/>
                <w:lang w:eastAsia="zh-CN"/>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描述</w:t>
            </w:r>
            <w:r>
              <w:rPr>
                <w:rFonts w:hint="eastAsia"/>
                <w:bCs/>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59" w:type="dxa"/>
            <w:vMerge w:val="continue"/>
          </w:tcPr>
          <w:p>
            <w:pPr>
              <w:spacing w:line="340" w:lineRule="exact"/>
              <w:rPr>
                <w:rFonts w:hint="default"/>
                <w:bCs/>
                <w:szCs w:val="21"/>
              </w:rPr>
            </w:pPr>
          </w:p>
        </w:tc>
        <w:tc>
          <w:tcPr>
            <w:tcW w:w="1186" w:type="dxa"/>
            <w:vMerge w:val="continue"/>
            <w:vAlign w:val="center"/>
          </w:tcPr>
          <w:p>
            <w:pPr>
              <w:spacing w:line="340" w:lineRule="exact"/>
              <w:rPr>
                <w:rFonts w:hint="default"/>
                <w:bCs/>
                <w:szCs w:val="21"/>
              </w:rPr>
            </w:pPr>
          </w:p>
        </w:tc>
        <w:tc>
          <w:tcPr>
            <w:tcW w:w="645" w:type="dxa"/>
            <w:vAlign w:val="center"/>
          </w:tcPr>
          <w:p>
            <w:pPr>
              <w:spacing w:line="340" w:lineRule="exact"/>
              <w:jc w:val="center"/>
              <w:rPr>
                <w:rFonts w:hint="default" w:eastAsia="宋体"/>
                <w:bCs/>
                <w:szCs w:val="21"/>
                <w:lang w:eastAsia="zh-CN"/>
              </w:rPr>
            </w:pPr>
            <w:r>
              <w:rPr>
                <w:rFonts w:hint="default"/>
                <w:bCs/>
                <w:szCs w:val="21"/>
                <w:lang w:val="en-US" w:eastAsia="zh-CN"/>
              </w:rPr>
              <w:t>2</w:t>
            </w:r>
          </w:p>
        </w:tc>
        <w:tc>
          <w:tcPr>
            <w:tcW w:w="5160" w:type="dxa"/>
            <w:vAlign w:val="center"/>
          </w:tcPr>
          <w:p>
            <w:pPr>
              <w:widowControl/>
              <w:spacing w:line="340" w:lineRule="exact"/>
              <w:jc w:val="left"/>
              <w:rPr>
                <w:rFonts w:hint="default"/>
                <w:bCs/>
                <w:szCs w:val="21"/>
              </w:rPr>
            </w:pPr>
            <w:r>
              <w:rPr>
                <w:rFonts w:hint="default"/>
                <w:color w:val="000000"/>
                <w:szCs w:val="21"/>
              </w:rPr>
              <w:t>系统的应急方案设计的合理性，对用户实际使用需求的考虑，本项目对当前和未来发展的要求，方案合理可行2分，方案基本合理可行1分，方案较差0分。</w:t>
            </w:r>
          </w:p>
        </w:tc>
        <w:tc>
          <w:tcPr>
            <w:tcW w:w="2008" w:type="dxa"/>
            <w:vAlign w:val="center"/>
          </w:tcPr>
          <w:p>
            <w:pPr>
              <w:spacing w:line="340" w:lineRule="exact"/>
              <w:rPr>
                <w:rFonts w:hint="eastAsia" w:eastAsia="宋体"/>
                <w:bCs/>
                <w:color w:val="FF0000"/>
                <w:szCs w:val="21"/>
                <w:lang w:eastAsia="zh-CN"/>
              </w:rPr>
            </w:pPr>
            <w:r>
              <w:rPr>
                <w:rFonts w:hint="default"/>
                <w:bCs/>
                <w:iCs/>
                <w:szCs w:val="21"/>
              </w:rPr>
              <w:t>投标人</w:t>
            </w:r>
            <w:r>
              <w:rPr>
                <w:rFonts w:hint="default"/>
                <w:bCs/>
                <w:szCs w:val="21"/>
              </w:rPr>
              <w:t>描述</w:t>
            </w:r>
            <w:r>
              <w:rPr>
                <w:rFonts w:hint="eastAsia"/>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59" w:type="dxa"/>
            <w:vMerge w:val="restart"/>
            <w:vAlign w:val="center"/>
          </w:tcPr>
          <w:p>
            <w:pPr>
              <w:adjustRightInd w:val="0"/>
              <w:snapToGrid w:val="0"/>
              <w:spacing w:line="340" w:lineRule="exact"/>
              <w:jc w:val="center"/>
              <w:rPr>
                <w:rFonts w:hint="default"/>
                <w:bCs/>
                <w:color w:val="000000" w:themeColor="text1"/>
                <w:szCs w:val="21"/>
                <w14:textFill>
                  <w14:solidFill>
                    <w14:schemeClr w14:val="tx1"/>
                  </w14:solidFill>
                </w14:textFill>
              </w:rPr>
            </w:pPr>
            <w:r>
              <w:rPr>
                <w:rFonts w:hint="default"/>
                <w:bCs/>
                <w:color w:val="000000" w:themeColor="text1"/>
                <w:szCs w:val="21"/>
                <w14:textFill>
                  <w14:solidFill>
                    <w14:schemeClr w14:val="tx1"/>
                  </w14:solidFill>
                </w14:textFill>
              </w:rPr>
              <w:t>6</w:t>
            </w:r>
          </w:p>
        </w:tc>
        <w:tc>
          <w:tcPr>
            <w:tcW w:w="1186" w:type="dxa"/>
            <w:vMerge w:val="restart"/>
            <w:vAlign w:val="center"/>
          </w:tcPr>
          <w:p>
            <w:pPr>
              <w:adjustRightInd w:val="0"/>
              <w:snapToGrid w:val="0"/>
              <w:spacing w:line="340" w:lineRule="exact"/>
              <w:jc w:val="left"/>
              <w:rPr>
                <w:rFonts w:hint="default"/>
                <w:bCs/>
                <w:color w:val="000000" w:themeColor="text1"/>
                <w:szCs w:val="21"/>
                <w14:textFill>
                  <w14:solidFill>
                    <w14:schemeClr w14:val="tx1"/>
                  </w14:solidFill>
                </w14:textFill>
              </w:rPr>
            </w:pPr>
            <w:r>
              <w:rPr>
                <w:rFonts w:hint="default"/>
                <w:color w:val="000000"/>
                <w:szCs w:val="21"/>
              </w:rPr>
              <w:t>项目实施、培训、测试和验收</w:t>
            </w:r>
          </w:p>
        </w:tc>
        <w:tc>
          <w:tcPr>
            <w:tcW w:w="645" w:type="dxa"/>
            <w:vAlign w:val="center"/>
          </w:tcPr>
          <w:p>
            <w:pPr>
              <w:adjustRightInd w:val="0"/>
              <w:snapToGrid w:val="0"/>
              <w:spacing w:line="340" w:lineRule="exact"/>
              <w:jc w:val="center"/>
              <w:rPr>
                <w:rFonts w:hint="default"/>
                <w:bCs/>
                <w:color w:val="000000" w:themeColor="text1"/>
                <w:szCs w:val="21"/>
                <w14:textFill>
                  <w14:solidFill>
                    <w14:schemeClr w14:val="tx1"/>
                  </w14:solidFill>
                </w14:textFill>
              </w:rPr>
            </w:pPr>
            <w:r>
              <w:rPr>
                <w:rFonts w:hint="default"/>
                <w:bCs/>
                <w:color w:val="000000" w:themeColor="text1"/>
                <w:szCs w:val="21"/>
                <w:lang w:val="en-US" w:eastAsia="zh-CN"/>
                <w14:textFill>
                  <w14:solidFill>
                    <w14:schemeClr w14:val="tx1"/>
                  </w14:solidFill>
                </w14:textFill>
              </w:rPr>
              <w:t>2</w:t>
            </w:r>
          </w:p>
        </w:tc>
        <w:tc>
          <w:tcPr>
            <w:tcW w:w="5160" w:type="dxa"/>
            <w:vAlign w:val="center"/>
          </w:tcPr>
          <w:p>
            <w:pPr>
              <w:spacing w:line="340" w:lineRule="exact"/>
              <w:jc w:val="left"/>
              <w:rPr>
                <w:rFonts w:hint="default"/>
                <w:bCs/>
                <w:color w:val="000000" w:themeColor="text1"/>
                <w:szCs w:val="21"/>
                <w14:textFill>
                  <w14:solidFill>
                    <w14:schemeClr w14:val="tx1"/>
                  </w14:solidFill>
                </w14:textFill>
              </w:rPr>
            </w:pPr>
            <w:r>
              <w:rPr>
                <w:rFonts w:hint="default"/>
                <w:color w:val="000000"/>
                <w:szCs w:val="21"/>
              </w:rPr>
              <w:t>投标人的项目实施方案，根据方案的完善性和科学性，方案合理可行2分，方案基本合理可行1分，方案较差0分。</w:t>
            </w:r>
          </w:p>
        </w:tc>
        <w:tc>
          <w:tcPr>
            <w:tcW w:w="2008" w:type="dxa"/>
            <w:vAlign w:val="center"/>
          </w:tcPr>
          <w:p>
            <w:pPr>
              <w:adjustRightInd w:val="0"/>
              <w:snapToGrid w:val="0"/>
              <w:spacing w:line="340" w:lineRule="exact"/>
              <w:rPr>
                <w:rFonts w:hint="eastAsia" w:eastAsia="宋体"/>
                <w:bCs/>
                <w:color w:val="000000" w:themeColor="text1"/>
                <w:szCs w:val="21"/>
                <w:lang w:eastAsia="zh-CN"/>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描述</w:t>
            </w:r>
            <w:r>
              <w:rPr>
                <w:rFonts w:hint="eastAsia"/>
                <w:bCs/>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59" w:type="dxa"/>
            <w:vMerge w:val="continue"/>
            <w:vAlign w:val="center"/>
          </w:tcPr>
          <w:p>
            <w:pPr>
              <w:adjustRightInd w:val="0"/>
              <w:snapToGrid w:val="0"/>
              <w:spacing w:line="340" w:lineRule="exact"/>
              <w:rPr>
                <w:rFonts w:hint="default"/>
                <w:szCs w:val="21"/>
              </w:rPr>
            </w:pPr>
          </w:p>
        </w:tc>
        <w:tc>
          <w:tcPr>
            <w:tcW w:w="1186" w:type="dxa"/>
            <w:vMerge w:val="continue"/>
            <w:vAlign w:val="center"/>
          </w:tcPr>
          <w:p>
            <w:pPr>
              <w:adjustRightInd w:val="0"/>
              <w:snapToGrid w:val="0"/>
              <w:spacing w:line="340" w:lineRule="exact"/>
              <w:rPr>
                <w:rFonts w:hint="default"/>
                <w:szCs w:val="21"/>
              </w:rPr>
            </w:pPr>
          </w:p>
        </w:tc>
        <w:tc>
          <w:tcPr>
            <w:tcW w:w="645" w:type="dxa"/>
            <w:vAlign w:val="center"/>
          </w:tcPr>
          <w:p>
            <w:pPr>
              <w:adjustRightInd w:val="0"/>
              <w:snapToGrid w:val="0"/>
              <w:spacing w:line="340" w:lineRule="exact"/>
              <w:jc w:val="center"/>
              <w:rPr>
                <w:rFonts w:hint="default" w:eastAsia="宋体"/>
                <w:szCs w:val="21"/>
                <w:lang w:val="en-US" w:eastAsia="zh-CN"/>
              </w:rPr>
            </w:pPr>
            <w:r>
              <w:rPr>
                <w:rFonts w:hint="default"/>
                <w:szCs w:val="21"/>
                <w:lang w:val="en-US" w:eastAsia="zh-CN"/>
              </w:rPr>
              <w:t>2</w:t>
            </w:r>
          </w:p>
        </w:tc>
        <w:tc>
          <w:tcPr>
            <w:tcW w:w="5160" w:type="dxa"/>
            <w:vAlign w:val="center"/>
          </w:tcPr>
          <w:p>
            <w:pPr>
              <w:adjustRightInd w:val="0"/>
              <w:snapToGrid w:val="0"/>
              <w:spacing w:line="340" w:lineRule="exact"/>
              <w:rPr>
                <w:rFonts w:hint="default"/>
                <w:bCs/>
                <w:color w:val="000000" w:themeColor="text1"/>
                <w:szCs w:val="21"/>
                <w14:textFill>
                  <w14:solidFill>
                    <w14:schemeClr w14:val="tx1"/>
                  </w14:solidFill>
                </w14:textFill>
              </w:rPr>
            </w:pPr>
            <w:r>
              <w:rPr>
                <w:rFonts w:hint="default"/>
                <w:color w:val="000000"/>
                <w:szCs w:val="21"/>
              </w:rPr>
              <w:t>投标人的培训方案，根据方案的完善性和可行性，方案合理可行2分，方案基本合理可行1分，方案较差0分。</w:t>
            </w:r>
          </w:p>
        </w:tc>
        <w:tc>
          <w:tcPr>
            <w:tcW w:w="2008" w:type="dxa"/>
            <w:vAlign w:val="center"/>
          </w:tcPr>
          <w:p>
            <w:pPr>
              <w:adjustRightInd w:val="0"/>
              <w:snapToGrid w:val="0"/>
              <w:spacing w:line="340" w:lineRule="exact"/>
              <w:rPr>
                <w:rFonts w:hint="eastAsia" w:eastAsia="宋体"/>
                <w:bCs/>
                <w:color w:val="000000" w:themeColor="text1"/>
                <w:szCs w:val="21"/>
                <w:lang w:eastAsia="zh-CN"/>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描述</w:t>
            </w:r>
            <w:r>
              <w:rPr>
                <w:rFonts w:hint="eastAsia"/>
                <w:bCs/>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659" w:type="dxa"/>
            <w:vMerge w:val="continue"/>
            <w:vAlign w:val="center"/>
          </w:tcPr>
          <w:p>
            <w:pPr>
              <w:adjustRightInd w:val="0"/>
              <w:snapToGrid w:val="0"/>
              <w:spacing w:line="340" w:lineRule="exact"/>
              <w:rPr>
                <w:rFonts w:hint="default"/>
                <w:bCs/>
                <w:color w:val="000000" w:themeColor="text1"/>
                <w:szCs w:val="21"/>
                <w14:textFill>
                  <w14:solidFill>
                    <w14:schemeClr w14:val="tx1"/>
                  </w14:solidFill>
                </w14:textFill>
              </w:rPr>
            </w:pPr>
          </w:p>
        </w:tc>
        <w:tc>
          <w:tcPr>
            <w:tcW w:w="1186" w:type="dxa"/>
            <w:vMerge w:val="continue"/>
            <w:vAlign w:val="center"/>
          </w:tcPr>
          <w:p>
            <w:pPr>
              <w:adjustRightInd w:val="0"/>
              <w:snapToGrid w:val="0"/>
              <w:spacing w:line="340" w:lineRule="exact"/>
              <w:rPr>
                <w:rFonts w:hint="default"/>
                <w:bCs/>
                <w:color w:val="000000" w:themeColor="text1"/>
                <w:szCs w:val="21"/>
                <w14:textFill>
                  <w14:solidFill>
                    <w14:schemeClr w14:val="tx1"/>
                  </w14:solidFill>
                </w14:textFill>
              </w:rPr>
            </w:pPr>
          </w:p>
        </w:tc>
        <w:tc>
          <w:tcPr>
            <w:tcW w:w="645" w:type="dxa"/>
            <w:vAlign w:val="center"/>
          </w:tcPr>
          <w:p>
            <w:pPr>
              <w:adjustRightInd w:val="0"/>
              <w:snapToGrid w:val="0"/>
              <w:spacing w:line="340" w:lineRule="exact"/>
              <w:jc w:val="center"/>
              <w:rPr>
                <w:rFonts w:hint="default" w:eastAsia="宋体"/>
                <w:bCs/>
                <w:color w:val="000000" w:themeColor="text1"/>
                <w:szCs w:val="21"/>
                <w:lang w:val="en-US" w:eastAsia="zh-CN"/>
                <w14:textFill>
                  <w14:solidFill>
                    <w14:schemeClr w14:val="tx1"/>
                  </w14:solidFill>
                </w14:textFill>
              </w:rPr>
            </w:pPr>
            <w:r>
              <w:rPr>
                <w:rFonts w:hint="default"/>
                <w:bCs/>
                <w:color w:val="000000" w:themeColor="text1"/>
                <w:szCs w:val="21"/>
                <w:lang w:val="en-US" w:eastAsia="zh-CN"/>
                <w14:textFill>
                  <w14:solidFill>
                    <w14:schemeClr w14:val="tx1"/>
                  </w14:solidFill>
                </w14:textFill>
              </w:rPr>
              <w:t>2</w:t>
            </w:r>
          </w:p>
        </w:tc>
        <w:tc>
          <w:tcPr>
            <w:tcW w:w="5160" w:type="dxa"/>
            <w:vAlign w:val="center"/>
          </w:tcPr>
          <w:p>
            <w:pPr>
              <w:adjustRightInd w:val="0"/>
              <w:snapToGrid w:val="0"/>
              <w:spacing w:line="340" w:lineRule="exact"/>
              <w:rPr>
                <w:rFonts w:hint="default"/>
                <w:bCs/>
                <w:color w:val="000000" w:themeColor="text1"/>
                <w:szCs w:val="21"/>
                <w14:textFill>
                  <w14:solidFill>
                    <w14:schemeClr w14:val="tx1"/>
                  </w14:solidFill>
                </w14:textFill>
              </w:rPr>
            </w:pPr>
            <w:r>
              <w:rPr>
                <w:rFonts w:hint="default"/>
                <w:color w:val="000000"/>
                <w:szCs w:val="21"/>
              </w:rPr>
              <w:t>投标人提出的功能测试、试运转及验收方案的合理性、可行性等情况，合理可行2分，基本合理可行1分，较差0分。</w:t>
            </w:r>
          </w:p>
        </w:tc>
        <w:tc>
          <w:tcPr>
            <w:tcW w:w="2008" w:type="dxa"/>
            <w:vAlign w:val="center"/>
          </w:tcPr>
          <w:p>
            <w:pPr>
              <w:adjustRightInd w:val="0"/>
              <w:snapToGrid w:val="0"/>
              <w:spacing w:line="340" w:lineRule="exact"/>
              <w:rPr>
                <w:rFonts w:hint="eastAsia" w:eastAsia="宋体"/>
                <w:bCs/>
                <w:color w:val="000000" w:themeColor="text1"/>
                <w:szCs w:val="21"/>
                <w:lang w:eastAsia="zh-CN"/>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描述</w:t>
            </w:r>
            <w:r>
              <w:rPr>
                <w:rFonts w:hint="eastAsia"/>
                <w:bCs/>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59" w:type="dxa"/>
            <w:vMerge w:val="restart"/>
            <w:vAlign w:val="center"/>
          </w:tcPr>
          <w:p>
            <w:pPr>
              <w:adjustRightInd w:val="0"/>
              <w:snapToGrid w:val="0"/>
              <w:spacing w:line="340" w:lineRule="exact"/>
              <w:jc w:val="center"/>
              <w:rPr>
                <w:rFonts w:hint="default"/>
                <w:bCs/>
                <w:color w:val="000000" w:themeColor="text1"/>
                <w:szCs w:val="21"/>
                <w14:textFill>
                  <w14:solidFill>
                    <w14:schemeClr w14:val="tx1"/>
                  </w14:solidFill>
                </w14:textFill>
              </w:rPr>
            </w:pPr>
            <w:r>
              <w:rPr>
                <w:rFonts w:hint="default"/>
                <w:bCs/>
                <w:color w:val="000000" w:themeColor="text1"/>
                <w:szCs w:val="21"/>
                <w14:textFill>
                  <w14:solidFill>
                    <w14:schemeClr w14:val="tx1"/>
                  </w14:solidFill>
                </w14:textFill>
              </w:rPr>
              <w:t>7</w:t>
            </w:r>
          </w:p>
        </w:tc>
        <w:tc>
          <w:tcPr>
            <w:tcW w:w="1186" w:type="dxa"/>
            <w:vMerge w:val="restart"/>
            <w:vAlign w:val="center"/>
          </w:tcPr>
          <w:p>
            <w:pPr>
              <w:spacing w:line="340" w:lineRule="exact"/>
              <w:jc w:val="left"/>
              <w:rPr>
                <w:rFonts w:hint="default"/>
                <w:bCs/>
                <w:color w:val="000000" w:themeColor="text1"/>
                <w:szCs w:val="21"/>
                <w14:textFill>
                  <w14:solidFill>
                    <w14:schemeClr w14:val="tx1"/>
                  </w14:solidFill>
                </w14:textFill>
              </w:rPr>
            </w:pPr>
            <w:r>
              <w:rPr>
                <w:rFonts w:hint="default"/>
                <w:color w:val="000000"/>
                <w:szCs w:val="21"/>
              </w:rPr>
              <w:t>质量保证措施和建设工期承诺</w:t>
            </w:r>
          </w:p>
        </w:tc>
        <w:tc>
          <w:tcPr>
            <w:tcW w:w="645" w:type="dxa"/>
            <w:vAlign w:val="center"/>
          </w:tcPr>
          <w:p>
            <w:pPr>
              <w:adjustRightInd w:val="0"/>
              <w:snapToGrid w:val="0"/>
              <w:spacing w:line="340" w:lineRule="exact"/>
              <w:jc w:val="center"/>
              <w:rPr>
                <w:rFonts w:hint="default"/>
                <w:bCs/>
                <w:color w:val="000000" w:themeColor="text1"/>
                <w:szCs w:val="21"/>
                <w14:textFill>
                  <w14:solidFill>
                    <w14:schemeClr w14:val="tx1"/>
                  </w14:solidFill>
                </w14:textFill>
              </w:rPr>
            </w:pPr>
            <w:r>
              <w:rPr>
                <w:rFonts w:hint="default"/>
                <w:bCs/>
                <w:color w:val="000000" w:themeColor="text1"/>
                <w:szCs w:val="21"/>
                <w14:textFill>
                  <w14:solidFill>
                    <w14:schemeClr w14:val="tx1"/>
                  </w14:solidFill>
                </w14:textFill>
              </w:rPr>
              <w:t>2</w:t>
            </w:r>
          </w:p>
        </w:tc>
        <w:tc>
          <w:tcPr>
            <w:tcW w:w="5160" w:type="dxa"/>
            <w:vAlign w:val="center"/>
          </w:tcPr>
          <w:p>
            <w:pPr>
              <w:spacing w:line="340" w:lineRule="exact"/>
              <w:jc w:val="left"/>
              <w:rPr>
                <w:rFonts w:hint="default"/>
                <w:b w:val="0"/>
                <w:bCs/>
                <w:color w:val="000000" w:themeColor="text1"/>
                <w:szCs w:val="21"/>
                <w14:textFill>
                  <w14:solidFill>
                    <w14:schemeClr w14:val="tx1"/>
                  </w14:solidFill>
                </w14:textFill>
              </w:rPr>
            </w:pPr>
            <w:r>
              <w:rPr>
                <w:rFonts w:hint="eastAsia"/>
                <w:color w:val="000000"/>
                <w:szCs w:val="21"/>
                <w:lang w:val="en-US" w:eastAsia="zh-CN"/>
              </w:rPr>
              <w:t>质</w:t>
            </w:r>
            <w:r>
              <w:rPr>
                <w:rFonts w:hint="default"/>
                <w:color w:val="000000"/>
                <w:szCs w:val="21"/>
              </w:rPr>
              <w:t>量保证目标，质量保证措施和体系的合理和先进性，根据详细的实施内容，合理可行2分，基本合理可行1分，较差0分。</w:t>
            </w:r>
          </w:p>
        </w:tc>
        <w:tc>
          <w:tcPr>
            <w:tcW w:w="2008" w:type="dxa"/>
            <w:vAlign w:val="center"/>
          </w:tcPr>
          <w:p>
            <w:pPr>
              <w:spacing w:line="340" w:lineRule="exact"/>
              <w:rPr>
                <w:rFonts w:hint="eastAsia" w:eastAsia="宋体"/>
                <w:bCs/>
                <w:color w:val="000000" w:themeColor="text1"/>
                <w:szCs w:val="21"/>
                <w:lang w:eastAsia="zh-CN"/>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描述</w:t>
            </w:r>
            <w:r>
              <w:rPr>
                <w:rFonts w:hint="eastAsia"/>
                <w:bCs/>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59" w:type="dxa"/>
            <w:vMerge w:val="continue"/>
            <w:vAlign w:val="center"/>
          </w:tcPr>
          <w:p>
            <w:pPr>
              <w:spacing w:line="340" w:lineRule="exact"/>
              <w:rPr>
                <w:rFonts w:hint="default"/>
                <w:szCs w:val="21"/>
              </w:rPr>
            </w:pPr>
          </w:p>
        </w:tc>
        <w:tc>
          <w:tcPr>
            <w:tcW w:w="1186" w:type="dxa"/>
            <w:vMerge w:val="continue"/>
            <w:vAlign w:val="center"/>
          </w:tcPr>
          <w:p>
            <w:pPr>
              <w:spacing w:line="340" w:lineRule="exact"/>
              <w:rPr>
                <w:rFonts w:hint="default"/>
                <w:szCs w:val="21"/>
              </w:rPr>
            </w:pPr>
          </w:p>
        </w:tc>
        <w:tc>
          <w:tcPr>
            <w:tcW w:w="645" w:type="dxa"/>
            <w:vAlign w:val="center"/>
          </w:tcPr>
          <w:p>
            <w:pPr>
              <w:spacing w:line="340" w:lineRule="exact"/>
              <w:jc w:val="center"/>
              <w:rPr>
                <w:rFonts w:hint="default" w:eastAsia="宋体"/>
                <w:szCs w:val="21"/>
                <w:lang w:val="en-US" w:eastAsia="zh-CN"/>
              </w:rPr>
            </w:pPr>
            <w:r>
              <w:rPr>
                <w:rFonts w:hint="default"/>
                <w:szCs w:val="21"/>
                <w:lang w:val="en-US" w:eastAsia="zh-CN"/>
              </w:rPr>
              <w:t>2</w:t>
            </w:r>
          </w:p>
        </w:tc>
        <w:tc>
          <w:tcPr>
            <w:tcW w:w="5160" w:type="dxa"/>
            <w:vAlign w:val="center"/>
          </w:tcPr>
          <w:p>
            <w:pPr>
              <w:spacing w:line="340" w:lineRule="exact"/>
              <w:rPr>
                <w:rFonts w:hint="default"/>
                <w:bCs/>
                <w:color w:val="000000" w:themeColor="text1"/>
                <w:szCs w:val="21"/>
                <w14:textFill>
                  <w14:solidFill>
                    <w14:schemeClr w14:val="tx1"/>
                  </w14:solidFill>
                </w14:textFill>
              </w:rPr>
            </w:pPr>
            <w:r>
              <w:rPr>
                <w:rFonts w:hint="default"/>
                <w:color w:val="000000"/>
                <w:szCs w:val="21"/>
              </w:rPr>
              <w:t>软件开发、安装调试、系统上线运行、验收，确保按时交付、正常运行的措施情况，合理可行2分，基本合理可行1分，较差0分。</w:t>
            </w:r>
          </w:p>
        </w:tc>
        <w:tc>
          <w:tcPr>
            <w:tcW w:w="2008" w:type="dxa"/>
            <w:vAlign w:val="center"/>
          </w:tcPr>
          <w:p>
            <w:pPr>
              <w:spacing w:line="340" w:lineRule="exact"/>
              <w:rPr>
                <w:rFonts w:hint="eastAsia" w:eastAsia="宋体"/>
                <w:bCs/>
                <w:color w:val="000000" w:themeColor="text1"/>
                <w:szCs w:val="21"/>
                <w:lang w:eastAsia="zh-CN"/>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描述</w:t>
            </w:r>
            <w:r>
              <w:rPr>
                <w:rFonts w:hint="eastAsia"/>
                <w:bCs/>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59" w:type="dxa"/>
            <w:vMerge w:val="restart"/>
            <w:vAlign w:val="center"/>
          </w:tcPr>
          <w:p>
            <w:pPr>
              <w:adjustRightInd w:val="0"/>
              <w:snapToGrid w:val="0"/>
              <w:spacing w:line="340" w:lineRule="exact"/>
              <w:jc w:val="center"/>
              <w:rPr>
                <w:rFonts w:hint="default"/>
                <w:bCs/>
                <w:color w:val="000000" w:themeColor="text1"/>
                <w:szCs w:val="21"/>
                <w14:textFill>
                  <w14:solidFill>
                    <w14:schemeClr w14:val="tx1"/>
                  </w14:solidFill>
                </w14:textFill>
              </w:rPr>
            </w:pPr>
            <w:r>
              <w:rPr>
                <w:rFonts w:hint="default"/>
                <w:bCs/>
                <w:color w:val="000000" w:themeColor="text1"/>
                <w:szCs w:val="21"/>
                <w14:textFill>
                  <w14:solidFill>
                    <w14:schemeClr w14:val="tx1"/>
                  </w14:solidFill>
                </w14:textFill>
              </w:rPr>
              <w:t>8</w:t>
            </w:r>
          </w:p>
        </w:tc>
        <w:tc>
          <w:tcPr>
            <w:tcW w:w="1186" w:type="dxa"/>
            <w:vMerge w:val="restart"/>
            <w:vAlign w:val="center"/>
          </w:tcPr>
          <w:p>
            <w:pPr>
              <w:widowControl/>
              <w:spacing w:line="340" w:lineRule="exact"/>
              <w:jc w:val="left"/>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售后服务</w:t>
            </w:r>
          </w:p>
        </w:tc>
        <w:tc>
          <w:tcPr>
            <w:tcW w:w="645" w:type="dxa"/>
            <w:vAlign w:val="center"/>
          </w:tcPr>
          <w:p>
            <w:pPr>
              <w:widowControl/>
              <w:spacing w:line="340" w:lineRule="exact"/>
              <w:jc w:val="center"/>
              <w:rPr>
                <w:rFonts w:hint="default" w:eastAsia="宋体"/>
                <w:bCs/>
                <w:color w:val="000000" w:themeColor="text1"/>
                <w:szCs w:val="21"/>
                <w:lang w:val="en-US" w:eastAsia="zh-CN"/>
                <w14:textFill>
                  <w14:solidFill>
                    <w14:schemeClr w14:val="tx1"/>
                  </w14:solidFill>
                </w14:textFill>
              </w:rPr>
            </w:pPr>
            <w:r>
              <w:rPr>
                <w:rFonts w:hint="default"/>
                <w:bCs/>
                <w:color w:val="000000" w:themeColor="text1"/>
                <w:szCs w:val="21"/>
                <w:lang w:val="en-US" w:eastAsia="zh-CN"/>
                <w14:textFill>
                  <w14:solidFill>
                    <w14:schemeClr w14:val="tx1"/>
                  </w14:solidFill>
                </w14:textFill>
              </w:rPr>
              <w:t>4</w:t>
            </w:r>
          </w:p>
        </w:tc>
        <w:tc>
          <w:tcPr>
            <w:tcW w:w="5160" w:type="dxa"/>
            <w:vAlign w:val="center"/>
          </w:tcPr>
          <w:p>
            <w:pPr>
              <w:widowControl/>
              <w:spacing w:line="340" w:lineRule="exact"/>
              <w:jc w:val="left"/>
              <w:rPr>
                <w:rFonts w:hint="default"/>
                <w:bCs/>
                <w:color w:val="000000" w:themeColor="text1"/>
                <w:szCs w:val="21"/>
                <w14:textFill>
                  <w14:solidFill>
                    <w14:schemeClr w14:val="tx1"/>
                  </w14:solidFill>
                </w14:textFill>
              </w:rPr>
            </w:pPr>
            <w:r>
              <w:rPr>
                <w:rFonts w:hint="default"/>
                <w:color w:val="000000"/>
                <w:szCs w:val="21"/>
              </w:rPr>
              <w:t>根据售后服务方案、响应时间、故障解决方案进行评分，合理可行4分，基本合理可行2分，较差0分。</w:t>
            </w:r>
          </w:p>
        </w:tc>
        <w:tc>
          <w:tcPr>
            <w:tcW w:w="2008" w:type="dxa"/>
            <w:vAlign w:val="center"/>
          </w:tcPr>
          <w:p>
            <w:pPr>
              <w:widowControl/>
              <w:spacing w:line="340" w:lineRule="exact"/>
              <w:rPr>
                <w:rFonts w:hint="eastAsia" w:eastAsia="宋体"/>
                <w:bCs/>
                <w:color w:val="000000" w:themeColor="text1"/>
                <w:szCs w:val="21"/>
                <w:lang w:eastAsia="zh-CN"/>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描述</w:t>
            </w:r>
            <w:r>
              <w:rPr>
                <w:rFonts w:hint="eastAsia"/>
                <w:bCs/>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59" w:type="dxa"/>
            <w:vMerge w:val="continue"/>
            <w:vAlign w:val="center"/>
          </w:tcPr>
          <w:p>
            <w:pPr>
              <w:widowControl/>
              <w:spacing w:line="340" w:lineRule="exact"/>
              <w:rPr>
                <w:rFonts w:hint="default"/>
                <w:szCs w:val="21"/>
              </w:rPr>
            </w:pPr>
          </w:p>
        </w:tc>
        <w:tc>
          <w:tcPr>
            <w:tcW w:w="1186" w:type="dxa"/>
            <w:vMerge w:val="continue"/>
            <w:vAlign w:val="center"/>
          </w:tcPr>
          <w:p>
            <w:pPr>
              <w:widowControl/>
              <w:spacing w:line="340" w:lineRule="exact"/>
              <w:rPr>
                <w:rFonts w:hint="default"/>
                <w:szCs w:val="21"/>
              </w:rPr>
            </w:pPr>
          </w:p>
        </w:tc>
        <w:tc>
          <w:tcPr>
            <w:tcW w:w="645" w:type="dxa"/>
            <w:vAlign w:val="center"/>
          </w:tcPr>
          <w:p>
            <w:pPr>
              <w:widowControl/>
              <w:spacing w:line="340" w:lineRule="exact"/>
              <w:jc w:val="center"/>
              <w:rPr>
                <w:rFonts w:hint="default" w:eastAsia="宋体"/>
                <w:szCs w:val="21"/>
                <w:lang w:val="en-US" w:eastAsia="zh-CN"/>
              </w:rPr>
            </w:pPr>
            <w:r>
              <w:rPr>
                <w:rFonts w:hint="default"/>
                <w:szCs w:val="21"/>
                <w:lang w:val="en-US" w:eastAsia="zh-CN"/>
              </w:rPr>
              <w:t>4</w:t>
            </w:r>
          </w:p>
        </w:tc>
        <w:tc>
          <w:tcPr>
            <w:tcW w:w="5160" w:type="dxa"/>
            <w:vAlign w:val="center"/>
          </w:tcPr>
          <w:p>
            <w:pPr>
              <w:widowControl/>
              <w:spacing w:line="340" w:lineRule="exact"/>
              <w:rPr>
                <w:rFonts w:hint="default"/>
                <w:bCs/>
                <w:color w:val="000000" w:themeColor="text1"/>
                <w:szCs w:val="21"/>
                <w14:textFill>
                  <w14:solidFill>
                    <w14:schemeClr w14:val="tx1"/>
                  </w14:solidFill>
                </w14:textFill>
              </w:rPr>
            </w:pPr>
            <w:r>
              <w:rPr>
                <w:rFonts w:hint="default"/>
                <w:color w:val="000000"/>
                <w:szCs w:val="21"/>
              </w:rPr>
              <w:t>投标人具有GB/T27922-2011 商品售后服务评价体系五星认证证书得2分，售后服务人员具有IT服务工程师(ITSS) 证书得2分。</w:t>
            </w:r>
          </w:p>
        </w:tc>
        <w:tc>
          <w:tcPr>
            <w:tcW w:w="2008" w:type="dxa"/>
            <w:vAlign w:val="center"/>
          </w:tcPr>
          <w:p>
            <w:pPr>
              <w:widowControl/>
              <w:spacing w:line="340" w:lineRule="exact"/>
              <w:rPr>
                <w:rFonts w:hint="default"/>
                <w:bCs/>
                <w:color w:val="000000" w:themeColor="text1"/>
                <w:szCs w:val="21"/>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提供相应证书等证明材料及</w:t>
            </w: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为其投保的投标截止日之前三个月以内的社保参保证明。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659" w:type="dxa"/>
            <w:vAlign w:val="center"/>
          </w:tcPr>
          <w:p>
            <w:pPr>
              <w:adjustRightInd w:val="0"/>
              <w:snapToGrid w:val="0"/>
              <w:spacing w:line="340" w:lineRule="exact"/>
              <w:jc w:val="center"/>
              <w:rPr>
                <w:rFonts w:hint="default" w:eastAsia="宋体"/>
                <w:bCs/>
                <w:color w:val="000000" w:themeColor="text1"/>
                <w:szCs w:val="21"/>
                <w:lang w:val="en-US" w:eastAsia="zh-CN"/>
                <w14:textFill>
                  <w14:solidFill>
                    <w14:schemeClr w14:val="tx1"/>
                  </w14:solidFill>
                </w14:textFill>
              </w:rPr>
            </w:pPr>
            <w:r>
              <w:rPr>
                <w:rFonts w:hint="default"/>
                <w:bCs/>
                <w:color w:val="000000" w:themeColor="text1"/>
                <w:szCs w:val="21"/>
                <w:lang w:val="en-US" w:eastAsia="zh-CN"/>
                <w14:textFill>
                  <w14:solidFill>
                    <w14:schemeClr w14:val="tx1"/>
                  </w14:solidFill>
                </w14:textFill>
              </w:rPr>
              <w:t>9</w:t>
            </w:r>
          </w:p>
        </w:tc>
        <w:tc>
          <w:tcPr>
            <w:tcW w:w="1186" w:type="dxa"/>
            <w:vAlign w:val="center"/>
          </w:tcPr>
          <w:p>
            <w:pPr>
              <w:widowControl/>
              <w:spacing w:line="340" w:lineRule="exact"/>
              <w:jc w:val="left"/>
              <w:rPr>
                <w:rFonts w:hint="default"/>
                <w:bCs/>
                <w:color w:val="000000" w:themeColor="text1"/>
                <w:szCs w:val="21"/>
                <w14:textFill>
                  <w14:solidFill>
                    <w14:schemeClr w14:val="tx1"/>
                  </w14:solidFill>
                </w14:textFill>
              </w:rPr>
            </w:pPr>
            <w:r>
              <w:rPr>
                <w:rFonts w:hint="default"/>
                <w:color w:val="000000"/>
                <w:szCs w:val="21"/>
              </w:rPr>
              <w:t>环境标志产品、节能产品评审</w:t>
            </w:r>
          </w:p>
        </w:tc>
        <w:tc>
          <w:tcPr>
            <w:tcW w:w="645" w:type="dxa"/>
            <w:vAlign w:val="center"/>
          </w:tcPr>
          <w:p>
            <w:pPr>
              <w:widowControl/>
              <w:spacing w:line="340" w:lineRule="exact"/>
              <w:jc w:val="center"/>
              <w:rPr>
                <w:rFonts w:hint="default" w:eastAsia="宋体"/>
                <w:bCs/>
                <w:color w:val="000000" w:themeColor="text1"/>
                <w:szCs w:val="21"/>
                <w:lang w:val="en-US" w:eastAsia="zh-CN"/>
                <w14:textFill>
                  <w14:solidFill>
                    <w14:schemeClr w14:val="tx1"/>
                  </w14:solidFill>
                </w14:textFill>
              </w:rPr>
            </w:pPr>
            <w:r>
              <w:rPr>
                <w:rFonts w:hint="default"/>
                <w:bCs/>
                <w:color w:val="000000" w:themeColor="text1"/>
                <w:szCs w:val="21"/>
                <w:lang w:val="en-US" w:eastAsia="zh-CN"/>
                <w14:textFill>
                  <w14:solidFill>
                    <w14:schemeClr w14:val="tx1"/>
                  </w14:solidFill>
                </w14:textFill>
              </w:rPr>
              <w:t>1</w:t>
            </w:r>
          </w:p>
        </w:tc>
        <w:tc>
          <w:tcPr>
            <w:tcW w:w="5160" w:type="dxa"/>
            <w:vAlign w:val="center"/>
          </w:tcPr>
          <w:p>
            <w:pPr>
              <w:widowControl/>
              <w:spacing w:line="340" w:lineRule="exact"/>
              <w:jc w:val="left"/>
              <w:rPr>
                <w:rFonts w:hint="default"/>
                <w:bCs/>
                <w:color w:val="000000" w:themeColor="text1"/>
                <w:kern w:val="0"/>
                <w:szCs w:val="21"/>
                <w14:textFill>
                  <w14:solidFill>
                    <w14:schemeClr w14:val="tx1"/>
                  </w14:solidFill>
                </w14:textFill>
              </w:rPr>
            </w:pPr>
            <w:r>
              <w:rPr>
                <w:rFonts w:hint="default"/>
                <w:color w:val="000000"/>
                <w:szCs w:val="21"/>
              </w:rPr>
              <w:t>投标产品主体列入节能产品目录清单得0.5分，投标产品主体列入环境标志产品目录清单得0.5分。</w:t>
            </w:r>
          </w:p>
        </w:tc>
        <w:tc>
          <w:tcPr>
            <w:tcW w:w="2008" w:type="dxa"/>
            <w:vAlign w:val="center"/>
          </w:tcPr>
          <w:p>
            <w:pPr>
              <w:widowControl/>
              <w:spacing w:line="340" w:lineRule="exact"/>
              <w:rPr>
                <w:rFonts w:hint="eastAsia" w:eastAsia="宋体"/>
                <w:bCs/>
                <w:color w:val="000000" w:themeColor="text1"/>
                <w:szCs w:val="21"/>
                <w:lang w:eastAsia="zh-CN"/>
                <w14:textFill>
                  <w14:solidFill>
                    <w14:schemeClr w14:val="tx1"/>
                  </w14:solidFill>
                </w14:textFill>
              </w:rPr>
            </w:pPr>
            <w:r>
              <w:rPr>
                <w:rFonts w:hint="default"/>
                <w:bCs/>
                <w:iCs/>
                <w:color w:val="000000" w:themeColor="text1"/>
                <w:szCs w:val="21"/>
                <w14:textFill>
                  <w14:solidFill>
                    <w14:schemeClr w14:val="tx1"/>
                  </w14:solidFill>
                </w14:textFill>
              </w:rPr>
              <w:t>投标人</w:t>
            </w:r>
            <w:r>
              <w:rPr>
                <w:rFonts w:hint="default"/>
                <w:bCs/>
                <w:color w:val="000000" w:themeColor="text1"/>
                <w:szCs w:val="21"/>
                <w14:textFill>
                  <w14:solidFill>
                    <w14:schemeClr w14:val="tx1"/>
                  </w14:solidFill>
                </w14:textFill>
              </w:rPr>
              <w:t>提供相应证书等证明材料</w:t>
            </w:r>
            <w:r>
              <w:rPr>
                <w:rFonts w:hint="eastAsia"/>
                <w:bCs/>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659" w:type="dxa"/>
            <w:vAlign w:val="center"/>
          </w:tcPr>
          <w:p>
            <w:pPr>
              <w:adjustRightInd w:val="0"/>
              <w:snapToGrid w:val="0"/>
              <w:spacing w:line="340" w:lineRule="exact"/>
              <w:jc w:val="center"/>
              <w:rPr>
                <w:rFonts w:hint="default" w:eastAsia="宋体"/>
                <w:bCs/>
                <w:color w:val="000000" w:themeColor="text1"/>
                <w:szCs w:val="21"/>
                <w:lang w:val="en-US" w:eastAsia="zh-CN"/>
                <w14:textFill>
                  <w14:solidFill>
                    <w14:schemeClr w14:val="tx1"/>
                  </w14:solidFill>
                </w14:textFill>
              </w:rPr>
            </w:pPr>
            <w:r>
              <w:rPr>
                <w:rFonts w:hint="default"/>
                <w:bCs/>
                <w:color w:val="000000" w:themeColor="text1"/>
                <w:szCs w:val="21"/>
                <w:lang w:val="en-US" w:eastAsia="zh-CN"/>
                <w14:textFill>
                  <w14:solidFill>
                    <w14:schemeClr w14:val="tx1"/>
                  </w14:solidFill>
                </w14:textFill>
              </w:rPr>
              <w:t>10</w:t>
            </w:r>
          </w:p>
        </w:tc>
        <w:tc>
          <w:tcPr>
            <w:tcW w:w="1186" w:type="dxa"/>
            <w:vAlign w:val="center"/>
          </w:tcPr>
          <w:p>
            <w:pPr>
              <w:widowControl/>
              <w:spacing w:line="340" w:lineRule="exact"/>
              <w:jc w:val="left"/>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bCs/>
                <w:color w:val="000000" w:themeColor="text1"/>
                <w:szCs w:val="21"/>
                <w14:textFill>
                  <w14:solidFill>
                    <w14:schemeClr w14:val="tx1"/>
                  </w14:solidFill>
                </w14:textFill>
              </w:rPr>
              <w:t>价格</w:t>
            </w:r>
          </w:p>
        </w:tc>
        <w:tc>
          <w:tcPr>
            <w:tcW w:w="645" w:type="dxa"/>
            <w:vAlign w:val="center"/>
          </w:tcPr>
          <w:p>
            <w:pPr>
              <w:widowControl/>
              <w:spacing w:line="340" w:lineRule="exact"/>
              <w:jc w:val="cente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bCs/>
                <w:color w:val="000000" w:themeColor="text1"/>
                <w:szCs w:val="21"/>
                <w:lang w:val="en-US" w:eastAsia="zh-CN"/>
                <w14:textFill>
                  <w14:solidFill>
                    <w14:schemeClr w14:val="tx1"/>
                  </w14:solidFill>
                </w14:textFill>
              </w:rPr>
              <w:t>30</w:t>
            </w:r>
          </w:p>
        </w:tc>
        <w:tc>
          <w:tcPr>
            <w:tcW w:w="5160" w:type="dxa"/>
            <w:vAlign w:val="center"/>
          </w:tcPr>
          <w:p>
            <w:pPr>
              <w:widowControl/>
              <w:spacing w:line="340" w:lineRule="exact"/>
              <w:jc w:val="left"/>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bCs/>
                <w:color w:val="000000" w:themeColor="text1"/>
                <w:kern w:val="0"/>
                <w:szCs w:val="21"/>
                <w14:textFill>
                  <w14:solidFill>
                    <w14:schemeClr w14:val="tx1"/>
                  </w14:solidFill>
                </w14:textFill>
              </w:rPr>
              <w:t>满足投标文件要求且投标价格最低的投标报价为评标基准价，其价格分</w:t>
            </w:r>
            <w:r>
              <w:rPr>
                <w:rFonts w:hint="default"/>
                <w:bCs/>
                <w:color w:val="000000" w:themeColor="text1"/>
                <w:kern w:val="0"/>
                <w:szCs w:val="21"/>
                <w:lang w:val="en-US" w:eastAsia="zh-CN"/>
                <w14:textFill>
                  <w14:solidFill>
                    <w14:schemeClr w14:val="tx1"/>
                  </w14:solidFill>
                </w14:textFill>
              </w:rPr>
              <w:t>30</w:t>
            </w:r>
            <w:r>
              <w:rPr>
                <w:rFonts w:hint="default"/>
                <w:bCs/>
                <w:color w:val="000000" w:themeColor="text1"/>
                <w:kern w:val="0"/>
                <w:szCs w:val="21"/>
                <w14:textFill>
                  <w14:solidFill>
                    <w14:schemeClr w14:val="tx1"/>
                  </w14:solidFill>
                </w14:textFill>
              </w:rPr>
              <w:t>分，其他投标人的价格分按下列公式计算：价格得分＝（评标基准价/投标报价）×</w:t>
            </w:r>
            <w:r>
              <w:rPr>
                <w:rFonts w:hint="default"/>
                <w:bCs/>
                <w:color w:val="000000" w:themeColor="text1"/>
                <w:kern w:val="0"/>
                <w:szCs w:val="21"/>
                <w:lang w:val="en-US" w:eastAsia="zh-CN"/>
                <w14:textFill>
                  <w14:solidFill>
                    <w14:schemeClr w14:val="tx1"/>
                  </w14:solidFill>
                </w14:textFill>
              </w:rPr>
              <w:t>30</w:t>
            </w:r>
            <w:r>
              <w:rPr>
                <w:rFonts w:hint="default"/>
                <w:bCs/>
                <w:color w:val="000000" w:themeColor="text1"/>
                <w:kern w:val="0"/>
                <w:szCs w:val="21"/>
                <w14:textFill>
                  <w14:solidFill>
                    <w14:schemeClr w14:val="tx1"/>
                  </w14:solidFill>
                </w14:textFill>
              </w:rPr>
              <w:t>%×100。</w:t>
            </w:r>
            <w:r>
              <w:rPr>
                <w:rFonts w:hint="default" w:eastAsia="宋体"/>
                <w:bCs/>
                <w:color w:val="000000" w:themeColor="text1"/>
                <w:szCs w:val="21"/>
                <w14:textFill>
                  <w14:solidFill>
                    <w14:schemeClr w14:val="tx1"/>
                  </w14:solidFill>
                </w14:textFill>
              </w:rPr>
              <w:t>（小数点后保留2位小数）</w:t>
            </w:r>
            <w:r>
              <w:rPr>
                <w:rFonts w:hint="default"/>
                <w:bCs/>
                <w:color w:val="000000" w:themeColor="text1"/>
                <w:szCs w:val="21"/>
                <w14:textFill>
                  <w14:solidFill>
                    <w14:schemeClr w14:val="tx1"/>
                  </w14:solidFill>
                </w14:textFill>
              </w:rPr>
              <w:t>。</w:t>
            </w:r>
          </w:p>
        </w:tc>
        <w:tc>
          <w:tcPr>
            <w:tcW w:w="2008" w:type="dxa"/>
            <w:vAlign w:val="center"/>
          </w:tcPr>
          <w:p>
            <w:pPr>
              <w:widowControl/>
              <w:spacing w:line="340" w:lineRule="exact"/>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pPr>
            <w:r>
              <w:rPr>
                <w:rFonts w:hint="default"/>
                <w:bCs/>
                <w:color w:val="000000" w:themeColor="text1"/>
                <w:szCs w:val="21"/>
                <w14:textFill>
                  <w14:solidFill>
                    <w14:schemeClr w14:val="tx1"/>
                  </w14:solidFill>
                </w14:textFill>
              </w:rPr>
              <w:t>根据开标一览表</w:t>
            </w:r>
          </w:p>
        </w:tc>
      </w:tr>
    </w:tbl>
    <w:p>
      <w:pPr>
        <w:spacing w:line="360" w:lineRule="auto"/>
        <w:jc w:val="center"/>
        <w:rPr>
          <w:bCs/>
          <w:sz w:val="32"/>
          <w:szCs w:val="32"/>
        </w:rPr>
      </w:pPr>
    </w:p>
    <w:p>
      <w:pPr>
        <w:spacing w:line="360" w:lineRule="auto"/>
        <w:jc w:val="center"/>
        <w:rPr>
          <w:bCs/>
          <w:sz w:val="32"/>
          <w:szCs w:val="32"/>
        </w:rPr>
      </w:pPr>
    </w:p>
    <w:p>
      <w:pPr>
        <w:spacing w:line="360" w:lineRule="auto"/>
        <w:jc w:val="center"/>
        <w:rPr>
          <w:bCs/>
          <w:sz w:val="32"/>
          <w:szCs w:val="32"/>
        </w:rPr>
      </w:pPr>
    </w:p>
    <w:p>
      <w:pPr>
        <w:spacing w:line="360" w:lineRule="auto"/>
        <w:jc w:val="center"/>
        <w:rPr>
          <w:bCs/>
          <w:sz w:val="32"/>
          <w:szCs w:val="32"/>
        </w:rPr>
      </w:pPr>
    </w:p>
    <w:p>
      <w:pPr>
        <w:spacing w:line="360" w:lineRule="auto"/>
        <w:jc w:val="center"/>
        <w:rPr>
          <w:b w:val="0"/>
          <w:bCs/>
          <w:sz w:val="32"/>
          <w:szCs w:val="32"/>
        </w:rPr>
      </w:pPr>
      <w:r>
        <w:rPr>
          <w:rFonts w:hint="eastAsia"/>
          <w:b w:val="0"/>
          <w:bCs/>
          <w:sz w:val="32"/>
          <w:szCs w:val="32"/>
        </w:rPr>
        <w:t>第四章</w:t>
      </w:r>
      <w:r>
        <w:rPr>
          <w:b w:val="0"/>
          <w:bCs/>
          <w:sz w:val="32"/>
          <w:szCs w:val="32"/>
        </w:rPr>
        <w:t xml:space="preserve">  </w:t>
      </w:r>
      <w:r>
        <w:rPr>
          <w:rFonts w:hint="eastAsia"/>
          <w:b w:val="0"/>
          <w:bCs/>
          <w:sz w:val="32"/>
          <w:szCs w:val="32"/>
        </w:rPr>
        <w:t>公开招标需求</w:t>
      </w:r>
    </w:p>
    <w:p>
      <w:pPr>
        <w:pStyle w:val="35"/>
        <w:spacing w:before="156" w:afterLines="50" w:line="520" w:lineRule="exact"/>
        <w:ind w:firstLine="0"/>
        <w:rPr>
          <w:rFonts w:ascii="Times New Roman" w:hAnsi="Times New Roman"/>
          <w:b w:val="0"/>
          <w:bCs/>
          <w:kern w:val="2"/>
        </w:rPr>
      </w:pPr>
      <w:r>
        <w:rPr>
          <w:rFonts w:hint="eastAsia" w:ascii="Times New Roman" w:hAnsi="Times New Roman"/>
          <w:b w:val="0"/>
          <w:bCs/>
          <w:kern w:val="2"/>
        </w:rPr>
        <w:t>一、招标项目一览表</w:t>
      </w:r>
    </w:p>
    <w:p>
      <w:pPr>
        <w:tabs>
          <w:tab w:val="left" w:pos="8280"/>
        </w:tabs>
        <w:autoSpaceDE w:val="0"/>
        <w:autoSpaceDN w:val="0"/>
        <w:adjustRightInd w:val="0"/>
        <w:spacing w:line="400" w:lineRule="exact"/>
        <w:ind w:firstLine="420" w:firstLineChars="200"/>
        <w:rPr>
          <w:bCs/>
          <w:szCs w:val="21"/>
        </w:rPr>
      </w:pPr>
      <w:r>
        <w:rPr>
          <w:rFonts w:hint="eastAsia"/>
          <w:bCs/>
          <w:szCs w:val="21"/>
        </w:rPr>
        <w:t>本次招标共</w:t>
      </w:r>
      <w:r>
        <w:rPr>
          <w:bCs/>
          <w:szCs w:val="21"/>
          <w:u w:val="single"/>
        </w:rPr>
        <w:t>1</w:t>
      </w:r>
      <w:r>
        <w:rPr>
          <w:rFonts w:hint="eastAsia"/>
          <w:bCs/>
          <w:szCs w:val="21"/>
        </w:rPr>
        <w:t>个标段，具体内容如下表：</w:t>
      </w:r>
    </w:p>
    <w:tbl>
      <w:tblPr>
        <w:tblStyle w:val="27"/>
        <w:tblW w:w="859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66"/>
        <w:gridCol w:w="754"/>
        <w:gridCol w:w="675"/>
        <w:gridCol w:w="1215"/>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75" w:type="dxa"/>
            <w:vAlign w:val="center"/>
          </w:tcPr>
          <w:p>
            <w:pPr>
              <w:tabs>
                <w:tab w:val="left" w:pos="8280"/>
              </w:tabs>
              <w:autoSpaceDE w:val="0"/>
              <w:autoSpaceDN w:val="0"/>
              <w:adjustRightInd w:val="0"/>
              <w:spacing w:line="370" w:lineRule="exact"/>
              <w:jc w:val="center"/>
              <w:rPr>
                <w:b w:val="0"/>
                <w:bCs/>
                <w:szCs w:val="21"/>
              </w:rPr>
            </w:pPr>
            <w:r>
              <w:rPr>
                <w:rFonts w:hint="eastAsia"/>
                <w:b w:val="0"/>
                <w:bCs/>
                <w:szCs w:val="21"/>
              </w:rPr>
              <w:t>序号</w:t>
            </w:r>
          </w:p>
        </w:tc>
        <w:tc>
          <w:tcPr>
            <w:tcW w:w="2366" w:type="dxa"/>
            <w:vAlign w:val="center"/>
          </w:tcPr>
          <w:p>
            <w:pPr>
              <w:tabs>
                <w:tab w:val="left" w:pos="8280"/>
              </w:tabs>
              <w:autoSpaceDE w:val="0"/>
              <w:autoSpaceDN w:val="0"/>
              <w:adjustRightInd w:val="0"/>
              <w:spacing w:line="370" w:lineRule="exact"/>
              <w:jc w:val="center"/>
              <w:rPr>
                <w:b w:val="0"/>
                <w:bCs/>
                <w:szCs w:val="21"/>
              </w:rPr>
            </w:pPr>
            <w:r>
              <w:rPr>
                <w:rFonts w:hint="eastAsia"/>
                <w:b w:val="0"/>
                <w:bCs/>
                <w:szCs w:val="21"/>
              </w:rPr>
              <w:t>项目名称</w:t>
            </w:r>
          </w:p>
        </w:tc>
        <w:tc>
          <w:tcPr>
            <w:tcW w:w="754" w:type="dxa"/>
            <w:vAlign w:val="center"/>
          </w:tcPr>
          <w:p>
            <w:pPr>
              <w:tabs>
                <w:tab w:val="left" w:pos="8280"/>
              </w:tabs>
              <w:autoSpaceDE w:val="0"/>
              <w:autoSpaceDN w:val="0"/>
              <w:adjustRightInd w:val="0"/>
              <w:spacing w:line="370" w:lineRule="exact"/>
              <w:jc w:val="center"/>
              <w:rPr>
                <w:b w:val="0"/>
                <w:bCs/>
                <w:szCs w:val="21"/>
              </w:rPr>
            </w:pPr>
            <w:r>
              <w:rPr>
                <w:rFonts w:hint="eastAsia"/>
                <w:b w:val="0"/>
                <w:bCs/>
                <w:szCs w:val="21"/>
              </w:rPr>
              <w:t>数量</w:t>
            </w:r>
          </w:p>
        </w:tc>
        <w:tc>
          <w:tcPr>
            <w:tcW w:w="675" w:type="dxa"/>
            <w:vAlign w:val="center"/>
          </w:tcPr>
          <w:p>
            <w:pPr>
              <w:tabs>
                <w:tab w:val="left" w:pos="8280"/>
              </w:tabs>
              <w:autoSpaceDE w:val="0"/>
              <w:autoSpaceDN w:val="0"/>
              <w:adjustRightInd w:val="0"/>
              <w:spacing w:line="370" w:lineRule="exact"/>
              <w:jc w:val="center"/>
              <w:rPr>
                <w:b w:val="0"/>
                <w:bCs/>
                <w:szCs w:val="21"/>
              </w:rPr>
            </w:pPr>
            <w:r>
              <w:rPr>
                <w:rFonts w:hint="eastAsia"/>
                <w:b w:val="0"/>
                <w:bCs/>
                <w:szCs w:val="21"/>
              </w:rPr>
              <w:t>单位</w:t>
            </w:r>
          </w:p>
        </w:tc>
        <w:tc>
          <w:tcPr>
            <w:tcW w:w="1215" w:type="dxa"/>
            <w:vAlign w:val="center"/>
          </w:tcPr>
          <w:p>
            <w:pPr>
              <w:tabs>
                <w:tab w:val="left" w:pos="8280"/>
              </w:tabs>
              <w:autoSpaceDE w:val="0"/>
              <w:autoSpaceDN w:val="0"/>
              <w:adjustRightInd w:val="0"/>
              <w:spacing w:line="370" w:lineRule="exact"/>
              <w:jc w:val="center"/>
              <w:rPr>
                <w:b w:val="0"/>
                <w:bCs/>
                <w:szCs w:val="21"/>
              </w:rPr>
            </w:pPr>
            <w:r>
              <w:rPr>
                <w:rFonts w:hint="eastAsia"/>
                <w:b w:val="0"/>
                <w:bCs/>
                <w:szCs w:val="21"/>
              </w:rPr>
              <w:t>预算（元）</w:t>
            </w:r>
          </w:p>
        </w:tc>
        <w:tc>
          <w:tcPr>
            <w:tcW w:w="2910" w:type="dxa"/>
            <w:vAlign w:val="center"/>
          </w:tcPr>
          <w:p>
            <w:pPr>
              <w:tabs>
                <w:tab w:val="left" w:pos="8280"/>
              </w:tabs>
              <w:autoSpaceDE w:val="0"/>
              <w:autoSpaceDN w:val="0"/>
              <w:adjustRightInd w:val="0"/>
              <w:spacing w:line="370" w:lineRule="exact"/>
              <w:jc w:val="center"/>
              <w:rPr>
                <w:b w:val="0"/>
                <w:bCs/>
                <w:szCs w:val="21"/>
              </w:rPr>
            </w:pPr>
            <w:r>
              <w:rPr>
                <w:rFonts w:hint="eastAsia"/>
                <w:b w:val="0"/>
                <w:bCs/>
                <w:kern w:val="0"/>
                <w:szCs w:val="21"/>
              </w:rPr>
              <w:t>简要技术要求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75" w:type="dxa"/>
            <w:vAlign w:val="center"/>
          </w:tcPr>
          <w:p>
            <w:pPr>
              <w:tabs>
                <w:tab w:val="left" w:pos="8280"/>
              </w:tabs>
              <w:autoSpaceDE w:val="0"/>
              <w:autoSpaceDN w:val="0"/>
              <w:adjustRightInd w:val="0"/>
              <w:spacing w:line="370" w:lineRule="exact"/>
              <w:jc w:val="center"/>
              <w:rPr>
                <w:bCs/>
                <w:szCs w:val="21"/>
              </w:rPr>
            </w:pPr>
            <w:r>
              <w:rPr>
                <w:bCs/>
                <w:szCs w:val="21"/>
              </w:rPr>
              <w:t>1</w:t>
            </w:r>
          </w:p>
        </w:tc>
        <w:tc>
          <w:tcPr>
            <w:tcW w:w="2366" w:type="dxa"/>
            <w:vAlign w:val="center"/>
          </w:tcPr>
          <w:p>
            <w:pPr>
              <w:tabs>
                <w:tab w:val="left" w:pos="8280"/>
              </w:tabs>
              <w:autoSpaceDE w:val="0"/>
              <w:autoSpaceDN w:val="0"/>
              <w:adjustRightInd w:val="0"/>
              <w:spacing w:line="370" w:lineRule="exact"/>
              <w:jc w:val="center"/>
              <w:rPr>
                <w:rFonts w:hint="eastAsia" w:eastAsia="宋体"/>
                <w:bCs/>
                <w:szCs w:val="21"/>
                <w:lang w:eastAsia="zh-CN"/>
              </w:rPr>
            </w:pPr>
            <w:r>
              <w:rPr>
                <w:rFonts w:hint="eastAsia"/>
                <w:bCs/>
                <w:szCs w:val="21"/>
                <w:lang w:eastAsia="zh-CN"/>
              </w:rPr>
              <w:t>玉环市人民医院健共体集团数据中心设备采购</w:t>
            </w:r>
          </w:p>
        </w:tc>
        <w:tc>
          <w:tcPr>
            <w:tcW w:w="754" w:type="dxa"/>
            <w:vAlign w:val="center"/>
          </w:tcPr>
          <w:p>
            <w:pPr>
              <w:tabs>
                <w:tab w:val="left" w:pos="8280"/>
              </w:tabs>
              <w:autoSpaceDE w:val="0"/>
              <w:autoSpaceDN w:val="0"/>
              <w:adjustRightInd w:val="0"/>
              <w:spacing w:line="370" w:lineRule="exact"/>
              <w:jc w:val="center"/>
              <w:rPr>
                <w:bCs/>
                <w:szCs w:val="21"/>
              </w:rPr>
            </w:pPr>
            <w:r>
              <w:rPr>
                <w:bCs/>
                <w:szCs w:val="21"/>
              </w:rPr>
              <w:t>1</w:t>
            </w:r>
          </w:p>
        </w:tc>
        <w:tc>
          <w:tcPr>
            <w:tcW w:w="675" w:type="dxa"/>
            <w:vAlign w:val="center"/>
          </w:tcPr>
          <w:p>
            <w:pPr>
              <w:tabs>
                <w:tab w:val="left" w:pos="8280"/>
              </w:tabs>
              <w:autoSpaceDE w:val="0"/>
              <w:autoSpaceDN w:val="0"/>
              <w:adjustRightInd w:val="0"/>
              <w:spacing w:line="370" w:lineRule="exact"/>
              <w:jc w:val="center"/>
              <w:rPr>
                <w:bCs/>
                <w:szCs w:val="21"/>
              </w:rPr>
            </w:pPr>
            <w:r>
              <w:rPr>
                <w:rFonts w:hint="eastAsia"/>
                <w:bCs/>
                <w:szCs w:val="21"/>
              </w:rPr>
              <w:t>项</w:t>
            </w:r>
          </w:p>
        </w:tc>
        <w:tc>
          <w:tcPr>
            <w:tcW w:w="1215" w:type="dxa"/>
            <w:vAlign w:val="center"/>
          </w:tcPr>
          <w:p>
            <w:pPr>
              <w:tabs>
                <w:tab w:val="left" w:pos="8280"/>
              </w:tabs>
              <w:autoSpaceDE w:val="0"/>
              <w:autoSpaceDN w:val="0"/>
              <w:adjustRightInd w:val="0"/>
              <w:spacing w:line="370" w:lineRule="exact"/>
              <w:jc w:val="center"/>
              <w:rPr>
                <w:rFonts w:hint="eastAsia" w:eastAsia="宋体"/>
                <w:bCs/>
                <w:szCs w:val="21"/>
                <w:lang w:eastAsia="zh-CN"/>
              </w:rPr>
            </w:pPr>
            <w:r>
              <w:rPr>
                <w:rFonts w:hint="eastAsia"/>
                <w:bCs/>
                <w:szCs w:val="21"/>
                <w:lang w:eastAsia="zh-CN"/>
              </w:rPr>
              <w:t>5370000</w:t>
            </w:r>
          </w:p>
        </w:tc>
        <w:tc>
          <w:tcPr>
            <w:tcW w:w="2910" w:type="dxa"/>
            <w:vAlign w:val="center"/>
          </w:tcPr>
          <w:p>
            <w:pPr>
              <w:tabs>
                <w:tab w:val="left" w:pos="8280"/>
              </w:tabs>
              <w:autoSpaceDE w:val="0"/>
              <w:autoSpaceDN w:val="0"/>
              <w:adjustRightInd w:val="0"/>
              <w:spacing w:line="370" w:lineRule="exact"/>
              <w:jc w:val="center"/>
              <w:rPr>
                <w:bCs/>
                <w:szCs w:val="21"/>
              </w:rPr>
            </w:pPr>
            <w:r>
              <w:rPr>
                <w:rFonts w:hint="eastAsia"/>
                <w:bCs/>
                <w:szCs w:val="21"/>
              </w:rPr>
              <w:t>具体技术参数详见招标需求</w:t>
            </w:r>
          </w:p>
        </w:tc>
      </w:tr>
    </w:tbl>
    <w:p>
      <w:pPr>
        <w:pStyle w:val="35"/>
        <w:spacing w:before="156" w:afterLines="50" w:line="400" w:lineRule="exact"/>
        <w:ind w:firstLine="0"/>
        <w:rPr>
          <w:rFonts w:ascii="Times New Roman" w:hAnsi="Times New Roman"/>
          <w:b/>
          <w:kern w:val="2"/>
        </w:rPr>
      </w:pPr>
      <w:r>
        <w:rPr>
          <w:rFonts w:hint="eastAsia" w:ascii="Times New Roman" w:hAnsi="Times New Roman"/>
          <w:b/>
          <w:kern w:val="2"/>
        </w:rPr>
        <w:t>二、项目内容</w:t>
      </w:r>
    </w:p>
    <w:p>
      <w:pPr>
        <w:spacing w:line="340" w:lineRule="exact"/>
        <w:ind w:firstLine="422" w:firstLineChars="200"/>
        <w:rPr>
          <w:rFonts w:hint="eastAsia" w:asciiTheme="minorEastAsia" w:hAnsiTheme="minorEastAsia" w:eastAsiaTheme="minorEastAsia" w:cstheme="minorEastAsia"/>
          <w:b/>
          <w:bCs w:val="0"/>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Cs w:val="21"/>
          <w:lang w:val="en-US" w:eastAsia="zh-CN"/>
          <w14:textFill>
            <w14:solidFill>
              <w14:schemeClr w14:val="tx1"/>
            </w14:solidFill>
          </w14:textFill>
        </w:rPr>
        <w:t>一</w:t>
      </w:r>
      <w:r>
        <w:rPr>
          <w:rFonts w:hint="eastAsia" w:asciiTheme="minorEastAsia" w:hAnsiTheme="minorEastAsia" w:eastAsiaTheme="minorEastAsia" w:cstheme="minorEastAsia"/>
          <w:b/>
          <w:bCs w:val="0"/>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Cs w:val="21"/>
          <w14:textFill>
            <w14:solidFill>
              <w14:schemeClr w14:val="tx1"/>
            </w14:solidFill>
          </w14:textFill>
        </w:rPr>
        <w:t>项目</w:t>
      </w:r>
      <w:r>
        <w:rPr>
          <w:rFonts w:hint="eastAsia" w:asciiTheme="minorEastAsia" w:hAnsiTheme="minorEastAsia" w:eastAsiaTheme="minorEastAsia" w:cstheme="minorEastAsia"/>
          <w:b/>
          <w:bCs w:val="0"/>
          <w:color w:val="000000" w:themeColor="text1"/>
          <w:szCs w:val="21"/>
          <w:lang w:val="en-US" w:eastAsia="zh-CN"/>
          <w14:textFill>
            <w14:solidFill>
              <w14:schemeClr w14:val="tx1"/>
            </w14:solidFill>
          </w14:textFill>
        </w:rPr>
        <w:t>需求</w:t>
      </w:r>
    </w:p>
    <w:p>
      <w:pPr>
        <w:spacing w:line="3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一直以来，“看病难，看病贵”是人民群众最关心的民生问题之一。伴随信息时代的发展，医疗行业和 “互联网+”的融合可以改写医疗行业应用的历史并且能够成为解决“看病难，看病贵”等一系列问题的重要途径。智慧医院的建设则是“互联网+”在医疗行业应 用的具体体现。智慧医院通过物联网、移动互联网、云计算等技术可以逐步实现集疾病预防、网上诊疗、康复照护于一体的远程医疗健康服务平台。现今，国内多地已经开始加快智慧医院的建设，智慧医院以互联网信息技术为基础，为人们提供全面的数字化、信息化、网络化的优质服务，不仅为更多的患者提供了贴心及时的服务，还提高了医院的办事效率、促进了医疗资源的共享。未来智慧医院的发展将有望破解卫生医疗健康服务的难题，满足广大人民群众的医疗服务需求，实现医疗健康服务的创新和应用。</w:t>
      </w:r>
    </w:p>
    <w:p>
      <w:pPr>
        <w:spacing w:line="3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随着信息技术的快速发展，医院正加速实施基于基础信息化网络平台、HIS业务平台的整体建设，以提高医院的服务水平和核心竞争力，从最初的“以财务为中心”的医院信息系统向“以病人为中心”、“以电子病历为中心”的医院信息系统转变，医院信息化建设已经取得了显著成效。信息化不仅提升了医生的工作效率，使医生有更多的时间为患者服务，也提高了患者满意度，而且无形之中还树立起医院的科技形象品牌，医院信息化正越来越成为强化医院活力与竞争力的关键行为，医疗业务应用与基础网络平台的逐步融合正成为中国医院，尤其是大中型医院业务发展前进的新的驱动力。</w:t>
      </w:r>
    </w:p>
    <w:p>
      <w:pPr>
        <w:spacing w:line="3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玉环市人民医院健共体集团健共体集团</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根据医疗信息化发展趋势和国务院行动指导意见，通过建设此次项目提升区域医疗业务水平以及促进区域医疗信息化技术发展，支撑区域医疗业务稳定运行，保障医疗就诊效率及医疗服务体验。</w:t>
      </w:r>
    </w:p>
    <w:p>
      <w:pPr>
        <w:pStyle w:val="7"/>
        <w:spacing w:before="0" w:after="0" w:line="340" w:lineRule="exact"/>
        <w:ind w:firstLine="422"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项目建设目标</w:t>
      </w:r>
    </w:p>
    <w:p>
      <w:pPr>
        <w:spacing w:line="3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结合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玉环市人民医院健共体集团健共体集团</w:t>
      </w:r>
      <w:r>
        <w:rPr>
          <w:rFonts w:hint="eastAsia" w:asciiTheme="minorEastAsia" w:hAnsiTheme="minorEastAsia" w:eastAsiaTheme="minorEastAsia" w:cstheme="minorEastAsia"/>
          <w:color w:val="000000" w:themeColor="text1"/>
          <w:sz w:val="21"/>
          <w:szCs w:val="21"/>
          <w14:textFill>
            <w14:solidFill>
              <w14:schemeClr w14:val="tx1"/>
            </w14:solidFill>
          </w14:textFill>
        </w:rPr>
        <w:t>信息系统现状，以及根据业务发展趋势，通过本次项目建设达成以下目标：</w:t>
      </w:r>
    </w:p>
    <w:p>
      <w:pPr>
        <w:pStyle w:val="33"/>
        <w:numPr>
          <w:ilvl w:val="-1"/>
          <w:numId w:val="0"/>
        </w:numPr>
        <w:spacing w:line="340" w:lineRule="exact"/>
        <w:ind w:left="420" w:leftChars="20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结合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玉环市人民医院健共体集团健共体集团</w:t>
      </w:r>
      <w:r>
        <w:rPr>
          <w:rFonts w:hint="eastAsia" w:asciiTheme="minorEastAsia" w:hAnsiTheme="minorEastAsia" w:eastAsiaTheme="minorEastAsia" w:cstheme="minorEastAsia"/>
          <w:color w:val="000000" w:themeColor="text1"/>
          <w:sz w:val="21"/>
          <w:szCs w:val="21"/>
          <w14:textFill>
            <w14:solidFill>
              <w14:schemeClr w14:val="tx1"/>
            </w14:solidFill>
          </w14:textFill>
        </w:rPr>
        <w:t>信息化现状，针对现有情况提出针对性的解决方案，建设满足</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玉环市人民医院健共体集团健共体集团</w:t>
      </w:r>
      <w:r>
        <w:rPr>
          <w:rFonts w:hint="eastAsia" w:asciiTheme="minorEastAsia" w:hAnsiTheme="minorEastAsia" w:eastAsiaTheme="minorEastAsia" w:cstheme="minorEastAsia"/>
          <w:color w:val="000000" w:themeColor="text1"/>
          <w:sz w:val="21"/>
          <w:szCs w:val="21"/>
          <w14:textFill>
            <w14:solidFill>
              <w14:schemeClr w14:val="tx1"/>
            </w14:solidFill>
          </w14:textFill>
        </w:rPr>
        <w:t>未来5~10年业务发展的整体数据中心基础架构。</w:t>
      </w:r>
    </w:p>
    <w:p>
      <w:pPr>
        <w:pStyle w:val="33"/>
        <w:numPr>
          <w:ilvl w:val="-1"/>
          <w:numId w:val="0"/>
        </w:numPr>
        <w:spacing w:line="340" w:lineRule="exact"/>
        <w:ind w:left="420" w:leftChars="20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本次建设的数据中心基础架构能够符合互联互通等级评定、电子病历等级评定等各项系统评级评定中的指标要求。</w:t>
      </w:r>
    </w:p>
    <w:p>
      <w:pPr>
        <w:spacing w:line="3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3、结合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玉环市人民医院健共体集团健共体集团</w:t>
      </w:r>
      <w:r>
        <w:rPr>
          <w:rFonts w:hint="eastAsia" w:asciiTheme="minorEastAsia" w:hAnsiTheme="minorEastAsia" w:eastAsiaTheme="minorEastAsia" w:cstheme="minorEastAsia"/>
          <w:color w:val="000000" w:themeColor="text1"/>
          <w:sz w:val="21"/>
          <w:szCs w:val="21"/>
          <w14:textFill>
            <w14:solidFill>
              <w14:schemeClr w14:val="tx1"/>
            </w14:solidFill>
          </w14:textFill>
        </w:rPr>
        <w:t>数据中心架构现状，在确保现有业务系统的数据安全和业务连续性的前提下实现业务系统的无缝迁移。</w:t>
      </w:r>
    </w:p>
    <w:p>
      <w:pPr>
        <w:spacing w:line="340" w:lineRule="exact"/>
        <w:ind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4、充分结合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玉环市人民医院健共体集团健共体集团</w:t>
      </w:r>
      <w:r>
        <w:rPr>
          <w:rFonts w:hint="eastAsia" w:asciiTheme="minorEastAsia" w:hAnsiTheme="minorEastAsia" w:eastAsiaTheme="minorEastAsia" w:cstheme="minorEastAsia"/>
          <w:color w:val="000000" w:themeColor="text1"/>
          <w:sz w:val="21"/>
          <w:szCs w:val="21"/>
          <w14:textFill>
            <w14:solidFill>
              <w14:schemeClr w14:val="tx1"/>
            </w14:solidFill>
          </w14:textFill>
        </w:rPr>
        <w:t>信息化设备现状，提出合理化利旧整合方案，保护原有投资。</w:t>
      </w:r>
    </w:p>
    <w:p>
      <w:pPr>
        <w:spacing w:line="340" w:lineRule="exact"/>
        <w:ind w:firstLine="422" w:firstLineChars="200"/>
        <w:rPr>
          <w:rFonts w:hint="default"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采购清单</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6"/>
        <w:gridCol w:w="2269"/>
        <w:gridCol w:w="127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shd w:val="clear" w:color="000000" w:fill="FFFFFF" w:themeFill="background1"/>
            <w:vAlign w:val="center"/>
          </w:tcPr>
          <w:p>
            <w:pPr>
              <w:widowControl/>
              <w:jc w:val="center"/>
              <w:rPr>
                <w:rFonts w:hint="default" w:ascii="Times New Roman" w:hAnsi="Times New Roman" w:cs="Times New Roman" w:eastAsiaTheme="minorEastAsia"/>
                <w:b/>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序号</w:t>
            </w:r>
          </w:p>
        </w:tc>
        <w:tc>
          <w:tcPr>
            <w:tcW w:w="1746" w:type="pct"/>
            <w:shd w:val="clear" w:color="000000" w:fill="FFFFFF" w:themeFill="background1"/>
            <w:vAlign w:val="center"/>
          </w:tcPr>
          <w:p>
            <w:pPr>
              <w:widowControl/>
              <w:jc w:val="center"/>
              <w:rPr>
                <w:rFonts w:hint="default" w:ascii="Times New Roman" w:hAnsi="Times New Roman" w:cs="Times New Roman" w:eastAsiaTheme="minorEastAsia"/>
                <w:b/>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设备名称</w:t>
            </w:r>
          </w:p>
        </w:tc>
        <w:tc>
          <w:tcPr>
            <w:tcW w:w="1331" w:type="pct"/>
            <w:shd w:val="clear" w:color="000000" w:fill="FFFFFF" w:themeFill="background1"/>
          </w:tcPr>
          <w:p>
            <w:pPr>
              <w:widowControl/>
              <w:jc w:val="center"/>
              <w:rPr>
                <w:rFonts w:hint="default" w:ascii="Times New Roman" w:hAnsi="Times New Roman" w:cs="Times New Roman" w:eastAsiaTheme="minorEastAsia"/>
                <w:b/>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技术要求</w:t>
            </w:r>
          </w:p>
        </w:tc>
        <w:tc>
          <w:tcPr>
            <w:tcW w:w="749" w:type="pct"/>
            <w:shd w:val="clear" w:color="000000" w:fill="FFFFFF" w:themeFill="background1"/>
            <w:vAlign w:val="center"/>
          </w:tcPr>
          <w:p>
            <w:pPr>
              <w:widowControl/>
              <w:jc w:val="center"/>
              <w:rPr>
                <w:rFonts w:hint="default" w:ascii="Times New Roman" w:hAnsi="Times New Roman" w:cs="Times New Roman" w:eastAsiaTheme="minorEastAsia"/>
                <w:b/>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数量</w:t>
            </w:r>
          </w:p>
        </w:tc>
        <w:tc>
          <w:tcPr>
            <w:tcW w:w="694" w:type="pct"/>
            <w:shd w:val="clear" w:color="000000" w:fill="FFFFFF" w:themeFill="background1"/>
          </w:tcPr>
          <w:p>
            <w:pPr>
              <w:widowControl/>
              <w:jc w:val="center"/>
              <w:rPr>
                <w:rFonts w:hint="default" w:ascii="Times New Roman" w:hAnsi="Times New Roman" w:cs="Times New Roman" w:eastAsiaTheme="minorEastAsia"/>
                <w:b/>
                <w:bCs/>
                <w:color w:val="000000" w:themeColor="text1"/>
                <w:kern w:val="0"/>
                <w:sz w:val="21"/>
                <w:szCs w:val="21"/>
                <w14:textFill>
                  <w14:solidFill>
                    <w14:schemeClr w14:val="tx1"/>
                  </w14:solidFill>
                </w14:textFill>
              </w:rPr>
            </w:pP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1</w:t>
            </w:r>
          </w:p>
        </w:tc>
        <w:tc>
          <w:tcPr>
            <w:tcW w:w="1746"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数据库服务器</w:t>
            </w:r>
          </w:p>
        </w:tc>
        <w:tc>
          <w:tcPr>
            <w:tcW w:w="1331"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详见招标参数要求</w:t>
            </w:r>
          </w:p>
        </w:tc>
        <w:tc>
          <w:tcPr>
            <w:tcW w:w="749"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4台</w:t>
            </w:r>
          </w:p>
        </w:tc>
        <w:tc>
          <w:tcPr>
            <w:tcW w:w="694"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2</w:t>
            </w:r>
          </w:p>
        </w:tc>
        <w:tc>
          <w:tcPr>
            <w:tcW w:w="1746"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光纤交换机</w:t>
            </w:r>
          </w:p>
        </w:tc>
        <w:tc>
          <w:tcPr>
            <w:tcW w:w="1331"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详见招标参数要求</w:t>
            </w:r>
          </w:p>
        </w:tc>
        <w:tc>
          <w:tcPr>
            <w:tcW w:w="749"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2台</w:t>
            </w:r>
          </w:p>
        </w:tc>
        <w:tc>
          <w:tcPr>
            <w:tcW w:w="694"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3</w:t>
            </w:r>
          </w:p>
        </w:tc>
        <w:tc>
          <w:tcPr>
            <w:tcW w:w="1746"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全闪存双活数据存储</w:t>
            </w:r>
          </w:p>
        </w:tc>
        <w:tc>
          <w:tcPr>
            <w:tcW w:w="1331"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详见招标参数要求</w:t>
            </w:r>
          </w:p>
        </w:tc>
        <w:tc>
          <w:tcPr>
            <w:tcW w:w="749"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2台</w:t>
            </w:r>
          </w:p>
        </w:tc>
        <w:tc>
          <w:tcPr>
            <w:tcW w:w="694"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4</w:t>
            </w:r>
          </w:p>
        </w:tc>
        <w:tc>
          <w:tcPr>
            <w:tcW w:w="1746"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私有云系统</w:t>
            </w:r>
          </w:p>
        </w:tc>
        <w:tc>
          <w:tcPr>
            <w:tcW w:w="1331"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详见招标参数要求</w:t>
            </w:r>
          </w:p>
        </w:tc>
        <w:tc>
          <w:tcPr>
            <w:tcW w:w="749"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8台</w:t>
            </w:r>
          </w:p>
        </w:tc>
        <w:tc>
          <w:tcPr>
            <w:tcW w:w="694"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5</w:t>
            </w:r>
          </w:p>
        </w:tc>
        <w:tc>
          <w:tcPr>
            <w:tcW w:w="1746"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私有云系统交换机</w:t>
            </w:r>
          </w:p>
        </w:tc>
        <w:tc>
          <w:tcPr>
            <w:tcW w:w="1331"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详见招标参数要求</w:t>
            </w:r>
          </w:p>
        </w:tc>
        <w:tc>
          <w:tcPr>
            <w:tcW w:w="749"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2台</w:t>
            </w:r>
          </w:p>
        </w:tc>
        <w:tc>
          <w:tcPr>
            <w:tcW w:w="694"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6</w:t>
            </w:r>
          </w:p>
        </w:tc>
        <w:tc>
          <w:tcPr>
            <w:tcW w:w="1746"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超融合系统</w:t>
            </w:r>
          </w:p>
        </w:tc>
        <w:tc>
          <w:tcPr>
            <w:tcW w:w="1331"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详见招标参数要求</w:t>
            </w:r>
          </w:p>
        </w:tc>
        <w:tc>
          <w:tcPr>
            <w:tcW w:w="749"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5台</w:t>
            </w:r>
          </w:p>
        </w:tc>
        <w:tc>
          <w:tcPr>
            <w:tcW w:w="694"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7</w:t>
            </w:r>
          </w:p>
        </w:tc>
        <w:tc>
          <w:tcPr>
            <w:tcW w:w="1746"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PACS存储</w:t>
            </w:r>
          </w:p>
        </w:tc>
        <w:tc>
          <w:tcPr>
            <w:tcW w:w="1331"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详见招标参数要求</w:t>
            </w:r>
          </w:p>
        </w:tc>
        <w:tc>
          <w:tcPr>
            <w:tcW w:w="749"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1台</w:t>
            </w:r>
          </w:p>
        </w:tc>
        <w:tc>
          <w:tcPr>
            <w:tcW w:w="694"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8</w:t>
            </w:r>
          </w:p>
        </w:tc>
        <w:tc>
          <w:tcPr>
            <w:tcW w:w="1746"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虚拟化备份软件升级扩容</w:t>
            </w:r>
          </w:p>
        </w:tc>
        <w:tc>
          <w:tcPr>
            <w:tcW w:w="1331"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详见招标参数要求</w:t>
            </w:r>
          </w:p>
        </w:tc>
        <w:tc>
          <w:tcPr>
            <w:tcW w:w="749"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1套</w:t>
            </w:r>
          </w:p>
        </w:tc>
        <w:tc>
          <w:tcPr>
            <w:tcW w:w="694"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9</w:t>
            </w:r>
          </w:p>
        </w:tc>
        <w:tc>
          <w:tcPr>
            <w:tcW w:w="1746"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系统集成服务</w:t>
            </w:r>
          </w:p>
        </w:tc>
        <w:tc>
          <w:tcPr>
            <w:tcW w:w="1331" w:type="pct"/>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提供本项目采购设备及系统的集成服务</w:t>
            </w:r>
          </w:p>
        </w:tc>
        <w:tc>
          <w:tcPr>
            <w:tcW w:w="749" w:type="pct"/>
            <w:shd w:val="clear" w:color="auto" w:fill="auto"/>
            <w:vAlign w:val="center"/>
          </w:tcPr>
          <w:p>
            <w:pPr>
              <w:widowControl/>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14:textFill>
                  <w14:solidFill>
                    <w14:schemeClr w14:val="tx1"/>
                  </w14:solidFill>
                </w14:textFill>
              </w:rPr>
              <w:t>1项</w:t>
            </w:r>
          </w:p>
        </w:tc>
        <w:tc>
          <w:tcPr>
            <w:tcW w:w="694" w:type="pct"/>
          </w:tcPr>
          <w:p>
            <w:pPr>
              <w:widowControl/>
              <w:jc w:val="center"/>
              <w:rPr>
                <w:rFonts w:hint="default" w:ascii="Times New Roman" w:hAnsi="Times New Roman" w:cs="Times New Roman" w:eastAsiaTheme="minorEastAsia"/>
                <w:color w:val="000000" w:themeColor="text1"/>
                <w:kern w:val="0"/>
                <w:sz w:val="21"/>
                <w:szCs w:val="21"/>
                <w:highlight w:val="yellow"/>
                <w14:textFill>
                  <w14:solidFill>
                    <w14:schemeClr w14:val="tx1"/>
                  </w14:solidFill>
                </w14:textFill>
              </w:rPr>
            </w:pPr>
          </w:p>
        </w:tc>
      </w:tr>
    </w:tbl>
    <w:p>
      <w:pPr>
        <w:pStyle w:val="7"/>
        <w:spacing w:line="340" w:lineRule="exact"/>
        <w:rPr>
          <w:rFonts w:hint="default" w:eastAsiaTheme="minorEastAsia"/>
          <w:color w:val="000000" w:themeColor="text1"/>
          <w:sz w:val="21"/>
          <w:szCs w:val="21"/>
          <w14:textFill>
            <w14:solidFill>
              <w14:schemeClr w14:val="tx1"/>
            </w14:solidFill>
          </w14:textFill>
        </w:rPr>
      </w:pPr>
      <w:bookmarkStart w:id="0" w:name="_Toc117628464"/>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3</w:t>
      </w:r>
      <w:r>
        <w:rPr>
          <w:rFonts w:hint="default"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1</w:t>
      </w:r>
      <w:r>
        <w:rPr>
          <w:rFonts w:hint="default" w:eastAsiaTheme="minorEastAsia"/>
          <w:color w:val="000000" w:themeColor="text1"/>
          <w:sz w:val="21"/>
          <w:szCs w:val="21"/>
          <w14:textFill>
            <w14:solidFill>
              <w14:schemeClr w14:val="tx1"/>
            </w14:solidFill>
          </w14:textFill>
        </w:rPr>
        <w:t xml:space="preserve"> 招标参数</w:t>
      </w:r>
      <w:bookmarkEnd w:id="0"/>
    </w:p>
    <w:p>
      <w:pPr>
        <w:pStyle w:val="8"/>
        <w:spacing w:line="340" w:lineRule="exact"/>
        <w:rPr>
          <w:rFonts w:hint="default" w:ascii="Times New Roman" w:hAnsi="Times New Roman" w:eastAsiaTheme="minorEastAsia"/>
          <w:color w:val="000000" w:themeColor="text1"/>
          <w:kern w:val="0"/>
          <w:sz w:val="21"/>
          <w:szCs w:val="21"/>
          <w14:textFill>
            <w14:solidFill>
              <w14:schemeClr w14:val="tx1"/>
            </w14:solidFill>
          </w14:textFill>
        </w:rPr>
      </w:pPr>
      <w:bookmarkStart w:id="1" w:name="_Toc117628465"/>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3</w:t>
      </w:r>
      <w:r>
        <w:rPr>
          <w:rFonts w:hint="default" w:ascii="Times New Roman" w:hAnsi="Times New Roman" w:eastAsiaTheme="minorEastAsia"/>
          <w:color w:val="000000" w:themeColor="text1"/>
          <w:sz w:val="21"/>
          <w:szCs w:val="21"/>
          <w14:textFill>
            <w14:solidFill>
              <w14:schemeClr w14:val="tx1"/>
            </w14:solidFill>
          </w14:textFill>
        </w:rPr>
        <w:t>.</w:t>
      </w: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1.</w:t>
      </w:r>
      <w:r>
        <w:rPr>
          <w:rFonts w:hint="default" w:ascii="Times New Roman" w:hAnsi="Times New Roman" w:eastAsiaTheme="minorEastAsia"/>
          <w:color w:val="000000" w:themeColor="text1"/>
          <w:sz w:val="21"/>
          <w:szCs w:val="21"/>
          <w14:textFill>
            <w14:solidFill>
              <w14:schemeClr w14:val="tx1"/>
            </w14:solidFill>
          </w14:textFill>
        </w:rPr>
        <w:t>1</w:t>
      </w:r>
      <w:r>
        <w:rPr>
          <w:rFonts w:hint="default" w:ascii="Times New Roman" w:hAnsi="Times New Roman" w:eastAsiaTheme="minorEastAsia"/>
          <w:color w:val="000000" w:themeColor="text1"/>
          <w:kern w:val="0"/>
          <w:sz w:val="21"/>
          <w:szCs w:val="21"/>
          <w14:textFill>
            <w14:solidFill>
              <w14:schemeClr w14:val="tx1"/>
            </w14:solidFill>
          </w14:textFill>
        </w:rPr>
        <w:t>数据</w:t>
      </w: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w:t>
      </w:r>
      <w:r>
        <w:rPr>
          <w:rFonts w:hint="default" w:ascii="Times New Roman" w:hAnsi="Times New Roman" w:eastAsiaTheme="minorEastAsia"/>
          <w:color w:val="000000" w:themeColor="text1"/>
          <w:kern w:val="0"/>
          <w:sz w:val="21"/>
          <w:szCs w:val="21"/>
          <w14:textFill>
            <w14:solidFill>
              <w14:schemeClr w14:val="tx1"/>
            </w14:solidFill>
          </w14:textFill>
        </w:rPr>
        <w:t>库服务器（</w:t>
      </w:r>
      <w:r>
        <w:rPr>
          <w:rFonts w:hint="default" w:ascii="Times New Roman" w:hAnsi="Times New Roman" w:cs="Times New Roman" w:eastAsiaTheme="minorEastAsia"/>
          <w:color w:val="000000" w:themeColor="text1"/>
          <w:kern w:val="0"/>
          <w:sz w:val="21"/>
          <w:szCs w:val="21"/>
          <w14:textFill>
            <w14:solidFill>
              <w14:schemeClr w14:val="tx1"/>
            </w14:solidFill>
          </w14:textFill>
        </w:rPr>
        <w:t>4台</w:t>
      </w:r>
      <w:r>
        <w:rPr>
          <w:rFonts w:hint="default" w:ascii="Times New Roman" w:hAnsi="Times New Roman" w:eastAsiaTheme="minorEastAsia"/>
          <w:color w:val="000000" w:themeColor="text1"/>
          <w:kern w:val="0"/>
          <w:sz w:val="21"/>
          <w:szCs w:val="21"/>
          <w14:textFill>
            <w14:solidFill>
              <w14:schemeClr w14:val="tx1"/>
            </w14:solidFill>
          </w14:textFill>
        </w:rPr>
        <w:t>）</w:t>
      </w:r>
      <w:bookmarkEnd w:id="1"/>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jc w:val="center"/>
              <w:rPr>
                <w:rFonts w:hint="default" w:ascii="Times New Roman" w:hAnsi="Times New Roman" w:cs="Times New Roman" w:eastAsiaTheme="minorEastAsia"/>
                <w:b/>
                <w:kern w:val="0"/>
                <w:sz w:val="21"/>
                <w:szCs w:val="21"/>
              </w:rPr>
            </w:pPr>
            <w:bookmarkStart w:id="2" w:name="_Hlk117458413"/>
            <w:r>
              <w:rPr>
                <w:rFonts w:hint="default" w:ascii="Times New Roman" w:hAnsi="Times New Roman" w:cs="Times New Roman" w:eastAsiaTheme="minorEastAsia"/>
                <w:b/>
                <w:kern w:val="0"/>
                <w:sz w:val="21"/>
                <w:szCs w:val="21"/>
              </w:rPr>
              <w:t>指标项</w:t>
            </w:r>
          </w:p>
        </w:tc>
        <w:tc>
          <w:tcPr>
            <w:tcW w:w="407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jc w:val="center"/>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b/>
                <w:kern w:val="0"/>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top w:val="single" w:color="auto" w:sz="4" w:space="0"/>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品牌★</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知名品牌，非OEM产品，有成熟的研发设计经验，服务器在中国境内生产销售至少3年以上时间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top w:val="single" w:color="auto" w:sz="4" w:space="0"/>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外观尺寸★</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机架式服务器，可安装在标准机柜中，为保证良好通风散热，要求设备高度≥4U；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处理器</w:t>
            </w:r>
            <w:r>
              <w:rPr>
                <w:rFonts w:hint="default" w:ascii="Times New Roman" w:hAnsi="Times New Roman" w:cs="Times New Roman" w:eastAsiaTheme="minorEastAsia"/>
                <w:kern w:val="0"/>
                <w:sz w:val="21"/>
                <w:szCs w:val="21"/>
              </w:rPr>
              <w:t>★</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配置4个Intel至强6328H 16C 165W 2.8GHz 处理器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内存</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配置16根32GB DDR4RDIMM ；单机最大可扩展不少于48根内存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硬盘</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配置3块≥800GB 2.5寸混合读写型SAS SSD硬盘(要求Intel或者三星品牌)；单机最大可扩展不少于48个2.5寸硬盘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RAID卡</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配置1块阵列卡含2GB闪存；最大可选8GB容量闪存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网卡</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配置≥2块双口10/25GbE SFP+网卡(含模块及光纤线缆)，≥1块双口1GbE 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HBA卡</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配置2块单口32Gb HBA卡(含模块及光纤线缆)；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PCIe槽位</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可支持≥14个PCIe槽位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GPU</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可支持≥8块单宽或4块双宽GPU卡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端口</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配置≥2个VGA接口，4个USB2.0或3.0接口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风扇</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配置≥8+1冗余风扇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电源风扇</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配置≥4个80 PLUS电源模块，单个电源功耗不少于1100W，可实现N+N或者N+1冗余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LCD显示</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配置LCD液晶显示屏，可快速查看设备状态和故障告警信息。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带外管理★</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配齐带外管理所有功能软件许可；功能包括</w:t>
            </w:r>
          </w:p>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支持IMPI2.0,Redfish，SNMP V3等协议；</w:t>
            </w:r>
          </w:p>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远程开关机，引导顺序管理，查看系统日志，可监控包括CPU、内存、硬盘、网卡、HBA、芯片组等各个组件运行状态。</w:t>
            </w:r>
          </w:p>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包括可实时显示服务器功率情况</w:t>
            </w:r>
          </w:p>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远程升级部件微码等功能。</w:t>
            </w:r>
          </w:p>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可通过远程访问主机操作系统桌面</w:t>
            </w:r>
          </w:p>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可通过远程控制台安装部署操作系统等带外管理功能。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手机客户端</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支持手机客户端登陆带外管理软件的USB端口；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VM兼容性★</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兼容主流操作系统如Windows、Linux和VMware，厂商必须为VMWARE全球合作伙伴，提供VMware官网截图证明；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数据库兼容性★</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机型通过主流数据库认证，如Oracle、SQL、HANA等其中至少1种数据库认证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产品认证</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提供CCC国家强制性产品认证证书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安全认证</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提供IT产品信息安全认证，认证等级EAL≥4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成熟度认证</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设备厂商具备成熟的软件开发能力，软件成熟度CMMI等级≥5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服务认证</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提供CCCS客户联络中心标准体系认证，认证等级≥5星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产品可靠性</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提供NCTC认证的服务器产品检验MTBF≥15万小时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5" w:type="pct"/>
            <w:tcBorders>
              <w:left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服务</w:t>
            </w:r>
          </w:p>
        </w:tc>
        <w:tc>
          <w:tcPr>
            <w:tcW w:w="4075"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5年原厂保修服务，介质不返还服务；为保证设备的可靠性服务，要求中标公示后7天内提供原厂针对本项目的授权原件和售后服务承诺函原件。</w:t>
            </w:r>
          </w:p>
        </w:tc>
      </w:tr>
      <w:bookmarkEnd w:id="2"/>
    </w:tbl>
    <w:p>
      <w:pPr>
        <w:pStyle w:val="8"/>
        <w:rPr>
          <w:rFonts w:hint="default" w:ascii="Times New Roman" w:hAnsi="Times New Roman" w:eastAsiaTheme="minorEastAsia"/>
          <w:color w:val="000000" w:themeColor="text1"/>
          <w:sz w:val="21"/>
          <w:szCs w:val="21"/>
          <w14:textFill>
            <w14:solidFill>
              <w14:schemeClr w14:val="tx1"/>
            </w14:solidFill>
          </w14:textFill>
        </w:rPr>
      </w:pPr>
      <w:bookmarkStart w:id="3" w:name="_Toc117628466"/>
      <w:r>
        <w:rPr>
          <w:rFonts w:hint="eastAsia" w:ascii="Times New Roman" w:hAnsi="Times New Roman" w:cs="Times New Roman" w:eastAsiaTheme="minorEastAsia"/>
          <w:color w:val="000000" w:themeColor="text1"/>
          <w:sz w:val="21"/>
          <w:szCs w:val="21"/>
          <w:lang w:eastAsia="zh-CN"/>
          <w14:textFill>
            <w14:solidFill>
              <w14:schemeClr w14:val="tx1"/>
            </w14:solidFill>
          </w14:textFill>
        </w:rPr>
        <w:t>3</w:t>
      </w:r>
      <w:r>
        <w:rPr>
          <w:rFonts w:hint="default" w:ascii="Times New Roman" w:hAnsi="Times New Roman" w:eastAsiaTheme="minorEastAsia"/>
          <w:color w:val="000000" w:themeColor="text1"/>
          <w:kern w:val="0"/>
          <w:sz w:val="21"/>
          <w:szCs w:val="21"/>
          <w14:textFill>
            <w14:solidFill>
              <w14:schemeClr w14:val="tx1"/>
            </w14:solidFill>
          </w14:textFill>
        </w:rPr>
        <w:t>.</w:t>
      </w:r>
      <w:r>
        <w:rPr>
          <w:rFonts w:hint="eastAsia" w:ascii="Times New Roman" w:hAnsi="Times New Roman" w:cs="Times New Roman" w:eastAsiaTheme="minorEastAsia"/>
          <w:color w:val="000000" w:themeColor="text1"/>
          <w:kern w:val="0"/>
          <w:sz w:val="21"/>
          <w:szCs w:val="21"/>
          <w:lang w:val="en-US" w:eastAsia="zh-CN"/>
          <w14:textFill>
            <w14:solidFill>
              <w14:schemeClr w14:val="tx1"/>
            </w14:solidFill>
          </w14:textFill>
        </w:rPr>
        <w:t>1</w:t>
      </w:r>
      <w:r>
        <w:rPr>
          <w:rFonts w:hint="default" w:ascii="Times New Roman" w:hAnsi="Times New Roman" w:eastAsiaTheme="minorEastAsia"/>
          <w:color w:val="000000" w:themeColor="text1"/>
          <w:kern w:val="0"/>
          <w:sz w:val="21"/>
          <w:szCs w:val="21"/>
          <w14:textFill>
            <w14:solidFill>
              <w14:schemeClr w14:val="tx1"/>
            </w14:solidFill>
          </w14:textFill>
        </w:rPr>
        <w:t>.2 光纤交换机（</w:t>
      </w:r>
      <w:r>
        <w:rPr>
          <w:rFonts w:hint="default" w:ascii="Times New Roman" w:hAnsi="Times New Roman" w:cs="Times New Roman" w:eastAsiaTheme="minorEastAsia"/>
          <w:color w:val="000000" w:themeColor="text1"/>
          <w:kern w:val="0"/>
          <w:sz w:val="21"/>
          <w:szCs w:val="21"/>
          <w14:textFill>
            <w14:solidFill>
              <w14:schemeClr w14:val="tx1"/>
            </w14:solidFill>
          </w14:textFill>
        </w:rPr>
        <w:t>2台</w:t>
      </w:r>
      <w:r>
        <w:rPr>
          <w:rFonts w:hint="default" w:ascii="Times New Roman" w:hAnsi="Times New Roman" w:eastAsiaTheme="minorEastAsia"/>
          <w:color w:val="000000" w:themeColor="text1"/>
          <w:kern w:val="0"/>
          <w:sz w:val="21"/>
          <w:szCs w:val="21"/>
          <w14:textFill>
            <w14:solidFill>
              <w14:schemeClr w14:val="tx1"/>
            </w14:solidFill>
          </w14:textFill>
        </w:rPr>
        <w:t>）</w:t>
      </w:r>
      <w:bookmarkEnd w:id="3"/>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kern w:val="0"/>
                <w:sz w:val="21"/>
                <w:szCs w:val="21"/>
              </w:rPr>
              <w:t>指标项</w:t>
            </w:r>
          </w:p>
        </w:tc>
        <w:tc>
          <w:tcPr>
            <w:tcW w:w="41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kern w:val="0"/>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品牌要求★</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知名品牌，和数据库服务器同品牌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端口配置★</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≥48个32Gb和4个QSFP+光纤自感应端口，最大支持64个32Gb端口，本次配置24个端口激活，并配置24个32GB原厂短波模块；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端口速率</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端口支持全双工，端口速率自适应: 8Gbps，16 Gbps，32 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延时★</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端口延时&lt; 780 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可扩展性</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支持完全光纤架构，最多可有239台交换机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管理方式</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管理方式支持：Telnet、HTTP, SNMP v1/v3 ;审核、系统日志、高级性能健康；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ISL捆绑</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基于帧的链路捆绑，每条 ISL 捆绑链路最多 8个32Gbps 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端口类型</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端口类型：D_Port（诊断端口）、E_Port、F_Port、M_Port（镜像端口）；基于交换机类型的自我发现（U_Port）；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运行模式</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运行模式：F_Port 和支持 NPIV 技术的 N_Port；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端口</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1个USB端口，适用于固件下载、支持保存、配置上传/下载；</w:t>
            </w:r>
          </w:p>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热插拔冗余电源，带集成系统冷却风扇；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2"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服务</w:t>
            </w:r>
          </w:p>
        </w:tc>
        <w:tc>
          <w:tcPr>
            <w:tcW w:w="4168" w:type="pct"/>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提供硬件5年原厂支持服务，保证设备的可靠性服务，要求中标公示后7天内提供原厂针对本项目的授权原件和售后服务承诺函原件。</w:t>
            </w:r>
          </w:p>
        </w:tc>
      </w:tr>
    </w:tbl>
    <w:p>
      <w:pPr>
        <w:rPr>
          <w:rFonts w:hint="default" w:eastAsiaTheme="minorEastAsia"/>
          <w:b/>
          <w:bCs/>
          <w:szCs w:val="21"/>
        </w:rPr>
      </w:pPr>
    </w:p>
    <w:p>
      <w:pPr>
        <w:widowControl/>
        <w:jc w:val="left"/>
        <w:rPr>
          <w:rFonts w:hint="default" w:ascii="Times New Roman" w:hAnsi="Times New Roman" w:cs="Times New Roman" w:eastAsiaTheme="minorEastAsia"/>
          <w:b/>
          <w:bCs/>
          <w:color w:val="000000" w:themeColor="text1"/>
          <w:sz w:val="21"/>
          <w:szCs w:val="21"/>
          <w14:textFill>
            <w14:solidFill>
              <w14:schemeClr w14:val="tx1"/>
            </w14:solidFill>
          </w14:textFill>
        </w:rPr>
      </w:pPr>
      <w:bookmarkStart w:id="4" w:name="_Toc117628467"/>
      <w:r>
        <w:rPr>
          <w:rFonts w:hint="eastAsia" w:ascii="Times New Roman" w:hAnsi="Times New Roman" w:cs="Times New Roman" w:eastAsiaTheme="minorEastAsia"/>
          <w:b/>
          <w:bCs/>
          <w:color w:val="000000" w:themeColor="text1"/>
          <w:sz w:val="21"/>
          <w:szCs w:val="21"/>
          <w:lang w:eastAsia="zh-CN"/>
          <w14:textFill>
            <w14:solidFill>
              <w14:schemeClr w14:val="tx1"/>
            </w14:solidFill>
          </w14:textFill>
        </w:rPr>
        <w:t>3</w:t>
      </w:r>
      <w:r>
        <w:rPr>
          <w:rFonts w:hint="default" w:ascii="Times New Roman" w:hAnsi="Times New Roman" w:cs="Times New Roman" w:eastAsiaTheme="minorEastAsia"/>
          <w:b/>
          <w:bCs/>
          <w:color w:val="000000" w:themeColor="text1"/>
          <w:sz w:val="21"/>
          <w:szCs w:val="21"/>
          <w14:textFill>
            <w14:solidFill>
              <w14:schemeClr w14:val="tx1"/>
            </w14:solidFill>
          </w14:textFill>
        </w:rPr>
        <w:t>.</w:t>
      </w:r>
      <w:r>
        <w:rPr>
          <w:rFonts w:hint="eastAsia" w:ascii="Times New Roman" w:hAnsi="Times New Roman" w:cs="Times New Roman" w:eastAsiaTheme="minorEastAsia"/>
          <w:b/>
          <w:bCs/>
          <w:color w:val="000000" w:themeColor="text1"/>
          <w:sz w:val="21"/>
          <w:szCs w:val="21"/>
          <w:lang w:eastAsia="zh-CN"/>
          <w14:textFill>
            <w14:solidFill>
              <w14:schemeClr w14:val="tx1"/>
            </w14:solidFill>
          </w14:textFill>
        </w:rPr>
        <w:t>1</w:t>
      </w:r>
      <w:r>
        <w:rPr>
          <w:rFonts w:hint="default" w:ascii="Times New Roman" w:hAnsi="Times New Roman" w:cs="Times New Roman" w:eastAsiaTheme="minorEastAsia"/>
          <w:b/>
          <w:bCs/>
          <w:color w:val="000000" w:themeColor="text1"/>
          <w:sz w:val="21"/>
          <w:szCs w:val="21"/>
          <w14:textFill>
            <w14:solidFill>
              <w14:schemeClr w14:val="tx1"/>
            </w14:solidFill>
          </w14:textFill>
        </w:rPr>
        <w:t xml:space="preserve">.3 </w:t>
      </w:r>
      <w:r>
        <w:rPr>
          <w:rFonts w:hint="default" w:ascii="Times New Roman" w:hAnsi="Times New Roman" w:cs="Times New Roman" w:eastAsiaTheme="minorEastAsia"/>
          <w:b/>
          <w:bCs/>
          <w:color w:val="000000" w:themeColor="text1"/>
          <w:kern w:val="0"/>
          <w:sz w:val="21"/>
          <w:szCs w:val="21"/>
          <w14:textFill>
            <w14:solidFill>
              <w14:schemeClr w14:val="tx1"/>
            </w14:solidFill>
          </w14:textFill>
        </w:rPr>
        <w:t>全闪存双活数据存储（2台）</w:t>
      </w:r>
      <w:bookmarkEnd w:id="4"/>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668" w:type="dxa"/>
            <w:shd w:val="clear" w:color="000000" w:fill="FFFFFF" w:themeFill="background1"/>
            <w:vAlign w:val="center"/>
          </w:tcPr>
          <w:p>
            <w:pPr>
              <w:widowControl/>
              <w:jc w:val="lef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参数项</w:t>
            </w:r>
          </w:p>
        </w:tc>
        <w:tc>
          <w:tcPr>
            <w:tcW w:w="6855" w:type="dxa"/>
            <w:shd w:val="clear" w:color="000000" w:fill="FFFFFF" w:themeFill="background1"/>
            <w:vAlign w:val="center"/>
          </w:tcPr>
          <w:p>
            <w:pPr>
              <w:widowControl/>
              <w:ind w:right="34" w:rightChars="16"/>
              <w:jc w:val="lef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配 置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8" w:type="dxa"/>
            <w:shd w:val="clear" w:color="auto" w:fill="auto"/>
            <w:noWrap/>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品牌</w:t>
            </w:r>
          </w:p>
        </w:tc>
        <w:tc>
          <w:tcPr>
            <w:tcW w:w="6855" w:type="dxa"/>
            <w:shd w:val="clear" w:color="auto" w:fill="auto"/>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国内外知名品牌，非OEM或贴牌产品。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★控制器</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采用冗余控制器体系结构，active-active双活工作模式；</w:t>
            </w:r>
          </w:p>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控制器内部总线为PCIE3.0</w:t>
            </w:r>
          </w:p>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内置高可靠性的专用存储系统（非Windows/Linux）</w:t>
            </w:r>
          </w:p>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控制器采用Intel处理器</w:t>
            </w:r>
          </w:p>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配置内存缓存≥384GB（不接受Flash）</w:t>
            </w:r>
          </w:p>
          <w:p>
            <w:pPr>
              <w:ind w:right="34" w:rightChars="16"/>
              <w:jc w:val="left"/>
              <w:rPr>
                <w:rFonts w:hint="default" w:eastAsiaTheme="minorEastAsia"/>
                <w:sz w:val="21"/>
                <w:szCs w:val="21"/>
              </w:rPr>
            </w:pPr>
            <w:r>
              <w:rPr>
                <w:rFonts w:hint="default" w:ascii="Times New Roman" w:hAnsi="Times New Roman" w:eastAsiaTheme="minorEastAsia"/>
                <w:sz w:val="21"/>
                <w:szCs w:val="21"/>
              </w:rPr>
              <w:t>要求</w:t>
            </w:r>
            <w:r>
              <w:rPr>
                <w:rFonts w:hint="default" w:eastAsiaTheme="minorEastAsia"/>
                <w:sz w:val="21"/>
                <w:szCs w:val="21"/>
              </w:rPr>
              <w:t>写缓存（断电保护缓存）</w:t>
            </w:r>
            <w:r>
              <w:rPr>
                <w:rFonts w:hint="default" w:ascii="Times New Roman" w:hAnsi="Times New Roman" w:eastAsiaTheme="minorEastAsia"/>
                <w:sz w:val="21"/>
                <w:szCs w:val="21"/>
              </w:rPr>
              <w:t>≥192GB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缓存分区功能</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配置缓存分区功能，可将存储中的高速内存缓存分成多个分区满足不同应用的隔离；配置≥16个分区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性能</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存储性能≥400万IOPS</w:t>
            </w:r>
          </w:p>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投标时提供原厂商官方网站链接与截图或技术白皮书证明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★磁盘配置</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配置14块单盘≥3.8TB NVMe闪存硬盘。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磁盘扩展</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当前双控制器配置情况下，硬盘可扩展≥500块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RAID级别</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支持RAID1+0,RAID5,RAID6，不同RAID方式可以并存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主机端口</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配置≥16个32Gb FC主机端口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LUN数量</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cs="Times New Roman" w:eastAsiaTheme="minorEastAsia"/>
                <w:bCs/>
                <w:kern w:val="0"/>
                <w:sz w:val="21"/>
                <w:szCs w:val="21"/>
              </w:rPr>
              <w:t>支持</w:t>
            </w:r>
            <w:r>
              <w:rPr>
                <w:rFonts w:hint="default" w:ascii="Times New Roman" w:hAnsi="Times New Roman" w:eastAsiaTheme="minorEastAsia"/>
                <w:sz w:val="21"/>
                <w:szCs w:val="21"/>
              </w:rPr>
              <w:t>≥32000数据卷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★数据可用性</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提供100%数据可用性承诺，如果在质保期内发生由产品质量引起的数据丢失，每次提供等同采购价30%的磁盘空间但总额不超过采购价。投标时提供原厂或者投标商的盖章承诺函原件。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数据压缩</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配置数据压缩功能,可基于应用开启或关闭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重复数据删除</w:t>
            </w:r>
          </w:p>
        </w:tc>
        <w:tc>
          <w:tcPr>
            <w:tcW w:w="6855" w:type="dxa"/>
            <w:shd w:val="clear" w:color="auto" w:fill="auto"/>
            <w:noWrap/>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配置重复数据删除功能，,可基于应用开启或关闭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数据保护</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配置快照及克隆功能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精简配置</w:t>
            </w:r>
          </w:p>
        </w:tc>
        <w:tc>
          <w:tcPr>
            <w:tcW w:w="6855" w:type="dxa"/>
            <w:shd w:val="clear" w:color="auto" w:fill="auto"/>
            <w:noWrap/>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配置精简配置功能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主机多路径软件</w:t>
            </w:r>
          </w:p>
        </w:tc>
        <w:tc>
          <w:tcPr>
            <w:tcW w:w="6855" w:type="dxa"/>
            <w:shd w:val="clear" w:color="auto" w:fill="auto"/>
            <w:noWrap/>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配置不限量存储厂商正版多路径软件，不限OS，不限功能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★存储双活</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配置控制器内置的存储双活软件，或同品牌存储双活网关，数据库和应用服务器可以对双活的同一对卷并发读写，实现存储资源的自动负载均衡，单台存储故障后无感知无缝切换，业务不延迟、不中断、不受影响；</w:t>
            </w:r>
          </w:p>
          <w:p>
            <w:pPr>
              <w:pStyle w:val="13"/>
              <w:ind w:right="34" w:rightChars="16"/>
              <w:rPr>
                <w:rFonts w:hint="default" w:ascii="Times New Roman" w:hAnsi="Times New Roman" w:eastAsiaTheme="minorEastAsia"/>
                <w:sz w:val="21"/>
                <w:szCs w:val="21"/>
              </w:rPr>
            </w:pPr>
            <w:r>
              <w:rPr>
                <w:rFonts w:hint="default" w:ascii="Times New Roman" w:hAnsi="Times New Roman" w:eastAsiaTheme="minorEastAsia"/>
                <w:sz w:val="21"/>
                <w:szCs w:val="21"/>
              </w:rPr>
              <w:t>要求≥100TB的原厂正版软件授权许可，交货时可通过原厂软件授权网站或原厂服务热线查询正版授权序列号（投标时提供查询方法说明）；使用同品牌双活网关时，为避免瓶颈效应，每台存储配置一套网关，每套网关的缓存≥768GB，≥8个前端FC光纤通道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★数据库备用环境</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原存储利旧，作为新购存储的备用存储，将新购存储上的数据库快照、克隆到备用存储中。配置存储内置软件或提供同品牌独立的数据持续保护软件，在数据库遭遇误操作或勒索病毒等逻辑故障时，1分钟内能够将数据库切换到备用存储中，切换过程在WEB界面中点击完成，无需登录存储管理界面进行mount等操作。数据库备用环境由原厂工程师搭建。存储交付前进行故障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★异构存储虚拟化</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配置异构存储虚拟化软件功能（或使用与存储同品牌的虚拟化网关）。</w:t>
            </w:r>
          </w:p>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配置≥128台异构存储虚拟化许可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668" w:type="dxa"/>
            <w:shd w:val="clear" w:color="000000" w:fill="FFFFFF"/>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性能监控及报告分析</w:t>
            </w:r>
          </w:p>
        </w:tc>
        <w:tc>
          <w:tcPr>
            <w:tcW w:w="6855" w:type="dxa"/>
            <w:shd w:val="clear" w:color="000000" w:fill="FFFFFF"/>
            <w:vAlign w:val="center"/>
          </w:tcPr>
          <w:p>
            <w:pPr>
              <w:widowControl/>
              <w:ind w:right="34" w:rightChars="16"/>
              <w:jc w:val="left"/>
              <w:rPr>
                <w:rFonts w:hint="eastAsia" w:ascii="Times New Roman" w:hAnsi="Times New Roman" w:eastAsiaTheme="minorEastAsia"/>
                <w:sz w:val="21"/>
                <w:szCs w:val="21"/>
                <w:lang w:eastAsia="zh-CN"/>
              </w:rPr>
            </w:pPr>
            <w:r>
              <w:rPr>
                <w:rFonts w:hint="default" w:ascii="Times New Roman" w:hAnsi="Times New Roman" w:eastAsiaTheme="minorEastAsia"/>
                <w:sz w:val="21"/>
                <w:szCs w:val="21"/>
              </w:rPr>
              <w:t>配置监控软件：</w:t>
            </w:r>
          </w:p>
          <w:p>
            <w:pPr>
              <w:widowControl/>
              <w:ind w:right="34" w:rightChars="16"/>
              <w:jc w:val="left"/>
              <w:rPr>
                <w:rFonts w:hint="eastAsia" w:ascii="Times New Roman" w:hAnsi="Times New Roman" w:eastAsiaTheme="minorEastAsia"/>
                <w:sz w:val="21"/>
                <w:szCs w:val="21"/>
                <w:lang w:eastAsia="zh-CN"/>
              </w:rPr>
            </w:pPr>
            <w:r>
              <w:rPr>
                <w:rFonts w:hint="default" w:ascii="Times New Roman" w:hAnsi="Times New Roman" w:eastAsiaTheme="minorEastAsia"/>
                <w:sz w:val="21"/>
                <w:szCs w:val="21"/>
              </w:rPr>
              <w:t>1） 监控存储的卷、存储主机端口、存储磁盘性能；</w:t>
            </w:r>
          </w:p>
          <w:p>
            <w:pPr>
              <w:widowControl/>
              <w:ind w:right="34" w:rightChars="16"/>
              <w:jc w:val="left"/>
              <w:rPr>
                <w:rFonts w:hint="eastAsia" w:ascii="Times New Roman" w:hAnsi="Times New Roman" w:eastAsiaTheme="minorEastAsia"/>
                <w:sz w:val="21"/>
                <w:szCs w:val="21"/>
                <w:lang w:eastAsia="zh-CN"/>
              </w:rPr>
            </w:pPr>
            <w:r>
              <w:rPr>
                <w:rFonts w:hint="default" w:ascii="Times New Roman" w:hAnsi="Times New Roman" w:eastAsiaTheme="minorEastAsia"/>
                <w:sz w:val="21"/>
                <w:szCs w:val="21"/>
              </w:rPr>
              <w:t>2） 监控存储整体空间消耗；</w:t>
            </w:r>
          </w:p>
          <w:p>
            <w:pPr>
              <w:widowControl/>
              <w:ind w:right="34" w:rightChars="16"/>
              <w:jc w:val="left"/>
              <w:rPr>
                <w:rFonts w:hint="eastAsia" w:ascii="Times New Roman" w:hAnsi="Times New Roman" w:eastAsiaTheme="minorEastAsia"/>
                <w:sz w:val="21"/>
                <w:szCs w:val="21"/>
                <w:lang w:eastAsia="zh-CN"/>
              </w:rPr>
            </w:pPr>
            <w:r>
              <w:rPr>
                <w:rFonts w:hint="default" w:ascii="Times New Roman" w:hAnsi="Times New Roman" w:eastAsiaTheme="minorEastAsia"/>
                <w:sz w:val="21"/>
                <w:szCs w:val="21"/>
              </w:rPr>
              <w:t>3） 监控存储整体物理状态；</w:t>
            </w:r>
          </w:p>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4） 监控主机性能，要求监控主机I/O大小、I/O读写比、延迟、队列深度等信息；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auto" w:fill="auto"/>
            <w:noWrap/>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监控管理功能</w:t>
            </w:r>
          </w:p>
        </w:tc>
        <w:tc>
          <w:tcPr>
            <w:tcW w:w="6855" w:type="dxa"/>
            <w:shd w:val="clear" w:color="000000" w:fill="FFFFFF"/>
          </w:tcPr>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统一管理监控，能够管理存储、服务器、虚拟机、光纤交换机、应用等。实现IT资源云化，统一管理和分配，实现端到端分析监控</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兼容业界主流虚拟机VMware、Hyper-v等，</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兼容业界主流服务器windows、linux等，</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兼容业界主流光纤交换机博科、思科，</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兼容业界主流存储EMC、IBM、HDS、HP、Netapp、PureStorage等</w:t>
            </w:r>
          </w:p>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投标提供管理平台技术文档及功能证明材料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auto" w:fill="auto"/>
            <w:noWrap/>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预测分析、异常检测、故障定位、机器学习</w:t>
            </w:r>
          </w:p>
        </w:tc>
        <w:tc>
          <w:tcPr>
            <w:tcW w:w="6855" w:type="dxa"/>
            <w:shd w:val="clear" w:color="000000" w:fill="FFFFFF"/>
          </w:tcPr>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预测分析：依据资源关联关系，自动规划未来资源分配，实现资源合理配置</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异常检测：识别从虚拟机、服务器到存储设备的异常状况，识别故障根本原因给出修复建议，确保达成要求的服务等级</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提供当前数据中心端到端拓扑视图，提供性能问题的根因分析，快速定位性能瓶颈。提供分析诊断以快速识别、隔离和确定问题的根本原因。可以生成恢复计划，为解决性能问题提供指导。</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机器学习：内置机器学习辅助分析，发现新现象、趋势、异常，管理平台自动给出调整建议</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以上功能投标提供技术文档及功能证明材料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auto" w:fill="auto"/>
            <w:noWrap/>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监控指标阀值设定</w:t>
            </w:r>
          </w:p>
        </w:tc>
        <w:tc>
          <w:tcPr>
            <w:tcW w:w="6855" w:type="dxa"/>
            <w:shd w:val="clear" w:color="000000" w:fill="FFFFFF"/>
          </w:tcPr>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对整个系统分别建立性能阀值，超过阀值可以自动报警</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VM：vCPU Ready、vCPU usage、Memory Usage %、Active memory</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、Memory Swap in/out rate、Memory Swap in/out rate</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ESX：pCPU usage、Host CPU Ready1、Device Latency (R/W)</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、Memory Swap in/out rate、Device Latency (R/W)</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Storage：、Port usage、MPB utilization1、Write Pending %</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、Side file %、Pool Utilization、Parity Group Utilization %</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Parity Group Read Hit %投标时提供技术文档和功能界面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auto" w:fill="auto"/>
            <w:noWrap/>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应用性能监控和管理</w:t>
            </w:r>
          </w:p>
        </w:tc>
        <w:tc>
          <w:tcPr>
            <w:tcW w:w="6855" w:type="dxa"/>
            <w:shd w:val="clear" w:color="000000" w:fill="FFFFFF"/>
          </w:tcPr>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监控应用系统主机的性能，要求监控服务器主机I/O大小和读写比、延迟、队列深度等；如无法满足预先设置的服务等级要求（比如应用响应时延），自动发出告警。</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针对应用系统历史任意时间点或时间段的数据进行回顾，对应用系统不同时间段数据进行分析比对，监控内容与实时监控内容相同。投标时提供技术文档和功能界面展示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auto" w:fill="auto"/>
            <w:noWrap/>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架构冗余性</w:t>
            </w:r>
          </w:p>
        </w:tc>
        <w:tc>
          <w:tcPr>
            <w:tcW w:w="6855" w:type="dxa"/>
            <w:shd w:val="clear" w:color="000000" w:fill="FFFFFF"/>
            <w:vAlign w:val="center"/>
          </w:tcPr>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硬件冗余：电源、风扇、适配卡、总线等都提供冗余，并保证在某硬件出问题时，能够进行自动切换。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auto" w:fill="auto"/>
            <w:noWrap/>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预警机制</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所提供产品须具备高级预警机制，配置Call Home功能软件，在系统发生故障能将系统存在的问题自动反馈到设备厂商技术响应中心，提供call home实现详细机制说明。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auto" w:fill="auto"/>
            <w:noWrap/>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标准化资质</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生产厂商必须具备：</w:t>
            </w:r>
          </w:p>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国际标准化ISO 9001质量管理体系</w:t>
            </w:r>
          </w:p>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国际标准化ISO 18001职业健康安全管理体系</w:t>
            </w:r>
          </w:p>
          <w:p>
            <w:pPr>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国际标准化ISO 14001 环境管理体系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shd w:val="clear" w:color="auto" w:fill="auto"/>
            <w:noWrap/>
            <w:vAlign w:val="center"/>
          </w:tcPr>
          <w:p>
            <w:pPr>
              <w:widowControl/>
              <w:jc w:val="left"/>
              <w:rPr>
                <w:rFonts w:hint="default" w:ascii="Times New Roman" w:hAnsi="Times New Roman" w:eastAsiaTheme="minorEastAsia"/>
                <w:sz w:val="21"/>
                <w:szCs w:val="21"/>
              </w:rPr>
            </w:pPr>
            <w:r>
              <w:rPr>
                <w:rFonts w:hint="default" w:ascii="Times New Roman" w:hAnsi="Times New Roman" w:eastAsiaTheme="minorEastAsia"/>
                <w:sz w:val="21"/>
                <w:szCs w:val="21"/>
              </w:rPr>
              <w:t>保修</w:t>
            </w:r>
          </w:p>
        </w:tc>
        <w:tc>
          <w:tcPr>
            <w:tcW w:w="6855" w:type="dxa"/>
            <w:shd w:val="clear" w:color="000000" w:fill="FFFFFF"/>
            <w:vAlign w:val="center"/>
          </w:tcPr>
          <w:p>
            <w:pPr>
              <w:widowControl/>
              <w:ind w:right="34" w:rightChars="16"/>
              <w:jc w:val="left"/>
              <w:rPr>
                <w:rFonts w:hint="default" w:ascii="Times New Roman" w:hAnsi="Times New Roman" w:eastAsiaTheme="minorEastAsia"/>
                <w:sz w:val="21"/>
                <w:szCs w:val="21"/>
              </w:rPr>
            </w:pPr>
            <w:r>
              <w:rPr>
                <w:rFonts w:hint="default" w:ascii="Times New Roman" w:hAnsi="Times New Roman" w:eastAsiaTheme="minorEastAsia"/>
                <w:sz w:val="21"/>
                <w:szCs w:val="21"/>
              </w:rPr>
              <w:t>提供原厂商5年保修服务。中标公示后7天内提供原厂售后服务承诺函原件。</w:t>
            </w:r>
          </w:p>
        </w:tc>
      </w:tr>
    </w:tbl>
    <w:p>
      <w:pPr>
        <w:pStyle w:val="8"/>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5" w:name="_Toc117628468"/>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私有云系统（8台）</w:t>
      </w:r>
      <w:bookmarkEnd w:id="5"/>
    </w:p>
    <w:tbl>
      <w:tblPr>
        <w:tblStyle w:val="2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09"/>
        <w:gridCol w:w="75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shd w:val="clear" w:color="000000" w:fill="FFFFFF" w:themeFill="background1"/>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指标项</w:t>
            </w:r>
          </w:p>
        </w:tc>
        <w:tc>
          <w:tcPr>
            <w:tcW w:w="4408" w:type="pct"/>
            <w:shd w:val="clear" w:color="000000" w:fill="FFFFFF" w:themeFill="background1"/>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参数要求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外观尺寸★</w:t>
            </w: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≥2U机架式服务器；和数据库服务器同品牌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处理器</w:t>
            </w: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配置2个Intel至强6326 16C 185W 2.9GHz 处理器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内存</w:t>
            </w: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配置16根64GB DDR4 RDIMM ；可扩展不少于32槽位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硬盘</w:t>
            </w: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配置2块1.92TB 混用 SATA 6Gb 热插拔固态硬盘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配置8块8TB 7.2K SATA 6Gb 热插拔 512e 硬盘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2块480GB SSD系统盘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可扩展不少于20块3.5寸盘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RAID卡</w:t>
            </w: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配置1块SAS卡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PCI设备</w:t>
            </w: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配置≥2个块双口10GbE SFP+网卡(含模块)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电源风扇</w:t>
            </w: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满配电源和风扇；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带外管理★</w:t>
            </w: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配齐带外管理所有功能软件许可；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支持手机客户端登陆带外管理软件的USB端口；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兼容性★</w:t>
            </w: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兼容主流操作系统和数据库，厂商必须为VMWARE全球合作伙伴，提供VMware官网截图证明；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设备必须支持VMware vLCM功能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超融合软件要求★</w:t>
            </w: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知名品牌，有成熟的研发设计经验，软件在中国境内生产销售至少3年以上时间。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超融合软件必须要2019年-2021年连续3年处于Gartner超融合魔力四象限领导者象限。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配齐节点所需的虚拟化和超融合软件正版原厂许可，功能如下要求：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虚拟化软件</w:t>
            </w: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采用裸金属架构，无需绑定操作系统即可搭建虚拟化平台。每个虚拟机都可以安装操作系统，并且操作系统可以异构。兼容现有市场上X86服务器上能够运行的主流操作系统，尤其包括以下操作系统：WinXP、windows Vista、Win2000/2003/2008/2012、Windows 7/8/10、Redhat Linux、Suselinux、SCO UnixWare、Solaris x86、NetWare、Trubolinux、FreeBSD、Ubuntu、Oracle Linux、Debian、Mac OS X、CoreOS以及国产操作系统中标麒麟Linux和AsiaUX等等。并出具官方文档或官方网站链接。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支持现有市场上主要服务器厂商的主流X86服务器，包括HPE、DELL、Cisco以及国内自主品牌服务器如浪潮、曙光、联想、华为、等等。并出具官方文档或官方网站链接。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支持现有市场上主要存储厂商的主流存储阵列，包括EMC、HDS、IBM、HPE、DELL以及国内自主品牌存储阵列如浪潮、联想、华为、中兴、H3C等等。并出具官方文档或官方网站链接。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具有合理的内存调度机制，能够实现内存的过量使用(如共享页面技术等)，保障内存资源的充分利用，同时支持“可靠内存”技术。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提供防病毒接口平台，可以与第三方杀毒软件或安全软件融合，采用“无代理”技术，在虚拟化平台层进行病毒防范。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★提供基于虚拟化平台的备份接口，能够为第三方备份软件提供在“无代理”的模式下的针对虚拟机进行集中备份。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提供“即时克隆”能力，针对在线虚拟机可以进行快速的秒级克隆复制，并定制系统参数，以实现虚拟机的在线快速部署。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提供“内容库”功能，支持虚拟机模版/虚拟设备(OVF)/ISO/多媒体文件以及其它各类文件的存放，以共享/订阅的方式直接部署虚拟机或者提供给虚拟机使用。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超融合管理平台要求</w:t>
            </w: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支持单点管理，可以从单个控制台对所有虚拟机的配置情况、负载情况进行集中监控，并根据实际需要实时进行资源调整。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控制台自身具备定时备份和按需还原机制，可以对数据进行备份和还原。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★控制台自身具备高可用机制，不依赖于任何外部共享存储或数据库，可以在5分钟内完成服务切换。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支持对包括虚拟机模板、ISO映像和脚本在内的内容进行存储库统一存储。用户可以从集中化位置存储和管理内容,以及通过发 / 订阅模型共享内容。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★可以支持HTML 5 客户端、Web Client客户端和命令行管理功能，简化管理员的日常运维管理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配置管理和扩容非常简单，无需使用命令行，提供向导式图形化界面快速完成群集资源创建、配置、管理和扩容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支持单点登录，用户只需登录一次，无需进一步的身份验证即可访问控制台并对集群进行监控与管理。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支持自定义角色和权限，可以限制用户对资源的访问，实现分级管理并增强安全性和灵活性。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支持AD域整合，域用户可以访问控制台，由AD来处理用户身份验证。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管理软件可实现多管理软件级别互通功能，支持多管理中心架构，并可实现分布式管理。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000000" w:fill="FFFFFF"/>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提供自动报警功能，能够提供物理服务器或虚拟机的CPU、网络、 磁盘使用率等指标的实时数据统计，并能反映目前各物理服务器、虚拟机的资源瓶颈。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超融合平台软件</w:t>
            </w: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于非开源体系架构的分布式存储技术，支持多个独立的服务器本地存储组成一个可以共享的存储资源池。基于面向对象的存储架构，易于管理和扩展。面向对象的存储系统。投标时需提供由原厂商或第三方权威机构出具的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与虚拟化平台(Hypervisor)源代码级结合，可以通过虚拟化管理平台统一配置管理。投标时需提供由原厂商或第三方权威机构出具的相关证明材料。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★支持RAID-1镜像容错技术和多达4份数据副本，同时支持虚拟机级别实现IOPS的QoS。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全冗余性设计，多节点冗余保护，不存在单点故障。投标时需提供由原厂商或第三方权威机构出具的相关证明材料。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支持虚拟化平台的vMotion、HA、Fault Tolerance、DRS等功能，并能紧密集成。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采用SSD或PCI-e闪存卡作为高速缓存，并且可以动态扩展，支持UltraDIMM 和 NVMe。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支持热插拔技术，以及容量的在线动态扩展，可以平滑的增加磁盘和节点数量，不影响业务系统运行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提供容错域技术，可以磁盘、主机、网络、机架级别的容错能力；支持虚拟化备份以及容灾技术。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存储策略可以定义到虚拟机（VM）级别。支持的存储策略包含但不局限于副本个数、条带宽度、QoS、磁盘格式、预留空间比例等等。投标时需提供由原厂商或第三方权威机构出具的相关证明材料。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支持Oracle、Oracle RAC、MS SQL、MySQL、SAP、SAP HANA的运行，官方提供技术白皮书说明。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可以通过iSCSI方式为主机提供块存储功能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可以为容器平台提供持久卷服务，可以直接为容器平台提供存储服务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具有广泛的兼容性，兼容主流厂商的服务器，包括但不仅仅限于以下品牌DELL、HP、Cisco、Hitachi、Lenovo、Fujitsu、SuperMicro、Intel、Inspur、Sugon、Huawei等等.投标时需提供由原厂商或第三方权威机构出具的兼容性证明网页链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每个存储集群可以支持2240块磁盘，最少2个节点，每个集群最多64个节点运行，性能随着节点数量增加线性增长，支持62TB大容量虚拟磁盘文件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统一管理存储资源的所有配置和监控。可监控IOPS、带宽、时延和容量。可监控CPU利用率、CPU就绪时间、内存占用率、内存超用、存储卷的读写延迟等等。提供完整的日志分析工具，至少记录90天历史数据以供分析和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592"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售后服务</w:t>
            </w:r>
          </w:p>
        </w:tc>
        <w:tc>
          <w:tcPr>
            <w:tcW w:w="4408" w:type="pct"/>
            <w:shd w:val="clear" w:color="auto" w:fill="auto"/>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5年硬件原厂保修服务，介质不返还服务，软件1年原厂支持服务；为保证设备的可靠性服务，要求</w:t>
            </w:r>
            <w:r>
              <w:rPr>
                <w:rFonts w:hint="eastAsia" w:asciiTheme="minorEastAsia" w:hAnsiTheme="minorEastAsia" w:eastAsiaTheme="minorEastAsia" w:cstheme="minorEastAsia"/>
                <w:sz w:val="21"/>
                <w:szCs w:val="21"/>
              </w:rPr>
              <w:t>中标公示后7天内</w:t>
            </w:r>
            <w:r>
              <w:rPr>
                <w:rFonts w:hint="eastAsia" w:asciiTheme="minorEastAsia" w:hAnsiTheme="minorEastAsia" w:eastAsiaTheme="minorEastAsia" w:cstheme="minorEastAsia"/>
                <w:color w:val="000000"/>
                <w:kern w:val="0"/>
                <w:sz w:val="21"/>
                <w:szCs w:val="21"/>
              </w:rPr>
              <w:t>提供原厂针对本项目的授权原件和售后服务承诺函原件。</w:t>
            </w:r>
          </w:p>
        </w:tc>
      </w:tr>
    </w:tbl>
    <w:p>
      <w:pPr>
        <w:pStyle w:val="8"/>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6" w:name="_Toc117628469"/>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私有云系统交换机（2台）</w:t>
      </w:r>
      <w:bookmarkEnd w:id="6"/>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shd w:val="clear" w:color="auto" w:fill="FFFFFF" w:themeFill="background1"/>
            <w:noWrap/>
            <w:vAlign w:val="center"/>
          </w:tcPr>
          <w:p>
            <w:pPr>
              <w:spacing w:line="276"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kern w:val="0"/>
                <w:sz w:val="21"/>
                <w:szCs w:val="21"/>
              </w:rPr>
              <w:t>指标项</w:t>
            </w:r>
          </w:p>
        </w:tc>
        <w:tc>
          <w:tcPr>
            <w:tcW w:w="4064" w:type="pct"/>
            <w:shd w:val="clear" w:color="auto" w:fill="FFFFFF" w:themeFill="background1"/>
            <w:vAlign w:val="center"/>
          </w:tcPr>
          <w:p>
            <w:pPr>
              <w:spacing w:line="276"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kern w:val="0"/>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品牌要求★</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知名品牌，和私有云系统同品牌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restar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硬件规格</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★交换容量大于4.8T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★包转大于2000Mpps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产品深度＜400mm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工作温度0°~45°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★支持8口100G，48个10G接口</w:t>
            </w:r>
          </w:p>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本次实际配置20个10GbE模块，8个25Gb模块和2个40Gb模块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2个电源，电源支持1+1冗余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风扇盘支持N+1冗余，一个风扇盘损坏的情况下，系统仍可正常运行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L2协议</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IEEE802.1D（STP）、IEEE802.1w（RSTP）、IEEE802.1s（MSTP）、IGMP Snooping 、Jumbo Frame(9Kbytes)、IEEE802.1ad（QinQ、灵活QinQ）、GVRP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L3协议（IPv4）</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BGP4、ISIS、OSPFv2、RIPv1、RIPv2、MBGP、LPM Routing、Policy-based Routing、Route-policy、ECMP、WCMP、VRRP、IGMP v1/v2/v3、DVMRP、PIM-SSM/SM/DM、MSDP、Any-RP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IPv6特性</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静态路由、等价路由、策略路由、OSPFv3、RIPng、BGP4+、MLDv1/v2、PIM-SMv6、手工隧道、自动隧道、IPv4 over IPv6隧道、ISATAP隧道等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restar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数据中心特性</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支持VXLAN routing和VXLAN bridging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支持EVPN VXLAN（基于以太网VPN的虚拟可扩展局域网）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支持M-LAG特性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支持OpenFlow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QoS</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支持802.1p、DSCP、ToS等EXP优先级映射，支持ACL流分类，支持优先级标记Mark/Remark，支持SP、WRR、DRR、SP+WRR、SP+DRR等多种队列调度机制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MPLS</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支持MPLS 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缓存管理</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支持缓存状态监控及管理，识别流量微突发情况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36" w:type="pc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高可靠设计</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支持BFD检测、支持REUP双链路快速切换技术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管理方式</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SNMP v1/v2/v3、Telnet、Console、MGMT、RMON、SSHv1/v2，支持Telemetry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restar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软件指标</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支持GRPC通信协议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支持零配置上线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支持缓存状态监控及管理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支持SFLOW协议，官网可查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vMerge w:val="continue"/>
            <w:vAlign w:val="center"/>
          </w:tcPr>
          <w:p>
            <w:pPr>
              <w:spacing w:line="276" w:lineRule="auto"/>
              <w:jc w:val="center"/>
              <w:rPr>
                <w:rFonts w:hint="eastAsia" w:asciiTheme="minorEastAsia" w:hAnsiTheme="minorEastAsia" w:eastAsiaTheme="minorEastAsia" w:cstheme="minorEastAsia"/>
                <w:kern w:val="0"/>
                <w:sz w:val="21"/>
                <w:szCs w:val="21"/>
              </w:rPr>
            </w:pP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支持虚拟化技术，将多台设备虚拟为一台使用，官网可查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36" w:type="pc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入网证</w:t>
            </w:r>
          </w:p>
        </w:tc>
        <w:tc>
          <w:tcPr>
            <w:tcW w:w="4064" w:type="pct"/>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入网许可证、CCC《中国国家强制性产品认证证书》、节能证书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6" w:type="pct"/>
            <w:noWrap/>
            <w:vAlign w:val="center"/>
          </w:tcPr>
          <w:p>
            <w:pPr>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售后服务</w:t>
            </w:r>
          </w:p>
        </w:tc>
        <w:tc>
          <w:tcPr>
            <w:tcW w:w="4064" w:type="pct"/>
            <w:vAlign w:val="center"/>
          </w:tcPr>
          <w:p>
            <w:pPr>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5年原厂保修服务，介质不返还服务；为保证设备的可靠性服务，要求中标公示后7天内提供原厂针对本项目的授权原件和售后服务承诺函原件。</w:t>
            </w:r>
          </w:p>
        </w:tc>
      </w:tr>
    </w:tbl>
    <w:p>
      <w:pPr>
        <w:pStyle w:val="8"/>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bookmarkStart w:id="7" w:name="_Toc117628470"/>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.6 </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超融合系统（5台）</w:t>
      </w:r>
      <w:bookmarkEnd w:id="7"/>
    </w:p>
    <w:tbl>
      <w:tblPr>
        <w:tblStyle w:val="26"/>
        <w:tblW w:w="89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80"/>
        <w:gridCol w:w="78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shd w:val="clear" w:color="000000" w:fill="FFFFFF" w:themeFill="background1"/>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指标项</w:t>
            </w:r>
          </w:p>
        </w:tc>
        <w:tc>
          <w:tcPr>
            <w:tcW w:w="7880" w:type="dxa"/>
            <w:shd w:val="clear" w:color="000000" w:fill="FFFFFF" w:themeFill="background1"/>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参数要求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外观尺寸</w:t>
            </w: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≥2U机架式服务器；和数据库服务器同品牌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处理器</w:t>
            </w: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配置2个Intel至强4310 12C 120W 2.1GHz 处理器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内存</w:t>
            </w: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配置8根32GB DDR4 RDIMM ；可扩展不少于32槽位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硬盘</w:t>
            </w: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配置1块480GB 混用 SATA 6Gb 热插拔固态硬盘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配置2块2TB 7.2K SATA 6Gb 热插拔 512e 硬盘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2块480GB SSD系统盘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可扩展不少于20块3.5寸盘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RAID卡</w:t>
            </w: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配置1块SAS卡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PCI设备</w:t>
            </w: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配置≥1个块双口10GbE SFP+网卡(含模块) ，≥1个块4口1GbE 网卡；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电源风扇</w:t>
            </w: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满配电源和风扇；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带外管理★</w:t>
            </w: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配齐带外管理所有功能软件许可；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支持手机客户端登陆带外管理软件的USB端口；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兼容性★</w:t>
            </w: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兼容主流操作系统和数据库，厂商必须为VMWARE全球合作伙伴，提供VMware官网截图证明；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设备必须支持VMware vLCM功能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超融合软件要求★</w:t>
            </w: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知名品牌，有成熟的研发设计经验，软件在中国境内生产销售至少3年以上时间。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超融合软件必须要2019年-2021年连续3年处于Gartner超融合魔力四象限领导者象限。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配齐节点所需的虚拟化和超融合软件正版原厂许可，功能如下要求：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虚拟化软件</w:t>
            </w: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采用裸金属架构，无需绑定操作系统即可搭建虚拟化平台。每个虚拟机都可以安装操作系统，并且操作系统可以异构。兼容现有市场上X86服务器上能够运行的主流操作系统，尤其包括以下操作系统：WinXP、windows Vista、Win2000/2003/2008/2012、Windows 7/8/10、Redhat Linux、Suselinux、SCO UnixWare、Solaris x86、NetWare、Trubolinux、FreeBSD、Ubuntu、Oracle Linux、Debian、Mac OS X、CoreOS以及国产操作系统中标麒麟Linux和AsiaUX等等。并出具官方文档或官方网站链接。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支持现有市场上主要服务器厂商的主流X86服务器，包括HPE、DELL、Cisco以及国内自主品牌服务器如浪潮、曙光、联想、华为、等等。并出具官方文档或官方网站链接。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支持现有市场上主要存储厂商的主流存储阵列，包括EMC、HDS、IBM、HPE、DELL以及国内自主品牌存储阵列如浪潮、联想、华为、中兴、H3C等等。并出具官方文档或官方网站链接。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具有合理的内存调度机制，能够实现内存的过量使用(如共享页面技术等)，保障内存资源的充分利用，同时支持“可靠内存”技术。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提供防病毒接口平台，可以与第三方杀毒软件或安全软件融合，采用“无代理”技术，在虚拟化平台层进行病毒防范。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提供基于虚拟化平台的备份接口，能够为第三方备份软件提供在“无代理”的模式下的针对虚拟机进行集中备份。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提供“即时克隆”能力，针对在线虚拟机可以进行快速的秒级克隆复制，并定制系统参数，以实现虚拟机的在线快速部署。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提供“内容库”功能，支持虚拟机模版/虚拟设备(OVF)/ISO/多媒体文件以及其它各类文件的存放，以共享/订阅的方式直接部署虚拟机或者提供给虚拟机使用。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超融合管理平台要求</w:t>
            </w: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支持单点管理，可以从单个控制台对所有虚拟机的配置情况、负载情况进行集中监控，并根据实际需要实时进行资源调整。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控制台自身具备定时备份和按需还原机制，可以对数据进行备份和还原。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控制台自身具备高可用机制，不依赖于任何外部共享存储或数据库，可以在5分钟内完成服务切换。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支持对包括虚拟机模板、ISO映像和脚本在内的内容进行存储库统一存储。用户可以从集中化位置存储和管理内容,以及通过发 / 订阅模型共享内容。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统一的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可以支持HTML 5 客户端、Web Client客户端和命令行管理功能，简化管理员的日常运维管理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配置管理和扩容非常简单，无需使用命令行，提供向导式图形化界面快速完成群集资源创建、配置、管理和扩容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支持单点登录，用户只需登录一次，无需进一步的身份验证即可访问控制台并对集群进行监控与管理。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支持自定义角色和权限，可以限制用户对资源的访问，实现分级管理并增强安全性和灵活性。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支持AD域整合，域用户可以访问控制台，由AD来处理用户身份验证。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管理软件可实现多管理软件级别互通功能，支持多管理中心架构，并可实现分布式管理。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000000" w:fill="FFFFFF"/>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提供自动报警功能，能够提供物理服务器或虚拟机的CPU、网络、 磁盘使用率等指标的实时数据统计，并能反映目前各物理服务器、虚拟机的资源瓶颈。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超融合平台软件</w:t>
            </w: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于非开源体系架构的分布式存储技术，支持多个独立的服务器本地存储组成一个可以共享的存储资源池。基于面向对象的存储架构，易于管理和扩展。面向对象的存储系统。投标时需提供由原厂商或第三方权威机构出具的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与虚拟化平台(Hypervisor)源代码级结合，可以通过虚拟化管理平台统一配置管理。投标时需提供由原厂商或第三方权威机构出具的相关证明材料。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★支持RAID-1镜像容错技术和多达4份数据副本，同时支持虚拟机级别实现IOPS的QoS。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全冗余性设计，多节点冗余保护，不存在单点故障。投标时需提供由原厂商或第三方权威机构出具的相关证明材料。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支持虚拟化平台的vMotion、HA、Fault Tolerance、DRS等功能，并能紧密集成。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采用SSD或PCI-e闪存卡作为高速缓存，并且可以动态扩展，支持UltraDIMM 和 NVMe。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支持热插拔技术，以及容量的在线动态扩展，可以平滑的增加磁盘和节点数量，不影响业务系统运行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提供容错域技术，可以磁盘、主机、网络、机架级别的容错能力；支持虚拟化备份以及容灾技术。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存储策略可以定义到虚拟机（VM）级别。支持的存储策略包含但不局限于副本个数、条带宽度、QoS、磁盘格式、预留空间比例等等。投标时需提供由原厂商或第三方权威机构出具的相关证明材料。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支持Oracle、Oracle RAC、MS SQL、MySQL、SAP、SAP HANA的运行，官方提供技术白皮书说明。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可以通过iSCSI方式为主机提供块存储功能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可以为容器平台提供持久卷服务，可以直接为容器平台提供存储服务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具有广泛的兼容性，兼容主流厂商的服务器，包括但不仅仅限于以下品牌DELL、HP、Cisco、Hitachi、Lenovo、Fujitsu、SuperMicro、Intel、Inspur、Sugon、Huawei等等.投标时需提供由原厂商或第三方权威机构出具的兼容性证明网页链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每个存储集群可以支持2240块磁盘，最少2个节点，每个集群最多64个节点运行，性能随着节点数量增加线性增长，支持62TB大容量虚拟磁盘文件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统一管理存储资源的所有配置和监控。可监控IOPS、带宽、时延和容量。可监控CPU利用率、CPU就绪时间、内存占用率、内存超用、存储卷的读写延迟等等。提供完整的日志分析工具，至少记录90天历史数据以供分析和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0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售后服务</w:t>
            </w:r>
          </w:p>
        </w:tc>
        <w:tc>
          <w:tcPr>
            <w:tcW w:w="7880"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5年硬件原厂保修服务，介质不返还服务，软件1年原厂支持服务；为保证设备的可靠性服务，要求</w:t>
            </w:r>
            <w:r>
              <w:rPr>
                <w:rFonts w:hint="eastAsia" w:asciiTheme="minorEastAsia" w:hAnsiTheme="minorEastAsia" w:eastAsiaTheme="minorEastAsia" w:cstheme="minorEastAsia"/>
                <w:sz w:val="21"/>
                <w:szCs w:val="21"/>
              </w:rPr>
              <w:t>中标公示后7天内</w:t>
            </w:r>
            <w:r>
              <w:rPr>
                <w:rFonts w:hint="eastAsia" w:asciiTheme="minorEastAsia" w:hAnsiTheme="minorEastAsia" w:eastAsiaTheme="minorEastAsia" w:cstheme="minorEastAsia"/>
                <w:color w:val="000000"/>
                <w:kern w:val="0"/>
                <w:sz w:val="21"/>
                <w:szCs w:val="21"/>
              </w:rPr>
              <w:t>提供原厂针对本项目的授权原件和售后服务承诺函原件。</w:t>
            </w:r>
          </w:p>
        </w:tc>
      </w:tr>
    </w:tbl>
    <w:p>
      <w:pPr>
        <w:pStyle w:val="8"/>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8" w:name="_Toc117628471"/>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.7</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PACS存储（1套）</w:t>
      </w:r>
      <w:bookmarkEnd w:id="8"/>
    </w:p>
    <w:tbl>
      <w:tblPr>
        <w:tblStyle w:val="26"/>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500"/>
        <w:gridCol w:w="70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shd w:val="clear" w:color="auto" w:fill="auto"/>
            <w:noWrap/>
            <w:vAlign w:val="center"/>
          </w:tcPr>
          <w:p>
            <w:pPr>
              <w:widowControl/>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指标项</w:t>
            </w:r>
          </w:p>
        </w:tc>
        <w:tc>
          <w:tcPr>
            <w:tcW w:w="4120" w:type="pct"/>
            <w:shd w:val="clear" w:color="auto" w:fill="auto"/>
            <w:vAlign w:val="center"/>
          </w:tcPr>
          <w:p>
            <w:pPr>
              <w:widowControl/>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shd w:val="clear" w:color="auto" w:fill="FFFFFF"/>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品牌</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国际知名品牌（非OEM原厂）。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restart"/>
            <w:shd w:val="clear" w:color="auto" w:fill="FFFFFF"/>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体系结构</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存储系统采用对称A-A架构，LUN无控制器归属，在多控配置下，能够负载到所有控制器，CPU利用率差异小于5%。单个LUN业务负载均衡到所有控制器，单个LUN可以发挥所有控制器最大性能≥95%，且此时每个控制器的性能差别≤5%并提供具备CNAS(中国合格评定国家认可委员会)资质的第三方权威评测机构签字盖章的测试报告，加盖存储厂商有效印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continue"/>
            <w:shd w:val="clear" w:color="auto" w:fill="FFFFFF"/>
            <w:vAlign w:val="center"/>
          </w:tcPr>
          <w:p>
            <w:pPr>
              <w:widowControl/>
              <w:jc w:val="center"/>
              <w:textAlignment w:val="center"/>
              <w:rPr>
                <w:rFonts w:hint="eastAsia" w:asciiTheme="minorEastAsia" w:hAnsiTheme="minorEastAsia" w:eastAsiaTheme="minorEastAsia" w:cstheme="minorEastAsia"/>
                <w:kern w:val="0"/>
                <w:sz w:val="21"/>
                <w:szCs w:val="21"/>
              </w:rPr>
            </w:pP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无需配置NAS网关，并提供白皮书证明，加盖存储厂商有效印章。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continue"/>
            <w:shd w:val="clear" w:color="auto" w:fill="FFFFFF"/>
            <w:vAlign w:val="center"/>
          </w:tcPr>
          <w:p>
            <w:pPr>
              <w:widowControl/>
              <w:jc w:val="center"/>
              <w:textAlignment w:val="center"/>
              <w:rPr>
                <w:rFonts w:hint="eastAsia" w:asciiTheme="minorEastAsia" w:hAnsiTheme="minorEastAsia" w:eastAsiaTheme="minorEastAsia" w:cstheme="minorEastAsia"/>
                <w:kern w:val="0"/>
                <w:sz w:val="21"/>
                <w:szCs w:val="21"/>
              </w:rPr>
            </w:pP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存储系统支持无中断系统软件在线升级和回退。在版本升级和回退的过程中无需重启控制器，主机与存储之间的链路无中断，客户端无感知，升级时长≤10分钟，提供截图证明和CNAS报告(中国合格评定国家认可委员会)资质的第三方权威评测机构签字盖章的测试报告，加盖存储厂商有效印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continue"/>
            <w:shd w:val="clear" w:color="auto" w:fill="FFFFFF"/>
            <w:vAlign w:val="center"/>
          </w:tcPr>
          <w:p>
            <w:pPr>
              <w:widowControl/>
              <w:jc w:val="center"/>
              <w:textAlignment w:val="center"/>
              <w:rPr>
                <w:rFonts w:hint="eastAsia" w:asciiTheme="minorEastAsia" w:hAnsiTheme="minorEastAsia" w:eastAsiaTheme="minorEastAsia" w:cstheme="minorEastAsia"/>
                <w:kern w:val="0"/>
                <w:sz w:val="21"/>
                <w:szCs w:val="21"/>
              </w:rPr>
            </w:pP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★前端采用基于FC或者RDMA的NVMe协议，后端支持基于RDMA或者PCIE的NVMe协议，支持端到端NVMe架构，提供产品彩页或者官网截图。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restart"/>
            <w:shd w:val="clear" w:color="auto" w:fill="FFFFFF"/>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存储控制器</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★配置≥2个控制器，控制器采用多核处理器，且单控制器处理器总核心数≥32核，CPU主频为≥2.6GHz。</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continue"/>
            <w:shd w:val="clear" w:color="auto" w:fill="FFFFFF"/>
            <w:vAlign w:val="center"/>
          </w:tcPr>
          <w:p>
            <w:pPr>
              <w:jc w:val="center"/>
              <w:rPr>
                <w:rFonts w:hint="eastAsia" w:asciiTheme="minorEastAsia" w:hAnsiTheme="minorEastAsia" w:eastAsiaTheme="minorEastAsia" w:cstheme="minorEastAsia"/>
                <w:sz w:val="21"/>
                <w:szCs w:val="21"/>
              </w:rPr>
            </w:pPr>
          </w:p>
        </w:tc>
        <w:tc>
          <w:tcPr>
            <w:tcW w:w="4120" w:type="pct"/>
            <w:shd w:val="clear" w:color="auto" w:fill="FFFFFF"/>
            <w:vAlign w:val="center"/>
          </w:tcPr>
          <w:p>
            <w:pPr>
              <w:widowControl/>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★系统内总一级缓存容量配置≥256GB，且任意控制器一级缓存容量≥128GB（不含任何性能加速模块、FlashCache、PAM卡，SSDCache、SCM等）。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continue"/>
            <w:shd w:val="clear" w:color="auto" w:fill="FFFFFF"/>
            <w:vAlign w:val="center"/>
          </w:tcPr>
          <w:p>
            <w:pPr>
              <w:jc w:val="center"/>
              <w:rPr>
                <w:rFonts w:hint="eastAsia" w:asciiTheme="minorEastAsia" w:hAnsiTheme="minorEastAsia" w:eastAsiaTheme="minorEastAsia" w:cstheme="minorEastAsia"/>
                <w:sz w:val="21"/>
                <w:szCs w:val="21"/>
              </w:rPr>
            </w:pP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支持控制器扩展，最大支持≥16控，提供产品彩页或者官网截图。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restart"/>
            <w:shd w:val="clear" w:color="auto" w:fill="FFFFFF"/>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主机接口</w:t>
            </w:r>
          </w:p>
        </w:tc>
        <w:tc>
          <w:tcPr>
            <w:tcW w:w="4120" w:type="pct"/>
            <w:shd w:val="clear" w:color="auto" w:fill="auto"/>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★配置≥8*GbETH接口 +≥8*10GbETH接口。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continue"/>
            <w:shd w:val="clear" w:color="auto" w:fill="FFFFFF"/>
            <w:vAlign w:val="center"/>
          </w:tcPr>
          <w:p>
            <w:pPr>
              <w:jc w:val="center"/>
              <w:rPr>
                <w:rFonts w:hint="eastAsia" w:asciiTheme="minorEastAsia" w:hAnsiTheme="minorEastAsia" w:eastAsiaTheme="minorEastAsia" w:cstheme="minorEastAsia"/>
                <w:sz w:val="21"/>
                <w:szCs w:val="21"/>
              </w:rPr>
            </w:pPr>
          </w:p>
        </w:tc>
        <w:tc>
          <w:tcPr>
            <w:tcW w:w="4120" w:type="pct"/>
            <w:shd w:val="clear" w:color="auto" w:fill="FFFFFF"/>
            <w:vAlign w:val="center"/>
          </w:tcPr>
          <w:p>
            <w:pPr>
              <w:widowControl/>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支持配置8/16/32GFC，10/25/40/100GE，提供产品彩页或者官网截图。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shd w:val="clear" w:color="auto" w:fill="FFFFFF"/>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后端接口</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配置后端磁盘通道带宽≥192Gbps。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restart"/>
            <w:shd w:val="clear" w:color="auto" w:fill="FFFFFF"/>
            <w:vAlign w:val="center"/>
          </w:tcPr>
          <w:p>
            <w:pPr>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硬盘</w:t>
            </w:r>
          </w:p>
        </w:tc>
        <w:tc>
          <w:tcPr>
            <w:tcW w:w="4120" w:type="pct"/>
            <w:shd w:val="clear" w:color="auto" w:fill="auto"/>
            <w:vAlign w:val="center"/>
          </w:tcPr>
          <w:p>
            <w:pPr>
              <w:widowControl/>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★配置≥14*3.84 TBSSD硬盘，配置≥51*10 TBNLSAS硬盘。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continue"/>
            <w:shd w:val="clear" w:color="auto" w:fill="FFFFFF"/>
            <w:vAlign w:val="center"/>
          </w:tcPr>
          <w:p>
            <w:pPr>
              <w:jc w:val="center"/>
              <w:textAlignment w:val="center"/>
              <w:rPr>
                <w:rFonts w:hint="eastAsia" w:asciiTheme="minorEastAsia" w:hAnsiTheme="minorEastAsia" w:eastAsiaTheme="minorEastAsia" w:cstheme="minorEastAsia"/>
                <w:sz w:val="21"/>
                <w:szCs w:val="21"/>
              </w:rPr>
            </w:pPr>
          </w:p>
        </w:tc>
        <w:tc>
          <w:tcPr>
            <w:tcW w:w="4120" w:type="pct"/>
            <w:shd w:val="clear" w:color="auto" w:fill="FFFFFF"/>
            <w:vAlign w:val="center"/>
          </w:tcPr>
          <w:p>
            <w:pPr>
              <w:widowControl/>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★支持RAID5、RAID6和容忍三盘失效，提供产品彩页或者官网截图。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continue"/>
            <w:shd w:val="clear" w:color="auto" w:fill="FFFFFF"/>
            <w:vAlign w:val="center"/>
          </w:tcPr>
          <w:p>
            <w:pPr>
              <w:jc w:val="center"/>
              <w:textAlignment w:val="center"/>
              <w:rPr>
                <w:rFonts w:hint="eastAsia" w:asciiTheme="minorEastAsia" w:hAnsiTheme="minorEastAsia" w:eastAsiaTheme="minorEastAsia" w:cstheme="minorEastAsia"/>
                <w:sz w:val="21"/>
                <w:szCs w:val="21"/>
              </w:rPr>
            </w:pPr>
          </w:p>
        </w:tc>
        <w:tc>
          <w:tcPr>
            <w:tcW w:w="4120" w:type="pct"/>
            <w:shd w:val="clear" w:color="auto" w:fill="FFFFFF"/>
            <w:vAlign w:val="center"/>
          </w:tcPr>
          <w:p>
            <w:pPr>
              <w:widowControl/>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在同一个RAID组内容忍任意3盘同时失效，数据不丢&amp;不中断业务，提供白皮书或者官网链接证明，并提供具备CNAS(中国合格评定国家认可委员会)资质的第三方权威评测机构签字盖章的测试报告，加盖存储厂商有效印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continue"/>
            <w:shd w:val="clear" w:color="auto" w:fill="FFFFFF"/>
            <w:vAlign w:val="center"/>
          </w:tcPr>
          <w:p>
            <w:pPr>
              <w:widowControl/>
              <w:jc w:val="center"/>
              <w:textAlignment w:val="center"/>
              <w:rPr>
                <w:rFonts w:hint="eastAsia" w:asciiTheme="minorEastAsia" w:hAnsiTheme="minorEastAsia" w:eastAsiaTheme="minorEastAsia" w:cstheme="minorEastAsia"/>
                <w:sz w:val="21"/>
                <w:szCs w:val="21"/>
              </w:rPr>
            </w:pPr>
          </w:p>
        </w:tc>
        <w:tc>
          <w:tcPr>
            <w:tcW w:w="4120" w:type="pct"/>
            <w:shd w:val="clear" w:color="auto" w:fill="FFFFFF"/>
            <w:vAlign w:val="center"/>
          </w:tcPr>
          <w:p>
            <w:pPr>
              <w:widowControl/>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最大支持磁盘插槽个数≥800。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restart"/>
            <w:shd w:val="clear" w:color="auto" w:fill="FFFFFF"/>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存储功能特性</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color w:val="000000"/>
                <w:kern w:val="0"/>
                <w:sz w:val="21"/>
                <w:szCs w:val="21"/>
              </w:rPr>
              <w:t>配置NAS功能，支持NFSV3.1/V4.0/V4.1，SMBV2.0/V3.0协议，支持SMBABE，Notify功能存储系统，提供相关配置截图。</w:t>
            </w:r>
          </w:p>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存储系统支持文件系统跨协议（NFS和CIFS）访问，访问权限无损失，并提供具备CNAS(中国合格评定国家认可委员会)资质的第三方权威评测机构签字盖章的测试报告，加盖存储厂商有效印章。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continue"/>
            <w:shd w:val="clear" w:color="auto" w:fill="FFFFFF"/>
            <w:vAlign w:val="center"/>
          </w:tcPr>
          <w:p>
            <w:pPr>
              <w:widowControl/>
              <w:jc w:val="center"/>
              <w:textAlignment w:val="center"/>
              <w:rPr>
                <w:rFonts w:hint="eastAsia" w:asciiTheme="minorEastAsia" w:hAnsiTheme="minorEastAsia" w:eastAsiaTheme="minorEastAsia" w:cstheme="minorEastAsia"/>
                <w:sz w:val="21"/>
                <w:szCs w:val="21"/>
              </w:rPr>
            </w:pP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存储采用分布式文件系统架构，文件系统无控制器归属，在多控配置下，支持多个控制器负载均衡，在单文件系统的情况下，多个控制器负载均衡，控制器的OPS和CPU利用率差异≤5%，并提供具备CNAS(中国合格评定国家认可委员会)资质的第三方权威评测机构签字盖章的测试报告，加盖存储厂商有效印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continue"/>
            <w:shd w:val="clear" w:color="auto" w:fill="FFFFFF"/>
            <w:vAlign w:val="center"/>
          </w:tcPr>
          <w:p>
            <w:pPr>
              <w:widowControl/>
              <w:jc w:val="center"/>
              <w:textAlignment w:val="center"/>
              <w:rPr>
                <w:rFonts w:hint="eastAsia" w:asciiTheme="minorEastAsia" w:hAnsiTheme="minorEastAsia" w:eastAsiaTheme="minorEastAsia" w:cstheme="minorEastAsia"/>
                <w:sz w:val="21"/>
                <w:szCs w:val="21"/>
              </w:rPr>
            </w:pP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color w:val="000000"/>
                <w:kern w:val="0"/>
                <w:sz w:val="21"/>
                <w:szCs w:val="21"/>
              </w:rPr>
              <w:t>同时支持SMB2.0和3.0failover功能，在控制器故障情况下业务不中断，提供官网或技术白皮书证明。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shd w:val="clear" w:color="auto" w:fill="FFFFFF"/>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快照</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存储配置快照功能。</w:t>
            </w:r>
          </w:p>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1.采用ROW无损快照模式。</w:t>
            </w:r>
          </w:p>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2.提供快照功能，系统支持≤15秒做一次快照备份，提供可视化管理界面截图，恢复任意时间点快照，其他时间点快照不丢失。</w:t>
            </w:r>
          </w:p>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3.单文件系统支持≥4096个快照，整系统支持≥32000个文件系统快照。</w:t>
            </w:r>
          </w:p>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4.创建快照，文件系统性能变化幅度≤10%，并提供具备CNAS(中国合格评定国家认可委员会)资质的第三方权威评测机构签字盖章的测试报告，加盖存储厂商有效印章。</w:t>
            </w:r>
          </w:p>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5.可通过管理界面恢复任意时间点快照，其它快照不丢失，并提供截图。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shd w:val="clear" w:color="auto" w:fill="FFFFFF"/>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复制</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配置复制功能</w:t>
            </w:r>
          </w:p>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1.存储支持文件系统异步复制，支持从端演练，支持主从切换，支持将主端文件系统指定的快照同步到远端文件系统。</w:t>
            </w:r>
          </w:p>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2.存储系统支持同步远程复制功能，同步复制文件系统支持在线扩容、快照同步，并提供具备CNAS(中国合格评定国家认可委员会)资质的第三方权威评测机构签字盖章的测试报告，加盖存储厂商有效印章。</w:t>
            </w:r>
          </w:p>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3.自定义远程数据异步传输时间间隔，支持≤15S，提供操作页面截图。</w:t>
            </w:r>
          </w:p>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4.异步复制支持链路压缩，节省传输带宽，提供操作页面截图。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shd w:val="clear" w:color="auto" w:fill="FFFFFF"/>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克隆</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配置文件系统克隆功能，支持对同一个文件创建多个克隆，支持跨租户克隆，提供操作界面截图。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shd w:val="clear" w:color="auto" w:fill="FFFFFF"/>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NASA-A双活</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支持免网关的NASA-A双活架构，实现两套核心存储数据双活（主机能够并发读写同一双活文件系统），任何一套设备宕机均不影响上层业务系统运行。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shd w:val="clear" w:color="auto" w:fill="FFFFFF"/>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DIF</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存储支持端到端DIF校验特性，对静默数据的损坏可以检测和修复，并提供具备CNAS(中国合格评定国家认可委员会)资质的第三方权威评测机构签字盖章的测试报告，加盖存储厂商有效印章。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shd w:val="clear" w:color="auto" w:fill="FFFFFF"/>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多路径软件</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★存储厂商提供专有多路径（非操作系统自带多路径）软件，提供故障切换和负载均衡功能，支持麒麟、凝思（Rocky）、红旗（RedFlag）等主流国产操作系统并提供证书复印件。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shd w:val="clear" w:color="auto" w:fill="FFFFFF"/>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自主可靠</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为保证核心数据安全，所投存储产品使用成熟稳定的国产品牌自主研发CPU，关键芯片（系统BMC管理芯片、接口卡处理芯片、SSD控制芯片）均为国产品牌，实现关键芯片自主可控，保障数据安全可靠。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restart"/>
            <w:shd w:val="clear" w:color="auto" w:fill="FFFFFF"/>
            <w:vAlign w:val="center"/>
          </w:tcPr>
          <w:p>
            <w:pPr>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厂商资质</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★投标品牌（非OEM原厂）入选Gartner主存储魔力四象限领导者象限，提供2021年Gartner魔力四象限截图。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vMerge w:val="continue"/>
            <w:shd w:val="clear" w:color="auto" w:fill="FFFFFF"/>
            <w:vAlign w:val="center"/>
          </w:tcPr>
          <w:p>
            <w:pPr>
              <w:widowControl/>
              <w:jc w:val="center"/>
              <w:textAlignment w:val="center"/>
              <w:rPr>
                <w:rFonts w:hint="eastAsia" w:asciiTheme="minorEastAsia" w:hAnsiTheme="minorEastAsia" w:eastAsiaTheme="minorEastAsia" w:cstheme="minorEastAsia"/>
                <w:kern w:val="0"/>
                <w:sz w:val="21"/>
                <w:szCs w:val="21"/>
              </w:rPr>
            </w:pP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连续三年国内企业存储系统市场收入排名前五（2018至2020年）的专业存储厂商，提供IDC数据授权并加盖厂商公章。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 w:hRule="atLeast"/>
          <w:jc w:val="center"/>
        </w:trPr>
        <w:tc>
          <w:tcPr>
            <w:tcW w:w="880" w:type="pct"/>
            <w:shd w:val="clear" w:color="auto" w:fill="FFFFFF"/>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售后服务</w:t>
            </w:r>
          </w:p>
        </w:tc>
        <w:tc>
          <w:tcPr>
            <w:tcW w:w="4120" w:type="pct"/>
            <w:shd w:val="clear" w:color="auto" w:fill="FFFFFF"/>
            <w:vAlign w:val="center"/>
          </w:tcPr>
          <w:p>
            <w:pPr>
              <w:widowControl/>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5年原厂维保服务，</w:t>
            </w:r>
            <w:r>
              <w:rPr>
                <w:rFonts w:hint="eastAsia" w:asciiTheme="minorEastAsia" w:hAnsiTheme="minorEastAsia" w:eastAsiaTheme="minorEastAsia" w:cstheme="minorEastAsia"/>
                <w:sz w:val="21"/>
                <w:szCs w:val="21"/>
              </w:rPr>
              <w:t>中标公示后7天内</w:t>
            </w:r>
            <w:r>
              <w:rPr>
                <w:rFonts w:hint="eastAsia" w:asciiTheme="minorEastAsia" w:hAnsiTheme="minorEastAsia" w:eastAsiaTheme="minorEastAsia" w:cstheme="minorEastAsia"/>
                <w:kern w:val="0"/>
                <w:sz w:val="21"/>
                <w:szCs w:val="21"/>
              </w:rPr>
              <w:t>提供原厂售后服务承诺函盖鲜章原件和授权书盖鲜章原件；设备生产商需在国内设有400技术服务热线。</w:t>
            </w:r>
          </w:p>
        </w:tc>
      </w:tr>
    </w:tbl>
    <w:p>
      <w:pPr>
        <w:pStyle w:val="8"/>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9" w:name="_Toc117628472"/>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.8虚拟化备份软件升级扩容</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（1套）</w:t>
      </w:r>
      <w:bookmarkEnd w:id="9"/>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161"/>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47" w:type="pct"/>
            <w:gridSpan w:val="2"/>
            <w:tcBorders>
              <w:tl2br w:val="nil"/>
              <w:tr2bl w:val="nil"/>
            </w:tcBorders>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指标项</w:t>
            </w:r>
          </w:p>
        </w:tc>
        <w:tc>
          <w:tcPr>
            <w:tcW w:w="3553" w:type="pct"/>
            <w:tcBorders>
              <w:tl2br w:val="nil"/>
              <w:tr2bl w:val="nil"/>
            </w:tcBorders>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配置及具体要求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restar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资质要求</w:t>
            </w:r>
          </w:p>
        </w:tc>
        <w:tc>
          <w:tcPr>
            <w:tcW w:w="681" w:type="pc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品牌知名度</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国际知名品牌，</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备份产品位于Gartner Enterprise Backup and Recovery Software象限的领导者象限地位(投标文件中应提供近3年内任一年的截图)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restar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产品认证</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要求投标产品为VMware全球合作伙伴联盟专业级以上成员，并且可提供VMware官网链接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 VMware vSAN深度集成，且获得VMware ready官方认证（提供证明材料）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扩容要求</w:t>
            </w:r>
          </w:p>
        </w:tc>
        <w:tc>
          <w:tcPr>
            <w:tcW w:w="681" w:type="pc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软件兼容性</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★需要与我单位现有的虚拟化备份软件兼容，能够无缝隙使用现有的备份数据，并能直接从现有备份数据中进行数据恢复，中标后及签订合同前将进行测试验证。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restar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软件功能要求</w:t>
            </w:r>
          </w:p>
        </w:tc>
        <w:tc>
          <w:tcPr>
            <w:tcW w:w="681" w:type="pc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功能要求</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同一产品同时支持备份、还原、复制和容灾解决方案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平台支持</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全面支持VMware vSphere平台和Microsoft Hyper-V、NutanixAHV等平台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restar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VMware平台支持</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能够通过vCenter或者单个ESXi主机对虚拟机进行备份，复制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支持VMwarevSphere 5.5/6.0/6.5/6.7/7.0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支持VMware的块改变（CBT）跟踪功能，而且能够实现VMware和Hyper-V虚拟机的CBT备份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支持正向增量/反转增量/合成全备份等备份方法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能够从备份作业中排除虚拟机特殊类型的虚拟磁盘、单个文件或者文件夹，支持排除临时文件块以及交换空间、被删除文件块等无效数据块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★无须在每一台虚拟机上安装代理程序，支持应用程序一致性的映像级虚拟机备份，支持应用程序一致性的映像级虚拟机备份使用无代理方式备份、复制和还原数据库应用。支持Oracle, SQL, Exchange, SharePoint, AD等多种数据库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★支持对通过映像级备份生成的Microsoft SQL、Oracle 数据库备份进行即时数据库恢复，快速恢复数据库服务器，且支持利用数据库日志备份将数据库还原到最新状态，减少数据库停机时间。投标时提供配置产品使用界面截图证明。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★支持在与生产网络隔离的环境中</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自动验证备份数据和复制副本以确保虚拟机和应用程序可正常恢复,无需人工干预。自动检查相应虚拟机、操作系统和应用程序来确保可恢复性。验证报告邮件可配置为自动向管理员发送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能够在备份作业运行期间动态的增加新虚拟机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支持虚拟机细粒度恢复，</w:t>
            </w:r>
            <w:r>
              <w:rPr>
                <w:rFonts w:hint="eastAsia" w:asciiTheme="minorEastAsia" w:hAnsiTheme="minorEastAsia" w:eastAsiaTheme="minorEastAsia" w:cstheme="minorEastAsia"/>
                <w:color w:val="000000" w:themeColor="text1"/>
                <w:sz w:val="21"/>
                <w:szCs w:val="21"/>
                <w14:textFill>
                  <w14:solidFill>
                    <w14:schemeClr w14:val="tx1"/>
                  </w14:solidFill>
                </w14:textFill>
              </w:rPr>
              <w:t>无需还原所有的备份数据，即可从备份中提取虚拟机操作系统中的文件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w:t>
            </w:r>
            <w:r>
              <w:rPr>
                <w:rFonts w:hint="eastAsia" w:asciiTheme="minorEastAsia" w:hAnsiTheme="minorEastAsia" w:eastAsiaTheme="minorEastAsia" w:cstheme="minorEastAsia"/>
                <w:color w:val="000000" w:themeColor="text1"/>
                <w:sz w:val="21"/>
                <w:szCs w:val="21"/>
                <w14:textFill>
                  <w14:solidFill>
                    <w14:schemeClr w14:val="tx1"/>
                  </w14:solidFill>
                </w14:textFill>
              </w:rPr>
              <w:t>将本地生产数据从生产站点复制到容灾站点后，可在容灾站点立即启动虚机而不需要恢复数据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支持虚拟机即时恢复，</w:t>
            </w:r>
            <w:r>
              <w:rPr>
                <w:rFonts w:hint="eastAsia" w:asciiTheme="minorEastAsia" w:hAnsiTheme="minorEastAsia" w:eastAsiaTheme="minorEastAsia" w:cstheme="minorEastAsia"/>
                <w:color w:val="000000" w:themeColor="text1"/>
                <w:sz w:val="21"/>
                <w:szCs w:val="21"/>
                <w14:textFill>
                  <w14:solidFill>
                    <w14:schemeClr w14:val="tx1"/>
                  </w14:solidFill>
                </w14:textFill>
              </w:rPr>
              <w:t>具备直接从备份存档直接启动虚拟机的能力，无需执行还原过程，从而实现极高的备份RTO，在分钟级别内恢复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支持多VM即时恢复，一次启动多个VM的还原，可将多个虚拟机应用快速恢复在线，轻松执行大规模即时还原，减少了与恢复和迁移操作相关的停机时间。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★支持在隔离环境内直接从备份运行以一个或多个虚拟机，能够在不影响业务运营的情况下对生产环境的工作中副本进行故障排除、测试和训练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★支持在虚拟机恢复过程中自动启动杀毒软件进行</w:t>
            </w:r>
            <w:r>
              <w:rPr>
                <w:rFonts w:hint="eastAsia" w:asciiTheme="minorEastAsia" w:hAnsiTheme="minorEastAsia" w:eastAsiaTheme="minorEastAsia" w:cstheme="minorEastAsia"/>
                <w:color w:val="000000" w:themeColor="text1"/>
                <w:sz w:val="21"/>
                <w:szCs w:val="21"/>
                <w14:textFill>
                  <w14:solidFill>
                    <w14:schemeClr w14:val="tx1"/>
                  </w14:solidFill>
                </w14:textFill>
              </w:rPr>
              <w:t>杀毒扫描功能，降低恶意软件攻击风险，从而保持可用性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VMware环境下虚拟机连续数据保护功能，无需在虚拟机中安装代理进行磁盘I/O数据同步，不依赖任何硬件或操作系统即可使RPO达到秒级；支持通过定义连续数据保护的RPO和运行策略来周期性执行数据同步；支持灵活的设置短期和长期保留策略；需要具备连续数据保护计算工具，以评估连续数据保护策略实现指定的RPO所需的带宽并评估当前可用的连续数据保护代理资源是否满足执行策略的要求。投标时提供配置产品使用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支持NFS直接访问，可通过基于文件的 (NFS) 主存储中直接备份，能够更快地执行VSphere备份、复制和还原，并降低对虚拟化环境的影响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restart"/>
            <w:tcBorders>
              <w:tl2br w:val="nil"/>
              <w:tr2bl w:val="nil"/>
            </w:tcBorders>
            <w:vAlign w:val="center"/>
          </w:tcPr>
          <w:p>
            <w:pPr>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物理机和应用备份要求</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★支持Windows、Linux操作系统的物理机备份 ，并能将物理机备份数据即时恢复到VMware平台作为一台虚拟机应急启动。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支持Windows、Linux操作系统的物理机备份数据导出成VMDK或VHD文件，帮助用户上云迁移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支持应用程序一致性的映像级虚拟机备份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还原单个SQL数据库，支持本地时间点导出SQL数据库文件，无代理事务日志备份和重播，支持将数据库和SQL对象（表、存储的程序、视图等）事务级还原至原始或新SQL服务器的功能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还原单个Oracle数据库，包括无代理事务日志备份、存档日志管理以及将数据库事务级还原至原始或新Oracle服务器的功能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restar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NAS数据保护</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支持SMB(CIFS) 版本1，2，3文件共享和NFS 版本3，4文件共享的备份。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支持Windows和Linux文件服务器的备份。</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支持只备份指定的共享目录，而无需备份整个卷，从而减少备份的数据量，节省备份存储空间和缩短备份时间窗口。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★支持全备+永久增量的备份方式。</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支持通过文件变化跟踪功能，加快NAS的增量备份，为PB级非结构化文件数据提供可扩展架构保护。</w:t>
            </w: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通过VSS快照备份方式和存储快照备份方式，支持对打开文件或锁定文件的备份，同时提高NAS备份性能和速度。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NAS备份存储支持磁盘存储，对象存储、云对象存储和DD boost专业去重设备等存储。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备份IO控制</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支持对备份I/O进行设置，以确保备份和复制活动不会影响用于满足生产负荷的存储可用性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重删压缩功能</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加密、重复数据删除和压缩功能已内嵌在软件中无须额外购买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备份介质</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★支持强化的 Linux 存储库, 使用原生不可变的备份存储库确保数据安全，防止勒索软件恶意加密和删除, 在指定的保留期内确保备份和副本安全，且支持 XFS 快速数据块克隆减少存储空间消耗。投标时提供配置产品使用界面截图证明。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访问形式</w:t>
            </w:r>
          </w:p>
        </w:tc>
        <w:tc>
          <w:tcPr>
            <w:tcW w:w="3553" w:type="pct"/>
            <w:tcBorders>
              <w:tl2br w:val="nil"/>
              <w:tr2bl w:val="nil"/>
            </w:tcBorders>
            <w:vAlign w:val="center"/>
          </w:tcPr>
          <w:p>
            <w:pPr>
              <w:rPr>
                <w:rStyle w:val="32"/>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通过Web页访问的方式，可将恢复任务委派给特定用户或用户组，从而能够实现所有 Web UI 自助恢复功能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restar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对接公有云</w:t>
            </w:r>
          </w:p>
        </w:tc>
        <w:tc>
          <w:tcPr>
            <w:tcW w:w="3553" w:type="pct"/>
            <w:tcBorders>
              <w:tl2br w:val="nil"/>
              <w:tr2bl w:val="nil"/>
            </w:tcBorders>
            <w:vAlign w:val="center"/>
          </w:tcPr>
          <w:p>
            <w:pPr>
              <w:rPr>
                <w:rStyle w:val="32"/>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32"/>
                <w:rFonts w:hint="eastAsia" w:asciiTheme="minorEastAsia" w:hAnsiTheme="minorEastAsia" w:eastAsiaTheme="minorEastAsia" w:cstheme="minorEastAsia"/>
                <w:color w:val="000000" w:themeColor="text1"/>
                <w:sz w:val="21"/>
                <w:szCs w:val="21"/>
                <w14:textFill>
                  <w14:solidFill>
                    <w14:schemeClr w14:val="tx1"/>
                  </w14:solidFill>
                </w14:textFill>
              </w:rPr>
              <w:t>对接公有云，具备将备份数据上传至公有云，支持将在AWS、Azure云平台上的备份数据直接启动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553" w:type="pct"/>
            <w:tcBorders>
              <w:tl2br w:val="nil"/>
              <w:tr2bl w:val="nil"/>
            </w:tcBorders>
          </w:tcPr>
          <w:p>
            <w:pPr>
              <w:rPr>
                <w:rStyle w:val="32"/>
                <w:rFonts w:hint="eastAsia" w:asciiTheme="minorEastAsia" w:hAnsiTheme="minorEastAsia" w:eastAsiaTheme="minorEastAsia" w:cstheme="minorEastAsia"/>
                <w:color w:val="000000" w:themeColor="text1"/>
                <w:sz w:val="21"/>
                <w:szCs w:val="21"/>
                <w14:textFill>
                  <w14:solidFill>
                    <w14:schemeClr w14:val="tx1"/>
                  </w14:solidFill>
                </w14:textFill>
              </w:rPr>
            </w:pPr>
            <w:r>
              <w:rPr>
                <w:rStyle w:val="32"/>
                <w:rFonts w:hint="eastAsia" w:asciiTheme="minorEastAsia" w:hAnsiTheme="minorEastAsia" w:eastAsiaTheme="minorEastAsia" w:cstheme="minorEastAsia"/>
                <w:color w:val="000000" w:themeColor="text1"/>
                <w:sz w:val="21"/>
                <w:szCs w:val="21"/>
                <w14:textFill>
                  <w14:solidFill>
                    <w14:schemeClr w14:val="tx1"/>
                  </w14:solidFill>
                </w14:textFill>
              </w:rPr>
              <w:t>通过S3对象锁定功能，锁定对象存储库，确保备份数据对勒索软件免疫。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66" w:type="pct"/>
            <w:vMerge w:val="restar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License许可</w:t>
            </w:r>
          </w:p>
        </w:tc>
        <w:tc>
          <w:tcPr>
            <w:tcW w:w="681" w:type="pc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授权许可</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sz w:val="21"/>
                <w:szCs w:val="21"/>
              </w:rPr>
              <w:t>配置支持至少20个物理机或虚拟机订阅授权许可，</w:t>
            </w:r>
            <w:r>
              <w:rPr>
                <w:rFonts w:hint="eastAsia" w:asciiTheme="minorEastAsia" w:hAnsiTheme="minorEastAsia" w:eastAsiaTheme="minorEastAsia" w:cstheme="minorEastAsia"/>
                <w:color w:val="000000" w:themeColor="text1"/>
                <w:sz w:val="21"/>
                <w:szCs w:val="21"/>
                <w14:textFill>
                  <w14:solidFill>
                    <w14:schemeClr w14:val="tx1"/>
                  </w14:solidFill>
                </w14:textFill>
              </w:rPr>
              <w:t>全功能授权许可（包含Oracle、SQL server、Exchange、AD等应用备份功能），不限制本地、异地、云端备份介质使用空间。签订合同前提供原厂软件授权许可文件，且在原厂400/800电话可查询确认，授权用户单位：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玉环市人民医院健共体集团</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6" w:type="pct"/>
            <w:vMerge w:val="continue"/>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tcBorders>
              <w:tl2br w:val="nil"/>
              <w:tr2bl w:val="nil"/>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功能许可</w:t>
            </w:r>
          </w:p>
        </w:tc>
        <w:tc>
          <w:tcPr>
            <w:tcW w:w="3553" w:type="pct"/>
            <w:tcBorders>
              <w:tl2br w:val="nil"/>
              <w:tr2bl w:val="nil"/>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配置本地备份、异地备份、云备份、磁带备份、永久增量备份、压缩、重复数据删除、即时虚拟机恢复、虚拟实验室、自动恢复验证、VMwareCDP保护等功能。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jc w:val="center"/>
        </w:trPr>
        <w:tc>
          <w:tcPr>
            <w:tcW w:w="76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81" w:type="pct"/>
            <w:tcBorders>
              <w:top w:val="single" w:color="auto" w:sz="4" w:space="0"/>
              <w:left w:val="sing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技术支持</w:t>
            </w:r>
          </w:p>
        </w:tc>
        <w:tc>
          <w:tcPr>
            <w:tcW w:w="3553" w:type="pct"/>
            <w:tcBorders>
              <w:top w:val="single" w:color="auto" w:sz="4" w:space="0"/>
              <w:left w:val="single" w:color="auto" w:sz="6" w:space="0"/>
              <w:bottom w:val="single" w:color="auto" w:sz="6" w:space="0"/>
              <w:right w:val="single" w:color="auto" w:sz="4" w:space="0"/>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为采购人实施提供咨询、规划、配置、实施服务，确保实施达到项目要求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6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681" w:type="pct"/>
            <w:tcBorders>
              <w:top w:val="single" w:color="auto" w:sz="6" w:space="0"/>
              <w:left w:val="single" w:color="auto" w:sz="4"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保修</w:t>
            </w:r>
          </w:p>
        </w:tc>
        <w:tc>
          <w:tcPr>
            <w:tcW w:w="3553" w:type="pct"/>
            <w:tcBorders>
              <w:top w:val="single" w:color="auto" w:sz="6" w:space="0"/>
              <w:left w:val="single" w:color="auto" w:sz="6" w:space="0"/>
              <w:bottom w:val="single" w:color="auto" w:sz="6" w:space="0"/>
              <w:right w:val="single" w:color="auto" w:sz="4" w:space="0"/>
            </w:tcBorders>
            <w:vAlign w:val="center"/>
          </w:tcPr>
          <w:p>
            <w:pP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中标公示后7天内</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提供原厂商针对本项目授权和服务承诺函，提供1年7X24技术支持。</w:t>
            </w:r>
          </w:p>
        </w:tc>
      </w:tr>
    </w:tbl>
    <w:p>
      <w:pPr>
        <w:numPr>
          <w:ilvl w:val="0"/>
          <w:numId w:val="3"/>
        </w:numPr>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商务要求</w:t>
      </w:r>
    </w:p>
    <w:p>
      <w:pPr>
        <w:numPr>
          <w:ilvl w:val="-1"/>
          <w:numId w:val="0"/>
        </w:numPr>
      </w:pPr>
      <w:r>
        <w:rPr>
          <w:rFonts w:hint="eastAsia"/>
        </w:rPr>
        <w:t>▲考虑到本项目是医院信息化建设的关键基础设施，需要7*24稳定运行，故要求中标人必须派驻一名驻场工程师在现场协助工作，具体要求如下：</w:t>
      </w:r>
    </w:p>
    <w:tbl>
      <w:tblPr>
        <w:tblStyle w:val="26"/>
        <w:tblW w:w="5073" w:type="pct"/>
        <w:tblInd w:w="108" w:type="dxa"/>
        <w:tblLayout w:type="autofit"/>
        <w:tblCellMar>
          <w:top w:w="0" w:type="dxa"/>
          <w:left w:w="108" w:type="dxa"/>
          <w:bottom w:w="0" w:type="dxa"/>
          <w:right w:w="108" w:type="dxa"/>
        </w:tblCellMar>
      </w:tblPr>
      <w:tblGrid>
        <w:gridCol w:w="1487"/>
        <w:gridCol w:w="7159"/>
      </w:tblGrid>
      <w:tr>
        <w:tblPrEx>
          <w:tblCellMar>
            <w:top w:w="0" w:type="dxa"/>
            <w:left w:w="108" w:type="dxa"/>
            <w:bottom w:w="0" w:type="dxa"/>
            <w:right w:w="108" w:type="dxa"/>
          </w:tblCellMar>
        </w:tblPrEx>
        <w:trPr>
          <w:trHeight w:val="285" w:hRule="atLeast"/>
        </w:trPr>
        <w:tc>
          <w:tcPr>
            <w:tcW w:w="860" w:type="pct"/>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b/>
                <w:kern w:val="0"/>
                <w:szCs w:val="21"/>
              </w:rPr>
            </w:pPr>
            <w:r>
              <w:rPr>
                <w:rFonts w:hint="eastAsia" w:ascii="宋体" w:hAnsi="宋体" w:cs="宋体"/>
                <w:b/>
                <w:kern w:val="0"/>
                <w:szCs w:val="21"/>
              </w:rPr>
              <w:t>项目</w:t>
            </w:r>
          </w:p>
        </w:tc>
        <w:tc>
          <w:tcPr>
            <w:tcW w:w="4140" w:type="pct"/>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b/>
                <w:kern w:val="0"/>
                <w:szCs w:val="21"/>
              </w:rPr>
            </w:pPr>
            <w:r>
              <w:rPr>
                <w:rFonts w:hint="eastAsia" w:ascii="宋体" w:hAnsi="宋体" w:cs="宋体"/>
                <w:b/>
                <w:kern w:val="0"/>
                <w:szCs w:val="21"/>
              </w:rPr>
              <w:t>要求</w:t>
            </w:r>
          </w:p>
        </w:tc>
      </w:tr>
      <w:tr>
        <w:tblPrEx>
          <w:tblCellMar>
            <w:top w:w="0" w:type="dxa"/>
            <w:left w:w="108" w:type="dxa"/>
            <w:bottom w:w="0" w:type="dxa"/>
            <w:right w:w="108" w:type="dxa"/>
          </w:tblCellMar>
        </w:tblPrEx>
        <w:trPr>
          <w:trHeight w:val="510" w:hRule="atLeast"/>
        </w:trPr>
        <w:tc>
          <w:tcPr>
            <w:tcW w:w="860" w:type="pct"/>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Cs w:val="21"/>
              </w:rPr>
            </w:pPr>
            <w:r>
              <w:rPr>
                <w:rFonts w:hint="eastAsia" w:ascii="宋体" w:hAnsi="宋体" w:cs="宋体"/>
                <w:kern w:val="0"/>
                <w:szCs w:val="21"/>
              </w:rPr>
              <w:t>运维服务地点</w:t>
            </w:r>
          </w:p>
        </w:tc>
        <w:tc>
          <w:tcPr>
            <w:tcW w:w="4140" w:type="pct"/>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Cs w:val="21"/>
                <w:lang w:eastAsia="zh-CN"/>
              </w:rPr>
            </w:pPr>
            <w:r>
              <w:rPr>
                <w:rFonts w:hint="eastAsia" w:ascii="宋体" w:hAnsi="宋体" w:cs="宋体"/>
                <w:kern w:val="0"/>
                <w:szCs w:val="21"/>
                <w:lang w:eastAsia="zh-CN"/>
              </w:rPr>
              <w:t>玉环市人民医院健共体集团</w:t>
            </w:r>
          </w:p>
        </w:tc>
      </w:tr>
      <w:tr>
        <w:tblPrEx>
          <w:tblCellMar>
            <w:top w:w="0" w:type="dxa"/>
            <w:left w:w="108" w:type="dxa"/>
            <w:bottom w:w="0" w:type="dxa"/>
            <w:right w:w="108" w:type="dxa"/>
          </w:tblCellMar>
        </w:tblPrEx>
        <w:trPr>
          <w:trHeight w:val="765" w:hRule="atLeast"/>
        </w:trPr>
        <w:tc>
          <w:tcPr>
            <w:tcW w:w="860" w:type="pct"/>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Cs w:val="21"/>
              </w:rPr>
            </w:pPr>
            <w:r>
              <w:rPr>
                <w:rFonts w:hint="eastAsia" w:ascii="宋体" w:hAnsi="宋体" w:cs="宋体"/>
                <w:kern w:val="0"/>
                <w:szCs w:val="21"/>
              </w:rPr>
              <w:t>运维服务内容</w:t>
            </w:r>
          </w:p>
        </w:tc>
        <w:tc>
          <w:tcPr>
            <w:tcW w:w="4140" w:type="pct"/>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Cs w:val="21"/>
              </w:rPr>
            </w:pPr>
            <w:r>
              <w:rPr>
                <w:rFonts w:hint="eastAsia" w:ascii="宋体" w:hAnsi="宋体" w:cs="宋体"/>
                <w:kern w:val="0"/>
                <w:szCs w:val="21"/>
              </w:rPr>
              <w:t>针对指定院区的信息中心运维服务。</w:t>
            </w:r>
            <w:r>
              <w:rPr>
                <w:rFonts w:ascii="宋体" w:hAnsi="宋体" w:cs="宋体"/>
                <w:kern w:val="0"/>
                <w:szCs w:val="21"/>
              </w:rPr>
              <w:t>负责网络</w:t>
            </w:r>
            <w:r>
              <w:rPr>
                <w:rFonts w:hint="eastAsia" w:ascii="宋体" w:hAnsi="宋体" w:cs="宋体"/>
                <w:kern w:val="0"/>
                <w:szCs w:val="21"/>
              </w:rPr>
              <w:t>及主机存储</w:t>
            </w:r>
            <w:r>
              <w:rPr>
                <w:rFonts w:ascii="宋体" w:hAnsi="宋体" w:cs="宋体"/>
                <w:kern w:val="0"/>
                <w:szCs w:val="21"/>
              </w:rPr>
              <w:t>设备的升级、改造和安装调试</w:t>
            </w:r>
            <w:r>
              <w:rPr>
                <w:rFonts w:hint="eastAsia" w:ascii="宋体" w:hAnsi="宋体" w:cs="宋体"/>
                <w:kern w:val="0"/>
                <w:szCs w:val="21"/>
              </w:rPr>
              <w:t>及运维</w:t>
            </w:r>
            <w:r>
              <w:rPr>
                <w:rFonts w:ascii="宋体" w:hAnsi="宋体" w:cs="宋体"/>
                <w:kern w:val="0"/>
                <w:szCs w:val="21"/>
              </w:rPr>
              <w:t>等</w:t>
            </w:r>
            <w:r>
              <w:rPr>
                <w:rFonts w:hint="eastAsia" w:ascii="宋体" w:hAnsi="宋体" w:cs="宋体"/>
                <w:kern w:val="0"/>
                <w:szCs w:val="21"/>
              </w:rPr>
              <w:t>相关</w:t>
            </w:r>
            <w:r>
              <w:rPr>
                <w:rFonts w:ascii="宋体" w:hAnsi="宋体" w:cs="宋体"/>
                <w:kern w:val="0"/>
                <w:szCs w:val="21"/>
              </w:rPr>
              <w:t>工作</w:t>
            </w:r>
            <w:r>
              <w:rPr>
                <w:rFonts w:hint="eastAsia" w:ascii="宋体" w:hAnsi="宋体" w:cs="宋体"/>
                <w:kern w:val="0"/>
                <w:szCs w:val="21"/>
              </w:rPr>
              <w:t>；</w:t>
            </w:r>
          </w:p>
        </w:tc>
      </w:tr>
      <w:tr>
        <w:tblPrEx>
          <w:tblCellMar>
            <w:top w:w="0" w:type="dxa"/>
            <w:left w:w="108" w:type="dxa"/>
            <w:bottom w:w="0" w:type="dxa"/>
            <w:right w:w="108" w:type="dxa"/>
          </w:tblCellMar>
        </w:tblPrEx>
        <w:trPr>
          <w:trHeight w:val="570" w:hRule="atLeast"/>
        </w:trPr>
        <w:tc>
          <w:tcPr>
            <w:tcW w:w="860" w:type="pct"/>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Cs w:val="21"/>
              </w:rPr>
            </w:pPr>
            <w:r>
              <w:rPr>
                <w:rFonts w:hint="eastAsia" w:ascii="宋体" w:hAnsi="宋体" w:cs="宋体"/>
                <w:kern w:val="0"/>
                <w:szCs w:val="21"/>
              </w:rPr>
              <w:t>人员要求</w:t>
            </w:r>
          </w:p>
        </w:tc>
        <w:tc>
          <w:tcPr>
            <w:tcW w:w="4140" w:type="pct"/>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Cs w:val="21"/>
              </w:rPr>
            </w:pPr>
            <w:r>
              <w:rPr>
                <w:rFonts w:hint="eastAsia" w:ascii="宋体" w:hAnsi="宋体" w:cs="宋体"/>
                <w:kern w:val="0"/>
                <w:szCs w:val="21"/>
              </w:rPr>
              <w:t>提供至少</w:t>
            </w:r>
            <w:r>
              <w:rPr>
                <w:rFonts w:ascii="宋体" w:hAnsi="宋体" w:cs="宋体"/>
                <w:kern w:val="0"/>
                <w:szCs w:val="21"/>
              </w:rPr>
              <w:t>1</w:t>
            </w:r>
            <w:r>
              <w:rPr>
                <w:rFonts w:hint="eastAsia" w:ascii="宋体" w:hAnsi="宋体" w:cs="宋体"/>
                <w:kern w:val="0"/>
                <w:szCs w:val="21"/>
              </w:rPr>
              <w:t>名现场技术工程师人员。驻场工程师需具备</w:t>
            </w:r>
            <w:r>
              <w:rPr>
                <w:rFonts w:ascii="宋体" w:hAnsi="宋体" w:cs="宋体"/>
                <w:kern w:val="0"/>
                <w:szCs w:val="21"/>
              </w:rPr>
              <w:t>1年以上网络</w:t>
            </w:r>
            <w:r>
              <w:rPr>
                <w:rFonts w:hint="eastAsia" w:ascii="宋体" w:hAnsi="宋体" w:cs="宋体"/>
                <w:kern w:val="0"/>
                <w:szCs w:val="21"/>
              </w:rPr>
              <w:t>和数据中心</w:t>
            </w:r>
            <w:r>
              <w:rPr>
                <w:rFonts w:ascii="宋体" w:hAnsi="宋体" w:cs="宋体"/>
                <w:kern w:val="0"/>
                <w:szCs w:val="21"/>
              </w:rPr>
              <w:t>的规划设计和运营维护的经验</w:t>
            </w:r>
            <w:r>
              <w:rPr>
                <w:rFonts w:hint="eastAsia" w:ascii="宋体" w:hAnsi="宋体" w:cs="宋体"/>
                <w:kern w:val="0"/>
                <w:szCs w:val="21"/>
              </w:rPr>
              <w:t>，拥有</w:t>
            </w:r>
            <w:r>
              <w:fldChar w:fldCharType="begin"/>
            </w:r>
            <w:r>
              <w:instrText xml:space="preserve"> HYPERLINK "https://www.baidu.com/s?wd=H3CSE&amp;tn=SE_PcZhidaonwhc_ngpagmjz&amp;rsv_dl=gh_pc_zhidao" \t "_blank" </w:instrText>
            </w:r>
            <w:r>
              <w:fldChar w:fldCharType="separate"/>
            </w:r>
            <w:r>
              <w:rPr>
                <w:rFonts w:hint="eastAsia" w:ascii="宋体" w:hAnsi="宋体" w:cs="宋体"/>
                <w:kern w:val="0"/>
                <w:szCs w:val="21"/>
              </w:rPr>
              <w:t>H3CSE</w:t>
            </w:r>
            <w:r>
              <w:rPr>
                <w:rFonts w:hint="eastAsia" w:ascii="宋体" w:hAnsi="宋体" w:cs="宋体"/>
                <w:kern w:val="0"/>
                <w:szCs w:val="21"/>
              </w:rPr>
              <w:fldChar w:fldCharType="end"/>
            </w:r>
            <w:r>
              <w:rPr>
                <w:rFonts w:hint="eastAsia" w:ascii="宋体" w:hAnsi="宋体" w:cs="宋体"/>
                <w:kern w:val="0"/>
                <w:szCs w:val="21"/>
              </w:rPr>
              <w:t>同等级别以上</w:t>
            </w:r>
            <w:r>
              <w:rPr>
                <w:rFonts w:ascii="宋体" w:hAnsi="宋体" w:cs="宋体"/>
                <w:kern w:val="0"/>
                <w:szCs w:val="21"/>
              </w:rPr>
              <w:t>网络证书； 熟悉主流网络设备的操作命令</w:t>
            </w:r>
            <w:r>
              <w:rPr>
                <w:rFonts w:hint="eastAsia" w:ascii="宋体" w:hAnsi="宋体" w:cs="宋体"/>
                <w:kern w:val="0"/>
                <w:szCs w:val="21"/>
              </w:rPr>
              <w:t>，</w:t>
            </w:r>
            <w:r>
              <w:rPr>
                <w:rFonts w:ascii="宋体" w:hAnsi="宋体" w:cs="宋体"/>
                <w:kern w:val="0"/>
                <w:szCs w:val="21"/>
              </w:rPr>
              <w:t xml:space="preserve"> 掌握各种网络设备（如H3C、思科、Juniper）</w:t>
            </w:r>
            <w:r>
              <w:rPr>
                <w:rFonts w:hint="eastAsia" w:ascii="宋体" w:hAnsi="宋体" w:cs="宋体"/>
                <w:kern w:val="0"/>
                <w:szCs w:val="21"/>
              </w:rPr>
              <w:t>和数据中心设备（如联想、DELL、HPE、HDS）</w:t>
            </w:r>
            <w:r>
              <w:rPr>
                <w:rFonts w:ascii="宋体" w:hAnsi="宋体" w:cs="宋体"/>
                <w:kern w:val="0"/>
                <w:szCs w:val="21"/>
              </w:rPr>
              <w:t>的应用，掌握设备的安装配置原理；具备定位分析和解决有关</w:t>
            </w:r>
            <w:r>
              <w:rPr>
                <w:rFonts w:hint="eastAsia" w:ascii="宋体" w:hAnsi="宋体" w:cs="宋体"/>
                <w:kern w:val="0"/>
                <w:szCs w:val="21"/>
              </w:rPr>
              <w:t>设备</w:t>
            </w:r>
            <w:r>
              <w:rPr>
                <w:rFonts w:ascii="宋体" w:hAnsi="宋体" w:cs="宋体"/>
                <w:kern w:val="0"/>
                <w:szCs w:val="21"/>
              </w:rPr>
              <w:t>故障的能力</w:t>
            </w:r>
            <w:r>
              <w:rPr>
                <w:rFonts w:hint="eastAsia" w:ascii="宋体" w:hAnsi="宋体" w:cs="宋体"/>
                <w:kern w:val="0"/>
                <w:szCs w:val="21"/>
              </w:rPr>
              <w:t>；</w:t>
            </w:r>
            <w:r>
              <w:rPr>
                <w:rFonts w:ascii="宋体" w:hAnsi="宋体" w:cs="宋体"/>
                <w:kern w:val="0"/>
                <w:szCs w:val="21"/>
              </w:rPr>
              <w:t>具有较强的日志分析能力、责任心，处理问题主动积极，具有良好的客户沟通能力、文档撰写能力、协同工作能力及团队合作精神</w:t>
            </w:r>
            <w:r>
              <w:rPr>
                <w:rFonts w:hint="eastAsia" w:ascii="宋体" w:hAnsi="宋体" w:cs="宋体"/>
                <w:kern w:val="0"/>
                <w:szCs w:val="21"/>
              </w:rPr>
              <w:t xml:space="preserve">。 </w:t>
            </w:r>
          </w:p>
        </w:tc>
      </w:tr>
      <w:tr>
        <w:tblPrEx>
          <w:tblCellMar>
            <w:top w:w="0" w:type="dxa"/>
            <w:left w:w="108" w:type="dxa"/>
            <w:bottom w:w="0" w:type="dxa"/>
            <w:right w:w="108" w:type="dxa"/>
          </w:tblCellMar>
        </w:tblPrEx>
        <w:trPr>
          <w:trHeight w:val="510" w:hRule="atLeast"/>
        </w:trPr>
        <w:tc>
          <w:tcPr>
            <w:tcW w:w="860" w:type="pct"/>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Cs w:val="21"/>
              </w:rPr>
            </w:pPr>
            <w:r>
              <w:rPr>
                <w:rFonts w:hint="eastAsia" w:ascii="宋体" w:hAnsi="宋体" w:cs="宋体"/>
                <w:kern w:val="0"/>
                <w:szCs w:val="21"/>
              </w:rPr>
              <w:t>运维服务期限</w:t>
            </w:r>
          </w:p>
        </w:tc>
        <w:tc>
          <w:tcPr>
            <w:tcW w:w="4140" w:type="pct"/>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Cs w:val="21"/>
              </w:rPr>
            </w:pPr>
            <w:r>
              <w:rPr>
                <w:rFonts w:hint="eastAsia" w:ascii="宋体" w:hAnsi="宋体" w:cs="宋体"/>
                <w:kern w:val="0"/>
                <w:szCs w:val="21"/>
              </w:rPr>
              <w:t>合同签订后</w:t>
            </w:r>
            <w:r>
              <w:rPr>
                <w:rFonts w:ascii="宋体" w:hAnsi="宋体" w:cs="宋体"/>
                <w:kern w:val="0"/>
                <w:szCs w:val="21"/>
              </w:rPr>
              <w:t>3</w:t>
            </w:r>
            <w:r>
              <w:rPr>
                <w:rFonts w:hint="eastAsia" w:ascii="宋体" w:hAnsi="宋体" w:cs="宋体"/>
                <w:kern w:val="0"/>
                <w:szCs w:val="21"/>
              </w:rPr>
              <w:t>年。</w:t>
            </w:r>
          </w:p>
        </w:tc>
      </w:tr>
      <w:tr>
        <w:tblPrEx>
          <w:tblCellMar>
            <w:top w:w="0" w:type="dxa"/>
            <w:left w:w="108" w:type="dxa"/>
            <w:bottom w:w="0" w:type="dxa"/>
            <w:right w:w="108" w:type="dxa"/>
          </w:tblCellMar>
        </w:tblPrEx>
        <w:trPr>
          <w:trHeight w:val="510" w:hRule="atLeast"/>
        </w:trPr>
        <w:tc>
          <w:tcPr>
            <w:tcW w:w="860" w:type="pct"/>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交货期</w:t>
            </w:r>
          </w:p>
        </w:tc>
        <w:tc>
          <w:tcPr>
            <w:tcW w:w="4140" w:type="pct"/>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接到采购人书面通知后一个月内交货并完成验收。</w:t>
            </w:r>
          </w:p>
        </w:tc>
      </w:tr>
      <w:tr>
        <w:tblPrEx>
          <w:tblCellMar>
            <w:top w:w="0" w:type="dxa"/>
            <w:left w:w="108" w:type="dxa"/>
            <w:bottom w:w="0" w:type="dxa"/>
            <w:right w:w="108" w:type="dxa"/>
          </w:tblCellMar>
        </w:tblPrEx>
        <w:trPr>
          <w:trHeight w:val="1754" w:hRule="atLeast"/>
        </w:trPr>
        <w:tc>
          <w:tcPr>
            <w:tcW w:w="860" w:type="pct"/>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验收要求</w:t>
            </w:r>
          </w:p>
        </w:tc>
        <w:tc>
          <w:tcPr>
            <w:tcW w:w="4140" w:type="pct"/>
            <w:tcBorders>
              <w:top w:val="single" w:color="auto" w:sz="4" w:space="0"/>
              <w:left w:val="single" w:color="auto" w:sz="4" w:space="0"/>
              <w:bottom w:val="single" w:color="auto" w:sz="4" w:space="0"/>
              <w:right w:val="single" w:color="auto" w:sz="4" w:space="0"/>
            </w:tcBorders>
            <w:vAlign w:val="top"/>
          </w:tcPr>
          <w:p>
            <w:pPr>
              <w:widowControl/>
              <w:autoSpaceDE/>
              <w:autoSpaceDN/>
              <w:adjustRightInd/>
              <w:snapToGrid/>
              <w:spacing w:line="240" w:lineRule="auto"/>
              <w:ind w:firstLine="0" w:firstLineChars="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按照</w:t>
            </w:r>
            <w:r>
              <w:rPr>
                <w:rFonts w:hint="eastAsia" w:ascii="宋体" w:hAnsi="宋体" w:cs="宋体"/>
                <w:kern w:val="0"/>
                <w:sz w:val="21"/>
                <w:szCs w:val="21"/>
                <w:lang w:val="en-US" w:eastAsia="zh-CN"/>
              </w:rPr>
              <w:t>招标</w:t>
            </w:r>
            <w:r>
              <w:rPr>
                <w:rFonts w:hint="eastAsia" w:ascii="宋体" w:hAnsi="宋体" w:eastAsia="宋体" w:cs="宋体"/>
                <w:kern w:val="0"/>
                <w:sz w:val="21"/>
                <w:szCs w:val="21"/>
                <w:lang w:val="en-US" w:eastAsia="zh-CN"/>
              </w:rPr>
              <w:t>文件</w:t>
            </w:r>
            <w:r>
              <w:rPr>
                <w:rFonts w:hint="eastAsia" w:ascii="宋体" w:hAnsi="宋体" w:cs="宋体"/>
                <w:color w:val="auto"/>
                <w:kern w:val="0"/>
                <w:sz w:val="21"/>
                <w:szCs w:val="21"/>
              </w:rPr>
              <w:t>要求对全部设备的型号、规格、数量、外型、包装及资料（如保修单、随箱介质）的验收。</w:t>
            </w:r>
          </w:p>
          <w:p>
            <w:pPr>
              <w:widowControl/>
              <w:autoSpaceDE/>
              <w:autoSpaceDN/>
              <w:adjustRightInd/>
              <w:snapToGrid/>
              <w:spacing w:line="240" w:lineRule="auto"/>
              <w:ind w:firstLine="0" w:firstLineChars="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测试中出现性能指标或功能上不符合</w:t>
            </w:r>
            <w:r>
              <w:rPr>
                <w:rFonts w:hint="eastAsia" w:ascii="宋体" w:hAnsi="宋体" w:eastAsia="宋体" w:cs="宋体"/>
                <w:kern w:val="0"/>
                <w:sz w:val="21"/>
                <w:szCs w:val="21"/>
                <w:lang w:val="en-US" w:eastAsia="zh-CN"/>
              </w:rPr>
              <w:t>采购文件</w:t>
            </w:r>
            <w:r>
              <w:rPr>
                <w:rFonts w:hint="eastAsia" w:ascii="宋体" w:hAnsi="宋体" w:cs="宋体"/>
                <w:color w:val="auto"/>
                <w:kern w:val="0"/>
                <w:sz w:val="21"/>
                <w:szCs w:val="21"/>
              </w:rPr>
              <w:t>和合同时，</w:t>
            </w:r>
            <w:r>
              <w:rPr>
                <w:rFonts w:hint="eastAsia" w:ascii="宋体" w:hAnsi="宋体" w:cs="宋体"/>
                <w:color w:val="auto"/>
                <w:kern w:val="0"/>
                <w:sz w:val="21"/>
                <w:szCs w:val="21"/>
                <w:lang w:val="en-US" w:eastAsia="zh-CN"/>
              </w:rPr>
              <w:t>采购人</w:t>
            </w:r>
            <w:r>
              <w:rPr>
                <w:rFonts w:hint="eastAsia" w:ascii="宋体" w:hAnsi="宋体" w:cs="宋体"/>
                <w:color w:val="auto"/>
                <w:kern w:val="0"/>
                <w:sz w:val="21"/>
                <w:szCs w:val="21"/>
              </w:rPr>
              <w:t>有拒收的权利。</w:t>
            </w:r>
          </w:p>
          <w:p>
            <w:pPr>
              <w:widowControl/>
              <w:jc w:val="left"/>
              <w:rPr>
                <w:rFonts w:hint="eastAsia" w:ascii="宋体" w:hAnsi="宋体" w:cs="宋体"/>
                <w:kern w:val="0"/>
                <w:szCs w:val="21"/>
              </w:rPr>
            </w:pPr>
            <w:r>
              <w:rPr>
                <w:rFonts w:hint="eastAsia" w:ascii="宋体" w:hAnsi="宋体" w:cs="宋体"/>
                <w:color w:val="auto"/>
                <w:kern w:val="0"/>
                <w:sz w:val="21"/>
                <w:szCs w:val="21"/>
              </w:rPr>
              <w:t>如果出现不符合</w:t>
            </w:r>
            <w:r>
              <w:rPr>
                <w:rFonts w:hint="eastAsia" w:ascii="宋体" w:hAnsi="宋体" w:cs="宋体"/>
                <w:kern w:val="0"/>
                <w:sz w:val="21"/>
                <w:szCs w:val="21"/>
                <w:lang w:val="en-US" w:eastAsia="zh-CN"/>
              </w:rPr>
              <w:t>招标</w:t>
            </w:r>
            <w:r>
              <w:rPr>
                <w:rFonts w:hint="eastAsia" w:ascii="宋体" w:hAnsi="宋体" w:eastAsia="宋体" w:cs="宋体"/>
                <w:kern w:val="0"/>
                <w:sz w:val="21"/>
                <w:szCs w:val="21"/>
                <w:lang w:val="en-US" w:eastAsia="zh-CN"/>
              </w:rPr>
              <w:t>文件</w:t>
            </w:r>
            <w:r>
              <w:rPr>
                <w:rFonts w:hint="eastAsia" w:ascii="宋体" w:hAnsi="宋体" w:cs="宋体"/>
                <w:color w:val="auto"/>
                <w:kern w:val="0"/>
                <w:sz w:val="21"/>
                <w:szCs w:val="21"/>
              </w:rPr>
              <w:t>和合同要求的严重质量问题时，</w:t>
            </w:r>
            <w:r>
              <w:rPr>
                <w:rFonts w:hint="eastAsia" w:ascii="宋体" w:hAnsi="宋体" w:cs="宋体"/>
                <w:color w:val="auto"/>
                <w:kern w:val="0"/>
                <w:sz w:val="21"/>
                <w:szCs w:val="21"/>
                <w:lang w:val="en-US" w:eastAsia="zh-CN"/>
              </w:rPr>
              <w:t>采购人</w:t>
            </w:r>
            <w:r>
              <w:rPr>
                <w:rFonts w:hint="eastAsia" w:ascii="宋体" w:hAnsi="宋体" w:cs="宋体"/>
                <w:color w:val="auto"/>
                <w:kern w:val="0"/>
                <w:sz w:val="21"/>
                <w:szCs w:val="21"/>
              </w:rPr>
              <w:t>保留索赔权利。</w:t>
            </w:r>
          </w:p>
        </w:tc>
      </w:tr>
      <w:tr>
        <w:tblPrEx>
          <w:tblCellMar>
            <w:top w:w="0" w:type="dxa"/>
            <w:left w:w="108" w:type="dxa"/>
            <w:bottom w:w="0" w:type="dxa"/>
            <w:right w:w="108" w:type="dxa"/>
          </w:tblCellMar>
        </w:tblPrEx>
        <w:trPr>
          <w:trHeight w:val="510" w:hRule="atLeast"/>
        </w:trPr>
        <w:tc>
          <w:tcPr>
            <w:tcW w:w="860" w:type="pct"/>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付款方式</w:t>
            </w:r>
          </w:p>
        </w:tc>
        <w:tc>
          <w:tcPr>
            <w:tcW w:w="4140" w:type="pct"/>
            <w:tcBorders>
              <w:top w:val="single" w:color="auto" w:sz="4" w:space="0"/>
              <w:left w:val="single" w:color="auto" w:sz="4" w:space="0"/>
              <w:bottom w:val="single" w:color="auto" w:sz="4" w:space="0"/>
              <w:right w:val="single" w:color="auto" w:sz="4" w:space="0"/>
            </w:tcBorders>
            <w:vAlign w:val="top"/>
          </w:tcPr>
          <w:p>
            <w:pPr>
              <w:widowControl w:val="0"/>
              <w:spacing w:line="400" w:lineRule="exact"/>
              <w:jc w:val="left"/>
              <w:rPr>
                <w:rFonts w:hint="eastAsia" w:ascii="宋体" w:hAnsi="宋体" w:cs="宋体"/>
                <w:kern w:val="0"/>
                <w:szCs w:val="21"/>
              </w:rPr>
            </w:pPr>
            <w:r>
              <w:rPr>
                <w:rFonts w:hint="default" w:ascii="宋体" w:hAnsi="宋体" w:eastAsia="宋体" w:cs="宋体"/>
                <w:color w:val="auto"/>
                <w:kern w:val="2"/>
                <w:sz w:val="21"/>
                <w:szCs w:val="21"/>
                <w:lang w:val="en-US" w:eastAsia="zh-CN"/>
              </w:rPr>
              <w:t>签订合同后7个工作日内支付合同价的40%；项目完成交付并通过验收合格提交书面申请后3个月内支付合同价的60%。前述所有款项在采购人收到成交供应商开具的正式发票后支付。</w:t>
            </w:r>
          </w:p>
        </w:tc>
      </w:tr>
    </w:tbl>
    <w:p>
      <w:pPr>
        <w:widowControl/>
        <w:jc w:val="left"/>
      </w:pPr>
      <w:r>
        <w:br w:type="page"/>
      </w:r>
    </w:p>
    <w:p>
      <w:pPr>
        <w:spacing w:line="360" w:lineRule="auto"/>
        <w:jc w:val="center"/>
        <w:rPr>
          <w:rFonts w:eastAsiaTheme="minorEastAsia"/>
          <w:b/>
          <w:sz w:val="32"/>
          <w:szCs w:val="32"/>
        </w:rPr>
      </w:pPr>
      <w:r>
        <w:rPr>
          <w:rFonts w:eastAsiaTheme="minorEastAsia"/>
          <w:b/>
          <w:sz w:val="32"/>
          <w:szCs w:val="32"/>
        </w:rPr>
        <w:t>第五章 政府采购合同主要条款指引</w:t>
      </w:r>
    </w:p>
    <w:p>
      <w:pPr>
        <w:pStyle w:val="14"/>
        <w:snapToGrid w:val="0"/>
        <w:spacing w:line="400" w:lineRule="exact"/>
        <w:ind w:firstLine="420" w:firstLineChars="200"/>
        <w:rPr>
          <w:rFonts w:ascii="Times New Roman" w:hAnsi="Times New Roman" w:cs="Times New Roman"/>
          <w:szCs w:val="21"/>
        </w:rPr>
      </w:pPr>
    </w:p>
    <w:p>
      <w:pPr>
        <w:pStyle w:val="14"/>
        <w:snapToGrid w:val="0"/>
        <w:spacing w:line="350" w:lineRule="exact"/>
        <w:ind w:firstLine="420" w:firstLineChars="200"/>
        <w:rPr>
          <w:rFonts w:ascii="Times New Roman" w:hAnsi="Times New Roman" w:cs="Times New Roman"/>
          <w:szCs w:val="21"/>
        </w:rPr>
      </w:pPr>
      <w:r>
        <w:rPr>
          <w:rFonts w:ascii="Times New Roman" w:hAnsi="Times New Roman" w:cs="Times New Roman"/>
          <w:szCs w:val="21"/>
        </w:rPr>
        <w:t>以下为中标后签定本项目合同的通用条款，中标人不得提出实质性的修改，关于专用条款将由采购人与中标人结合本项目具体情况协商后签订。</w:t>
      </w:r>
    </w:p>
    <w:p>
      <w:pPr>
        <w:pStyle w:val="14"/>
        <w:snapToGrid w:val="0"/>
        <w:spacing w:line="350" w:lineRule="exact"/>
        <w:rPr>
          <w:rFonts w:ascii="Times New Roman" w:hAnsi="Times New Roman" w:cs="Times New Roman"/>
          <w:szCs w:val="21"/>
        </w:rPr>
      </w:pPr>
    </w:p>
    <w:p>
      <w:pPr>
        <w:tabs>
          <w:tab w:val="left" w:pos="8280"/>
        </w:tabs>
        <w:autoSpaceDE w:val="0"/>
        <w:autoSpaceDN w:val="0"/>
        <w:adjustRightInd w:val="0"/>
        <w:spacing w:line="350" w:lineRule="exact"/>
        <w:ind w:right="23"/>
        <w:rPr>
          <w:rFonts w:hint="eastAsia" w:eastAsia="宋体"/>
          <w:szCs w:val="21"/>
          <w:lang w:eastAsia="zh-CN"/>
        </w:rPr>
      </w:pPr>
      <w:r>
        <w:rPr>
          <w:szCs w:val="21"/>
        </w:rPr>
        <w:t>项目名称：</w:t>
      </w:r>
      <w:r>
        <w:rPr>
          <w:rFonts w:hint="eastAsia"/>
          <w:szCs w:val="21"/>
          <w:lang w:eastAsia="zh-CN"/>
        </w:rPr>
        <w:t>玉环市人民医院健共体集团数据中心设备采购</w:t>
      </w:r>
      <w:r>
        <w:rPr>
          <w:szCs w:val="21"/>
        </w:rPr>
        <w:t xml:space="preserve"> </w:t>
      </w:r>
      <w:r>
        <w:rPr>
          <w:rFonts w:hint="eastAsia"/>
          <w:szCs w:val="21"/>
        </w:rPr>
        <w:t xml:space="preserve"> </w:t>
      </w:r>
      <w:r>
        <w:rPr>
          <w:szCs w:val="21"/>
        </w:rPr>
        <w:t xml:space="preserve"> 项目编号：</w:t>
      </w:r>
      <w:r>
        <w:rPr>
          <w:rFonts w:hint="eastAsia"/>
          <w:szCs w:val="21"/>
          <w:lang w:eastAsia="zh-CN"/>
        </w:rPr>
        <w:t>DDZX2022-Y-GK-22-1</w:t>
      </w:r>
    </w:p>
    <w:p>
      <w:pPr>
        <w:pStyle w:val="14"/>
        <w:snapToGrid w:val="0"/>
        <w:spacing w:line="350" w:lineRule="exact"/>
        <w:rPr>
          <w:rFonts w:ascii="Times New Roman" w:hAnsi="Times New Roman" w:cs="Times New Roman"/>
          <w:szCs w:val="21"/>
        </w:rPr>
      </w:pPr>
      <w:r>
        <w:rPr>
          <w:rFonts w:ascii="Times New Roman" w:hAnsi="Times New Roman" w:cs="Times New Roman"/>
          <w:szCs w:val="21"/>
        </w:rPr>
        <w:t xml:space="preserve">甲方：                                          </w:t>
      </w:r>
      <w:r>
        <w:rPr>
          <w:rFonts w:hint="eastAsia" w:ascii="Times New Roman" w:hAnsi="Times New Roman" w:cs="Times New Roman"/>
          <w:szCs w:val="21"/>
        </w:rPr>
        <w:t xml:space="preserve"> </w:t>
      </w:r>
      <w:r>
        <w:rPr>
          <w:rFonts w:ascii="Times New Roman" w:hAnsi="Times New Roman" w:cs="Times New Roman"/>
          <w:szCs w:val="21"/>
        </w:rPr>
        <w:t xml:space="preserve">  所在地：</w:t>
      </w:r>
    </w:p>
    <w:p>
      <w:pPr>
        <w:pStyle w:val="14"/>
        <w:snapToGrid w:val="0"/>
        <w:spacing w:line="350" w:lineRule="exact"/>
        <w:rPr>
          <w:rFonts w:ascii="Times New Roman" w:hAnsi="Times New Roman" w:cs="Times New Roman"/>
          <w:szCs w:val="21"/>
        </w:rPr>
      </w:pPr>
      <w:r>
        <w:rPr>
          <w:rFonts w:ascii="Times New Roman" w:hAnsi="Times New Roman" w:cs="Times New Roman"/>
          <w:szCs w:val="21"/>
        </w:rPr>
        <w:t xml:space="preserve">乙方：（中标人）                               </w:t>
      </w:r>
      <w:r>
        <w:rPr>
          <w:rFonts w:hint="eastAsia" w:ascii="Times New Roman" w:hAnsi="Times New Roman" w:cs="Times New Roman"/>
          <w:szCs w:val="21"/>
        </w:rPr>
        <w:t xml:space="preserve"> </w:t>
      </w:r>
      <w:r>
        <w:rPr>
          <w:rFonts w:ascii="Times New Roman" w:hAnsi="Times New Roman" w:cs="Times New Roman"/>
          <w:szCs w:val="21"/>
        </w:rPr>
        <w:t xml:space="preserve">   所在地：</w:t>
      </w:r>
    </w:p>
    <w:p>
      <w:pPr>
        <w:pStyle w:val="14"/>
        <w:snapToGrid w:val="0"/>
        <w:spacing w:line="350" w:lineRule="exact"/>
        <w:ind w:firstLine="420" w:firstLineChars="200"/>
        <w:rPr>
          <w:rFonts w:ascii="Times New Roman" w:hAnsi="Times New Roman" w:cs="Times New Roman"/>
          <w:b/>
          <w:szCs w:val="21"/>
        </w:rPr>
      </w:pPr>
      <w:r>
        <w:rPr>
          <w:rFonts w:ascii="Times New Roman" w:hAnsi="Times New Roman" w:cs="Times New Roman"/>
          <w:szCs w:val="21"/>
        </w:rPr>
        <w:t>甲、乙双方根据大地工程咨询有限公司关于</w:t>
      </w:r>
      <w:r>
        <w:rPr>
          <w:rFonts w:hint="eastAsia" w:ascii="Times New Roman" w:hAnsi="Times New Roman" w:cs="Times New Roman"/>
          <w:szCs w:val="21"/>
          <w:lang w:eastAsia="zh-CN"/>
        </w:rPr>
        <w:t>玉环市人民医院健共体集团数据中心设备采购</w:t>
      </w:r>
      <w:r>
        <w:rPr>
          <w:rFonts w:ascii="Times New Roman" w:hAnsi="Times New Roman" w:cs="Times New Roman"/>
          <w:szCs w:val="21"/>
        </w:rPr>
        <w:t>公开招标的结果，签署本合同。</w:t>
      </w:r>
    </w:p>
    <w:p>
      <w:pPr>
        <w:pStyle w:val="14"/>
        <w:snapToGrid w:val="0"/>
        <w:spacing w:beforeLines="50" w:afterLines="50" w:line="350" w:lineRule="exact"/>
        <w:rPr>
          <w:rFonts w:ascii="Times New Roman" w:hAnsi="Times New Roman" w:cs="Times New Roman"/>
          <w:b/>
          <w:szCs w:val="21"/>
          <w:lang w:val="zh-CN"/>
        </w:rPr>
      </w:pPr>
      <w:r>
        <w:rPr>
          <w:rFonts w:ascii="Times New Roman" w:hAnsi="Times New Roman" w:cs="Times New Roman"/>
          <w:b/>
          <w:szCs w:val="21"/>
          <w:lang w:val="zh-CN"/>
        </w:rPr>
        <w:t xml:space="preserve">一、合同文件 </w:t>
      </w:r>
    </w:p>
    <w:p>
      <w:pPr>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1.合同条款。</w:t>
      </w:r>
    </w:p>
    <w:p>
      <w:pPr>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2.中标通知书。</w:t>
      </w:r>
    </w:p>
    <w:p>
      <w:pPr>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3.更正补充文件。</w:t>
      </w:r>
    </w:p>
    <w:p>
      <w:pPr>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4.招标文件。</w:t>
      </w:r>
    </w:p>
    <w:p>
      <w:pPr>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5.中标供应商投标文件。</w:t>
      </w:r>
    </w:p>
    <w:p>
      <w:pPr>
        <w:keepNext w:val="0"/>
        <w:keepLines w:val="0"/>
        <w:pageBreakBefore w:val="0"/>
        <w:widowControl w:val="0"/>
        <w:kinsoku/>
        <w:wordWrap/>
        <w:overflowPunct/>
        <w:topLinePunct w:val="0"/>
        <w:bidi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6.其他。</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上述所指合同文件应认为是互相补充和解释的，但是有模棱两可或互相矛盾之处，以其所列内容顺序为准。</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二、货物内容</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货物名称：</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型号规格：</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技术参数：</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数量（单位）：</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三、合同金额</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本合同金额为（大写）：___</w:t>
      </w:r>
      <w:r>
        <w:rPr>
          <w:rFonts w:hint="eastAsia" w:hAnsi="宋体" w:cs="宋体"/>
          <w:sz w:val="21"/>
          <w:szCs w:val="21"/>
          <w:lang w:val="en-US" w:eastAsia="zh-CN"/>
        </w:rPr>
        <w:t xml:space="preserve">  </w:t>
      </w:r>
      <w:r>
        <w:rPr>
          <w:rFonts w:hint="eastAsia" w:ascii="宋体" w:hAnsi="宋体" w:eastAsia="宋体" w:cs="宋体"/>
          <w:sz w:val="21"/>
          <w:szCs w:val="21"/>
        </w:rPr>
        <w:t>______元（￥_____</w:t>
      </w:r>
      <w:r>
        <w:rPr>
          <w:rFonts w:hint="eastAsia" w:hAnsi="宋体" w:cs="宋体"/>
          <w:sz w:val="21"/>
          <w:szCs w:val="21"/>
          <w:lang w:val="en-US" w:eastAsia="zh-CN"/>
        </w:rPr>
        <w:t xml:space="preserve">   </w:t>
      </w:r>
      <w:r>
        <w:rPr>
          <w:rFonts w:hint="eastAsia" w:ascii="宋体" w:hAnsi="宋体" w:eastAsia="宋体" w:cs="宋体"/>
          <w:sz w:val="21"/>
          <w:szCs w:val="21"/>
        </w:rPr>
        <w:t>____元）人民币。</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四、技术资料</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1.乙方应按招标文件规定的时间向甲方提供使用货物的有关技术资料。</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五、知识产权</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1.乙方应保证所提供的货物或其任何一部分均不会侵犯任何第三方的知识产权。</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2.若侵犯,由乙方赔偿甲方因此遭受的损失（包括但不限于应对及追偿过程中所支付的律师费、差旅费、诉讼费、保全费、鉴定费、评估费等）。</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sz w:val="21"/>
          <w:szCs w:val="21"/>
          <w:u w:val="single"/>
        </w:rPr>
      </w:pPr>
      <w:r>
        <w:rPr>
          <w:rFonts w:hint="eastAsia" w:ascii="宋体" w:hAnsi="宋体" w:eastAsia="宋体" w:cs="宋体"/>
          <w:b/>
          <w:sz w:val="21"/>
          <w:szCs w:val="21"/>
        </w:rPr>
        <w:t>六、产权担保</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乙方保证所交付的货物的所有权完全属于乙方且无任何抵押、查封等产权瑕疵。</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七、履约保证金</w:t>
      </w:r>
    </w:p>
    <w:p>
      <w:pPr>
        <w:keepNext w:val="0"/>
        <w:keepLines w:val="0"/>
        <w:pageBreakBefore w:val="0"/>
        <w:widowControl w:val="0"/>
        <w:tabs>
          <w:tab w:val="left" w:pos="1418"/>
        </w:tabs>
        <w:kinsoku/>
        <w:wordWrap/>
        <w:overflowPunct/>
        <w:topLinePunct w:val="0"/>
        <w:autoSpaceDE w:val="0"/>
        <w:autoSpaceDN w:val="0"/>
        <w:bidi w:val="0"/>
        <w:adjustRightInd w:val="0"/>
        <w:snapToGrid/>
        <w:spacing w:line="360" w:lineRule="exact"/>
        <w:ind w:left="0" w:leftChars="0" w:firstLine="420" w:firstLineChars="200"/>
        <w:textAlignment w:val="auto"/>
        <w:rPr>
          <w:rFonts w:hint="default" w:ascii="Times New Roman" w:hAnsi="Times New Roman" w:eastAsia="宋体" w:cs="Times New Roman"/>
          <w:sz w:val="21"/>
          <w:szCs w:val="21"/>
        </w:rPr>
      </w:pPr>
      <w:r>
        <w:rPr>
          <w:rFonts w:hint="eastAsia" w:ascii="宋体" w:hAnsi="宋体" w:eastAsia="宋体" w:cs="宋体"/>
          <w:sz w:val="21"/>
          <w:szCs w:val="21"/>
        </w:rPr>
        <w:t>本项目履约保证金为合同金额的</w:t>
      </w:r>
      <w:r>
        <w:rPr>
          <w:rFonts w:hint="eastAsia" w:ascii="宋体" w:hAnsi="宋体" w:eastAsia="宋体" w:cs="宋体"/>
          <w:sz w:val="21"/>
          <w:szCs w:val="21"/>
          <w:u w:val="single"/>
          <w:lang w:val="en-US" w:eastAsia="zh-CN"/>
        </w:rPr>
        <w:t xml:space="preserve">  1  </w:t>
      </w:r>
      <w:r>
        <w:rPr>
          <w:rFonts w:hint="eastAsia" w:ascii="宋体" w:hAnsi="宋体" w:eastAsia="宋体" w:cs="宋体"/>
          <w:sz w:val="21"/>
          <w:szCs w:val="21"/>
        </w:rPr>
        <w:t>%。</w:t>
      </w:r>
      <w:r>
        <w:rPr>
          <w:rFonts w:hint="default" w:ascii="Times New Roman" w:hAnsi="Times New Roman" w:eastAsia="宋体" w:cs="Times New Roman"/>
          <w:sz w:val="21"/>
          <w:szCs w:val="21"/>
          <w:lang w:val="zh-CN"/>
        </w:rPr>
        <w:t>（</w:t>
      </w:r>
      <w:r>
        <w:rPr>
          <w:rFonts w:hint="default" w:ascii="Times New Roman" w:hAnsi="Times New Roman" w:eastAsia="宋体" w:cs="Times New Roman"/>
          <w:color w:val="auto"/>
          <w:kern w:val="0"/>
          <w:sz w:val="21"/>
          <w:szCs w:val="21"/>
          <w:lang w:val="zh-CN"/>
        </w:rPr>
        <w:t>履约保证金交至采购人处，在</w:t>
      </w:r>
      <w:r>
        <w:rPr>
          <w:rFonts w:hint="default" w:ascii="Times New Roman" w:hAnsi="Times New Roman" w:eastAsia="宋体" w:cs="Times New Roman"/>
          <w:color w:val="auto"/>
          <w:kern w:val="0"/>
          <w:sz w:val="21"/>
          <w:szCs w:val="21"/>
          <w:lang w:val="en-US" w:eastAsia="zh-CN"/>
        </w:rPr>
        <w:t>服务期满</w:t>
      </w:r>
      <w:r>
        <w:rPr>
          <w:rFonts w:hint="default" w:ascii="Times New Roman" w:hAnsi="Times New Roman" w:eastAsia="宋体" w:cs="Times New Roman"/>
          <w:color w:val="auto"/>
          <w:kern w:val="0"/>
          <w:sz w:val="21"/>
          <w:szCs w:val="21"/>
          <w:lang w:val="zh-CN"/>
        </w:rPr>
        <w:t>后如无质量、服务投诉和索赔，该款无息返还</w:t>
      </w:r>
      <w:r>
        <w:rPr>
          <w:rFonts w:hint="default" w:ascii="Times New Roman" w:hAnsi="Times New Roman" w:eastAsia="宋体" w:cs="Times New Roman"/>
          <w:sz w:val="21"/>
          <w:szCs w:val="21"/>
          <w:lang w:val="zh-CN"/>
        </w:rPr>
        <w:t>）</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八、转包或分包</w:t>
      </w:r>
    </w:p>
    <w:p>
      <w:pPr>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1.本合同范围的货物，应由乙方直接供应，不得转让他人供应；</w:t>
      </w:r>
    </w:p>
    <w:p>
      <w:pPr>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2.除非得到甲方的书面同意，乙方不得将本合同范围的货物全部或部分分包给他人供应；</w:t>
      </w:r>
    </w:p>
    <w:p>
      <w:pPr>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3.如有转让和未经甲方同意的分包行为，甲方有权解除合同，没收履约保证金并追究乙方的违约责任。</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sz w:val="21"/>
          <w:szCs w:val="21"/>
        </w:rPr>
      </w:pPr>
      <w:r>
        <w:rPr>
          <w:rFonts w:hint="eastAsia" w:ascii="宋体" w:hAnsi="宋体" w:eastAsia="宋体" w:cs="宋体"/>
          <w:b/>
          <w:sz w:val="21"/>
          <w:szCs w:val="21"/>
        </w:rPr>
        <w:t>九、质保期</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质保期___年。（自交货验收合格之日起计）</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十、交货期、交货方式及交货地点</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sz w:val="21"/>
          <w:szCs w:val="21"/>
        </w:rPr>
        <w:t>1. 交货期：</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2. 交货方式：</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b/>
          <w:color w:val="000000"/>
          <w:sz w:val="21"/>
          <w:szCs w:val="21"/>
        </w:rPr>
      </w:pPr>
      <w:r>
        <w:rPr>
          <w:rFonts w:hint="eastAsia" w:ascii="宋体" w:hAnsi="宋体" w:eastAsia="宋体" w:cs="宋体"/>
          <w:bCs/>
          <w:color w:val="000000"/>
          <w:sz w:val="21"/>
          <w:szCs w:val="21"/>
        </w:rPr>
        <w:t>3. 交货地点：</w:t>
      </w:r>
      <w:r>
        <w:rPr>
          <w:rFonts w:hint="eastAsia" w:ascii="Times New Roman" w:hAnsi="Times New Roman" w:cs="Times New Roman"/>
          <w:color w:val="auto"/>
          <w:sz w:val="22"/>
          <w:szCs w:val="22"/>
          <w:lang w:val="en-US" w:eastAsia="zh-CN"/>
        </w:rPr>
        <w:t>采购人指定的现场地点，并负责卸货</w:t>
      </w:r>
      <w:r>
        <w:rPr>
          <w:rFonts w:hint="eastAsia" w:ascii="Times New Roman" w:hAnsi="Times New Roman" w:cs="Times New Roman"/>
          <w:color w:val="auto"/>
          <w:sz w:val="22"/>
          <w:szCs w:val="22"/>
        </w:rPr>
        <w:t>。</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十一、货款支付</w:t>
      </w:r>
    </w:p>
    <w:p>
      <w:pPr>
        <w:keepNext w:val="0"/>
        <w:keepLines w:val="0"/>
        <w:pageBreakBefore w:val="0"/>
        <w:widowControl w:val="0"/>
        <w:numPr>
          <w:ilvl w:val="0"/>
          <w:numId w:val="0"/>
        </w:numPr>
        <w:kinsoku/>
        <w:wordWrap/>
        <w:overflowPunct/>
        <w:topLinePunct w:val="0"/>
        <w:bidi w:val="0"/>
        <w:snapToGrid w:val="0"/>
        <w:spacing w:beforeLines="0" w:afterLines="0" w:line="36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1. 付款方式：</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签订合同后7个工作日内支付合同价的40%；项目完成交付并通过验收合格提交书面申请后3个月内支付合同价的60%。前述所有款项在采购人收到成交供应商开具的正式发票后支付。</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lang w:val="zh-CN"/>
        </w:rPr>
        <w:t>2.当采购数量与实际使用数量不一致时，由采购单位向同级财政部门申请并经批准后，可以由乙方根据实际使用量供货，合同的最终结算金额按实际使用量乘以成交单价进行计算。</w:t>
      </w:r>
    </w:p>
    <w:p>
      <w:pPr>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十二、税费</w:t>
      </w:r>
    </w:p>
    <w:p>
      <w:pPr>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本合同执行中相关的一切税费均由乙方负担。</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sz w:val="21"/>
          <w:szCs w:val="21"/>
        </w:rPr>
      </w:pPr>
      <w:r>
        <w:rPr>
          <w:rFonts w:hint="eastAsia" w:ascii="宋体" w:hAnsi="宋体" w:eastAsia="宋体" w:cs="宋体"/>
          <w:b/>
          <w:sz w:val="21"/>
          <w:szCs w:val="21"/>
        </w:rPr>
        <w:t>十三、质量保证及售后服务</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乙方应按招标文件规定的货物性能、技术要求、质量标准向甲方提供未经使用的全新产品。</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乙方提供的货物在质保期内因货物本身的质量问题发生故障，乙方应负责免费更换。对达不到技术要求者，根据实际情况，经双方协商，可按以下办法处理：</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⑴更换：由乙方承担所发生的全部费用。</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⑵贬值处理：由甲乙双方合议定价。</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⑶退货处理：乙方应退还甲方支付的合同款，同时应承担该货物的直接费用（运输、保险、检验、货款利息及银行手续费等）。</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如在使用过程中发生质量问题，乙方在接到甲方通知后</w:t>
      </w:r>
      <w:r>
        <w:rPr>
          <w:rFonts w:hint="eastAsia" w:ascii="宋体" w:hAnsi="宋体" w:eastAsia="宋体" w:cs="宋体"/>
          <w:color w:val="000000"/>
          <w:sz w:val="21"/>
          <w:szCs w:val="21"/>
        </w:rPr>
        <w:t>在</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小时</w:t>
      </w:r>
      <w:r>
        <w:rPr>
          <w:rFonts w:hint="eastAsia" w:ascii="宋体" w:hAnsi="宋体" w:eastAsia="宋体" w:cs="宋体"/>
          <w:sz w:val="21"/>
          <w:szCs w:val="21"/>
        </w:rPr>
        <w:t>内到达甲方</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现场。</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在质保期内，乙方应对货物出现的质量及安全问题负责处理解决并承担一切</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费用。</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5.</w:t>
      </w:r>
      <w:r>
        <w:rPr>
          <w:rFonts w:hint="eastAsia" w:ascii="宋体" w:hAnsi="宋体" w:eastAsia="宋体" w:cs="宋体"/>
          <w:color w:val="000000"/>
          <w:sz w:val="21"/>
          <w:szCs w:val="21"/>
        </w:rPr>
        <w:t>上述的</w:t>
      </w:r>
      <w:r>
        <w:rPr>
          <w:rFonts w:hint="eastAsia" w:ascii="宋体" w:hAnsi="宋体" w:eastAsia="宋体" w:cs="宋体"/>
          <w:sz w:val="21"/>
          <w:szCs w:val="21"/>
        </w:rPr>
        <w:t>货物</w:t>
      </w:r>
      <w:r>
        <w:rPr>
          <w:rFonts w:hint="eastAsia" w:ascii="宋体" w:hAnsi="宋体" w:eastAsia="宋体" w:cs="宋体"/>
          <w:color w:val="000000"/>
          <w:sz w:val="21"/>
          <w:szCs w:val="21"/>
        </w:rPr>
        <w:t>免费保修期为年，因人为因素出现的故障不在免费保修范围</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内。超过保修期的机器设备，终生维修，维修时只收部件成本费。</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十四、调试和验收</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 甲方对乙方提交的货物依据招标文件上的技术规格要求和国家有关质量标准</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进行现场初步验收，外观、说明书符合招标文件技术要求的，给予签收，初</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步验收不合格的不予签收。货到后，甲方需在</w:t>
      </w:r>
      <w:r>
        <w:rPr>
          <w:rFonts w:hint="eastAsia" w:ascii="宋体" w:hAnsi="宋体" w:eastAsia="宋体" w:cs="宋体"/>
          <w:color w:val="FF66CC"/>
          <w:sz w:val="21"/>
          <w:szCs w:val="21"/>
          <w:u w:val="single"/>
        </w:rPr>
        <w:t>五</w:t>
      </w:r>
      <w:r>
        <w:rPr>
          <w:rFonts w:hint="eastAsia" w:ascii="宋体" w:hAnsi="宋体" w:eastAsia="宋体" w:cs="宋体"/>
          <w:sz w:val="21"/>
          <w:szCs w:val="21"/>
        </w:rPr>
        <w:t>个工作日内验收。</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乙方交货前应对产品作出全面检查和对验收文件进行整理，并列出清单，作</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为甲方收货验收和使用的技术条件依据，检验的结果应随货物交甲方。</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甲方对乙方提供的货物在使用前进行调试时，乙方需负责安装并培训甲方的</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使用操作人员，并协助甲方一起调试，直到符合技术要求，甲方才做最终验</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收。</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4.</w:t>
      </w:r>
      <w:r>
        <w:rPr>
          <w:rFonts w:hint="eastAsia" w:ascii="宋体" w:hAnsi="宋体" w:eastAsia="宋体" w:cs="宋体"/>
          <w:sz w:val="21"/>
          <w:szCs w:val="21"/>
        </w:rPr>
        <w:t>对技术复杂的货物，甲方应请国家认可的专业检测机构参与初步验收及最终</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验收，并由其出具质量检测报告。</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5.</w:t>
      </w:r>
      <w:r>
        <w:rPr>
          <w:rFonts w:hint="eastAsia" w:ascii="宋体" w:hAnsi="宋体" w:eastAsia="宋体" w:cs="宋体"/>
          <w:sz w:val="21"/>
          <w:szCs w:val="21"/>
        </w:rPr>
        <w:t>验收时乙方必须在现场，验收完毕后作出验收结果报告；验收费用由甲方负</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责。</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十五、货物包装、发运及运输</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乙方应在货物发运前对其进行满足运输距离、防潮、防震、防锈和防破损装卸等要求包装，以保证货物安全运达甲方指定地点。</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使用说明书、质量检验证明书、随配附件和工具以及清单一并附于货物内。</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乙方在货物发运手续办理完毕后24小时内或货到甲方48小时前通知甲方，以准备接货。</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货物在交付甲方前发生的风险均由乙方负责。</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 货物在规定的交付期限内由乙方送达甲方指定的地点视为交付，乙方同时需</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通知甲方货物已送达。</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十六、违约责任</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甲方无正当理由拒收货物的，甲方向乙方偿付拒收货款总值的</w:t>
      </w:r>
      <w:r>
        <w:rPr>
          <w:rFonts w:hint="eastAsia" w:ascii="宋体" w:hAnsi="宋体" w:eastAsia="宋体" w:cs="宋体"/>
          <w:color w:val="FF66CC"/>
          <w:sz w:val="21"/>
          <w:szCs w:val="21"/>
          <w:u w:val="single"/>
        </w:rPr>
        <w:t>百分之五</w:t>
      </w:r>
      <w:r>
        <w:rPr>
          <w:rFonts w:hint="eastAsia" w:ascii="宋体" w:hAnsi="宋体" w:eastAsia="宋体" w:cs="宋体"/>
          <w:sz w:val="21"/>
          <w:szCs w:val="21"/>
        </w:rPr>
        <w:t>违约金。</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甲方无故逾期验收和办理货款支付手续的,甲方应按逾期付款总额每日</w:t>
      </w:r>
      <w:r>
        <w:rPr>
          <w:rFonts w:hint="eastAsia" w:ascii="宋体" w:hAnsi="宋体" w:eastAsia="宋体" w:cs="宋体"/>
          <w:color w:val="FF66CC"/>
          <w:sz w:val="21"/>
          <w:szCs w:val="21"/>
          <w:u w:val="single"/>
        </w:rPr>
        <w:t>万分之五</w:t>
      </w:r>
      <w:r>
        <w:rPr>
          <w:rFonts w:hint="eastAsia" w:ascii="宋体" w:hAnsi="宋体" w:eastAsia="宋体" w:cs="宋体"/>
          <w:sz w:val="21"/>
          <w:szCs w:val="21"/>
        </w:rPr>
        <w:t>向乙方支付违约金。</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乙方逾期交付货物的，乙方应按逾期交货总额每日</w:t>
      </w:r>
      <w:r>
        <w:rPr>
          <w:rFonts w:hint="eastAsia" w:ascii="宋体" w:hAnsi="宋体" w:eastAsia="宋体" w:cs="宋体"/>
          <w:color w:val="FF66CC"/>
          <w:sz w:val="21"/>
          <w:szCs w:val="21"/>
          <w:u w:val="single"/>
        </w:rPr>
        <w:t>千分之六</w:t>
      </w:r>
      <w:r>
        <w:rPr>
          <w:rFonts w:hint="eastAsia" w:ascii="宋体" w:hAnsi="宋体" w:eastAsia="宋体" w:cs="宋体"/>
          <w:sz w:val="21"/>
          <w:szCs w:val="21"/>
        </w:rPr>
        <w:t>向甲方支付违约金，由甲方从待付货款中扣除。逾期超过约定日期</w:t>
      </w:r>
      <w:r>
        <w:rPr>
          <w:rFonts w:hint="eastAsia" w:ascii="宋体" w:hAnsi="宋体" w:eastAsia="宋体" w:cs="宋体"/>
          <w:color w:val="FF66CC"/>
          <w:sz w:val="21"/>
          <w:szCs w:val="21"/>
          <w:u w:val="single"/>
        </w:rPr>
        <w:t>10</w:t>
      </w:r>
      <w:r>
        <w:rPr>
          <w:rFonts w:hint="eastAsia" w:ascii="宋体" w:hAnsi="宋体" w:eastAsia="宋体" w:cs="宋体"/>
          <w:sz w:val="21"/>
          <w:szCs w:val="21"/>
        </w:rPr>
        <w:t>个工作日不能交货的，甲方可解除本合同。乙方因逾期交货或因其他违约行为导致甲方解除合同的，乙方应向甲方支付合同总值</w:t>
      </w:r>
      <w:r>
        <w:rPr>
          <w:rFonts w:hint="eastAsia" w:ascii="宋体" w:hAnsi="宋体" w:eastAsia="宋体" w:cs="宋体"/>
          <w:color w:val="FF66CC"/>
          <w:sz w:val="21"/>
          <w:szCs w:val="21"/>
          <w:u w:val="single"/>
        </w:rPr>
        <w:t>5%</w:t>
      </w:r>
      <w:r>
        <w:rPr>
          <w:rFonts w:hint="eastAsia" w:ascii="宋体" w:hAnsi="宋体" w:eastAsia="宋体" w:cs="宋体"/>
          <w:sz w:val="21"/>
          <w:szCs w:val="21"/>
        </w:rPr>
        <w:t xml:space="preserve">的违约金，如造成甲方损失超过违约金的，超出部分由乙方继续承担赔偿责任。 </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5.若发生纠纷，由违约方赔偿守约方因纠纷所支付的费用（包括但不限于律师费、差旅费、诉讼费、保全费、鉴定费、评估费等）</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十七、不可抗力事件处理</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 在合同有效期内，任何一方因不可抗力事件导致不能履行合同，则合同履行</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期可延长，其延长期与不可抗力影响期相同。</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不可抗力事件发生后，应立即通知对方，并寄送有关权威机构出具的证明。</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 不可抗力事件延续120天以上，双方应通过友好协商，确定是否继续履行合</w:t>
      </w:r>
    </w:p>
    <w:p>
      <w:pPr>
        <w:pStyle w:val="14"/>
        <w:keepNext w:val="0"/>
        <w:keepLines w:val="0"/>
        <w:pageBreakBefore w:val="0"/>
        <w:widowControl w:val="0"/>
        <w:kinsoku/>
        <w:wordWrap/>
        <w:overflowPunct/>
        <w:topLinePunct w:val="0"/>
        <w:bidi w:val="0"/>
        <w:snapToGrid w:val="0"/>
        <w:spacing w:line="360" w:lineRule="exact"/>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同。</w:t>
      </w:r>
    </w:p>
    <w:p>
      <w:pPr>
        <w:pStyle w:val="14"/>
        <w:keepNext w:val="0"/>
        <w:keepLines w:val="0"/>
        <w:pageBreakBefore w:val="0"/>
        <w:widowControl w:val="0"/>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十八、解决争议的方法</w:t>
      </w:r>
    </w:p>
    <w:p>
      <w:pPr>
        <w:pStyle w:val="14"/>
        <w:keepNext w:val="0"/>
        <w:keepLines w:val="0"/>
        <w:pageBreakBefore w:val="0"/>
        <w:widowControl w:val="0"/>
        <w:tabs>
          <w:tab w:val="left" w:pos="5790"/>
        </w:tabs>
        <w:kinsoku/>
        <w:wordWrap/>
        <w:overflowPunct/>
        <w:topLinePunct w:val="0"/>
        <w:bidi w:val="0"/>
        <w:snapToGrid w:val="0"/>
        <w:spacing w:line="360" w:lineRule="exact"/>
        <w:ind w:left="0" w:leftChars="0" w:right="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如双方在履行合同时发生纠纷，应协商解决；协商不成时，可提请政府采购管理部门调解；调解不成的通过以下方式解决：依法向玉环市人民法院提起诉讼。</w:t>
      </w:r>
    </w:p>
    <w:p>
      <w:pPr>
        <w:pStyle w:val="14"/>
        <w:keepNext w:val="0"/>
        <w:keepLines w:val="0"/>
        <w:pageBreakBefore w:val="0"/>
        <w:widowControl w:val="0"/>
        <w:tabs>
          <w:tab w:val="left" w:pos="5790"/>
        </w:tabs>
        <w:kinsoku/>
        <w:wordWrap/>
        <w:overflowPunct/>
        <w:topLinePunct w:val="0"/>
        <w:bidi w:val="0"/>
        <w:snapToGrid w:val="0"/>
        <w:spacing w:line="360" w:lineRule="exact"/>
        <w:ind w:right="0"/>
        <w:textAlignment w:val="auto"/>
        <w:rPr>
          <w:rFonts w:hint="eastAsia" w:ascii="宋体" w:hAnsi="宋体" w:eastAsia="宋体" w:cs="宋体"/>
          <w:b/>
          <w:sz w:val="21"/>
          <w:szCs w:val="21"/>
        </w:rPr>
      </w:pPr>
      <w:r>
        <w:rPr>
          <w:rFonts w:hint="eastAsia" w:ascii="宋体" w:hAnsi="宋体" w:eastAsia="宋体" w:cs="宋体"/>
          <w:b/>
          <w:sz w:val="21"/>
          <w:szCs w:val="21"/>
        </w:rPr>
        <w:t>十九、合同生效及其它</w:t>
      </w:r>
      <w:r>
        <w:rPr>
          <w:rFonts w:hint="eastAsia" w:ascii="宋体" w:hAnsi="宋体" w:eastAsia="宋体" w:cs="宋体"/>
          <w:b/>
          <w:sz w:val="21"/>
          <w:szCs w:val="21"/>
        </w:rPr>
        <w:tab/>
      </w:r>
    </w:p>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 合同经双方法定代表人或授权代表</w:t>
      </w:r>
      <w:r>
        <w:rPr>
          <w:rFonts w:hint="default" w:ascii="Times New Roman" w:hAnsi="Times New Roman" w:eastAsia="宋体" w:cs="Times New Roman"/>
          <w:color w:val="000000"/>
          <w:sz w:val="21"/>
          <w:szCs w:val="21"/>
          <w:lang w:eastAsia="zh-CN"/>
        </w:rPr>
        <w:t>签字</w:t>
      </w:r>
      <w:r>
        <w:rPr>
          <w:rFonts w:hint="default" w:ascii="Times New Roman" w:hAnsi="Times New Roman" w:eastAsia="宋体" w:cs="Times New Roman"/>
          <w:color w:val="000000"/>
          <w:sz w:val="21"/>
          <w:szCs w:val="21"/>
        </w:rPr>
        <w:t>并加盖单位公章后生效。</w:t>
      </w:r>
    </w:p>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 本合同未尽事宜，遵照《</w:t>
      </w:r>
      <w:r>
        <w:rPr>
          <w:rFonts w:hint="default" w:ascii="Times New Roman" w:hAnsi="Times New Roman" w:eastAsia="宋体" w:cs="Times New Roman"/>
          <w:color w:val="000000"/>
          <w:sz w:val="21"/>
          <w:szCs w:val="21"/>
          <w:lang w:val="en-US" w:eastAsia="zh-CN"/>
        </w:rPr>
        <w:t>民法典</w:t>
      </w:r>
      <w:r>
        <w:rPr>
          <w:rFonts w:hint="default" w:ascii="Times New Roman" w:hAnsi="Times New Roman" w:eastAsia="宋体" w:cs="Times New Roman"/>
          <w:color w:val="000000"/>
          <w:sz w:val="21"/>
          <w:szCs w:val="21"/>
        </w:rPr>
        <w:t>》有关条文执行。</w:t>
      </w:r>
    </w:p>
    <w:p>
      <w:pPr>
        <w:pStyle w:val="14"/>
        <w:keepNext w:val="0"/>
        <w:keepLines w:val="0"/>
        <w:pageBreakBefore w:val="0"/>
        <w:widowControl w:val="0"/>
        <w:kinsoku/>
        <w:wordWrap/>
        <w:overflowPunct/>
        <w:topLinePunct w:val="0"/>
        <w:autoSpaceDE/>
        <w:autoSpaceDN/>
        <w:bidi w:val="0"/>
        <w:adjustRightInd/>
        <w:snapToGrid w:val="0"/>
        <w:spacing w:line="360" w:lineRule="exact"/>
        <w:ind w:left="0" w:leftChars="0" w:firstLine="420" w:firstLineChars="200"/>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 .本合同一式四份。甲、乙双方各执一份，采购组织机构及同级人民政府财政部门各执一份。本项目未尽事宜以</w:t>
      </w:r>
      <w:r>
        <w:rPr>
          <w:rFonts w:hint="eastAsia" w:ascii="Times New Roman" w:hAnsi="Times New Roman" w:cs="Times New Roman"/>
          <w:color w:val="000000"/>
          <w:sz w:val="21"/>
          <w:szCs w:val="21"/>
          <w:lang w:val="en-US" w:eastAsia="zh-CN"/>
        </w:rPr>
        <w:t>招标</w:t>
      </w:r>
      <w:r>
        <w:rPr>
          <w:rFonts w:hint="default" w:ascii="Times New Roman" w:hAnsi="Times New Roman" w:eastAsia="宋体" w:cs="Times New Roman"/>
          <w:color w:val="000000"/>
          <w:sz w:val="21"/>
          <w:szCs w:val="21"/>
        </w:rPr>
        <w:t>文件、</w:t>
      </w:r>
      <w:r>
        <w:rPr>
          <w:rFonts w:hint="eastAsia" w:ascii="Times New Roman" w:hAnsi="Times New Roman" w:cs="Times New Roman"/>
          <w:color w:val="000000"/>
          <w:sz w:val="21"/>
          <w:szCs w:val="21"/>
          <w:lang w:val="en-US" w:eastAsia="zh-CN"/>
        </w:rPr>
        <w:t>投标</w:t>
      </w:r>
      <w:r>
        <w:rPr>
          <w:rFonts w:hint="default" w:ascii="Times New Roman" w:hAnsi="Times New Roman" w:eastAsia="宋体" w:cs="Times New Roman"/>
          <w:color w:val="000000"/>
          <w:sz w:val="21"/>
          <w:szCs w:val="21"/>
        </w:rPr>
        <w:t>文件及澄清文件等为准。</w:t>
      </w:r>
    </w:p>
    <w:p>
      <w:pPr>
        <w:widowControl/>
        <w:spacing w:line="360" w:lineRule="auto"/>
        <w:rPr>
          <w:rFonts w:asciiTheme="minorEastAsia" w:hAnsiTheme="minorEastAsia" w:eastAsiaTheme="minorEastAsia"/>
          <w:b/>
          <w:sz w:val="24"/>
          <w:szCs w:val="24"/>
        </w:rPr>
      </w:pPr>
    </w:p>
    <w:p>
      <w:pPr>
        <w:widowControl/>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甲方（公章）                                     乙方（公章）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                                     法定代表人：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委托代理人：                                     委托代理人：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开户银行：                                       开户银行：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帐号：                                           帐号：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地址及邮编：                                     地址及邮编：</w:t>
      </w:r>
    </w:p>
    <w:p>
      <w:pPr>
        <w:spacing w:line="360" w:lineRule="auto"/>
        <w:rPr>
          <w:rFonts w:asciiTheme="minorEastAsia" w:hAnsiTheme="minorEastAsia" w:eastAsiaTheme="minorEastAsia"/>
          <w:sz w:val="24"/>
          <w:szCs w:val="24"/>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32"/>
          <w:szCs w:val="32"/>
        </w:rPr>
      </w:pPr>
      <w:r>
        <w:rPr>
          <w:rFonts w:hint="eastAsia" w:asciiTheme="minorEastAsia" w:hAnsiTheme="minorEastAsia" w:eastAsiaTheme="minorEastAsia"/>
          <w:sz w:val="24"/>
          <w:szCs w:val="24"/>
        </w:rPr>
        <w:t>签订时间：    年   月    日</w:t>
      </w:r>
    </w:p>
    <w:p>
      <w:pPr>
        <w:pStyle w:val="3"/>
        <w:rPr>
          <w:b/>
          <w:kern w:val="0"/>
          <w:sz w:val="32"/>
          <w:szCs w:val="32"/>
        </w:rPr>
      </w:pPr>
    </w:p>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32"/>
          <w:szCs w:val="32"/>
        </w:rPr>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32"/>
          <w:szCs w:val="32"/>
        </w:rPr>
      </w:pPr>
    </w:p>
    <w:p>
      <w:pPr>
        <w:pStyle w:val="2"/>
        <w:rPr>
          <w:b/>
          <w:kern w:val="0"/>
          <w:sz w:val="32"/>
          <w:szCs w:val="32"/>
        </w:rPr>
      </w:pPr>
    </w:p>
    <w:p>
      <w:pPr>
        <w:pStyle w:val="4"/>
      </w:pPr>
    </w:p>
    <w:p>
      <w:pPr>
        <w:pStyle w:val="2"/>
      </w:pPr>
    </w:p>
    <w:p>
      <w:pPr>
        <w:numPr>
          <w:ilvl w:val="255"/>
          <w:numId w:val="0"/>
        </w:numPr>
        <w:tabs>
          <w:tab w:val="left" w:pos="180"/>
          <w:tab w:val="left" w:pos="360"/>
          <w:tab w:val="left" w:pos="540"/>
          <w:tab w:val="left" w:pos="8280"/>
        </w:tabs>
        <w:autoSpaceDE w:val="0"/>
        <w:autoSpaceDN w:val="0"/>
        <w:adjustRightInd w:val="0"/>
        <w:spacing w:line="360" w:lineRule="auto"/>
        <w:ind w:right="23"/>
        <w:jc w:val="center"/>
        <w:rPr>
          <w:b/>
          <w:kern w:val="0"/>
          <w:sz w:val="32"/>
          <w:szCs w:val="32"/>
        </w:rPr>
      </w:pPr>
      <w:r>
        <w:rPr>
          <w:b/>
          <w:kern w:val="0"/>
          <w:sz w:val="32"/>
          <w:szCs w:val="32"/>
        </w:rPr>
        <w:t>第六章  投标文件格式附件</w:t>
      </w:r>
    </w:p>
    <w:p>
      <w:pPr>
        <w:spacing w:line="360" w:lineRule="auto"/>
        <w:rPr>
          <w:b/>
          <w:szCs w:val="21"/>
        </w:rPr>
      </w:pPr>
      <w:r>
        <w:rPr>
          <w:b/>
          <w:szCs w:val="21"/>
        </w:rPr>
        <w:t>附件1</w:t>
      </w:r>
      <w:r>
        <w:rPr>
          <w:b/>
          <w:sz w:val="24"/>
        </w:rPr>
        <w:t xml:space="preserve">                                           　　　    </w:t>
      </w:r>
    </w:p>
    <w:p>
      <w:pPr>
        <w:spacing w:line="240" w:lineRule="exact"/>
        <w:rPr>
          <w:b/>
          <w:sz w:val="30"/>
          <w:szCs w:val="30"/>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eastAsia" w:eastAsia="宋体"/>
          <w:b/>
          <w:bCs/>
          <w:kern w:val="0"/>
          <w:sz w:val="36"/>
          <w:szCs w:val="36"/>
          <w:lang w:eastAsia="zh-CN"/>
        </w:rPr>
      </w:pPr>
      <w:r>
        <w:rPr>
          <w:rFonts w:hint="eastAsia"/>
          <w:b/>
          <w:bCs/>
          <w:kern w:val="0"/>
          <w:sz w:val="36"/>
          <w:szCs w:val="36"/>
          <w:lang w:eastAsia="zh-CN"/>
        </w:rPr>
        <w:t>玉环市人民医院健共体集团数据中心设备采购</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left="1440" w:right="1803"/>
        <w:jc w:val="center"/>
        <w:rPr>
          <w:rFonts w:hint="eastAsia" w:eastAsia="宋体"/>
          <w:b/>
          <w:kern w:val="0"/>
          <w:sz w:val="32"/>
          <w:lang w:eastAsia="zh-CN"/>
        </w:rPr>
      </w:pPr>
      <w:r>
        <w:rPr>
          <w:sz w:val="36"/>
          <w:szCs w:val="36"/>
        </w:rPr>
        <w:t>项目编号：</w:t>
      </w:r>
      <w:r>
        <w:rPr>
          <w:rFonts w:hint="eastAsia"/>
          <w:b/>
          <w:kern w:val="0"/>
          <w:sz w:val="32"/>
          <w:lang w:eastAsia="zh-CN"/>
        </w:rPr>
        <w:t>DDZX2022-Y-GK-22-1</w:t>
      </w:r>
    </w:p>
    <w:p>
      <w:pPr>
        <w:spacing w:beforeLines="100" w:line="360" w:lineRule="auto"/>
        <w:ind w:right="-108"/>
        <w:jc w:val="center"/>
        <w:rPr>
          <w:sz w:val="36"/>
          <w:szCs w:val="36"/>
        </w:rPr>
      </w:pPr>
    </w:p>
    <w:p>
      <w:pPr>
        <w:autoSpaceDE w:val="0"/>
        <w:autoSpaceDN w:val="0"/>
        <w:adjustRightInd w:val="0"/>
        <w:spacing w:line="700" w:lineRule="exact"/>
        <w:jc w:val="center"/>
        <w:rPr>
          <w:sz w:val="84"/>
          <w:szCs w:val="84"/>
          <w:lang w:val="zh-CN"/>
        </w:rPr>
      </w:pPr>
    </w:p>
    <w:p>
      <w:pPr>
        <w:autoSpaceDE w:val="0"/>
        <w:autoSpaceDN w:val="0"/>
        <w:adjustRightInd w:val="0"/>
        <w:spacing w:line="360" w:lineRule="auto"/>
        <w:jc w:val="center"/>
        <w:rPr>
          <w:sz w:val="84"/>
          <w:szCs w:val="84"/>
          <w:lang w:val="zh-CN"/>
        </w:rPr>
      </w:pPr>
      <w:r>
        <w:rPr>
          <w:sz w:val="84"/>
          <w:szCs w:val="84"/>
          <w:lang w:val="zh-CN"/>
        </w:rPr>
        <w:t>投</w:t>
      </w:r>
    </w:p>
    <w:p>
      <w:pPr>
        <w:autoSpaceDE w:val="0"/>
        <w:autoSpaceDN w:val="0"/>
        <w:adjustRightInd w:val="0"/>
        <w:spacing w:line="360" w:lineRule="auto"/>
        <w:jc w:val="center"/>
        <w:rPr>
          <w:sz w:val="84"/>
          <w:szCs w:val="84"/>
          <w:lang w:val="zh-CN"/>
        </w:rPr>
      </w:pPr>
      <w:r>
        <w:rPr>
          <w:sz w:val="84"/>
          <w:szCs w:val="84"/>
          <w:lang w:val="zh-CN"/>
        </w:rPr>
        <w:t>标</w:t>
      </w:r>
    </w:p>
    <w:p>
      <w:pPr>
        <w:autoSpaceDE w:val="0"/>
        <w:autoSpaceDN w:val="0"/>
        <w:adjustRightInd w:val="0"/>
        <w:spacing w:line="360" w:lineRule="auto"/>
        <w:jc w:val="center"/>
        <w:rPr>
          <w:sz w:val="84"/>
          <w:szCs w:val="84"/>
        </w:rPr>
      </w:pPr>
      <w:r>
        <w:rPr>
          <w:sz w:val="84"/>
          <w:szCs w:val="84"/>
          <w:lang w:val="zh-CN"/>
        </w:rPr>
        <w:t>文</w:t>
      </w:r>
    </w:p>
    <w:p>
      <w:pPr>
        <w:spacing w:after="100" w:afterAutospacing="1" w:line="360" w:lineRule="auto"/>
        <w:ind w:right="-108"/>
        <w:jc w:val="center"/>
        <w:rPr>
          <w:sz w:val="84"/>
          <w:szCs w:val="84"/>
          <w:lang w:val="zh-CN"/>
        </w:rPr>
      </w:pPr>
      <w:r>
        <w:rPr>
          <w:sz w:val="84"/>
          <w:szCs w:val="84"/>
          <w:lang w:val="zh-CN"/>
        </w:rPr>
        <w:t>件</w:t>
      </w:r>
    </w:p>
    <w:p>
      <w:pPr>
        <w:spacing w:after="100" w:afterAutospacing="1" w:line="360" w:lineRule="auto"/>
        <w:ind w:right="-108"/>
        <w:jc w:val="center"/>
        <w:rPr>
          <w:b/>
          <w:spacing w:val="40"/>
          <w:sz w:val="28"/>
          <w:szCs w:val="28"/>
        </w:rPr>
      </w:pPr>
      <w:r>
        <w:rPr>
          <w:sz w:val="28"/>
          <w:szCs w:val="28"/>
          <w:lang w:val="zh-CN"/>
        </w:rPr>
        <w:t>（</w:t>
      </w:r>
      <w:r>
        <w:rPr>
          <w:b/>
          <w:spacing w:val="40"/>
          <w:sz w:val="28"/>
          <w:szCs w:val="28"/>
        </w:rPr>
        <w:t>资格证明文件）</w:t>
      </w:r>
    </w:p>
    <w:p>
      <w:pPr>
        <w:pStyle w:val="37"/>
        <w:rPr>
          <w:rFonts w:ascii="Times New Roman" w:hAnsi="Times New Roman" w:eastAsia="宋体" w:cs="Times New Roman"/>
        </w:rPr>
      </w:pPr>
    </w:p>
    <w:p>
      <w:pPr>
        <w:spacing w:line="360" w:lineRule="auto"/>
        <w:ind w:right="532" w:firstLine="1680" w:firstLineChars="700"/>
        <w:rPr>
          <w:sz w:val="24"/>
        </w:rPr>
      </w:pPr>
      <w:r>
        <w:rPr>
          <w:sz w:val="24"/>
        </w:rPr>
        <w:t>投标人全称（公章）：</w:t>
      </w:r>
    </w:p>
    <w:p>
      <w:pPr>
        <w:spacing w:line="360" w:lineRule="auto"/>
        <w:ind w:right="532" w:firstLine="1680" w:firstLineChars="700"/>
        <w:rPr>
          <w:sz w:val="24"/>
        </w:rPr>
      </w:pPr>
      <w:r>
        <w:rPr>
          <w:sz w:val="24"/>
        </w:rPr>
        <w:t>地    址：</w:t>
      </w:r>
    </w:p>
    <w:p>
      <w:pPr>
        <w:spacing w:line="360" w:lineRule="auto"/>
        <w:ind w:right="532" w:firstLine="1680" w:firstLineChars="700"/>
        <w:rPr>
          <w:sz w:val="24"/>
        </w:rPr>
      </w:pPr>
      <w:r>
        <w:rPr>
          <w:sz w:val="24"/>
        </w:rPr>
        <w:t>时    间：</w:t>
      </w:r>
    </w:p>
    <w:p>
      <w:pPr>
        <w:pStyle w:val="3"/>
      </w:pPr>
    </w:p>
    <w:p/>
    <w:p>
      <w:pPr>
        <w:pStyle w:val="37"/>
        <w:rPr>
          <w:rFonts w:ascii="Times New Roman" w:hAnsi="Times New Roman" w:eastAsia="宋体" w:cs="Times New Roman"/>
        </w:rPr>
      </w:pPr>
    </w:p>
    <w:p>
      <w:pPr>
        <w:snapToGrid w:val="0"/>
        <w:spacing w:line="760" w:lineRule="exact"/>
        <w:jc w:val="center"/>
        <w:rPr>
          <w:b/>
          <w:bCs/>
          <w:sz w:val="30"/>
          <w:szCs w:val="30"/>
        </w:rPr>
      </w:pPr>
      <w:r>
        <w:rPr>
          <w:b/>
          <w:bCs/>
          <w:sz w:val="30"/>
          <w:szCs w:val="30"/>
        </w:rPr>
        <w:t>资格证明文件目录</w:t>
      </w:r>
    </w:p>
    <w:p>
      <w:pPr>
        <w:snapToGrid w:val="0"/>
        <w:spacing w:line="600" w:lineRule="exact"/>
        <w:ind w:firstLine="315" w:firstLineChars="150"/>
        <w:rPr>
          <w:szCs w:val="21"/>
        </w:rPr>
      </w:pPr>
      <w:r>
        <w:rPr>
          <w:szCs w:val="21"/>
        </w:rPr>
        <w:t>1、</w:t>
      </w:r>
      <w:r>
        <w:rPr>
          <w:rFonts w:hint="eastAsia"/>
          <w:szCs w:val="21"/>
        </w:rPr>
        <w:t>投标</w:t>
      </w:r>
      <w:r>
        <w:rPr>
          <w:szCs w:val="21"/>
        </w:rPr>
        <w:t>声明书（附件2）</w:t>
      </w:r>
    </w:p>
    <w:p>
      <w:pPr>
        <w:snapToGrid w:val="0"/>
        <w:spacing w:line="600" w:lineRule="exact"/>
        <w:ind w:firstLine="315" w:firstLineChars="150"/>
        <w:rPr>
          <w:szCs w:val="21"/>
        </w:rPr>
      </w:pPr>
      <w:r>
        <w:rPr>
          <w:szCs w:val="21"/>
        </w:rPr>
        <w:t>2、授权委托书（附件3）</w:t>
      </w:r>
    </w:p>
    <w:p>
      <w:pPr>
        <w:snapToGrid w:val="0"/>
        <w:spacing w:line="600" w:lineRule="exact"/>
        <w:ind w:firstLine="315" w:firstLineChars="150"/>
        <w:rPr>
          <w:szCs w:val="21"/>
        </w:rPr>
      </w:pPr>
      <w:r>
        <w:rPr>
          <w:szCs w:val="21"/>
        </w:rPr>
        <w:t>3、法人或者其他组织的营业执照等证明文件，自然人的身份证明</w:t>
      </w:r>
    </w:p>
    <w:p>
      <w:pPr>
        <w:snapToGrid w:val="0"/>
        <w:spacing w:line="600" w:lineRule="exact"/>
        <w:ind w:firstLine="315" w:firstLineChars="150"/>
        <w:rPr>
          <w:szCs w:val="21"/>
        </w:rPr>
      </w:pPr>
      <w:r>
        <w:rPr>
          <w:szCs w:val="21"/>
        </w:rPr>
        <w:t>4、落实政府采购政策需满足的资格要求（中小企业声明函）（附件4）</w:t>
      </w:r>
    </w:p>
    <w:p>
      <w:pPr>
        <w:snapToGrid w:val="0"/>
        <w:spacing w:line="600" w:lineRule="exact"/>
        <w:ind w:firstLine="315" w:firstLineChars="150"/>
        <w:rPr>
          <w:szCs w:val="21"/>
        </w:rPr>
      </w:pPr>
      <w:r>
        <w:rPr>
          <w:szCs w:val="21"/>
        </w:rPr>
        <w:t>5、符合参加政府采购活动应当具备的一般条件的承诺函（附件5）</w:t>
      </w:r>
    </w:p>
    <w:p>
      <w:pPr>
        <w:snapToGrid w:val="0"/>
        <w:spacing w:line="600" w:lineRule="exact"/>
        <w:ind w:firstLine="315" w:firstLineChars="150"/>
        <w:rPr>
          <w:szCs w:val="21"/>
        </w:rPr>
      </w:pPr>
      <w:r>
        <w:rPr>
          <w:szCs w:val="21"/>
        </w:rPr>
        <w:t>6、本项目要求的特定资质证书</w:t>
      </w:r>
    </w:p>
    <w:p>
      <w:pPr>
        <w:spacing w:line="360" w:lineRule="auto"/>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spacing w:line="360" w:lineRule="auto"/>
        <w:ind w:left="420"/>
        <w:rPr>
          <w:b/>
          <w:sz w:val="28"/>
        </w:rPr>
      </w:pPr>
    </w:p>
    <w:p>
      <w:pPr>
        <w:pStyle w:val="6"/>
        <w:rPr>
          <w:rFonts w:ascii="Times New Roman" w:hAnsi="Times New Roman" w:eastAsia="宋体"/>
          <w:sz w:val="28"/>
        </w:rPr>
      </w:pPr>
    </w:p>
    <w:p>
      <w:pPr>
        <w:rPr>
          <w:b/>
          <w:sz w:val="28"/>
        </w:rPr>
      </w:pPr>
    </w:p>
    <w:p>
      <w:pPr>
        <w:pStyle w:val="3"/>
        <w:rPr>
          <w:b/>
          <w:sz w:val="28"/>
        </w:rPr>
      </w:pPr>
    </w:p>
    <w:p>
      <w:pPr>
        <w:rPr>
          <w:b/>
          <w:sz w:val="28"/>
        </w:rPr>
      </w:pPr>
    </w:p>
    <w:p>
      <w:pPr>
        <w:pStyle w:val="12"/>
      </w:pPr>
    </w:p>
    <w:p>
      <w:pPr>
        <w:pStyle w:val="2"/>
        <w:ind w:firstLine="281"/>
        <w:rPr>
          <w:sz w:val="28"/>
        </w:rPr>
      </w:pPr>
    </w:p>
    <w:p>
      <w:pPr>
        <w:snapToGrid w:val="0"/>
        <w:spacing w:line="400" w:lineRule="exact"/>
        <w:jc w:val="left"/>
        <w:rPr>
          <w:b/>
          <w:szCs w:val="21"/>
        </w:rPr>
      </w:pPr>
      <w:r>
        <w:rPr>
          <w:b/>
          <w:szCs w:val="21"/>
        </w:rPr>
        <w:t>附件2</w:t>
      </w:r>
    </w:p>
    <w:p>
      <w:pPr>
        <w:adjustRightInd w:val="0"/>
        <w:snapToGrid w:val="0"/>
        <w:spacing w:line="600" w:lineRule="exact"/>
        <w:jc w:val="center"/>
        <w:rPr>
          <w:b/>
          <w:kern w:val="0"/>
          <w:sz w:val="30"/>
          <w:szCs w:val="30"/>
          <w:lang w:val="zh-CN"/>
        </w:rPr>
      </w:pPr>
      <w:r>
        <w:rPr>
          <w:b/>
          <w:kern w:val="0"/>
          <w:sz w:val="30"/>
          <w:szCs w:val="30"/>
          <w:lang w:val="zh-CN"/>
        </w:rPr>
        <w:t>投标声明书</w:t>
      </w:r>
    </w:p>
    <w:p>
      <w:pPr>
        <w:snapToGrid w:val="0"/>
        <w:spacing w:line="460" w:lineRule="exact"/>
        <w:rPr>
          <w:b/>
          <w:bCs/>
          <w:kern w:val="0"/>
          <w:sz w:val="24"/>
        </w:rPr>
      </w:pPr>
      <w:r>
        <w:rPr>
          <w:b/>
          <w:bCs/>
          <w:szCs w:val="21"/>
          <w:u w:val="single"/>
        </w:rPr>
        <w:t>大地工程咨询有限公司</w:t>
      </w:r>
      <w:r>
        <w:rPr>
          <w:b/>
          <w:bCs/>
          <w:sz w:val="24"/>
        </w:rPr>
        <w:t>：</w:t>
      </w:r>
    </w:p>
    <w:p>
      <w:pPr>
        <w:snapToGrid w:val="0"/>
        <w:spacing w:line="460" w:lineRule="exact"/>
        <w:ind w:firstLine="420" w:firstLineChars="200"/>
        <w:rPr>
          <w:kern w:val="0"/>
          <w:szCs w:val="21"/>
        </w:rPr>
      </w:pPr>
      <w:r>
        <w:rPr>
          <w:kern w:val="0"/>
          <w:szCs w:val="21"/>
          <w:u w:val="single"/>
        </w:rPr>
        <w:t>（投标人名称）</w:t>
      </w:r>
      <w:r>
        <w:rPr>
          <w:kern w:val="0"/>
          <w:szCs w:val="21"/>
        </w:rPr>
        <w:t>系中华人民共和国合法企业，经营地址：</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w:t>
      </w:r>
    </w:p>
    <w:p>
      <w:pPr>
        <w:snapToGrid w:val="0"/>
        <w:spacing w:line="460" w:lineRule="exact"/>
        <w:ind w:firstLine="420" w:firstLineChars="200"/>
        <w:rPr>
          <w:kern w:val="0"/>
          <w:szCs w:val="21"/>
        </w:rPr>
      </w:pPr>
      <w:r>
        <w:rPr>
          <w:kern w:val="0"/>
          <w:szCs w:val="21"/>
        </w:rPr>
        <w:t>我（</w:t>
      </w:r>
      <w:r>
        <w:rPr>
          <w:kern w:val="0"/>
          <w:szCs w:val="21"/>
          <w:u w:val="single"/>
        </w:rPr>
        <w:t xml:space="preserve"> 姓名 </w:t>
      </w:r>
      <w:r>
        <w:rPr>
          <w:kern w:val="0"/>
          <w:szCs w:val="21"/>
        </w:rPr>
        <w:t>）系（</w:t>
      </w:r>
      <w:r>
        <w:rPr>
          <w:kern w:val="0"/>
          <w:szCs w:val="21"/>
          <w:u w:val="single"/>
        </w:rPr>
        <w:t xml:space="preserve"> 投标人名称 </w:t>
      </w:r>
      <w:r>
        <w:rPr>
          <w:kern w:val="0"/>
          <w:szCs w:val="21"/>
        </w:rPr>
        <w:t>）的法定代表人，我公司自愿参加贵方组织的（</w:t>
      </w:r>
      <w:r>
        <w:rPr>
          <w:kern w:val="0"/>
          <w:szCs w:val="21"/>
          <w:u w:val="single"/>
        </w:rPr>
        <w:t>招标项目名称</w:t>
      </w:r>
      <w:r>
        <w:rPr>
          <w:kern w:val="0"/>
          <w:szCs w:val="21"/>
        </w:rPr>
        <w:t>）（编号为）的投标，为此，我公司就本次投标有关事项郑重声明如下：</w:t>
      </w:r>
    </w:p>
    <w:p>
      <w:pPr>
        <w:snapToGrid w:val="0"/>
        <w:spacing w:line="460" w:lineRule="exact"/>
        <w:ind w:firstLine="420" w:firstLineChars="200"/>
        <w:rPr>
          <w:b/>
          <w:kern w:val="0"/>
          <w:szCs w:val="21"/>
        </w:rPr>
      </w:pPr>
      <w:r>
        <w:rPr>
          <w:kern w:val="0"/>
          <w:szCs w:val="21"/>
        </w:rPr>
        <w:t>1、</w:t>
      </w:r>
      <w:r>
        <w:rPr>
          <w:szCs w:val="21"/>
        </w:rPr>
        <w:t>我公司声明截止投标时间近三年以来：在政府采购领域中的项目招标、投标和合同履约期间无任何不良行为记录；无重大违法记录（重大违法记录是指投标人因违法经营受到刑事处罚或者责令停产停业、吊销许可证或者执照、较大数额罚款等行政处罚）。</w:t>
      </w:r>
    </w:p>
    <w:p>
      <w:pPr>
        <w:snapToGrid w:val="0"/>
        <w:spacing w:line="460" w:lineRule="exact"/>
        <w:ind w:firstLine="420" w:firstLineChars="200"/>
        <w:rPr>
          <w:kern w:val="0"/>
          <w:szCs w:val="21"/>
        </w:rPr>
      </w:pPr>
      <w:r>
        <w:rPr>
          <w:kern w:val="0"/>
          <w:szCs w:val="21"/>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numPr>
          <w:ilvl w:val="255"/>
          <w:numId w:val="0"/>
        </w:numPr>
        <w:snapToGrid w:val="0"/>
        <w:spacing w:line="460" w:lineRule="exact"/>
        <w:ind w:firstLine="420" w:firstLineChars="200"/>
        <w:rPr>
          <w:szCs w:val="21"/>
        </w:rPr>
      </w:pPr>
      <w:r>
        <w:rPr>
          <w:szCs w:val="21"/>
        </w:rPr>
        <w:t>3、我</w:t>
      </w:r>
      <w:r>
        <w:rPr>
          <w:kern w:val="0"/>
          <w:szCs w:val="21"/>
          <w:lang w:val="zh-CN"/>
        </w:rPr>
        <w:t>公司</w:t>
      </w:r>
      <w:r>
        <w:rPr>
          <w:szCs w:val="21"/>
        </w:rPr>
        <w:t>不是采购人的附属机构；在获知本项目采购信息后，与采购人聘请的为此项目提供咨询服务的公司及其附属机构没有任何联系。</w:t>
      </w:r>
    </w:p>
    <w:p>
      <w:pPr>
        <w:snapToGrid w:val="0"/>
        <w:spacing w:line="460" w:lineRule="exact"/>
        <w:ind w:firstLine="420" w:firstLineChars="200"/>
        <w:rPr>
          <w:kern w:val="0"/>
          <w:szCs w:val="21"/>
          <w:lang w:val="af-ZA"/>
        </w:rPr>
      </w:pPr>
      <w:r>
        <w:rPr>
          <w:szCs w:val="21"/>
        </w:rPr>
        <w:t>4、</w:t>
      </w:r>
      <w:r>
        <w:rPr>
          <w:kern w:val="0"/>
          <w:szCs w:val="21"/>
        </w:rPr>
        <w:t>我</w:t>
      </w:r>
      <w:r>
        <w:rPr>
          <w:kern w:val="0"/>
          <w:szCs w:val="21"/>
          <w:lang w:val="zh-CN"/>
        </w:rPr>
        <w:t>公司</w:t>
      </w:r>
      <w:r>
        <w:rPr>
          <w:kern w:val="0"/>
          <w:szCs w:val="21"/>
        </w:rPr>
        <w:t>保证，</w:t>
      </w:r>
      <w:r>
        <w:rPr>
          <w:kern w:val="0"/>
          <w:szCs w:val="21"/>
          <w:lang w:val="af-ZA"/>
        </w:rPr>
        <w:t>采购人在中华人民共和国境内使用</w:t>
      </w:r>
      <w:r>
        <w:rPr>
          <w:kern w:val="0"/>
          <w:szCs w:val="21"/>
        </w:rPr>
        <w:t>我</w:t>
      </w:r>
      <w:r>
        <w:rPr>
          <w:kern w:val="0"/>
          <w:szCs w:val="21"/>
          <w:lang w:val="zh-CN"/>
        </w:rPr>
        <w:t>公司</w:t>
      </w:r>
      <w:r>
        <w:rPr>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60" w:lineRule="exact"/>
        <w:ind w:firstLine="420" w:firstLineChars="200"/>
        <w:rPr>
          <w:szCs w:val="21"/>
        </w:rPr>
      </w:pPr>
      <w:r>
        <w:rPr>
          <w:kern w:val="0"/>
          <w:szCs w:val="21"/>
          <w:lang w:val="af-ZA"/>
        </w:rPr>
        <w:t>5、我</w:t>
      </w:r>
      <w:r>
        <w:rPr>
          <w:kern w:val="0"/>
          <w:szCs w:val="21"/>
          <w:lang w:val="zh-CN"/>
        </w:rPr>
        <w:t>公司</w:t>
      </w:r>
      <w:r>
        <w:rPr>
          <w:kern w:val="0"/>
          <w:szCs w:val="21"/>
          <w:lang w:val="af-ZA"/>
        </w:rPr>
        <w:t>严格履行政府采购合同，不降低合同约定的产品质量和服务，不擅自变更、中止、终止合同，或拒绝履行合同义务；</w:t>
      </w:r>
    </w:p>
    <w:p>
      <w:pPr>
        <w:snapToGrid w:val="0"/>
        <w:spacing w:line="460" w:lineRule="exact"/>
        <w:ind w:firstLine="420" w:firstLineChars="200"/>
        <w:rPr>
          <w:szCs w:val="21"/>
        </w:rPr>
      </w:pPr>
      <w:r>
        <w:rPr>
          <w:szCs w:val="21"/>
        </w:rPr>
        <w:t>6、以上事项如有虚假或隐瞒，我</w:t>
      </w:r>
      <w:r>
        <w:rPr>
          <w:kern w:val="0"/>
          <w:szCs w:val="21"/>
          <w:lang w:val="zh-CN"/>
        </w:rPr>
        <w:t>公司</w:t>
      </w:r>
      <w:r>
        <w:rPr>
          <w:szCs w:val="21"/>
        </w:rPr>
        <w:t>愿意承担一切后果，并不再寻求任何旨在减轻或免除法律责任的辩解。</w:t>
      </w:r>
    </w:p>
    <w:p>
      <w:pPr>
        <w:pStyle w:val="6"/>
        <w:spacing w:line="520" w:lineRule="exact"/>
        <w:rPr>
          <w:rFonts w:ascii="Times New Roman" w:hAnsi="Times New Roman" w:eastAsia="宋体"/>
        </w:rPr>
      </w:pPr>
    </w:p>
    <w:p>
      <w:pPr>
        <w:adjustRightInd w:val="0"/>
        <w:snapToGrid w:val="0"/>
        <w:spacing w:line="520" w:lineRule="exact"/>
        <w:ind w:left="4620" w:leftChars="2200"/>
        <w:rPr>
          <w:kern w:val="0"/>
          <w:szCs w:val="21"/>
          <w:lang w:val="zh-CN"/>
        </w:rPr>
      </w:pPr>
      <w:r>
        <w:rPr>
          <w:kern w:val="0"/>
          <w:szCs w:val="21"/>
          <w:lang w:val="zh-CN"/>
        </w:rPr>
        <w:t>投标人名称(公章)：</w:t>
      </w:r>
    </w:p>
    <w:p>
      <w:pPr>
        <w:adjustRightInd w:val="0"/>
        <w:snapToGrid w:val="0"/>
        <w:spacing w:line="520" w:lineRule="exact"/>
        <w:ind w:left="4620" w:leftChars="2200"/>
        <w:rPr>
          <w:kern w:val="0"/>
          <w:szCs w:val="21"/>
          <w:lang w:val="zh-CN"/>
        </w:rPr>
      </w:pPr>
      <w:r>
        <w:rPr>
          <w:kern w:val="0"/>
          <w:szCs w:val="21"/>
          <w:lang w:val="zh-CN"/>
        </w:rPr>
        <w:t>法定代表人或授权委托人</w:t>
      </w:r>
      <w:r>
        <w:rPr>
          <w:rFonts w:hint="eastAsia"/>
          <w:szCs w:val="21"/>
          <w:lang w:eastAsia="zh-CN"/>
        </w:rPr>
        <w:t>（</w:t>
      </w:r>
      <w:r>
        <w:rPr>
          <w:szCs w:val="21"/>
        </w:rPr>
        <w:t>签字或盖章</w:t>
      </w:r>
      <w:r>
        <w:rPr>
          <w:rFonts w:hint="eastAsia"/>
          <w:szCs w:val="21"/>
          <w:lang w:eastAsia="zh-CN"/>
        </w:rPr>
        <w:t>）</w:t>
      </w:r>
      <w:r>
        <w:rPr>
          <w:kern w:val="0"/>
          <w:szCs w:val="21"/>
          <w:lang w:val="zh-CN"/>
        </w:rPr>
        <w:t>：</w:t>
      </w:r>
    </w:p>
    <w:p>
      <w:pPr>
        <w:adjustRightInd w:val="0"/>
        <w:snapToGrid w:val="0"/>
        <w:spacing w:line="520" w:lineRule="exact"/>
        <w:ind w:left="4620" w:leftChars="2200" w:right="480"/>
        <w:rPr>
          <w:kern w:val="0"/>
          <w:szCs w:val="21"/>
          <w:lang w:val="zh-CN"/>
        </w:rPr>
      </w:pPr>
      <w:r>
        <w:rPr>
          <w:kern w:val="0"/>
          <w:szCs w:val="21"/>
          <w:lang w:val="zh-CN"/>
        </w:rPr>
        <w:t>日期：</w:t>
      </w:r>
      <w:r>
        <w:rPr>
          <w:kern w:val="0"/>
          <w:szCs w:val="21"/>
        </w:rPr>
        <w:t xml:space="preserve">  </w:t>
      </w:r>
      <w:r>
        <w:rPr>
          <w:rFonts w:hint="eastAsia"/>
          <w:kern w:val="0"/>
          <w:szCs w:val="21"/>
        </w:rPr>
        <w:t xml:space="preserve"> </w:t>
      </w:r>
      <w:r>
        <w:rPr>
          <w:kern w:val="0"/>
          <w:szCs w:val="21"/>
        </w:rPr>
        <w:t xml:space="preserve"> </w:t>
      </w:r>
      <w:r>
        <w:rPr>
          <w:kern w:val="0"/>
          <w:szCs w:val="21"/>
          <w:lang w:val="zh-CN"/>
        </w:rPr>
        <w:t xml:space="preserve">年  </w:t>
      </w:r>
      <w:r>
        <w:rPr>
          <w:kern w:val="0"/>
          <w:szCs w:val="21"/>
        </w:rPr>
        <w:t xml:space="preserve"> </w:t>
      </w:r>
      <w:r>
        <w:rPr>
          <w:rFonts w:hint="eastAsia"/>
          <w:kern w:val="0"/>
          <w:szCs w:val="21"/>
        </w:rPr>
        <w:t xml:space="preserve"> </w:t>
      </w:r>
      <w:r>
        <w:rPr>
          <w:kern w:val="0"/>
          <w:szCs w:val="21"/>
          <w:lang w:val="zh-CN"/>
        </w:rPr>
        <w:t>月</w:t>
      </w:r>
      <w:r>
        <w:rPr>
          <w:kern w:val="0"/>
          <w:szCs w:val="21"/>
        </w:rPr>
        <w:t xml:space="preserve">  </w:t>
      </w:r>
      <w:r>
        <w:rPr>
          <w:rFonts w:hint="eastAsia"/>
          <w:kern w:val="0"/>
          <w:szCs w:val="21"/>
        </w:rPr>
        <w:t xml:space="preserve"> </w:t>
      </w:r>
      <w:r>
        <w:rPr>
          <w:kern w:val="0"/>
          <w:szCs w:val="21"/>
        </w:rPr>
        <w:t xml:space="preserve"> </w:t>
      </w:r>
      <w:r>
        <w:rPr>
          <w:kern w:val="0"/>
          <w:szCs w:val="21"/>
          <w:lang w:val="zh-CN"/>
        </w:rPr>
        <w:t>日</w:t>
      </w:r>
    </w:p>
    <w:p>
      <w:pPr>
        <w:adjustRightInd w:val="0"/>
        <w:snapToGrid w:val="0"/>
        <w:spacing w:line="360" w:lineRule="auto"/>
        <w:ind w:right="480"/>
        <w:rPr>
          <w:b/>
          <w:szCs w:val="21"/>
        </w:rPr>
      </w:pPr>
    </w:p>
    <w:p>
      <w:pPr>
        <w:adjustRightInd w:val="0"/>
        <w:snapToGrid w:val="0"/>
        <w:spacing w:line="360" w:lineRule="auto"/>
        <w:ind w:right="480"/>
        <w:rPr>
          <w:b/>
          <w:szCs w:val="21"/>
        </w:rPr>
      </w:pPr>
    </w:p>
    <w:p>
      <w:pPr>
        <w:adjustRightInd w:val="0"/>
        <w:snapToGrid w:val="0"/>
        <w:spacing w:line="360" w:lineRule="auto"/>
        <w:ind w:right="480"/>
        <w:rPr>
          <w:b/>
          <w:szCs w:val="21"/>
        </w:rPr>
      </w:pPr>
      <w:r>
        <w:rPr>
          <w:b/>
          <w:szCs w:val="21"/>
        </w:rPr>
        <w:t>附件3</w:t>
      </w:r>
    </w:p>
    <w:p>
      <w:pPr>
        <w:adjustRightInd w:val="0"/>
        <w:snapToGrid w:val="0"/>
        <w:spacing w:line="600" w:lineRule="exact"/>
        <w:jc w:val="center"/>
        <w:rPr>
          <w:b/>
          <w:kern w:val="0"/>
          <w:sz w:val="30"/>
          <w:szCs w:val="30"/>
          <w:lang w:val="zh-CN"/>
        </w:rPr>
      </w:pPr>
      <w:r>
        <w:rPr>
          <w:b/>
          <w:kern w:val="0"/>
          <w:sz w:val="30"/>
          <w:szCs w:val="30"/>
          <w:lang w:val="zh-CN"/>
        </w:rPr>
        <w:t>授权委托书</w:t>
      </w:r>
    </w:p>
    <w:p>
      <w:pPr>
        <w:snapToGrid w:val="0"/>
        <w:spacing w:beforeLines="50" w:after="50" w:line="360" w:lineRule="auto"/>
        <w:rPr>
          <w:b/>
          <w:bCs/>
          <w:kern w:val="0"/>
          <w:szCs w:val="21"/>
        </w:rPr>
      </w:pPr>
      <w:r>
        <w:rPr>
          <w:b/>
          <w:bCs/>
          <w:szCs w:val="21"/>
        </w:rPr>
        <w:t>大地工程咨询有限公司：</w:t>
      </w:r>
    </w:p>
    <w:p>
      <w:pPr>
        <w:pStyle w:val="14"/>
        <w:spacing w:line="440" w:lineRule="exact"/>
        <w:ind w:firstLine="420" w:firstLineChars="200"/>
        <w:rPr>
          <w:rFonts w:ascii="Times New Roman" w:hAnsi="Times New Roman" w:cs="Times New Roman"/>
          <w:szCs w:val="21"/>
        </w:rPr>
      </w:pPr>
      <w:r>
        <w:rPr>
          <w:rFonts w:ascii="Times New Roman" w:hAnsi="Times New Roman" w:cs="Times New Roman"/>
          <w:szCs w:val="21"/>
          <w:u w:val="single"/>
        </w:rPr>
        <w:t xml:space="preserve">  （投标人全称）  </w:t>
      </w:r>
      <w:r>
        <w:rPr>
          <w:rFonts w:ascii="Times New Roman" w:hAnsi="Times New Roman" w:cs="Times New Roman"/>
          <w:szCs w:val="21"/>
        </w:rPr>
        <w:t>法定代表人（或营业执照中单位负责人）</w:t>
      </w:r>
      <w:r>
        <w:rPr>
          <w:rFonts w:ascii="Times New Roman" w:hAnsi="Times New Roman" w:cs="Times New Roman"/>
          <w:szCs w:val="21"/>
          <w:u w:val="single"/>
        </w:rPr>
        <w:tab/>
      </w:r>
      <w:r>
        <w:rPr>
          <w:rFonts w:ascii="Times New Roman" w:hAnsi="Times New Roman" w:cs="Times New Roman"/>
          <w:szCs w:val="21"/>
          <w:u w:val="single"/>
        </w:rPr>
        <w:t xml:space="preserve">（法定代表人或营业执照中单位负责人姓名） </w:t>
      </w:r>
      <w:r>
        <w:rPr>
          <w:rFonts w:ascii="Times New Roman" w:hAnsi="Times New Roman" w:cs="Times New Roman"/>
          <w:szCs w:val="21"/>
        </w:rPr>
        <w:t>授权</w:t>
      </w:r>
      <w:r>
        <w:rPr>
          <w:rFonts w:ascii="Times New Roman" w:hAnsi="Times New Roman" w:cs="Times New Roman"/>
          <w:szCs w:val="21"/>
          <w:u w:val="single"/>
        </w:rPr>
        <w:t xml:space="preserve">   （全权代表姓名） </w:t>
      </w:r>
      <w:r>
        <w:rPr>
          <w:rFonts w:ascii="Times New Roman" w:hAnsi="Times New Roman" w:cs="Times New Roman"/>
          <w:szCs w:val="21"/>
        </w:rPr>
        <w:t>为全权代表，参加贵单位组织的</w:t>
      </w:r>
      <w:r>
        <w:rPr>
          <w:rFonts w:ascii="Times New Roman" w:hAnsi="Times New Roman" w:cs="Times New Roman"/>
          <w:szCs w:val="21"/>
          <w:u w:val="single"/>
        </w:rPr>
        <w:tab/>
      </w:r>
      <w:r>
        <w:rPr>
          <w:rFonts w:ascii="Times New Roman" w:hAnsi="Times New Roman" w:cs="Times New Roman"/>
          <w:szCs w:val="21"/>
        </w:rPr>
        <w:t>项目的采购活动，并代表我方全权办理针对上述项目的投标、开标、评标、签约等具体事务和签署相关文件。我方对全权代表的签字事项负全部责任。</w:t>
      </w:r>
    </w:p>
    <w:p>
      <w:pPr>
        <w:pStyle w:val="14"/>
        <w:spacing w:line="440" w:lineRule="exact"/>
        <w:ind w:firstLine="420" w:firstLineChars="200"/>
        <w:rPr>
          <w:rFonts w:ascii="Times New Roman" w:hAnsi="Times New Roman" w:cs="Times New Roman"/>
          <w:szCs w:val="21"/>
        </w:rPr>
      </w:pPr>
      <w:r>
        <w:rPr>
          <w:rFonts w:ascii="Times New Roman" w:hAnsi="Times New Roman" w:cs="Times New Roman"/>
          <w:szCs w:val="21"/>
        </w:rPr>
        <w:t>在撤销授权的书面通知以前，本授权书一直有效。全权代表在授权委托书有效期内签署的所有文件不因授权的撤销而失效。</w:t>
      </w:r>
    </w:p>
    <w:p>
      <w:pPr>
        <w:pStyle w:val="14"/>
        <w:spacing w:line="440" w:lineRule="exact"/>
        <w:ind w:firstLine="420" w:firstLineChars="200"/>
        <w:rPr>
          <w:rFonts w:ascii="Times New Roman" w:hAnsi="Times New Roman" w:cs="Times New Roman"/>
          <w:szCs w:val="21"/>
        </w:rPr>
      </w:pPr>
      <w:r>
        <w:rPr>
          <w:rFonts w:ascii="Times New Roman" w:hAnsi="Times New Roman" w:cs="Times New Roman"/>
          <w:szCs w:val="21"/>
        </w:rPr>
        <w:t>全权代表无转委托权，特此委托。</w:t>
      </w:r>
    </w:p>
    <w:p>
      <w:pPr>
        <w:spacing w:line="360" w:lineRule="auto"/>
        <w:rPr>
          <w:szCs w:val="21"/>
        </w:rPr>
      </w:pPr>
    </w:p>
    <w:p>
      <w:pPr>
        <w:spacing w:line="360" w:lineRule="auto"/>
        <w:rPr>
          <w:szCs w:val="21"/>
        </w:rPr>
      </w:pPr>
      <w:r>
        <w:rPr>
          <w:szCs w:val="21"/>
        </w:rPr>
        <w:t>法定代表人签字或盖章：</w:t>
      </w:r>
    </w:p>
    <w:p>
      <w:pPr>
        <w:spacing w:line="360" w:lineRule="auto"/>
        <w:rPr>
          <w:szCs w:val="21"/>
        </w:rPr>
      </w:pPr>
    </w:p>
    <w:p>
      <w:pPr>
        <w:spacing w:line="360" w:lineRule="auto"/>
        <w:rPr>
          <w:szCs w:val="21"/>
        </w:rPr>
      </w:pPr>
      <w:r>
        <w:rPr>
          <w:szCs w:val="21"/>
        </w:rPr>
        <w:t>投标人全称（公章）：                              日期：</w:t>
      </w:r>
    </w:p>
    <w:p>
      <w:pPr>
        <w:spacing w:line="360" w:lineRule="auto"/>
        <w:rPr>
          <w:szCs w:val="21"/>
        </w:rPr>
      </w:pPr>
    </w:p>
    <w:p>
      <w:pPr>
        <w:spacing w:line="360" w:lineRule="auto"/>
        <w:rPr>
          <w:b/>
          <w:szCs w:val="21"/>
        </w:rPr>
      </w:pPr>
      <w:r>
        <w:rPr>
          <w:b/>
          <w:szCs w:val="21"/>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b/>
                <w:szCs w:val="21"/>
              </w:rPr>
            </w:pPr>
          </w:p>
          <w:p>
            <w:pPr>
              <w:spacing w:line="360" w:lineRule="auto"/>
              <w:ind w:firstLine="316" w:firstLineChars="150"/>
              <w:rPr>
                <w:b/>
                <w:szCs w:val="21"/>
              </w:rPr>
            </w:pPr>
            <w:r>
              <w:rPr>
                <w:b/>
                <w:szCs w:val="21"/>
              </w:rPr>
              <w:t>法定代表身份证复印件粘帖处</w:t>
            </w:r>
          </w:p>
        </w:tc>
      </w:tr>
    </w:tbl>
    <w:p>
      <w:pPr>
        <w:spacing w:line="360" w:lineRule="auto"/>
        <w:rPr>
          <w:szCs w:val="21"/>
        </w:rPr>
      </w:pPr>
      <w:r>
        <w:rPr>
          <w:szCs w:val="21"/>
        </w:rPr>
        <w:t xml:space="preserve">法定代表人姓名：                                 </w:t>
      </w:r>
    </w:p>
    <w:p>
      <w:pPr>
        <w:spacing w:line="360" w:lineRule="auto"/>
        <w:rPr>
          <w:szCs w:val="21"/>
        </w:rPr>
      </w:pPr>
      <w:r>
        <w:rPr>
          <w:szCs w:val="21"/>
        </w:rPr>
        <w:t>传真：</w:t>
      </w:r>
    </w:p>
    <w:p>
      <w:pPr>
        <w:spacing w:line="360" w:lineRule="auto"/>
        <w:rPr>
          <w:szCs w:val="21"/>
        </w:rPr>
      </w:pPr>
      <w:r>
        <w:rPr>
          <w:szCs w:val="21"/>
        </w:rPr>
        <w:t>电话：</w:t>
      </w:r>
    </w:p>
    <w:p>
      <w:pPr>
        <w:spacing w:line="360" w:lineRule="auto"/>
        <w:rPr>
          <w:szCs w:val="21"/>
        </w:rPr>
      </w:pPr>
      <w:r>
        <w:rPr>
          <w:szCs w:val="21"/>
        </w:rPr>
        <w:t>详细通讯地址：</w:t>
      </w:r>
    </w:p>
    <w:p>
      <w:pPr>
        <w:spacing w:line="360" w:lineRule="auto"/>
        <w:rPr>
          <w:szCs w:val="21"/>
        </w:rPr>
      </w:pPr>
      <w:r>
        <w:rPr>
          <w:szCs w:val="21"/>
        </w:rPr>
        <w:t>邮政编码：</w:t>
      </w:r>
    </w:p>
    <w:p>
      <w:pPr>
        <w:spacing w:line="360" w:lineRule="auto"/>
        <w:rPr>
          <w:b/>
          <w:szCs w:val="21"/>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b/>
                <w:szCs w:val="21"/>
              </w:rPr>
            </w:pPr>
          </w:p>
          <w:p>
            <w:pPr>
              <w:spacing w:line="360" w:lineRule="auto"/>
              <w:ind w:firstLine="316" w:firstLineChars="150"/>
              <w:rPr>
                <w:b/>
                <w:szCs w:val="21"/>
              </w:rPr>
            </w:pPr>
            <w:r>
              <w:rPr>
                <w:b/>
                <w:szCs w:val="21"/>
              </w:rPr>
              <w:t>全权代表身份证复印件粘帖处</w:t>
            </w:r>
          </w:p>
        </w:tc>
      </w:tr>
    </w:tbl>
    <w:p>
      <w:pPr>
        <w:spacing w:line="360" w:lineRule="auto"/>
        <w:rPr>
          <w:szCs w:val="21"/>
        </w:rPr>
      </w:pPr>
      <w:r>
        <w:rPr>
          <w:szCs w:val="21"/>
        </w:rPr>
        <w:t xml:space="preserve">全权代表姓名：       </w:t>
      </w:r>
    </w:p>
    <w:p>
      <w:pPr>
        <w:spacing w:line="360" w:lineRule="auto"/>
        <w:rPr>
          <w:szCs w:val="21"/>
        </w:rPr>
      </w:pPr>
      <w:r>
        <w:rPr>
          <w:szCs w:val="21"/>
        </w:rPr>
        <w:t xml:space="preserve">职务：                           </w:t>
      </w:r>
    </w:p>
    <w:p>
      <w:pPr>
        <w:spacing w:line="360" w:lineRule="auto"/>
        <w:rPr>
          <w:szCs w:val="21"/>
        </w:rPr>
      </w:pPr>
      <w:r>
        <w:rPr>
          <w:szCs w:val="21"/>
        </w:rPr>
        <w:t>传真：</w:t>
      </w:r>
    </w:p>
    <w:p>
      <w:pPr>
        <w:spacing w:line="360" w:lineRule="auto"/>
        <w:rPr>
          <w:szCs w:val="21"/>
        </w:rPr>
      </w:pPr>
      <w:r>
        <w:rPr>
          <w:szCs w:val="21"/>
        </w:rPr>
        <w:t>电话：</w:t>
      </w:r>
    </w:p>
    <w:p>
      <w:pPr>
        <w:spacing w:line="360" w:lineRule="auto"/>
        <w:rPr>
          <w:szCs w:val="21"/>
        </w:rPr>
      </w:pPr>
      <w:r>
        <w:rPr>
          <w:szCs w:val="21"/>
        </w:rPr>
        <w:t>详细通讯地址：</w:t>
      </w:r>
    </w:p>
    <w:p>
      <w:pPr>
        <w:spacing w:line="360" w:lineRule="auto"/>
        <w:rPr>
          <w:szCs w:val="21"/>
        </w:rPr>
      </w:pPr>
      <w:r>
        <w:rPr>
          <w:szCs w:val="21"/>
        </w:rPr>
        <w:t>邮政编码：</w:t>
      </w:r>
    </w:p>
    <w:p>
      <w:pPr>
        <w:snapToGrid w:val="0"/>
        <w:spacing w:beforeLines="50" w:after="50" w:line="360" w:lineRule="auto"/>
        <w:rPr>
          <w:b/>
          <w:sz w:val="24"/>
        </w:rPr>
      </w:pPr>
    </w:p>
    <w:p>
      <w:pPr>
        <w:snapToGrid w:val="0"/>
        <w:spacing w:beforeLines="50" w:after="50" w:line="240" w:lineRule="exact"/>
        <w:rPr>
          <w:bCs/>
          <w:szCs w:val="21"/>
        </w:rPr>
      </w:pPr>
      <w:r>
        <w:rPr>
          <w:b/>
          <w:szCs w:val="21"/>
        </w:rPr>
        <w:t>附件4</w:t>
      </w:r>
    </w:p>
    <w:p>
      <w:pPr>
        <w:pStyle w:val="6"/>
        <w:spacing w:line="416" w:lineRule="auto"/>
        <w:jc w:val="center"/>
        <w:rPr>
          <w:rStyle w:val="31"/>
          <w:rFonts w:ascii="Times New Roman" w:hAnsi="Times New Roman" w:eastAsia="宋体"/>
          <w:color w:val="auto"/>
          <w:sz w:val="36"/>
          <w:szCs w:val="36"/>
        </w:rPr>
      </w:pPr>
      <w:r>
        <w:rPr>
          <w:rStyle w:val="31"/>
          <w:rFonts w:ascii="Times New Roman" w:hAnsi="Times New Roman" w:eastAsia="宋体"/>
          <w:color w:val="auto"/>
          <w:sz w:val="36"/>
          <w:szCs w:val="36"/>
        </w:rPr>
        <w:t>中小企业声明函</w:t>
      </w:r>
    </w:p>
    <w:p>
      <w:pPr>
        <w:widowControl/>
        <w:spacing w:line="480" w:lineRule="auto"/>
        <w:ind w:firstLine="420" w:firstLineChars="200"/>
        <w:jc w:val="left"/>
        <w:rPr>
          <w:szCs w:val="21"/>
        </w:rPr>
      </w:pPr>
      <w:r>
        <w:rPr>
          <w:kern w:val="0"/>
          <w:szCs w:val="21"/>
        </w:rPr>
        <w:t>本公司（联合体）郑重声明，根据《政府采购促进中小企业发展管理办法》（财库﹝2020﹞46 号）的规定，本公司（联合体）参加</w:t>
      </w:r>
      <w:r>
        <w:rPr>
          <w:kern w:val="0"/>
          <w:szCs w:val="21"/>
          <w:u w:val="single"/>
        </w:rPr>
        <w:t>（单位名称）</w:t>
      </w:r>
      <w:r>
        <w:rPr>
          <w:kern w:val="0"/>
          <w:szCs w:val="21"/>
        </w:rPr>
        <w:t>的</w:t>
      </w:r>
      <w:r>
        <w:rPr>
          <w:kern w:val="0"/>
          <w:szCs w:val="21"/>
          <w:u w:val="single"/>
        </w:rPr>
        <w:t>（项目名称）</w:t>
      </w:r>
      <w:r>
        <w:rPr>
          <w:kern w:val="0"/>
          <w:szCs w:val="21"/>
        </w:rPr>
        <w:t>采购活动，服务全部由符合政策要求的中小企业承接。相关企业（含联合体中的中小企业、签订分包意向协议的中小企业）的具体情况如下：</w:t>
      </w:r>
    </w:p>
    <w:p>
      <w:pPr>
        <w:widowControl/>
        <w:spacing w:line="480" w:lineRule="auto"/>
        <w:ind w:firstLine="420" w:firstLineChars="200"/>
        <w:jc w:val="left"/>
        <w:rPr>
          <w:szCs w:val="21"/>
        </w:rPr>
      </w:pPr>
      <w:r>
        <w:rPr>
          <w:kern w:val="0"/>
          <w:szCs w:val="21"/>
        </w:rPr>
        <w:t xml:space="preserve">1. </w:t>
      </w:r>
      <w:r>
        <w:rPr>
          <w:kern w:val="0"/>
          <w:szCs w:val="21"/>
          <w:u w:val="single"/>
        </w:rPr>
        <w:t>（标的名称）</w:t>
      </w:r>
      <w:r>
        <w:rPr>
          <w:kern w:val="0"/>
          <w:szCs w:val="21"/>
        </w:rPr>
        <w:t xml:space="preserve"> ，属于</w:t>
      </w:r>
      <w:r>
        <w:rPr>
          <w:kern w:val="0"/>
          <w:szCs w:val="21"/>
          <w:u w:val="single"/>
        </w:rPr>
        <w:t>（采购文件中明确的所属行业）</w:t>
      </w:r>
      <w:r>
        <w:rPr>
          <w:kern w:val="0"/>
          <w:szCs w:val="21"/>
        </w:rPr>
        <w:t>；承建（承接）企业为</w:t>
      </w:r>
      <w:r>
        <w:rPr>
          <w:kern w:val="0"/>
          <w:szCs w:val="21"/>
          <w:u w:val="single"/>
        </w:rPr>
        <w:t>（企业名称）</w:t>
      </w:r>
      <w:r>
        <w:rPr>
          <w:kern w:val="0"/>
          <w:szCs w:val="21"/>
        </w:rPr>
        <w:t>，从业人员</w:t>
      </w:r>
      <w:r>
        <w:rPr>
          <w:kern w:val="0"/>
          <w:szCs w:val="21"/>
          <w:u w:val="single"/>
        </w:rPr>
        <w:t xml:space="preserve">   </w:t>
      </w:r>
      <w:r>
        <w:rPr>
          <w:kern w:val="0"/>
          <w:szCs w:val="21"/>
        </w:rPr>
        <w:t>人，营业收入为</w:t>
      </w:r>
      <w:r>
        <w:rPr>
          <w:kern w:val="0"/>
          <w:szCs w:val="21"/>
          <w:u w:val="single"/>
        </w:rPr>
        <w:t xml:space="preserve">   </w:t>
      </w:r>
      <w:r>
        <w:rPr>
          <w:kern w:val="0"/>
          <w:szCs w:val="21"/>
        </w:rPr>
        <w:t>万元，资产总额为</w:t>
      </w:r>
      <w:r>
        <w:rPr>
          <w:kern w:val="0"/>
          <w:szCs w:val="21"/>
          <w:u w:val="single"/>
        </w:rPr>
        <w:t xml:space="preserve">   </w:t>
      </w:r>
      <w:r>
        <w:rPr>
          <w:kern w:val="0"/>
          <w:szCs w:val="21"/>
        </w:rPr>
        <w:t>万元，属于</w:t>
      </w:r>
      <w:r>
        <w:rPr>
          <w:kern w:val="0"/>
          <w:szCs w:val="21"/>
          <w:u w:val="single"/>
        </w:rPr>
        <w:t>（中型企业、 小型企业、微型企业）</w:t>
      </w:r>
      <w:r>
        <w:rPr>
          <w:kern w:val="0"/>
          <w:szCs w:val="21"/>
        </w:rPr>
        <w:t xml:space="preserve">； </w:t>
      </w:r>
    </w:p>
    <w:p>
      <w:pPr>
        <w:widowControl/>
        <w:spacing w:line="480" w:lineRule="auto"/>
        <w:ind w:firstLine="420" w:firstLineChars="200"/>
        <w:jc w:val="left"/>
        <w:rPr>
          <w:kern w:val="0"/>
          <w:szCs w:val="21"/>
        </w:rPr>
      </w:pPr>
    </w:p>
    <w:p>
      <w:pPr>
        <w:widowControl/>
        <w:spacing w:line="480" w:lineRule="auto"/>
        <w:ind w:firstLine="420" w:firstLineChars="200"/>
        <w:jc w:val="left"/>
        <w:rPr>
          <w:szCs w:val="21"/>
        </w:rPr>
      </w:pPr>
      <w:r>
        <w:rPr>
          <w:kern w:val="0"/>
          <w:szCs w:val="21"/>
        </w:rPr>
        <w:t xml:space="preserve">本企业对上述声明内容的真实性负责。如有虚假，将依法承担相应责任。 </w:t>
      </w:r>
    </w:p>
    <w:p>
      <w:pPr>
        <w:widowControl/>
        <w:spacing w:line="480" w:lineRule="auto"/>
        <w:ind w:firstLine="2940" w:firstLineChars="1400"/>
        <w:jc w:val="center"/>
        <w:rPr>
          <w:kern w:val="0"/>
          <w:szCs w:val="21"/>
        </w:rPr>
      </w:pPr>
    </w:p>
    <w:p>
      <w:pPr>
        <w:widowControl/>
        <w:spacing w:line="480" w:lineRule="auto"/>
        <w:ind w:firstLine="2940" w:firstLineChars="1400"/>
        <w:jc w:val="center"/>
        <w:rPr>
          <w:kern w:val="0"/>
          <w:szCs w:val="21"/>
        </w:rPr>
      </w:pPr>
    </w:p>
    <w:p>
      <w:pPr>
        <w:widowControl/>
        <w:spacing w:line="480" w:lineRule="auto"/>
        <w:ind w:firstLine="2940" w:firstLineChars="1400"/>
        <w:jc w:val="center"/>
        <w:rPr>
          <w:szCs w:val="21"/>
        </w:rPr>
      </w:pPr>
      <w:r>
        <w:rPr>
          <w:kern w:val="0"/>
          <w:szCs w:val="21"/>
        </w:rPr>
        <w:t xml:space="preserve">企业名称（盖章）： </w:t>
      </w:r>
    </w:p>
    <w:p>
      <w:pPr>
        <w:widowControl/>
        <w:spacing w:line="480" w:lineRule="auto"/>
        <w:ind w:firstLine="1260" w:firstLineChars="600"/>
        <w:jc w:val="center"/>
        <w:rPr>
          <w:szCs w:val="21"/>
        </w:rPr>
      </w:pPr>
      <w:r>
        <w:rPr>
          <w:kern w:val="0"/>
          <w:szCs w:val="21"/>
        </w:rPr>
        <w:t xml:space="preserve">     日 期：</w:t>
      </w:r>
    </w:p>
    <w:p>
      <w:pPr>
        <w:spacing w:line="360" w:lineRule="auto"/>
        <w:ind w:right="-110"/>
        <w:jc w:val="center"/>
        <w:rPr>
          <w:b/>
          <w:sz w:val="36"/>
          <w:szCs w:val="36"/>
        </w:rPr>
      </w:pPr>
    </w:p>
    <w:p>
      <w:pPr>
        <w:pStyle w:val="45"/>
        <w:spacing w:line="360" w:lineRule="auto"/>
        <w:ind w:firstLine="420" w:firstLineChars="200"/>
        <w:rPr>
          <w:szCs w:val="21"/>
          <w:lang w:val="en-GB"/>
        </w:rPr>
      </w:pPr>
      <w:r>
        <w:rPr>
          <w:kern w:val="0"/>
          <w:szCs w:val="21"/>
        </w:rPr>
        <w:t>注：从业人员、营业收入、资产总额填报上一年度数据，无上一年度数据的新成立企业可不填报</w:t>
      </w:r>
      <w:r>
        <w:rPr>
          <w:szCs w:val="21"/>
          <w:lang w:val="en-GB"/>
        </w:rPr>
        <w:t>。</w:t>
      </w:r>
    </w:p>
    <w:p>
      <w:pPr>
        <w:pStyle w:val="10"/>
        <w:numPr>
          <w:ilvl w:val="0"/>
          <w:numId w:val="0"/>
        </w:numPr>
        <w:tabs>
          <w:tab w:val="left" w:pos="454"/>
          <w:tab w:val="left" w:pos="720"/>
          <w:tab w:val="left" w:pos="1200"/>
          <w:tab w:val="clear" w:pos="360"/>
        </w:tabs>
        <w:snapToGrid w:val="0"/>
        <w:spacing w:line="360" w:lineRule="exact"/>
        <w:ind w:firstLine="420" w:firstLineChars="200"/>
      </w:pPr>
    </w:p>
    <w:p>
      <w:pPr>
        <w:pStyle w:val="10"/>
        <w:numPr>
          <w:ilvl w:val="0"/>
          <w:numId w:val="0"/>
        </w:numPr>
        <w:tabs>
          <w:tab w:val="left" w:pos="454"/>
          <w:tab w:val="left" w:pos="720"/>
          <w:tab w:val="left" w:pos="1200"/>
          <w:tab w:val="clear" w:pos="360"/>
        </w:tabs>
        <w:snapToGrid w:val="0"/>
        <w:spacing w:line="360" w:lineRule="exact"/>
        <w:ind w:firstLine="422" w:firstLineChars="200"/>
        <w:rPr>
          <w:b/>
          <w:bCs/>
          <w:szCs w:val="21"/>
          <w:lang w:val="en-GB"/>
        </w:rPr>
      </w:pPr>
    </w:p>
    <w:p>
      <w:pPr>
        <w:pStyle w:val="10"/>
        <w:numPr>
          <w:ilvl w:val="0"/>
          <w:numId w:val="0"/>
        </w:numPr>
        <w:tabs>
          <w:tab w:val="left" w:pos="454"/>
          <w:tab w:val="left" w:pos="720"/>
          <w:tab w:val="left" w:pos="1200"/>
          <w:tab w:val="clear" w:pos="360"/>
        </w:tabs>
        <w:snapToGrid w:val="0"/>
        <w:spacing w:line="360" w:lineRule="exact"/>
        <w:ind w:firstLine="422" w:firstLineChars="200"/>
        <w:rPr>
          <w:b/>
          <w:bCs/>
          <w:szCs w:val="21"/>
          <w:lang w:val="en-GB"/>
        </w:rPr>
      </w:pPr>
    </w:p>
    <w:p>
      <w:pPr>
        <w:pStyle w:val="10"/>
        <w:numPr>
          <w:ilvl w:val="0"/>
          <w:numId w:val="0"/>
        </w:numPr>
        <w:tabs>
          <w:tab w:val="left" w:pos="454"/>
          <w:tab w:val="left" w:pos="720"/>
          <w:tab w:val="left" w:pos="1200"/>
          <w:tab w:val="clear" w:pos="360"/>
        </w:tabs>
        <w:snapToGrid w:val="0"/>
        <w:spacing w:line="360" w:lineRule="exact"/>
        <w:ind w:firstLine="422" w:firstLineChars="200"/>
        <w:rPr>
          <w:b/>
          <w:bCs/>
          <w:szCs w:val="21"/>
          <w:lang w:val="en-GB"/>
        </w:rPr>
      </w:pPr>
    </w:p>
    <w:p>
      <w:pPr>
        <w:pStyle w:val="10"/>
        <w:numPr>
          <w:ilvl w:val="0"/>
          <w:numId w:val="0"/>
        </w:numPr>
        <w:tabs>
          <w:tab w:val="left" w:pos="454"/>
          <w:tab w:val="left" w:pos="720"/>
          <w:tab w:val="left" w:pos="1200"/>
          <w:tab w:val="clear" w:pos="360"/>
        </w:tabs>
        <w:snapToGrid w:val="0"/>
        <w:spacing w:line="360" w:lineRule="exact"/>
        <w:ind w:firstLine="422" w:firstLineChars="200"/>
        <w:rPr>
          <w:b/>
          <w:bCs/>
          <w:szCs w:val="21"/>
          <w:lang w:val="en-GB"/>
        </w:rPr>
      </w:pPr>
    </w:p>
    <w:p>
      <w:pPr>
        <w:snapToGrid w:val="0"/>
        <w:spacing w:beforeLines="50" w:after="50" w:line="360" w:lineRule="auto"/>
        <w:rPr>
          <w:b/>
          <w:szCs w:val="21"/>
        </w:rPr>
      </w:pPr>
    </w:p>
    <w:p>
      <w:pPr>
        <w:snapToGrid w:val="0"/>
        <w:spacing w:line="360" w:lineRule="auto"/>
        <w:ind w:right="480"/>
        <w:jc w:val="left"/>
        <w:rPr>
          <w:rStyle w:val="31"/>
          <w:b/>
          <w:color w:val="auto"/>
          <w:sz w:val="32"/>
          <w:szCs w:val="32"/>
        </w:rPr>
      </w:pPr>
      <w:r>
        <w:rPr>
          <w:b/>
          <w:szCs w:val="21"/>
        </w:rPr>
        <w:t xml:space="preserve">附件5  </w:t>
      </w:r>
    </w:p>
    <w:p>
      <w:pPr>
        <w:snapToGrid w:val="0"/>
        <w:spacing w:line="360" w:lineRule="auto"/>
        <w:ind w:right="480"/>
        <w:jc w:val="center"/>
        <w:rPr>
          <w:rStyle w:val="31"/>
          <w:b/>
          <w:color w:val="auto"/>
          <w:sz w:val="28"/>
          <w:szCs w:val="28"/>
        </w:rPr>
      </w:pPr>
      <w:r>
        <w:rPr>
          <w:rStyle w:val="31"/>
          <w:b/>
          <w:color w:val="auto"/>
          <w:sz w:val="32"/>
          <w:szCs w:val="32"/>
        </w:rPr>
        <w:t xml:space="preserve">  </w:t>
      </w:r>
      <w:r>
        <w:rPr>
          <w:rStyle w:val="31"/>
          <w:b/>
          <w:color w:val="auto"/>
          <w:sz w:val="28"/>
          <w:szCs w:val="28"/>
        </w:rPr>
        <w:t xml:space="preserve"> 符合参加政府采购活动应当具备的一般条件的承诺函</w:t>
      </w:r>
    </w:p>
    <w:p>
      <w:pPr>
        <w:pStyle w:val="12"/>
        <w:tabs>
          <w:tab w:val="left" w:pos="720"/>
          <w:tab w:val="left" w:pos="1260"/>
          <w:tab w:val="left" w:pos="2160"/>
          <w:tab w:val="left" w:pos="2880"/>
          <w:tab w:val="left" w:pos="3600"/>
          <w:tab w:val="left" w:pos="4320"/>
          <w:tab w:val="left" w:pos="5040"/>
          <w:tab w:val="left" w:pos="5760"/>
        </w:tabs>
      </w:pPr>
    </w:p>
    <w:p>
      <w:pPr>
        <w:pStyle w:val="14"/>
        <w:spacing w:line="400" w:lineRule="exact"/>
        <w:rPr>
          <w:rFonts w:ascii="Times New Roman" w:hAnsi="Times New Roman" w:cs="Times New Roman"/>
          <w:b/>
          <w:szCs w:val="21"/>
        </w:rPr>
      </w:pPr>
      <w:r>
        <w:rPr>
          <w:rFonts w:ascii="Times New Roman" w:hAnsi="Times New Roman" w:cs="Times New Roman"/>
          <w:b/>
          <w:szCs w:val="21"/>
          <w:u w:val="single"/>
        </w:rPr>
        <w:t xml:space="preserve">                       </w:t>
      </w:r>
      <w:r>
        <w:rPr>
          <w:rFonts w:ascii="Times New Roman" w:hAnsi="Times New Roman" w:cs="Times New Roman"/>
          <w:kern w:val="0"/>
          <w:szCs w:val="21"/>
          <w:u w:val="single"/>
        </w:rPr>
        <w:t>（采购代理机构名称）</w:t>
      </w:r>
      <w:r>
        <w:rPr>
          <w:rFonts w:ascii="Times New Roman" w:hAnsi="Times New Roman" w:cs="Times New Roman"/>
          <w:b/>
          <w:szCs w:val="21"/>
        </w:rPr>
        <w:t>：</w:t>
      </w:r>
    </w:p>
    <w:p>
      <w:pPr>
        <w:snapToGrid w:val="0"/>
        <w:spacing w:line="360" w:lineRule="auto"/>
        <w:ind w:firstLine="420" w:firstLineChars="200"/>
        <w:rPr>
          <w:szCs w:val="21"/>
        </w:rPr>
      </w:pPr>
    </w:p>
    <w:p>
      <w:pPr>
        <w:snapToGrid w:val="0"/>
        <w:spacing w:line="420" w:lineRule="exact"/>
        <w:ind w:firstLine="420" w:firstLineChars="200"/>
        <w:rPr>
          <w:szCs w:val="21"/>
        </w:rPr>
      </w:pPr>
      <w:r>
        <w:rPr>
          <w:szCs w:val="21"/>
        </w:rPr>
        <w:t>我公司参与</w:t>
      </w:r>
      <w:r>
        <w:rPr>
          <w:kern w:val="0"/>
          <w:szCs w:val="21"/>
          <w:u w:val="single"/>
        </w:rPr>
        <w:t xml:space="preserve">                </w:t>
      </w:r>
      <w:r>
        <w:rPr>
          <w:kern w:val="0"/>
          <w:szCs w:val="21"/>
        </w:rPr>
        <w:t>（磋商</w:t>
      </w:r>
      <w:r>
        <w:rPr>
          <w:kern w:val="0"/>
          <w:szCs w:val="21"/>
          <w:u w:val="single"/>
        </w:rPr>
        <w:t>项目名称</w:t>
      </w:r>
      <w:r>
        <w:rPr>
          <w:kern w:val="0"/>
          <w:szCs w:val="21"/>
        </w:rPr>
        <w:t>）（编号为</w:t>
      </w:r>
      <w:r>
        <w:rPr>
          <w:kern w:val="0"/>
          <w:szCs w:val="21"/>
          <w:u w:val="single"/>
        </w:rPr>
        <w:t xml:space="preserve">         </w:t>
      </w:r>
      <w:r>
        <w:rPr>
          <w:kern w:val="0"/>
          <w:szCs w:val="21"/>
        </w:rPr>
        <w:t>）</w:t>
      </w:r>
      <w:r>
        <w:rPr>
          <w:szCs w:val="21"/>
        </w:rPr>
        <w:t>政府采购活动，郑重承诺：</w:t>
      </w:r>
    </w:p>
    <w:p>
      <w:pPr>
        <w:snapToGrid w:val="0"/>
        <w:spacing w:line="420" w:lineRule="exact"/>
        <w:ind w:firstLine="315" w:firstLineChars="150"/>
        <w:rPr>
          <w:szCs w:val="21"/>
        </w:rPr>
      </w:pPr>
      <w:r>
        <w:rPr>
          <w:szCs w:val="21"/>
        </w:rPr>
        <w:t>（一）具备《中华人民共和国政府采购法》第二十二条第一款规定的条件：</w:t>
      </w:r>
    </w:p>
    <w:p>
      <w:pPr>
        <w:snapToGrid w:val="0"/>
        <w:spacing w:line="420" w:lineRule="exact"/>
        <w:ind w:firstLine="420" w:firstLineChars="200"/>
        <w:rPr>
          <w:szCs w:val="21"/>
        </w:rPr>
      </w:pPr>
      <w:r>
        <w:rPr>
          <w:szCs w:val="21"/>
        </w:rPr>
        <w:t>1、具有独立承担民事责任的能力；</w:t>
      </w:r>
    </w:p>
    <w:p>
      <w:pPr>
        <w:snapToGrid w:val="0"/>
        <w:spacing w:line="420" w:lineRule="exact"/>
        <w:ind w:firstLine="420" w:firstLineChars="200"/>
        <w:rPr>
          <w:szCs w:val="21"/>
        </w:rPr>
      </w:pPr>
      <w:r>
        <w:rPr>
          <w:szCs w:val="21"/>
        </w:rPr>
        <w:t xml:space="preserve">2、具有良好的商业信誉和健全的财务会计制度； </w:t>
      </w:r>
    </w:p>
    <w:p>
      <w:pPr>
        <w:snapToGrid w:val="0"/>
        <w:spacing w:line="420" w:lineRule="exact"/>
        <w:ind w:firstLine="420" w:firstLineChars="200"/>
        <w:rPr>
          <w:szCs w:val="21"/>
        </w:rPr>
      </w:pPr>
      <w:r>
        <w:rPr>
          <w:szCs w:val="21"/>
        </w:rPr>
        <w:t>3、具有履行合同所必需的设备和专业技术能力；</w:t>
      </w:r>
    </w:p>
    <w:p>
      <w:pPr>
        <w:snapToGrid w:val="0"/>
        <w:spacing w:line="420" w:lineRule="exact"/>
        <w:ind w:firstLine="420" w:firstLineChars="200"/>
        <w:rPr>
          <w:szCs w:val="21"/>
        </w:rPr>
      </w:pPr>
      <w:r>
        <w:rPr>
          <w:szCs w:val="21"/>
        </w:rPr>
        <w:t>4、有依法缴纳税收和社会保障资金的良好记录；</w:t>
      </w:r>
    </w:p>
    <w:p>
      <w:pPr>
        <w:snapToGrid w:val="0"/>
        <w:spacing w:line="420" w:lineRule="exact"/>
        <w:ind w:firstLine="420" w:firstLineChars="200"/>
        <w:rPr>
          <w:szCs w:val="21"/>
        </w:rPr>
      </w:pPr>
      <w:r>
        <w:rPr>
          <w:szCs w:val="21"/>
        </w:rPr>
        <w:t>5、参加政府采购活动前三年内，在经营活动中没有重大违法记录；</w:t>
      </w:r>
    </w:p>
    <w:p>
      <w:pPr>
        <w:snapToGrid w:val="0"/>
        <w:spacing w:line="420" w:lineRule="exact"/>
        <w:ind w:firstLine="420" w:firstLineChars="200"/>
        <w:rPr>
          <w:szCs w:val="21"/>
        </w:rPr>
      </w:pPr>
      <w:r>
        <w:rPr>
          <w:szCs w:val="21"/>
        </w:rPr>
        <w:t>6、具有法律、行政法规规定的其他条件。</w:t>
      </w:r>
    </w:p>
    <w:p>
      <w:pPr>
        <w:snapToGrid w:val="0"/>
        <w:spacing w:line="420" w:lineRule="exact"/>
        <w:ind w:firstLine="315" w:firstLineChars="150"/>
        <w:rPr>
          <w:szCs w:val="21"/>
        </w:rPr>
      </w:pPr>
      <w:r>
        <w:rPr>
          <w:szCs w:val="21"/>
        </w:rPr>
        <w:t>（二）未被“信用中国”（www.creditchina.gov.cn)、中国政府采购网（www.ccgp.gov.cn）列入失信被执行人、重大税收违法案件当事人名单、政府采购严重违法失信行为记录名单。</w:t>
      </w:r>
    </w:p>
    <w:p>
      <w:pPr>
        <w:snapToGrid w:val="0"/>
        <w:spacing w:beforeLines="50" w:after="50" w:line="360" w:lineRule="auto"/>
        <w:rPr>
          <w:b/>
          <w:szCs w:val="21"/>
        </w:rPr>
      </w:pPr>
    </w:p>
    <w:p>
      <w:pPr>
        <w:snapToGrid w:val="0"/>
        <w:spacing w:beforeLines="50" w:after="50" w:line="360" w:lineRule="auto"/>
        <w:rPr>
          <w:b/>
          <w:szCs w:val="21"/>
        </w:rPr>
      </w:pPr>
    </w:p>
    <w:p>
      <w:pPr>
        <w:snapToGrid w:val="0"/>
        <w:spacing w:beforeLines="50" w:after="50" w:line="360" w:lineRule="auto"/>
        <w:rPr>
          <w:b/>
          <w:szCs w:val="21"/>
        </w:rPr>
      </w:pPr>
    </w:p>
    <w:p>
      <w:pPr>
        <w:adjustRightInd w:val="0"/>
        <w:snapToGrid w:val="0"/>
        <w:spacing w:line="520" w:lineRule="exact"/>
        <w:ind w:left="4620" w:leftChars="2200"/>
        <w:rPr>
          <w:kern w:val="0"/>
          <w:szCs w:val="21"/>
          <w:lang w:val="zh-CN"/>
        </w:rPr>
      </w:pPr>
      <w:r>
        <w:rPr>
          <w:kern w:val="0"/>
          <w:szCs w:val="21"/>
          <w:lang w:val="zh-CN"/>
        </w:rPr>
        <w:t>投标人名称(公章)：</w:t>
      </w:r>
    </w:p>
    <w:p>
      <w:pPr>
        <w:adjustRightInd w:val="0"/>
        <w:snapToGrid w:val="0"/>
        <w:spacing w:line="520" w:lineRule="exact"/>
        <w:ind w:left="4620" w:leftChars="2200"/>
        <w:rPr>
          <w:kern w:val="0"/>
          <w:szCs w:val="21"/>
          <w:lang w:val="zh-CN"/>
        </w:rPr>
      </w:pPr>
      <w:r>
        <w:rPr>
          <w:kern w:val="0"/>
          <w:szCs w:val="21"/>
          <w:lang w:val="zh-CN"/>
        </w:rPr>
        <w:t>法定代表人或授权委托人</w:t>
      </w:r>
      <w:r>
        <w:rPr>
          <w:rFonts w:hint="eastAsia"/>
          <w:szCs w:val="21"/>
          <w:lang w:eastAsia="zh-CN"/>
        </w:rPr>
        <w:t>（</w:t>
      </w:r>
      <w:r>
        <w:rPr>
          <w:szCs w:val="21"/>
        </w:rPr>
        <w:t>签字或盖章</w:t>
      </w:r>
      <w:r>
        <w:rPr>
          <w:rFonts w:hint="eastAsia"/>
          <w:szCs w:val="21"/>
          <w:lang w:eastAsia="zh-CN"/>
        </w:rPr>
        <w:t>）</w:t>
      </w:r>
      <w:r>
        <w:rPr>
          <w:kern w:val="0"/>
          <w:szCs w:val="21"/>
          <w:lang w:val="zh-CN"/>
        </w:rPr>
        <w:t>：</w:t>
      </w:r>
    </w:p>
    <w:p>
      <w:pPr>
        <w:adjustRightInd w:val="0"/>
        <w:snapToGrid w:val="0"/>
        <w:spacing w:line="520" w:lineRule="exact"/>
        <w:ind w:left="4620" w:leftChars="2200" w:right="480"/>
        <w:rPr>
          <w:kern w:val="0"/>
          <w:szCs w:val="21"/>
          <w:lang w:val="zh-CN"/>
        </w:rPr>
      </w:pPr>
      <w:r>
        <w:rPr>
          <w:kern w:val="0"/>
          <w:szCs w:val="21"/>
          <w:lang w:val="zh-CN"/>
        </w:rPr>
        <w:t>日期：</w:t>
      </w:r>
      <w:r>
        <w:rPr>
          <w:kern w:val="0"/>
          <w:szCs w:val="21"/>
        </w:rPr>
        <w:t xml:space="preserve">  </w:t>
      </w:r>
      <w:r>
        <w:rPr>
          <w:rFonts w:hint="eastAsia"/>
          <w:kern w:val="0"/>
          <w:szCs w:val="21"/>
        </w:rPr>
        <w:t xml:space="preserve"> </w:t>
      </w:r>
      <w:r>
        <w:rPr>
          <w:kern w:val="0"/>
          <w:szCs w:val="21"/>
        </w:rPr>
        <w:t xml:space="preserve"> </w:t>
      </w:r>
      <w:r>
        <w:rPr>
          <w:kern w:val="0"/>
          <w:szCs w:val="21"/>
          <w:lang w:val="zh-CN"/>
        </w:rPr>
        <w:t xml:space="preserve">年  </w:t>
      </w:r>
      <w:r>
        <w:rPr>
          <w:kern w:val="0"/>
          <w:szCs w:val="21"/>
        </w:rPr>
        <w:t xml:space="preserve"> </w:t>
      </w:r>
      <w:r>
        <w:rPr>
          <w:rFonts w:hint="eastAsia"/>
          <w:kern w:val="0"/>
          <w:szCs w:val="21"/>
        </w:rPr>
        <w:t xml:space="preserve"> </w:t>
      </w:r>
      <w:r>
        <w:rPr>
          <w:kern w:val="0"/>
          <w:szCs w:val="21"/>
          <w:lang w:val="zh-CN"/>
        </w:rPr>
        <w:t>月</w:t>
      </w:r>
      <w:r>
        <w:rPr>
          <w:kern w:val="0"/>
          <w:szCs w:val="21"/>
        </w:rPr>
        <w:t xml:space="preserve">  </w:t>
      </w:r>
      <w:r>
        <w:rPr>
          <w:rFonts w:hint="eastAsia"/>
          <w:kern w:val="0"/>
          <w:szCs w:val="21"/>
        </w:rPr>
        <w:t xml:space="preserve"> </w:t>
      </w:r>
      <w:r>
        <w:rPr>
          <w:kern w:val="0"/>
          <w:szCs w:val="21"/>
        </w:rPr>
        <w:t xml:space="preserve"> </w:t>
      </w:r>
      <w:r>
        <w:rPr>
          <w:kern w:val="0"/>
          <w:szCs w:val="21"/>
          <w:lang w:val="zh-CN"/>
        </w:rPr>
        <w:t>日</w:t>
      </w:r>
    </w:p>
    <w:p>
      <w:pPr>
        <w:snapToGrid w:val="0"/>
        <w:spacing w:beforeLines="50" w:after="50" w:line="520" w:lineRule="exact"/>
        <w:rPr>
          <w:b/>
          <w:szCs w:val="21"/>
        </w:rPr>
      </w:pPr>
    </w:p>
    <w:p>
      <w:pPr>
        <w:snapToGrid w:val="0"/>
        <w:spacing w:beforeLines="50" w:after="50" w:line="360" w:lineRule="auto"/>
        <w:rPr>
          <w:b/>
          <w:szCs w:val="21"/>
        </w:rPr>
      </w:pPr>
    </w:p>
    <w:p>
      <w:pPr>
        <w:pStyle w:val="3"/>
        <w:rPr>
          <w:b/>
          <w:szCs w:val="21"/>
        </w:rPr>
      </w:pPr>
    </w:p>
    <w:p>
      <w:pPr>
        <w:rPr>
          <w:b/>
          <w:szCs w:val="21"/>
        </w:rPr>
      </w:pPr>
    </w:p>
    <w:p>
      <w:pPr>
        <w:pStyle w:val="3"/>
      </w:pPr>
    </w:p>
    <w:p>
      <w:pPr>
        <w:snapToGrid w:val="0"/>
        <w:spacing w:beforeLines="50" w:after="50" w:line="360" w:lineRule="auto"/>
        <w:rPr>
          <w:b/>
          <w:szCs w:val="21"/>
        </w:rPr>
      </w:pPr>
    </w:p>
    <w:p>
      <w:pPr>
        <w:snapToGrid w:val="0"/>
        <w:spacing w:beforeLines="50" w:after="50" w:line="360" w:lineRule="auto"/>
        <w:rPr>
          <w:b/>
          <w:szCs w:val="21"/>
        </w:rPr>
      </w:pPr>
    </w:p>
    <w:p>
      <w:pPr>
        <w:snapToGrid w:val="0"/>
        <w:spacing w:beforeLines="50" w:after="50" w:line="360" w:lineRule="auto"/>
        <w:rPr>
          <w:b/>
          <w:szCs w:val="21"/>
        </w:rPr>
      </w:pPr>
      <w:r>
        <w:rPr>
          <w:b/>
          <w:szCs w:val="21"/>
        </w:rPr>
        <w:t>附件6</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eastAsia" w:eastAsia="宋体"/>
          <w:b/>
          <w:bCs/>
          <w:kern w:val="0"/>
          <w:sz w:val="36"/>
          <w:szCs w:val="36"/>
          <w:lang w:eastAsia="zh-CN"/>
        </w:rPr>
      </w:pPr>
      <w:r>
        <w:rPr>
          <w:rFonts w:hint="eastAsia"/>
          <w:b/>
          <w:bCs/>
          <w:kern w:val="0"/>
          <w:sz w:val="36"/>
          <w:szCs w:val="36"/>
          <w:lang w:eastAsia="zh-CN"/>
        </w:rPr>
        <w:t>玉环市人民医院健共体集团数据中心设备采购</w:t>
      </w:r>
    </w:p>
    <w:p>
      <w:pPr>
        <w:autoSpaceDE w:val="0"/>
        <w:autoSpaceDN w:val="0"/>
        <w:adjustRightInd w:val="0"/>
        <w:spacing w:line="360" w:lineRule="auto"/>
        <w:jc w:val="center"/>
        <w:rPr>
          <w:rFonts w:hint="eastAsia" w:eastAsia="宋体"/>
          <w:b/>
          <w:kern w:val="0"/>
          <w:sz w:val="32"/>
          <w:lang w:eastAsia="zh-CN"/>
        </w:rPr>
      </w:pPr>
      <w:r>
        <w:rPr>
          <w:sz w:val="36"/>
          <w:szCs w:val="36"/>
        </w:rPr>
        <w:t>项目编号：</w:t>
      </w:r>
      <w:r>
        <w:rPr>
          <w:rFonts w:hint="eastAsia"/>
          <w:b/>
          <w:kern w:val="0"/>
          <w:sz w:val="32"/>
          <w:lang w:eastAsia="zh-CN"/>
        </w:rPr>
        <w:t>DDZX2022-Y-GK-22-1</w:t>
      </w:r>
    </w:p>
    <w:p>
      <w:pPr>
        <w:pStyle w:val="6"/>
        <w:rPr>
          <w:rFonts w:ascii="Times New Roman" w:hAnsi="Times New Roman" w:eastAsia="宋体"/>
          <w:kern w:val="0"/>
        </w:rPr>
      </w:pPr>
    </w:p>
    <w:p/>
    <w:p>
      <w:pPr>
        <w:rPr>
          <w:lang w:val="zh-CN"/>
        </w:rPr>
      </w:pPr>
    </w:p>
    <w:p>
      <w:pPr>
        <w:autoSpaceDE w:val="0"/>
        <w:autoSpaceDN w:val="0"/>
        <w:adjustRightInd w:val="0"/>
        <w:spacing w:line="360" w:lineRule="auto"/>
        <w:jc w:val="center"/>
        <w:rPr>
          <w:sz w:val="84"/>
          <w:szCs w:val="84"/>
          <w:lang w:val="zh-CN"/>
        </w:rPr>
      </w:pPr>
      <w:r>
        <w:rPr>
          <w:sz w:val="84"/>
          <w:szCs w:val="84"/>
          <w:lang w:val="zh-CN"/>
        </w:rPr>
        <w:t>投</w:t>
      </w:r>
    </w:p>
    <w:p>
      <w:pPr>
        <w:autoSpaceDE w:val="0"/>
        <w:autoSpaceDN w:val="0"/>
        <w:adjustRightInd w:val="0"/>
        <w:spacing w:line="360" w:lineRule="auto"/>
        <w:jc w:val="center"/>
        <w:rPr>
          <w:sz w:val="84"/>
          <w:szCs w:val="84"/>
          <w:lang w:val="zh-CN"/>
        </w:rPr>
      </w:pPr>
      <w:r>
        <w:rPr>
          <w:sz w:val="84"/>
          <w:szCs w:val="84"/>
          <w:lang w:val="zh-CN"/>
        </w:rPr>
        <w:t>标</w:t>
      </w:r>
    </w:p>
    <w:p>
      <w:pPr>
        <w:autoSpaceDE w:val="0"/>
        <w:autoSpaceDN w:val="0"/>
        <w:adjustRightInd w:val="0"/>
        <w:spacing w:line="360" w:lineRule="auto"/>
        <w:jc w:val="center"/>
        <w:rPr>
          <w:sz w:val="84"/>
          <w:szCs w:val="84"/>
        </w:rPr>
      </w:pPr>
      <w:r>
        <w:rPr>
          <w:sz w:val="84"/>
          <w:szCs w:val="84"/>
          <w:lang w:val="zh-CN"/>
        </w:rPr>
        <w:t>文</w:t>
      </w:r>
    </w:p>
    <w:p>
      <w:pPr>
        <w:spacing w:after="100" w:afterAutospacing="1" w:line="360" w:lineRule="auto"/>
        <w:ind w:right="-108"/>
        <w:jc w:val="center"/>
        <w:rPr>
          <w:sz w:val="84"/>
          <w:szCs w:val="84"/>
          <w:lang w:val="zh-CN"/>
        </w:rPr>
      </w:pPr>
      <w:r>
        <w:rPr>
          <w:sz w:val="84"/>
          <w:szCs w:val="84"/>
          <w:lang w:val="zh-CN"/>
        </w:rPr>
        <w:t>件</w:t>
      </w:r>
    </w:p>
    <w:p>
      <w:pPr>
        <w:spacing w:after="100" w:afterAutospacing="1" w:line="360" w:lineRule="auto"/>
        <w:ind w:right="-108"/>
        <w:jc w:val="center"/>
        <w:rPr>
          <w:b/>
          <w:spacing w:val="40"/>
          <w:sz w:val="28"/>
          <w:szCs w:val="28"/>
        </w:rPr>
      </w:pPr>
      <w:r>
        <w:rPr>
          <w:sz w:val="28"/>
          <w:szCs w:val="28"/>
          <w:lang w:val="zh-CN"/>
        </w:rPr>
        <w:t>（</w:t>
      </w:r>
      <w:r>
        <w:rPr>
          <w:bCs/>
          <w:sz w:val="24"/>
          <w:lang w:val="zh-CN"/>
        </w:rPr>
        <w:t>商务与技术文件</w:t>
      </w:r>
      <w:r>
        <w:rPr>
          <w:bCs/>
          <w:spacing w:val="40"/>
          <w:sz w:val="28"/>
          <w:szCs w:val="28"/>
        </w:rPr>
        <w:t>）</w:t>
      </w:r>
    </w:p>
    <w:p>
      <w:pPr>
        <w:spacing w:line="360" w:lineRule="auto"/>
        <w:ind w:right="532" w:firstLine="720" w:firstLineChars="200"/>
        <w:rPr>
          <w:sz w:val="36"/>
          <w:szCs w:val="36"/>
        </w:rPr>
      </w:pPr>
    </w:p>
    <w:p>
      <w:pPr>
        <w:pStyle w:val="21"/>
        <w:rPr>
          <w:rFonts w:ascii="Times New Roman" w:hAnsi="Times New Roman"/>
        </w:rPr>
      </w:pPr>
    </w:p>
    <w:p>
      <w:pPr>
        <w:spacing w:line="360" w:lineRule="auto"/>
        <w:ind w:right="532" w:firstLine="1680" w:firstLineChars="700"/>
        <w:rPr>
          <w:sz w:val="24"/>
        </w:rPr>
      </w:pPr>
      <w:r>
        <w:rPr>
          <w:sz w:val="24"/>
        </w:rPr>
        <w:t>投标人全称（公章）：</w:t>
      </w:r>
    </w:p>
    <w:p>
      <w:pPr>
        <w:spacing w:line="360" w:lineRule="auto"/>
        <w:ind w:right="532" w:firstLine="1680" w:firstLineChars="700"/>
        <w:rPr>
          <w:sz w:val="24"/>
        </w:rPr>
      </w:pPr>
      <w:r>
        <w:rPr>
          <w:sz w:val="24"/>
        </w:rPr>
        <w:t>地    址：</w:t>
      </w:r>
    </w:p>
    <w:p>
      <w:pPr>
        <w:spacing w:line="360" w:lineRule="auto"/>
        <w:ind w:right="532" w:firstLine="1680" w:firstLineChars="700"/>
        <w:rPr>
          <w:sz w:val="24"/>
        </w:rPr>
      </w:pPr>
      <w:r>
        <w:rPr>
          <w:sz w:val="24"/>
        </w:rPr>
        <w:t>时    间：</w:t>
      </w:r>
    </w:p>
    <w:p>
      <w:pPr>
        <w:pStyle w:val="3"/>
      </w:pPr>
    </w:p>
    <w:p/>
    <w:p>
      <w:pPr>
        <w:adjustRightInd w:val="0"/>
        <w:snapToGrid w:val="0"/>
        <w:spacing w:line="600" w:lineRule="exact"/>
        <w:jc w:val="center"/>
        <w:rPr>
          <w:b/>
          <w:kern w:val="0"/>
          <w:sz w:val="30"/>
          <w:szCs w:val="30"/>
          <w:lang w:val="zh-CN"/>
        </w:rPr>
      </w:pPr>
      <w:r>
        <w:rPr>
          <w:b/>
          <w:kern w:val="0"/>
          <w:sz w:val="30"/>
          <w:szCs w:val="30"/>
          <w:lang w:val="zh-CN"/>
        </w:rPr>
        <w:t>商务与技术文件目录</w:t>
      </w:r>
    </w:p>
    <w:p>
      <w:pPr>
        <w:snapToGrid w:val="0"/>
        <w:spacing w:line="360" w:lineRule="auto"/>
        <w:rPr>
          <w:sz w:val="24"/>
        </w:rPr>
      </w:pPr>
    </w:p>
    <w:p>
      <w:pPr>
        <w:snapToGrid w:val="0"/>
        <w:spacing w:line="440" w:lineRule="exact"/>
        <w:ind w:firstLine="422" w:firstLineChars="200"/>
        <w:rPr>
          <w:b/>
          <w:bCs/>
          <w:szCs w:val="21"/>
        </w:rPr>
      </w:pPr>
      <w:r>
        <w:rPr>
          <w:b/>
          <w:bCs/>
          <w:szCs w:val="21"/>
        </w:rPr>
        <w:t>第一部分  技术方案描述部分</w:t>
      </w:r>
    </w:p>
    <w:p>
      <w:pPr>
        <w:snapToGrid w:val="0"/>
        <w:spacing w:line="440" w:lineRule="exact"/>
        <w:ind w:firstLine="420" w:firstLineChars="200"/>
        <w:rPr>
          <w:szCs w:val="21"/>
        </w:rPr>
      </w:pPr>
      <w:r>
        <w:rPr>
          <w:szCs w:val="21"/>
        </w:rPr>
        <w:t>1、投标人情况介绍（附件7）；</w:t>
      </w:r>
    </w:p>
    <w:p>
      <w:pPr>
        <w:snapToGrid w:val="0"/>
        <w:spacing w:line="440" w:lineRule="exact"/>
        <w:ind w:firstLine="420" w:firstLineChars="200"/>
        <w:rPr>
          <w:szCs w:val="21"/>
        </w:rPr>
      </w:pPr>
      <w:r>
        <w:rPr>
          <w:szCs w:val="21"/>
        </w:rPr>
        <w:t>2、项目需求的理解与分析；</w:t>
      </w:r>
    </w:p>
    <w:p>
      <w:pPr>
        <w:snapToGrid w:val="0"/>
        <w:spacing w:line="440" w:lineRule="exact"/>
        <w:ind w:firstLine="420" w:firstLineChars="200"/>
        <w:rPr>
          <w:szCs w:val="21"/>
        </w:rPr>
      </w:pPr>
      <w:r>
        <w:rPr>
          <w:szCs w:val="21"/>
        </w:rPr>
        <w:t xml:space="preserve">3、项目组织实施方案(可视情选用附件8、附件9)； </w:t>
      </w:r>
    </w:p>
    <w:p>
      <w:pPr>
        <w:snapToGrid w:val="0"/>
        <w:spacing w:line="440" w:lineRule="exact"/>
        <w:ind w:firstLine="420" w:firstLineChars="200"/>
        <w:rPr>
          <w:szCs w:val="21"/>
        </w:rPr>
      </w:pPr>
      <w:r>
        <w:rPr>
          <w:szCs w:val="21"/>
        </w:rPr>
        <w:t>4、</w:t>
      </w:r>
      <w:r>
        <w:rPr>
          <w:kern w:val="0"/>
          <w:szCs w:val="21"/>
        </w:rPr>
        <w:t>安装、调试及验收方案</w:t>
      </w:r>
      <w:r>
        <w:rPr>
          <w:szCs w:val="21"/>
        </w:rPr>
        <w:t>；</w:t>
      </w:r>
    </w:p>
    <w:p>
      <w:pPr>
        <w:snapToGrid w:val="0"/>
        <w:spacing w:line="440" w:lineRule="exact"/>
        <w:ind w:firstLine="422" w:firstLineChars="200"/>
        <w:jc w:val="left"/>
        <w:rPr>
          <w:b/>
          <w:bCs/>
          <w:szCs w:val="21"/>
        </w:rPr>
      </w:pPr>
      <w:r>
        <w:rPr>
          <w:b/>
          <w:bCs/>
          <w:szCs w:val="21"/>
        </w:rPr>
        <w:t>第二部分  投标产品描述部分</w:t>
      </w:r>
    </w:p>
    <w:p>
      <w:pPr>
        <w:snapToGrid w:val="0"/>
        <w:spacing w:line="440" w:lineRule="exact"/>
        <w:ind w:firstLine="420" w:firstLineChars="200"/>
        <w:rPr>
          <w:kern w:val="0"/>
          <w:szCs w:val="21"/>
        </w:rPr>
      </w:pPr>
      <w:r>
        <w:rPr>
          <w:szCs w:val="21"/>
        </w:rPr>
        <w:t>1、</w:t>
      </w:r>
      <w:r>
        <w:rPr>
          <w:kern w:val="0"/>
          <w:szCs w:val="21"/>
        </w:rPr>
        <w:t>投标产品描述及相关资料（</w:t>
      </w:r>
      <w:r>
        <w:rPr>
          <w:szCs w:val="21"/>
        </w:rPr>
        <w:t>可视情选用附件10、附件11</w:t>
      </w:r>
      <w:r>
        <w:rPr>
          <w:kern w:val="0"/>
          <w:szCs w:val="21"/>
        </w:rPr>
        <w:t>）；</w:t>
      </w:r>
    </w:p>
    <w:p>
      <w:pPr>
        <w:snapToGrid w:val="0"/>
        <w:spacing w:line="440" w:lineRule="exact"/>
        <w:ind w:firstLine="420" w:firstLineChars="200"/>
        <w:rPr>
          <w:kern w:val="0"/>
          <w:szCs w:val="21"/>
        </w:rPr>
      </w:pPr>
      <w:r>
        <w:rPr>
          <w:kern w:val="0"/>
          <w:szCs w:val="21"/>
        </w:rPr>
        <w:t>2、</w:t>
      </w:r>
      <w:r>
        <w:rPr>
          <w:szCs w:val="21"/>
        </w:rPr>
        <w:t>投标人需要说明的其他内容（包括可能影响投标人技术性能评分项的各类证明材料）；</w:t>
      </w:r>
    </w:p>
    <w:p>
      <w:pPr>
        <w:snapToGrid w:val="0"/>
        <w:spacing w:line="440" w:lineRule="exact"/>
        <w:ind w:firstLine="422" w:firstLineChars="200"/>
        <w:rPr>
          <w:b/>
          <w:bCs/>
          <w:kern w:val="0"/>
          <w:szCs w:val="21"/>
        </w:rPr>
      </w:pPr>
      <w:r>
        <w:rPr>
          <w:b/>
          <w:bCs/>
          <w:kern w:val="0"/>
          <w:szCs w:val="21"/>
        </w:rPr>
        <w:t>第三部分  商务响应部分</w:t>
      </w:r>
    </w:p>
    <w:p>
      <w:pPr>
        <w:snapToGrid w:val="0"/>
        <w:spacing w:line="440" w:lineRule="exact"/>
        <w:ind w:firstLine="420" w:firstLineChars="200"/>
        <w:rPr>
          <w:kern w:val="0"/>
          <w:szCs w:val="21"/>
        </w:rPr>
      </w:pPr>
      <w:r>
        <w:rPr>
          <w:kern w:val="0"/>
          <w:szCs w:val="21"/>
        </w:rPr>
        <w:t>1、证书一览表（附件12）；</w:t>
      </w:r>
    </w:p>
    <w:p>
      <w:pPr>
        <w:snapToGrid w:val="0"/>
        <w:spacing w:line="440" w:lineRule="exact"/>
        <w:ind w:firstLine="420" w:firstLineChars="200"/>
        <w:rPr>
          <w:kern w:val="0"/>
          <w:szCs w:val="21"/>
        </w:rPr>
      </w:pPr>
      <w:r>
        <w:rPr>
          <w:kern w:val="0"/>
          <w:szCs w:val="21"/>
        </w:rPr>
        <w:t>2、近三年来类似项目的成功案例（附件13）；</w:t>
      </w:r>
    </w:p>
    <w:p>
      <w:pPr>
        <w:snapToGrid w:val="0"/>
        <w:spacing w:line="440" w:lineRule="exact"/>
        <w:ind w:firstLine="420" w:firstLineChars="200"/>
        <w:rPr>
          <w:kern w:val="0"/>
          <w:szCs w:val="21"/>
        </w:rPr>
      </w:pPr>
      <w:r>
        <w:rPr>
          <w:kern w:val="0"/>
          <w:szCs w:val="21"/>
        </w:rPr>
        <w:t>3、售后服务描述及承诺（可视情选用附件14，附件15）；</w:t>
      </w:r>
    </w:p>
    <w:p>
      <w:pPr>
        <w:snapToGrid w:val="0"/>
        <w:spacing w:line="440" w:lineRule="exact"/>
        <w:ind w:firstLine="420" w:firstLineChars="200"/>
        <w:rPr>
          <w:kern w:val="0"/>
          <w:szCs w:val="21"/>
        </w:rPr>
      </w:pPr>
      <w:r>
        <w:rPr>
          <w:kern w:val="0"/>
          <w:szCs w:val="21"/>
        </w:rPr>
        <w:t>4、投标人需要说明的其他内容（包括可能影响投标人企业实力及信誉评分项以及售后服务评分项的各类证明材料）。</w:t>
      </w:r>
    </w:p>
    <w:p>
      <w:pPr>
        <w:snapToGrid w:val="0"/>
        <w:spacing w:line="440" w:lineRule="exact"/>
        <w:ind w:firstLine="422" w:firstLineChars="200"/>
        <w:jc w:val="left"/>
        <w:rPr>
          <w:b/>
          <w:bCs/>
          <w:szCs w:val="21"/>
        </w:rPr>
      </w:pPr>
      <w:r>
        <w:rPr>
          <w:b/>
          <w:bCs/>
          <w:szCs w:val="21"/>
        </w:rPr>
        <w:t>第四部分  评标办法中的评分内容章节描述及需要提供的其他材料</w:t>
      </w:r>
    </w:p>
    <w:p>
      <w:pPr>
        <w:snapToGrid w:val="0"/>
        <w:spacing w:line="440" w:lineRule="exact"/>
        <w:ind w:firstLine="422" w:firstLineChars="200"/>
        <w:jc w:val="left"/>
        <w:rPr>
          <w:b/>
          <w:bCs/>
          <w:szCs w:val="21"/>
        </w:rPr>
      </w:pPr>
      <w:r>
        <w:rPr>
          <w:b/>
          <w:bCs/>
          <w:szCs w:val="21"/>
        </w:rPr>
        <w:t>第五部分  其他参考表格（此部分视情况选用）</w:t>
      </w:r>
    </w:p>
    <w:p>
      <w:pPr>
        <w:snapToGrid w:val="0"/>
        <w:spacing w:line="440" w:lineRule="exact"/>
        <w:ind w:firstLine="420" w:firstLineChars="200"/>
        <w:jc w:val="left"/>
        <w:rPr>
          <w:szCs w:val="21"/>
        </w:rPr>
      </w:pPr>
      <w:r>
        <w:rPr>
          <w:szCs w:val="21"/>
        </w:rPr>
        <w:t>1、主要货物用材响应表（附件16）。</w:t>
      </w:r>
    </w:p>
    <w:p>
      <w:pPr>
        <w:snapToGrid w:val="0"/>
        <w:spacing w:line="440" w:lineRule="exact"/>
        <w:ind w:firstLine="420" w:firstLineChars="200"/>
        <w:rPr>
          <w:kern w:val="0"/>
          <w:szCs w:val="21"/>
        </w:rPr>
      </w:pPr>
      <w:r>
        <w:rPr>
          <w:kern w:val="0"/>
          <w:szCs w:val="21"/>
        </w:rPr>
        <w:t>（以上内容具体描述详见“第二章投标人须知”中“三、投标文件”的组成说明）</w:t>
      </w: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360" w:lineRule="auto"/>
        <w:rPr>
          <w:rFonts w:ascii="Times New Roman" w:hAnsi="Times New Roman" w:cs="Times New Roman"/>
          <w:b/>
          <w:sz w:val="28"/>
        </w:rPr>
      </w:pPr>
    </w:p>
    <w:p>
      <w:pPr>
        <w:pStyle w:val="38"/>
        <w:shd w:val="clear" w:color="auto" w:fill="FFFFFF"/>
        <w:spacing w:before="0" w:beforeAutospacing="0" w:after="0" w:afterAutospacing="0" w:line="240" w:lineRule="exact"/>
        <w:rPr>
          <w:rFonts w:ascii="Times New Roman" w:hAnsi="Times New Roman" w:cs="Times New Roman"/>
          <w:b/>
          <w:sz w:val="21"/>
          <w:szCs w:val="21"/>
        </w:rPr>
      </w:pPr>
    </w:p>
    <w:p>
      <w:pPr>
        <w:pStyle w:val="38"/>
        <w:shd w:val="clear" w:color="auto" w:fill="FFFFFF"/>
        <w:spacing w:before="0" w:beforeAutospacing="0" w:after="0" w:afterAutospacing="0" w:line="240" w:lineRule="exact"/>
        <w:rPr>
          <w:rFonts w:ascii="Times New Roman" w:hAnsi="Times New Roman" w:cs="Times New Roman"/>
          <w:b/>
          <w:sz w:val="21"/>
          <w:szCs w:val="21"/>
        </w:rPr>
      </w:pPr>
      <w:r>
        <w:rPr>
          <w:rFonts w:ascii="Times New Roman" w:hAnsi="Times New Roman" w:cs="Times New Roman"/>
          <w:b/>
          <w:sz w:val="21"/>
          <w:szCs w:val="21"/>
        </w:rPr>
        <w:t>附件7</w:t>
      </w:r>
    </w:p>
    <w:p>
      <w:pPr>
        <w:pStyle w:val="38"/>
        <w:shd w:val="clear" w:color="auto" w:fill="FFFFFF"/>
        <w:spacing w:before="0" w:beforeAutospacing="0" w:after="0" w:afterAutospacing="0" w:line="360" w:lineRule="auto"/>
        <w:jc w:val="center"/>
        <w:rPr>
          <w:rFonts w:ascii="Times New Roman" w:hAnsi="Times New Roman" w:cs="Times New Roman"/>
          <w:b/>
          <w:bCs/>
          <w:spacing w:val="21"/>
          <w:sz w:val="30"/>
          <w:szCs w:val="30"/>
        </w:rPr>
      </w:pPr>
      <w:r>
        <w:rPr>
          <w:rFonts w:ascii="Times New Roman" w:hAnsi="Times New Roman" w:cs="Times New Roman"/>
          <w:b/>
          <w:sz w:val="32"/>
          <w:szCs w:val="32"/>
        </w:rPr>
        <w:t xml:space="preserve">  投</w:t>
      </w:r>
      <w:r>
        <w:rPr>
          <w:rFonts w:ascii="Times New Roman" w:hAnsi="Times New Roman" w:cs="Times New Roman"/>
          <w:b/>
          <w:sz w:val="30"/>
          <w:szCs w:val="30"/>
        </w:rPr>
        <w:t>标</w:t>
      </w:r>
      <w:r>
        <w:rPr>
          <w:rFonts w:ascii="Times New Roman" w:hAnsi="Times New Roman" w:cs="Times New Roman"/>
          <w:b/>
          <w:bCs/>
          <w:spacing w:val="21"/>
          <w:sz w:val="30"/>
          <w:szCs w:val="30"/>
        </w:rPr>
        <w:t>人基本情况表</w:t>
      </w:r>
    </w:p>
    <w:tbl>
      <w:tblPr>
        <w:tblStyle w:val="26"/>
        <w:tblpPr w:leftFromText="180" w:rightFromText="180" w:vertAnchor="text" w:horzAnchor="page" w:tblpX="1516" w:tblpY="145"/>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18"/>
        <w:gridCol w:w="867"/>
        <w:gridCol w:w="1359"/>
        <w:gridCol w:w="67"/>
        <w:gridCol w:w="107"/>
        <w:gridCol w:w="1244"/>
        <w:gridCol w:w="208"/>
        <w:gridCol w:w="1276"/>
        <w:gridCol w:w="90"/>
        <w:gridCol w:w="1109"/>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35"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27"/>
                <w:sz w:val="21"/>
                <w:szCs w:val="21"/>
              </w:rPr>
              <w:t>企业名称</w:t>
            </w:r>
          </w:p>
        </w:tc>
        <w:tc>
          <w:tcPr>
            <w:tcW w:w="4462" w:type="dxa"/>
            <w:gridSpan w:val="6"/>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574" w:type="dxa"/>
            <w:gridSpan w:val="3"/>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法人代表</w:t>
            </w:r>
          </w:p>
        </w:tc>
        <w:tc>
          <w:tcPr>
            <w:tcW w:w="1786"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35"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27"/>
                <w:sz w:val="21"/>
                <w:szCs w:val="21"/>
              </w:rPr>
              <w:t>地址</w:t>
            </w:r>
          </w:p>
        </w:tc>
        <w:tc>
          <w:tcPr>
            <w:tcW w:w="4462" w:type="dxa"/>
            <w:gridSpan w:val="6"/>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企业性质</w:t>
            </w:r>
          </w:p>
        </w:tc>
        <w:tc>
          <w:tcPr>
            <w:tcW w:w="1786"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35" w:type="dxa"/>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27"/>
                <w:sz w:val="21"/>
                <w:szCs w:val="21"/>
              </w:rPr>
              <w:t>股东姓名</w:t>
            </w:r>
          </w:p>
        </w:tc>
        <w:tc>
          <w:tcPr>
            <w:tcW w:w="818" w:type="dxa"/>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867" w:type="dxa"/>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股权结构（%）</w:t>
            </w:r>
          </w:p>
        </w:tc>
        <w:tc>
          <w:tcPr>
            <w:tcW w:w="2777" w:type="dxa"/>
            <w:gridSpan w:val="4"/>
            <w:tcBorders>
              <w:bottom w:val="single" w:color="auto" w:sz="4" w:space="0"/>
            </w:tcBorders>
            <w:vAlign w:val="center"/>
          </w:tcPr>
          <w:p>
            <w:pPr>
              <w:widowControl/>
              <w:spacing w:line="280" w:lineRule="exact"/>
              <w:jc w:val="center"/>
              <w:rPr>
                <w:bCs/>
                <w:spacing w:val="16"/>
                <w:kern w:val="0"/>
                <w:szCs w:val="21"/>
              </w:rPr>
            </w:pPr>
          </w:p>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股东关系</w:t>
            </w:r>
          </w:p>
        </w:tc>
        <w:tc>
          <w:tcPr>
            <w:tcW w:w="1786"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5" w:type="dxa"/>
            <w:vMerge w:val="restart"/>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2"/>
                <w:sz w:val="21"/>
                <w:szCs w:val="21"/>
              </w:rPr>
              <w:t>联系人</w:t>
            </w:r>
            <w:r>
              <w:rPr>
                <w:rFonts w:ascii="Times New Roman" w:hAnsi="Times New Roman" w:cs="Times New Roman"/>
                <w:bCs/>
                <w:spacing w:val="27"/>
                <w:sz w:val="21"/>
                <w:szCs w:val="21"/>
              </w:rPr>
              <w:t>姓名</w:t>
            </w:r>
          </w:p>
        </w:tc>
        <w:tc>
          <w:tcPr>
            <w:tcW w:w="818" w:type="dxa"/>
            <w:vMerge w:val="restart"/>
            <w:tcBorders>
              <w:top w:val="nil"/>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867" w:type="dxa"/>
            <w:tcBorders>
              <w:top w:val="nil"/>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固定电话</w:t>
            </w:r>
          </w:p>
        </w:tc>
        <w:tc>
          <w:tcPr>
            <w:tcW w:w="2777" w:type="dxa"/>
            <w:gridSpan w:val="4"/>
            <w:tcBorders>
              <w:top w:val="nil"/>
              <w:bottom w:val="single" w:color="auto" w:sz="4" w:space="0"/>
            </w:tcBorders>
            <w:vAlign w:val="center"/>
          </w:tcPr>
          <w:p>
            <w:pPr>
              <w:widowControl/>
              <w:spacing w:line="280" w:lineRule="exact"/>
              <w:jc w:val="center"/>
              <w:rPr>
                <w:bCs/>
                <w:spacing w:val="16"/>
                <w:kern w:val="0"/>
                <w:szCs w:val="21"/>
              </w:rPr>
            </w:pPr>
          </w:p>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Merge w:val="restart"/>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传真</w:t>
            </w:r>
          </w:p>
        </w:tc>
        <w:tc>
          <w:tcPr>
            <w:tcW w:w="1786" w:type="dxa"/>
            <w:gridSpan w:val="2"/>
            <w:vMerge w:val="restart"/>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35" w:type="dxa"/>
            <w:vMerge w:val="continue"/>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818" w:type="dxa"/>
            <w:vMerge w:val="continue"/>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867" w:type="dxa"/>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27"/>
                <w:sz w:val="21"/>
                <w:szCs w:val="21"/>
              </w:rPr>
              <w:t>手机</w:t>
            </w:r>
          </w:p>
        </w:tc>
        <w:tc>
          <w:tcPr>
            <w:tcW w:w="2777" w:type="dxa"/>
            <w:gridSpan w:val="4"/>
            <w:tcBorders>
              <w:bottom w:val="single" w:color="auto" w:sz="4" w:space="0"/>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786" w:type="dxa"/>
            <w:gridSpan w:val="2"/>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35" w:type="dxa"/>
            <w:vMerge w:val="restart"/>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1.</w:t>
            </w:r>
          </w:p>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企</w:t>
            </w:r>
          </w:p>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业</w:t>
            </w:r>
          </w:p>
          <w:p>
            <w:pPr>
              <w:pStyle w:val="38"/>
              <w:shd w:val="clear" w:color="auto" w:fill="FFFFFF"/>
              <w:spacing w:before="0" w:beforeAutospacing="0" w:after="0" w:afterAutospacing="0" w:line="280" w:lineRule="exact"/>
              <w:jc w:val="center"/>
              <w:rPr>
                <w:rFonts w:ascii="Times New Roman" w:hAnsi="Times New Roman" w:cs="Times New Roman"/>
                <w:bCs/>
                <w:spacing w:val="27"/>
                <w:sz w:val="21"/>
                <w:szCs w:val="21"/>
              </w:rPr>
            </w:pPr>
            <w:r>
              <w:rPr>
                <w:rFonts w:ascii="Times New Roman" w:hAnsi="Times New Roman" w:cs="Times New Roman"/>
                <w:bCs/>
                <w:spacing w:val="27"/>
                <w:sz w:val="21"/>
                <w:szCs w:val="21"/>
              </w:rPr>
              <w:t>概</w:t>
            </w:r>
          </w:p>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27"/>
                <w:sz w:val="21"/>
                <w:szCs w:val="21"/>
              </w:rPr>
              <w:t>况</w:t>
            </w:r>
          </w:p>
        </w:tc>
        <w:tc>
          <w:tcPr>
            <w:tcW w:w="818" w:type="dxa"/>
            <w:tcBorders>
              <w:top w:val="nil"/>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职工人数</w:t>
            </w:r>
          </w:p>
        </w:tc>
        <w:tc>
          <w:tcPr>
            <w:tcW w:w="867" w:type="dxa"/>
            <w:tcBorders>
              <w:top w:val="nil"/>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33" w:type="dxa"/>
            <w:gridSpan w:val="3"/>
            <w:tcBorders>
              <w:top w:val="nil"/>
            </w:tcBorders>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8"/>
                <w:sz w:val="21"/>
                <w:szCs w:val="21"/>
              </w:rPr>
              <w:t>具备大专以</w:t>
            </w:r>
            <w:r>
              <w:rPr>
                <w:rFonts w:ascii="Times New Roman" w:hAnsi="Times New Roman" w:cs="Times New Roman"/>
                <w:bCs/>
                <w:spacing w:val="12"/>
                <w:sz w:val="21"/>
                <w:szCs w:val="21"/>
              </w:rPr>
              <w:t>上学历人数</w:t>
            </w:r>
          </w:p>
        </w:tc>
        <w:tc>
          <w:tcPr>
            <w:tcW w:w="1244" w:type="dxa"/>
            <w:tcBorders>
              <w:top w:val="nil"/>
            </w:tcBorders>
            <w:vAlign w:val="center"/>
          </w:tcPr>
          <w:p>
            <w:pPr>
              <w:widowControl/>
              <w:spacing w:line="280" w:lineRule="exact"/>
              <w:jc w:val="center"/>
              <w:rPr>
                <w:bCs/>
                <w:spacing w:val="16"/>
                <w:kern w:val="0"/>
                <w:szCs w:val="21"/>
              </w:rPr>
            </w:pPr>
          </w:p>
          <w:p>
            <w:pPr>
              <w:widowControl/>
              <w:spacing w:line="280" w:lineRule="exact"/>
              <w:jc w:val="center"/>
              <w:rPr>
                <w:bCs/>
                <w:spacing w:val="16"/>
                <w:kern w:val="0"/>
                <w:szCs w:val="21"/>
              </w:rPr>
            </w:pPr>
          </w:p>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574" w:type="dxa"/>
            <w:gridSpan w:val="3"/>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65"/>
                <w:sz w:val="21"/>
                <w:szCs w:val="21"/>
              </w:rPr>
              <w:t>国家授予技</w:t>
            </w:r>
            <w:r>
              <w:rPr>
                <w:rFonts w:ascii="Times New Roman" w:hAnsi="Times New Roman" w:cs="Times New Roman"/>
                <w:bCs/>
                <w:spacing w:val="12"/>
                <w:sz w:val="21"/>
                <w:szCs w:val="21"/>
              </w:rPr>
              <w:t>术职称人数</w:t>
            </w:r>
          </w:p>
        </w:tc>
        <w:tc>
          <w:tcPr>
            <w:tcW w:w="1786" w:type="dxa"/>
            <w:gridSpan w:val="2"/>
            <w:vAlign w:val="center"/>
          </w:tcPr>
          <w:p>
            <w:pPr>
              <w:widowControl/>
              <w:spacing w:line="280" w:lineRule="exact"/>
              <w:jc w:val="center"/>
              <w:rPr>
                <w:bCs/>
                <w:spacing w:val="16"/>
                <w:kern w:val="0"/>
                <w:szCs w:val="21"/>
              </w:rPr>
            </w:pPr>
          </w:p>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818"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占地面积</w:t>
            </w:r>
          </w:p>
        </w:tc>
        <w:tc>
          <w:tcPr>
            <w:tcW w:w="867"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426"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建筑面积</w:t>
            </w:r>
          </w:p>
        </w:tc>
        <w:tc>
          <w:tcPr>
            <w:tcW w:w="1351" w:type="dxa"/>
            <w:gridSpan w:val="2"/>
            <w:vAlign w:val="center"/>
          </w:tcPr>
          <w:p>
            <w:pPr>
              <w:pStyle w:val="38"/>
              <w:shd w:val="clear" w:color="auto" w:fill="FFFFFF"/>
              <w:spacing w:before="0" w:beforeAutospacing="0" w:after="0" w:afterAutospacing="0" w:line="280" w:lineRule="exact"/>
              <w:ind w:firstLine="210" w:firstLineChars="100"/>
              <w:jc w:val="both"/>
              <w:rPr>
                <w:rFonts w:ascii="Times New Roman" w:hAnsi="Times New Roman" w:cs="Times New Roman"/>
                <w:bCs/>
                <w:sz w:val="21"/>
                <w:szCs w:val="21"/>
              </w:rPr>
            </w:pPr>
            <w:r>
              <w:rPr>
                <w:rFonts w:ascii="Times New Roman" w:hAnsi="Times New Roman" w:cs="Times New Roman"/>
                <w:bCs/>
                <w:sz w:val="21"/>
                <w:szCs w:val="21"/>
              </w:rPr>
              <w:t>平方米</w:t>
            </w:r>
          </w:p>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□自有</w:t>
            </w:r>
          </w:p>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□租賃</w:t>
            </w:r>
          </w:p>
        </w:tc>
        <w:tc>
          <w:tcPr>
            <w:tcW w:w="1574" w:type="dxa"/>
            <w:gridSpan w:val="3"/>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生产经营场所及场所的设施与设备</w:t>
            </w:r>
          </w:p>
        </w:tc>
        <w:tc>
          <w:tcPr>
            <w:tcW w:w="1786"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818"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注册资金</w:t>
            </w:r>
          </w:p>
        </w:tc>
        <w:tc>
          <w:tcPr>
            <w:tcW w:w="867"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426"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注册发证</w:t>
            </w:r>
            <w:r>
              <w:rPr>
                <w:rFonts w:ascii="Times New Roman" w:hAnsi="Times New Roman" w:cs="Times New Roman"/>
                <w:bCs/>
                <w:spacing w:val="27"/>
                <w:sz w:val="21"/>
                <w:szCs w:val="21"/>
              </w:rPr>
              <w:t>机关</w:t>
            </w:r>
          </w:p>
        </w:tc>
        <w:tc>
          <w:tcPr>
            <w:tcW w:w="2925" w:type="dxa"/>
            <w:gridSpan w:val="5"/>
            <w:vAlign w:val="center"/>
          </w:tcPr>
          <w:p>
            <w:pPr>
              <w:widowControl/>
              <w:spacing w:line="280" w:lineRule="exact"/>
              <w:jc w:val="center"/>
              <w:rPr>
                <w:bCs/>
                <w:kern w:val="0"/>
                <w:szCs w:val="21"/>
              </w:rPr>
            </w:pPr>
          </w:p>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109"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公司成</w:t>
            </w:r>
            <w:r>
              <w:rPr>
                <w:rFonts w:ascii="Times New Roman" w:hAnsi="Times New Roman" w:cs="Times New Roman"/>
                <w:bCs/>
                <w:spacing w:val="12"/>
                <w:sz w:val="21"/>
                <w:szCs w:val="21"/>
              </w:rPr>
              <w:t>立时间</w:t>
            </w:r>
          </w:p>
        </w:tc>
        <w:tc>
          <w:tcPr>
            <w:tcW w:w="677"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818"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z w:val="21"/>
                <w:szCs w:val="21"/>
              </w:rPr>
              <w:t>核准经营范围</w:t>
            </w:r>
          </w:p>
        </w:tc>
        <w:tc>
          <w:tcPr>
            <w:tcW w:w="7004" w:type="dxa"/>
            <w:gridSpan w:val="10"/>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7822" w:type="dxa"/>
            <w:gridSpan w:val="11"/>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3"/>
                <w:sz w:val="21"/>
                <w:szCs w:val="21"/>
              </w:rPr>
            </w:pPr>
            <w:r>
              <w:rPr>
                <w:rFonts w:ascii="Times New Roman" w:hAnsi="Times New Roman" w:cs="Times New Roman"/>
                <w:bCs/>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35" w:type="dxa"/>
            <w:vMerge w:val="restart"/>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z w:val="21"/>
                <w:szCs w:val="21"/>
              </w:rPr>
              <w:t>2．企</w:t>
            </w:r>
            <w:r>
              <w:rPr>
                <w:rFonts w:ascii="Times New Roman" w:hAnsi="Times New Roman" w:cs="Times New Roman"/>
                <w:bCs/>
                <w:spacing w:val="12"/>
                <w:sz w:val="21"/>
                <w:szCs w:val="21"/>
              </w:rPr>
              <w:t>业有关资质获证情况</w:t>
            </w:r>
          </w:p>
        </w:tc>
        <w:tc>
          <w:tcPr>
            <w:tcW w:w="1685" w:type="dxa"/>
            <w:gridSpan w:val="2"/>
            <w:vMerge w:val="restart"/>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2"/>
                <w:sz w:val="21"/>
                <w:szCs w:val="21"/>
              </w:rPr>
              <w:t>产品生产许可证情况</w:t>
            </w:r>
            <w:r>
              <w:rPr>
                <w:rFonts w:ascii="Times New Roman" w:hAnsi="Times New Roman" w:cs="Times New Roman"/>
                <w:bCs/>
                <w:spacing w:val="41"/>
                <w:sz w:val="21"/>
                <w:szCs w:val="21"/>
              </w:rPr>
              <w:t>（对需获得生产许可证的</w:t>
            </w:r>
            <w:r>
              <w:rPr>
                <w:rFonts w:ascii="Times New Roman" w:hAnsi="Times New Roman" w:cs="Times New Roman"/>
                <w:bCs/>
                <w:spacing w:val="11"/>
                <w:sz w:val="21"/>
                <w:szCs w:val="21"/>
              </w:rPr>
              <w:t>产品要填写此栏）</w:t>
            </w:r>
          </w:p>
        </w:tc>
        <w:tc>
          <w:tcPr>
            <w:tcW w:w="1359"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6"/>
                <w:sz w:val="21"/>
                <w:szCs w:val="21"/>
              </w:rPr>
              <w:t>产品名称</w:t>
            </w:r>
          </w:p>
        </w:tc>
        <w:tc>
          <w:tcPr>
            <w:tcW w:w="1626" w:type="dxa"/>
            <w:gridSpan w:val="4"/>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发证机关</w:t>
            </w:r>
          </w:p>
        </w:tc>
        <w:tc>
          <w:tcPr>
            <w:tcW w:w="1276"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27"/>
                <w:sz w:val="21"/>
                <w:szCs w:val="21"/>
              </w:rPr>
              <w:t>编号</w:t>
            </w:r>
          </w:p>
        </w:tc>
        <w:tc>
          <w:tcPr>
            <w:tcW w:w="1199"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16"/>
                <w:sz w:val="21"/>
                <w:szCs w:val="21"/>
              </w:rPr>
              <w:t>发证时间</w:t>
            </w:r>
          </w:p>
        </w:tc>
        <w:tc>
          <w:tcPr>
            <w:tcW w:w="677"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r>
              <w:rPr>
                <w:rFonts w:ascii="Times New Roman" w:hAnsi="Times New Roman" w:cs="Times New Roman"/>
                <w:bCs/>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685" w:type="dxa"/>
            <w:gridSpan w:val="2"/>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359"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626" w:type="dxa"/>
            <w:gridSpan w:val="4"/>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276" w:type="dxa"/>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c>
          <w:tcPr>
            <w:tcW w:w="1876" w:type="dxa"/>
            <w:gridSpan w:val="3"/>
            <w:vAlign w:val="center"/>
          </w:tcPr>
          <w:p>
            <w:pPr>
              <w:pStyle w:val="38"/>
              <w:shd w:val="clear" w:color="auto" w:fill="FFFFFF"/>
              <w:spacing w:before="0" w:beforeAutospacing="0" w:after="0" w:afterAutospacing="0" w:line="280" w:lineRule="exact"/>
              <w:jc w:val="center"/>
              <w:rPr>
                <w:rFonts w:ascii="Times New Roman" w:hAnsi="Times New Roman"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c>
          <w:tcPr>
            <w:tcW w:w="1685"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41"/>
                <w:sz w:val="21"/>
                <w:szCs w:val="21"/>
              </w:rPr>
            </w:pPr>
            <w:r>
              <w:rPr>
                <w:rFonts w:ascii="Times New Roman" w:hAnsi="Times New Roman" w:cs="Times New Roman"/>
                <w:bCs/>
                <w:spacing w:val="41"/>
                <w:sz w:val="21"/>
                <w:szCs w:val="21"/>
              </w:rPr>
              <w:t>企业通过质量体系、环保</w:t>
            </w:r>
            <w:r>
              <w:rPr>
                <w:rFonts w:ascii="Times New Roman" w:hAnsi="Times New Roman" w:cs="Times New Roman"/>
                <w:bCs/>
                <w:spacing w:val="11"/>
                <w:sz w:val="21"/>
                <w:szCs w:val="21"/>
              </w:rPr>
              <w:t>体系、计量等认证情况</w:t>
            </w:r>
          </w:p>
        </w:tc>
        <w:tc>
          <w:tcPr>
            <w:tcW w:w="6137" w:type="dxa"/>
            <w:gridSpan w:val="9"/>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635" w:type="dxa"/>
            <w:vMerge w:val="continue"/>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27"/>
                <w:sz w:val="21"/>
                <w:szCs w:val="21"/>
              </w:rPr>
            </w:pPr>
          </w:p>
        </w:tc>
        <w:tc>
          <w:tcPr>
            <w:tcW w:w="1685" w:type="dxa"/>
            <w:gridSpan w:val="2"/>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r>
              <w:rPr>
                <w:rFonts w:ascii="Times New Roman" w:hAnsi="Times New Roman" w:cs="Times New Roman"/>
                <w:bCs/>
                <w:spacing w:val="10"/>
                <w:sz w:val="21"/>
                <w:szCs w:val="21"/>
              </w:rPr>
              <w:t>企业获得专利情况</w:t>
            </w:r>
          </w:p>
        </w:tc>
        <w:tc>
          <w:tcPr>
            <w:tcW w:w="6137" w:type="dxa"/>
            <w:gridSpan w:val="9"/>
            <w:vAlign w:val="center"/>
          </w:tcPr>
          <w:p>
            <w:pPr>
              <w:pStyle w:val="38"/>
              <w:shd w:val="clear" w:color="auto" w:fill="FFFFFF"/>
              <w:spacing w:before="0" w:beforeAutospacing="0" w:after="0" w:afterAutospacing="0" w:line="280" w:lineRule="exact"/>
              <w:jc w:val="center"/>
              <w:rPr>
                <w:rFonts w:ascii="Times New Roman" w:hAnsi="Times New Roman" w:cs="Times New Roman"/>
                <w:bCs/>
                <w:spacing w:val="16"/>
                <w:sz w:val="21"/>
                <w:szCs w:val="21"/>
              </w:rPr>
            </w:pPr>
          </w:p>
        </w:tc>
      </w:tr>
    </w:tbl>
    <w:p>
      <w:pPr>
        <w:pStyle w:val="38"/>
        <w:shd w:val="clear" w:color="auto" w:fill="FFFFFF"/>
        <w:spacing w:before="0" w:beforeAutospacing="0" w:after="0" w:afterAutospacing="0" w:line="420" w:lineRule="exact"/>
        <w:rPr>
          <w:rFonts w:ascii="Times New Roman" w:hAnsi="Times New Roman" w:cs="Times New Roman"/>
          <w:sz w:val="21"/>
          <w:szCs w:val="21"/>
        </w:rPr>
      </w:pPr>
      <w:r>
        <w:rPr>
          <w:rFonts w:ascii="Times New Roman" w:hAnsi="Times New Roman" w:cs="Times New Roman"/>
          <w:b/>
          <w:sz w:val="21"/>
          <w:szCs w:val="21"/>
        </w:rPr>
        <w:t>要求：</w:t>
      </w:r>
      <w:r>
        <w:rPr>
          <w:rFonts w:ascii="Times New Roman" w:hAnsi="Times New Roman" w:cs="Times New Roman"/>
          <w:sz w:val="21"/>
          <w:szCs w:val="21"/>
        </w:rPr>
        <w:t>姓名栏必须将所有股东都统计在内，若非股份公司此行（第三行）无需填写。</w:t>
      </w:r>
    </w:p>
    <w:p>
      <w:pPr>
        <w:pStyle w:val="38"/>
        <w:shd w:val="clear" w:color="auto" w:fill="FFFFFF"/>
        <w:spacing w:before="0" w:beforeAutospacing="0" w:after="0" w:afterAutospacing="0" w:line="420" w:lineRule="exact"/>
        <w:ind w:right="-313" w:rightChars="-149" w:firstLine="424" w:firstLineChars="202"/>
        <w:rPr>
          <w:rFonts w:ascii="Times New Roman" w:hAnsi="Times New Roman" w:cs="Times New Roman"/>
          <w:sz w:val="21"/>
          <w:szCs w:val="21"/>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sz w:val="21"/>
          <w:szCs w:val="21"/>
        </w:rPr>
      </w:pPr>
      <w:r>
        <w:rPr>
          <w:rFonts w:ascii="Times New Roman" w:hAnsi="Times New Roman" w:cs="Times New Roman"/>
          <w:sz w:val="21"/>
          <w:szCs w:val="21"/>
        </w:rPr>
        <w:t>日        期：</w:t>
      </w:r>
    </w:p>
    <w:p>
      <w:pPr>
        <w:pStyle w:val="38"/>
        <w:shd w:val="clear" w:color="auto" w:fill="FFFFFF"/>
        <w:spacing w:before="0" w:beforeAutospacing="0" w:after="0" w:afterAutospacing="0" w:line="240" w:lineRule="exact"/>
        <w:rPr>
          <w:rFonts w:ascii="Times New Roman" w:hAnsi="Times New Roman" w:cs="Times New Roman"/>
          <w:b/>
          <w:sz w:val="21"/>
          <w:szCs w:val="21"/>
        </w:rPr>
      </w:pPr>
    </w:p>
    <w:p>
      <w:pPr>
        <w:pStyle w:val="38"/>
        <w:shd w:val="clear" w:color="auto" w:fill="FFFFFF"/>
        <w:spacing w:before="0" w:beforeAutospacing="0" w:after="0" w:afterAutospacing="0" w:line="240" w:lineRule="exact"/>
        <w:rPr>
          <w:rFonts w:ascii="Times New Roman" w:hAnsi="Times New Roman" w:cs="Times New Roman"/>
          <w:b/>
          <w:sz w:val="21"/>
          <w:szCs w:val="21"/>
        </w:rPr>
      </w:pPr>
    </w:p>
    <w:p>
      <w:pPr>
        <w:pStyle w:val="38"/>
        <w:shd w:val="clear" w:color="auto" w:fill="FFFFFF"/>
        <w:spacing w:before="0" w:beforeAutospacing="0" w:after="0" w:afterAutospacing="0" w:line="240" w:lineRule="exact"/>
        <w:rPr>
          <w:rFonts w:ascii="Times New Roman" w:hAnsi="Times New Roman" w:cs="Times New Roman"/>
          <w:b/>
          <w:sz w:val="21"/>
          <w:szCs w:val="21"/>
        </w:rPr>
      </w:pPr>
    </w:p>
    <w:p>
      <w:pPr>
        <w:pStyle w:val="38"/>
        <w:shd w:val="clear" w:color="auto" w:fill="FFFFFF"/>
        <w:spacing w:before="0" w:beforeAutospacing="0" w:after="0" w:afterAutospacing="0" w:line="240" w:lineRule="exact"/>
        <w:rPr>
          <w:rFonts w:ascii="Times New Roman" w:hAnsi="Times New Roman" w:cs="Times New Roman"/>
          <w:b/>
          <w:sz w:val="21"/>
          <w:szCs w:val="21"/>
        </w:rPr>
      </w:pPr>
      <w:r>
        <w:rPr>
          <w:rFonts w:ascii="Times New Roman" w:hAnsi="Times New Roman" w:cs="Times New Roman"/>
          <w:b/>
          <w:sz w:val="21"/>
          <w:szCs w:val="21"/>
        </w:rPr>
        <w:t>附件8</w:t>
      </w:r>
    </w:p>
    <w:p>
      <w:pPr>
        <w:snapToGrid w:val="0"/>
        <w:spacing w:beforeLines="50" w:after="50" w:line="360" w:lineRule="auto"/>
        <w:jc w:val="center"/>
        <w:rPr>
          <w:b/>
          <w:sz w:val="36"/>
          <w:szCs w:val="36"/>
        </w:rPr>
      </w:pPr>
      <w:r>
        <w:rPr>
          <w:b/>
          <w:bCs/>
          <w:kern w:val="0"/>
          <w:sz w:val="30"/>
          <w:szCs w:val="30"/>
        </w:rPr>
        <w:t>项目实施人员一览表</w:t>
      </w:r>
    </w:p>
    <w:p>
      <w:pPr>
        <w:snapToGrid w:val="0"/>
        <w:spacing w:beforeLines="50" w:after="50" w:line="360" w:lineRule="auto"/>
        <w:ind w:firstLine="2400" w:firstLineChars="1000"/>
        <w:rPr>
          <w:sz w:val="24"/>
        </w:rPr>
      </w:pPr>
      <w:r>
        <w:rPr>
          <w:sz w:val="24"/>
        </w:rPr>
        <w:t>（主要从业人员及其技术资格）</w:t>
      </w:r>
    </w:p>
    <w:tbl>
      <w:tblPr>
        <w:tblStyle w:val="26"/>
        <w:tblW w:w="8695"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814"/>
        <w:gridCol w:w="1004"/>
        <w:gridCol w:w="795"/>
        <w:gridCol w:w="1575"/>
        <w:gridCol w:w="1275"/>
        <w:gridCol w:w="1418"/>
        <w:gridCol w:w="1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b/>
                <w:szCs w:val="21"/>
              </w:rPr>
              <w:t>序号</w:t>
            </w:r>
          </w:p>
        </w:tc>
        <w:tc>
          <w:tcPr>
            <w:tcW w:w="81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b/>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b/>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b/>
                <w:szCs w:val="21"/>
              </w:rPr>
              <w:t>职责</w:t>
            </w:r>
          </w:p>
        </w:tc>
        <w:tc>
          <w:tcPr>
            <w:tcW w:w="15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b/>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szCs w:val="21"/>
              </w:rPr>
            </w:pPr>
            <w:r>
              <w:rPr>
                <w:b/>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bCs/>
                <w:szCs w:val="21"/>
              </w:rPr>
            </w:pPr>
            <w:r>
              <w:rPr>
                <w:b/>
                <w:bCs/>
                <w:szCs w:val="21"/>
              </w:rPr>
              <w:t>参加本单位工作时间</w:t>
            </w:r>
          </w:p>
        </w:tc>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240" w:lineRule="exact"/>
              <w:jc w:val="center"/>
              <w:rPr>
                <w:b/>
                <w:bCs/>
                <w:szCs w:val="21"/>
              </w:rPr>
            </w:pPr>
            <w:r>
              <w:rPr>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240" w:lineRule="exact"/>
              <w:ind w:left="5250"/>
              <w:rPr>
                <w:rFonts w:ascii="Times New Roman" w:hAnsi="Times New Roman" w:eastAsia="宋体" w:cs="Times New Roman"/>
                <w:b/>
                <w:kern w:val="44"/>
                <w:sz w:val="21"/>
                <w:szCs w:val="21"/>
              </w:rPr>
            </w:pPr>
          </w:p>
        </w:tc>
        <w:tc>
          <w:tcPr>
            <w:tcW w:w="1575"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240" w:lineRule="exact"/>
              <w:ind w:left="5250"/>
              <w:rPr>
                <w:rFonts w:ascii="Times New Roman" w:hAnsi="Times New Roman" w:eastAsia="宋体" w:cs="Times New Roman"/>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6"/>
              <w:spacing w:line="240" w:lineRule="exact"/>
              <w:ind w:left="5250"/>
              <w:rPr>
                <w:rFonts w:ascii="Times New Roman" w:hAnsi="Times New Roman" w:eastAsia="宋体" w:cs="Times New Roman"/>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743"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szCs w:val="21"/>
              </w:rPr>
            </w:pPr>
          </w:p>
        </w:tc>
        <w:tc>
          <w:tcPr>
            <w:tcW w:w="81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5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c>
          <w:tcPr>
            <w:tcW w:w="1071" w:type="dxa"/>
            <w:tcBorders>
              <w:top w:val="single" w:color="auto" w:sz="4" w:space="0"/>
              <w:left w:val="single" w:color="auto" w:sz="4" w:space="0"/>
              <w:bottom w:val="single" w:color="auto" w:sz="4" w:space="0"/>
              <w:right w:val="single" w:color="auto" w:sz="4" w:space="0"/>
            </w:tcBorders>
          </w:tcPr>
          <w:p>
            <w:pPr>
              <w:snapToGrid w:val="0"/>
              <w:spacing w:beforeLines="50" w:after="50" w:line="240" w:lineRule="exact"/>
              <w:rPr>
                <w:b/>
                <w:kern w:val="44"/>
                <w:szCs w:val="21"/>
              </w:rPr>
            </w:pPr>
          </w:p>
        </w:tc>
      </w:tr>
    </w:tbl>
    <w:p>
      <w:pPr>
        <w:spacing w:line="360" w:lineRule="auto"/>
        <w:rPr>
          <w:b/>
          <w:szCs w:val="21"/>
        </w:rPr>
      </w:pPr>
      <w:r>
        <w:rPr>
          <w:b/>
          <w:szCs w:val="21"/>
        </w:rPr>
        <w:t>要求：</w:t>
      </w:r>
    </w:p>
    <w:p>
      <w:pPr>
        <w:spacing w:line="360" w:lineRule="auto"/>
        <w:ind w:firstLine="420" w:firstLineChars="200"/>
        <w:rPr>
          <w:szCs w:val="21"/>
        </w:rPr>
      </w:pPr>
      <w:r>
        <w:rPr>
          <w:bCs/>
          <w:szCs w:val="21"/>
        </w:rPr>
        <w:t>1.</w:t>
      </w:r>
      <w:r>
        <w:rPr>
          <w:szCs w:val="21"/>
        </w:rPr>
        <w:t>在填写时，如本表格不适合投标单位的实际情况，可根据本表格式自行划表填写；</w:t>
      </w:r>
    </w:p>
    <w:p>
      <w:pPr>
        <w:pStyle w:val="39"/>
        <w:spacing w:line="360" w:lineRule="auto"/>
        <w:ind w:firstLine="420" w:firstLineChars="200"/>
        <w:rPr>
          <w:szCs w:val="21"/>
        </w:rPr>
      </w:pPr>
      <w:r>
        <w:rPr>
          <w:szCs w:val="21"/>
        </w:rPr>
        <w:t>2.附人员证书原件扫描件；</w:t>
      </w:r>
    </w:p>
    <w:p>
      <w:pPr>
        <w:pStyle w:val="39"/>
        <w:spacing w:line="360" w:lineRule="auto"/>
        <w:ind w:firstLine="420" w:firstLineChars="200"/>
        <w:rPr>
          <w:szCs w:val="21"/>
        </w:rPr>
      </w:pPr>
      <w:r>
        <w:rPr>
          <w:szCs w:val="21"/>
        </w:rPr>
        <w:t>3.出具上述人员在本单位服务的外部证明，如：投标截止日之前</w:t>
      </w:r>
      <w:r>
        <w:rPr>
          <w:rFonts w:hint="eastAsia"/>
          <w:szCs w:val="21"/>
          <w:lang w:val="en-US" w:eastAsia="zh-CN"/>
        </w:rPr>
        <w:t>六</w:t>
      </w:r>
      <w:r>
        <w:rPr>
          <w:szCs w:val="21"/>
        </w:rPr>
        <w:t>个月以内的代缴个税税单、参加社会保险的《投保单》或《社会保险参保人员证明》等。</w:t>
      </w:r>
    </w:p>
    <w:p>
      <w:pPr>
        <w:spacing w:line="360" w:lineRule="auto"/>
        <w:ind w:left="420"/>
        <w:rPr>
          <w:szCs w:val="21"/>
        </w:rPr>
      </w:pPr>
    </w:p>
    <w:p>
      <w:pPr>
        <w:pStyle w:val="37"/>
        <w:rPr>
          <w:rFonts w:ascii="Times New Roman" w:hAnsi="Times New Roman" w:eastAsia="宋体" w:cs="Times New Roman"/>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pStyle w:val="38"/>
        <w:shd w:val="clear" w:color="auto" w:fill="FFFFFF"/>
        <w:spacing w:before="0" w:beforeAutospacing="0" w:after="0" w:afterAutospacing="0" w:line="240" w:lineRule="exact"/>
        <w:rPr>
          <w:rFonts w:ascii="Times New Roman" w:hAnsi="Times New Roman" w:cs="Times New Roman"/>
          <w:b/>
        </w:rPr>
      </w:pPr>
    </w:p>
    <w:p>
      <w:pPr>
        <w:pStyle w:val="38"/>
        <w:shd w:val="clear" w:color="auto" w:fill="FFFFFF"/>
        <w:spacing w:before="0" w:beforeAutospacing="0" w:after="0" w:afterAutospacing="0" w:line="240" w:lineRule="exact"/>
        <w:rPr>
          <w:rFonts w:ascii="Times New Roman" w:hAnsi="Times New Roman" w:cs="Times New Roman"/>
          <w:b/>
        </w:rPr>
      </w:pPr>
    </w:p>
    <w:p>
      <w:pPr>
        <w:pStyle w:val="38"/>
        <w:shd w:val="clear" w:color="auto" w:fill="FFFFFF"/>
        <w:spacing w:before="0" w:beforeAutospacing="0" w:after="0" w:afterAutospacing="0" w:line="240" w:lineRule="exact"/>
        <w:rPr>
          <w:rFonts w:ascii="Times New Roman" w:hAnsi="Times New Roman" w:cs="Times New Roman"/>
          <w:b/>
        </w:rPr>
      </w:pPr>
    </w:p>
    <w:p>
      <w:pPr>
        <w:pStyle w:val="38"/>
        <w:shd w:val="clear" w:color="auto" w:fill="FFFFFF"/>
        <w:spacing w:before="0" w:beforeAutospacing="0" w:after="0" w:afterAutospacing="0" w:line="240" w:lineRule="exact"/>
        <w:rPr>
          <w:rFonts w:ascii="Times New Roman" w:hAnsi="Times New Roman" w:cs="Times New Roman"/>
          <w:b/>
        </w:rPr>
      </w:pPr>
    </w:p>
    <w:p>
      <w:pPr>
        <w:pStyle w:val="38"/>
        <w:shd w:val="clear" w:color="auto" w:fill="FFFFFF"/>
        <w:spacing w:before="0" w:beforeAutospacing="0" w:after="0" w:afterAutospacing="0" w:line="240" w:lineRule="exact"/>
        <w:rPr>
          <w:rFonts w:ascii="Times New Roman" w:hAnsi="Times New Roman" w:cs="Times New Roman"/>
          <w:b/>
        </w:rPr>
      </w:pPr>
    </w:p>
    <w:p>
      <w:pPr>
        <w:pStyle w:val="38"/>
        <w:shd w:val="clear" w:color="auto" w:fill="FFFFFF"/>
        <w:spacing w:before="0" w:beforeAutospacing="0" w:after="0" w:afterAutospacing="0" w:line="240" w:lineRule="exact"/>
        <w:rPr>
          <w:rFonts w:ascii="Times New Roman" w:hAnsi="Times New Roman" w:cs="Times New Roman"/>
          <w:b/>
          <w:sz w:val="21"/>
          <w:szCs w:val="21"/>
        </w:rPr>
      </w:pPr>
      <w:r>
        <w:rPr>
          <w:rFonts w:ascii="Times New Roman" w:hAnsi="Times New Roman" w:cs="Times New Roman"/>
          <w:b/>
          <w:sz w:val="21"/>
          <w:szCs w:val="21"/>
        </w:rPr>
        <w:t>附件9</w:t>
      </w:r>
    </w:p>
    <w:p>
      <w:pPr>
        <w:snapToGrid w:val="0"/>
        <w:spacing w:beforeLines="50" w:after="50" w:line="360" w:lineRule="auto"/>
        <w:jc w:val="center"/>
        <w:rPr>
          <w:b/>
          <w:bCs/>
          <w:kern w:val="0"/>
          <w:sz w:val="30"/>
          <w:szCs w:val="30"/>
        </w:rPr>
      </w:pPr>
      <w:r>
        <w:rPr>
          <w:b/>
          <w:bCs/>
          <w:kern w:val="0"/>
          <w:sz w:val="30"/>
          <w:szCs w:val="30"/>
        </w:rPr>
        <w:t>项目负责人资格情况表</w:t>
      </w:r>
    </w:p>
    <w:p>
      <w:pPr>
        <w:spacing w:line="360" w:lineRule="auto"/>
        <w:rPr>
          <w:szCs w:val="21"/>
        </w:rPr>
      </w:pPr>
      <w:r>
        <w:rPr>
          <w:szCs w:val="21"/>
        </w:rPr>
        <w:t>采购项目：                                            采购编号：</w:t>
      </w:r>
    </w:p>
    <w:tbl>
      <w:tblPr>
        <w:tblStyle w:val="26"/>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rPr>
            </w:pPr>
            <w:r>
              <w:rPr>
                <w:szCs w:val="21"/>
              </w:rPr>
              <w:t>注：业绩证明应提供旁证材料</w:t>
            </w:r>
          </w:p>
          <w:p>
            <w:pPr>
              <w:autoSpaceDE w:val="0"/>
              <w:autoSpaceDN w:val="0"/>
              <w:adjustRightInd w:val="0"/>
              <w:snapToGrid w:val="0"/>
              <w:spacing w:line="360" w:lineRule="auto"/>
              <w:jc w:val="center"/>
              <w:rPr>
                <w:szCs w:val="21"/>
                <w:lang w:val="zh-CN"/>
              </w:rPr>
            </w:pPr>
            <w:r>
              <w:rPr>
                <w:szCs w:val="21"/>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szCs w:val="21"/>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b/>
                <w:bCs/>
                <w:szCs w:val="21"/>
                <w:lang w:val="zh-CN"/>
              </w:rPr>
            </w:pPr>
            <w:r>
              <w:rPr>
                <w:b/>
                <w:bCs/>
                <w:szCs w:val="21"/>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szCs w:val="21"/>
                <w:lang w:val="zh-CN"/>
              </w:rPr>
            </w:pPr>
          </w:p>
        </w:tc>
      </w:tr>
    </w:tbl>
    <w:p>
      <w:pPr>
        <w:spacing w:line="360" w:lineRule="auto"/>
        <w:ind w:left="420"/>
        <w:rPr>
          <w:szCs w:val="21"/>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snapToGrid w:val="0"/>
        <w:spacing w:before="50" w:after="50" w:line="360" w:lineRule="auto"/>
        <w:rPr>
          <w:b/>
          <w:szCs w:val="21"/>
        </w:rPr>
      </w:pPr>
    </w:p>
    <w:p>
      <w:pPr>
        <w:pStyle w:val="37"/>
        <w:rPr>
          <w:rFonts w:ascii="Times New Roman" w:hAnsi="Times New Roman" w:eastAsia="宋体" w:cs="Times New Roman"/>
        </w:rPr>
      </w:pPr>
    </w:p>
    <w:p>
      <w:pPr>
        <w:snapToGrid w:val="0"/>
        <w:spacing w:before="50" w:after="50" w:line="360" w:lineRule="auto"/>
        <w:rPr>
          <w:b/>
          <w:sz w:val="28"/>
        </w:rPr>
      </w:pPr>
    </w:p>
    <w:p>
      <w:pPr>
        <w:pStyle w:val="3"/>
      </w:pPr>
    </w:p>
    <w:p>
      <w:pPr>
        <w:snapToGrid w:val="0"/>
        <w:spacing w:before="50" w:after="50" w:line="360" w:lineRule="auto"/>
        <w:rPr>
          <w:b/>
          <w:sz w:val="28"/>
        </w:rPr>
      </w:pPr>
    </w:p>
    <w:p>
      <w:pPr>
        <w:pStyle w:val="38"/>
        <w:shd w:val="clear" w:color="auto" w:fill="FFFFFF"/>
        <w:spacing w:before="0" w:beforeAutospacing="0" w:after="0" w:afterAutospacing="0" w:line="240" w:lineRule="exact"/>
        <w:rPr>
          <w:rFonts w:ascii="Times New Roman" w:hAnsi="Times New Roman" w:cs="Times New Roman"/>
          <w:b/>
          <w:sz w:val="21"/>
          <w:szCs w:val="21"/>
        </w:rPr>
      </w:pPr>
      <w:r>
        <w:rPr>
          <w:rFonts w:ascii="Times New Roman" w:hAnsi="Times New Roman" w:cs="Times New Roman"/>
          <w:b/>
          <w:sz w:val="21"/>
          <w:szCs w:val="21"/>
        </w:rPr>
        <w:t>附件10</w:t>
      </w:r>
    </w:p>
    <w:p>
      <w:pPr>
        <w:snapToGrid w:val="0"/>
        <w:spacing w:beforeLines="50" w:after="50" w:line="360" w:lineRule="auto"/>
        <w:jc w:val="center"/>
        <w:rPr>
          <w:b/>
          <w:bCs/>
          <w:kern w:val="0"/>
          <w:sz w:val="30"/>
          <w:szCs w:val="30"/>
        </w:rPr>
      </w:pPr>
      <w:r>
        <w:rPr>
          <w:b/>
          <w:bCs/>
          <w:kern w:val="0"/>
          <w:sz w:val="30"/>
          <w:szCs w:val="30"/>
        </w:rPr>
        <w:t>供货清单</w:t>
      </w:r>
    </w:p>
    <w:p>
      <w:pPr>
        <w:spacing w:line="360" w:lineRule="auto"/>
        <w:rPr>
          <w:szCs w:val="21"/>
        </w:rPr>
      </w:pPr>
      <w:r>
        <w:rPr>
          <w:szCs w:val="21"/>
        </w:rPr>
        <w:t xml:space="preserve">  项目编号：</w:t>
      </w:r>
    </w:p>
    <w:tbl>
      <w:tblPr>
        <w:tblStyle w:val="26"/>
        <w:tblW w:w="85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45"/>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jc w:val="center"/>
              <w:rPr>
                <w:b/>
                <w:szCs w:val="21"/>
              </w:rPr>
            </w:pPr>
            <w:r>
              <w:rPr>
                <w:b/>
                <w:szCs w:val="21"/>
              </w:rPr>
              <w:t>序号</w:t>
            </w:r>
          </w:p>
        </w:tc>
        <w:tc>
          <w:tcPr>
            <w:tcW w:w="2045" w:type="dxa"/>
            <w:vAlign w:val="center"/>
          </w:tcPr>
          <w:p>
            <w:pPr>
              <w:tabs>
                <w:tab w:val="left" w:pos="8280"/>
              </w:tabs>
              <w:autoSpaceDE w:val="0"/>
              <w:autoSpaceDN w:val="0"/>
              <w:adjustRightInd w:val="0"/>
              <w:spacing w:line="360" w:lineRule="auto"/>
              <w:ind w:right="25"/>
              <w:jc w:val="center"/>
              <w:rPr>
                <w:b/>
                <w:szCs w:val="21"/>
              </w:rPr>
            </w:pPr>
            <w:r>
              <w:rPr>
                <w:b/>
                <w:szCs w:val="21"/>
              </w:rPr>
              <w:t>名称</w:t>
            </w:r>
          </w:p>
        </w:tc>
        <w:tc>
          <w:tcPr>
            <w:tcW w:w="1134" w:type="dxa"/>
            <w:vAlign w:val="center"/>
          </w:tcPr>
          <w:p>
            <w:pPr>
              <w:tabs>
                <w:tab w:val="left" w:pos="8280"/>
              </w:tabs>
              <w:autoSpaceDE w:val="0"/>
              <w:autoSpaceDN w:val="0"/>
              <w:adjustRightInd w:val="0"/>
              <w:spacing w:line="360" w:lineRule="auto"/>
              <w:ind w:right="25"/>
              <w:jc w:val="center"/>
              <w:rPr>
                <w:b/>
                <w:szCs w:val="21"/>
              </w:rPr>
            </w:pPr>
            <w:r>
              <w:rPr>
                <w:b/>
                <w:szCs w:val="21"/>
              </w:rPr>
              <w:t>品牌</w:t>
            </w:r>
          </w:p>
        </w:tc>
        <w:tc>
          <w:tcPr>
            <w:tcW w:w="1842" w:type="dxa"/>
            <w:vAlign w:val="center"/>
          </w:tcPr>
          <w:p>
            <w:pPr>
              <w:tabs>
                <w:tab w:val="left" w:pos="8280"/>
              </w:tabs>
              <w:autoSpaceDE w:val="0"/>
              <w:autoSpaceDN w:val="0"/>
              <w:adjustRightInd w:val="0"/>
              <w:spacing w:line="360" w:lineRule="auto"/>
              <w:ind w:right="25"/>
              <w:jc w:val="center"/>
              <w:rPr>
                <w:b/>
                <w:szCs w:val="21"/>
              </w:rPr>
            </w:pPr>
            <w:r>
              <w:rPr>
                <w:b/>
                <w:szCs w:val="21"/>
              </w:rPr>
              <w:t>规格型号</w:t>
            </w:r>
          </w:p>
        </w:tc>
        <w:tc>
          <w:tcPr>
            <w:tcW w:w="993" w:type="dxa"/>
            <w:vAlign w:val="center"/>
          </w:tcPr>
          <w:p>
            <w:pPr>
              <w:spacing w:line="360" w:lineRule="auto"/>
              <w:ind w:left="52"/>
              <w:jc w:val="center"/>
              <w:rPr>
                <w:b/>
                <w:szCs w:val="21"/>
              </w:rPr>
            </w:pPr>
            <w:r>
              <w:rPr>
                <w:b/>
                <w:szCs w:val="21"/>
              </w:rPr>
              <w:t>产地</w:t>
            </w:r>
          </w:p>
        </w:tc>
        <w:tc>
          <w:tcPr>
            <w:tcW w:w="1559" w:type="dxa"/>
            <w:vAlign w:val="center"/>
          </w:tcPr>
          <w:p>
            <w:pPr>
              <w:spacing w:line="360" w:lineRule="auto"/>
              <w:ind w:left="152"/>
              <w:jc w:val="center"/>
              <w:rPr>
                <w:b/>
                <w:szCs w:val="21"/>
              </w:rPr>
            </w:pPr>
            <w:r>
              <w:rPr>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1018" w:type="dxa"/>
            <w:vAlign w:val="center"/>
          </w:tcPr>
          <w:p>
            <w:pPr>
              <w:spacing w:line="360" w:lineRule="auto"/>
              <w:rPr>
                <w:szCs w:val="21"/>
              </w:rPr>
            </w:pPr>
          </w:p>
        </w:tc>
        <w:tc>
          <w:tcPr>
            <w:tcW w:w="2045" w:type="dxa"/>
            <w:vAlign w:val="center"/>
          </w:tcPr>
          <w:p>
            <w:pPr>
              <w:spacing w:line="360" w:lineRule="auto"/>
              <w:rPr>
                <w:szCs w:val="21"/>
              </w:rPr>
            </w:pPr>
          </w:p>
        </w:tc>
        <w:tc>
          <w:tcPr>
            <w:tcW w:w="1134" w:type="dxa"/>
            <w:vAlign w:val="center"/>
          </w:tcPr>
          <w:p>
            <w:pPr>
              <w:spacing w:line="360" w:lineRule="auto"/>
              <w:rPr>
                <w:szCs w:val="21"/>
              </w:rPr>
            </w:pPr>
          </w:p>
        </w:tc>
        <w:tc>
          <w:tcPr>
            <w:tcW w:w="1842" w:type="dxa"/>
            <w:vAlign w:val="center"/>
          </w:tcPr>
          <w:p>
            <w:pPr>
              <w:spacing w:line="360" w:lineRule="auto"/>
              <w:rPr>
                <w:szCs w:val="21"/>
              </w:rPr>
            </w:pPr>
          </w:p>
        </w:tc>
        <w:tc>
          <w:tcPr>
            <w:tcW w:w="993" w:type="dxa"/>
            <w:vAlign w:val="center"/>
          </w:tcPr>
          <w:p>
            <w:pPr>
              <w:spacing w:line="360" w:lineRule="auto"/>
              <w:rPr>
                <w:szCs w:val="21"/>
              </w:rPr>
            </w:pPr>
          </w:p>
        </w:tc>
        <w:tc>
          <w:tcPr>
            <w:tcW w:w="1559" w:type="dxa"/>
            <w:vAlign w:val="center"/>
          </w:tcPr>
          <w:p>
            <w:pPr>
              <w:spacing w:line="360" w:lineRule="auto"/>
              <w:rPr>
                <w:szCs w:val="21"/>
              </w:rPr>
            </w:pPr>
          </w:p>
        </w:tc>
      </w:tr>
    </w:tbl>
    <w:p>
      <w:pPr>
        <w:spacing w:line="360" w:lineRule="auto"/>
        <w:rPr>
          <w:szCs w:val="21"/>
        </w:rPr>
      </w:pPr>
      <w:r>
        <w:rPr>
          <w:b/>
          <w:szCs w:val="21"/>
        </w:rPr>
        <w:t>要求：</w:t>
      </w:r>
      <w:r>
        <w:rPr>
          <w:szCs w:val="21"/>
        </w:rPr>
        <w:t>本表中的名称、数量应与报价明细表中相对应的报价名称、数量一致。</w:t>
      </w:r>
    </w:p>
    <w:p>
      <w:pPr>
        <w:spacing w:line="360" w:lineRule="auto"/>
        <w:ind w:left="420"/>
        <w:rPr>
          <w:szCs w:val="21"/>
        </w:rPr>
      </w:pPr>
    </w:p>
    <w:p>
      <w:pPr>
        <w:spacing w:line="440" w:lineRule="exact"/>
        <w:ind w:firstLine="371" w:firstLineChars="177"/>
        <w:rPr>
          <w:szCs w:val="21"/>
          <w:u w:val="single"/>
        </w:rPr>
      </w:pPr>
      <w:r>
        <w:rPr>
          <w:szCs w:val="21"/>
        </w:rPr>
        <w:t>投标人名称（盖章）：</w:t>
      </w:r>
    </w:p>
    <w:p>
      <w:pPr>
        <w:spacing w:line="44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4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snapToGrid w:val="0"/>
        <w:spacing w:before="50" w:after="50" w:line="360" w:lineRule="auto"/>
        <w:rPr>
          <w:b/>
          <w:sz w:val="28"/>
        </w:rPr>
      </w:pPr>
    </w:p>
    <w:p>
      <w:pPr>
        <w:pStyle w:val="3"/>
      </w:pPr>
    </w:p>
    <w:p>
      <w:pPr>
        <w:pStyle w:val="37"/>
        <w:rPr>
          <w:rFonts w:ascii="Times New Roman" w:hAnsi="Times New Roman" w:eastAsia="宋体" w:cs="Times New Roman"/>
        </w:rPr>
      </w:pPr>
    </w:p>
    <w:p>
      <w:pPr>
        <w:snapToGrid w:val="0"/>
        <w:spacing w:before="50" w:after="50" w:line="360" w:lineRule="auto"/>
        <w:rPr>
          <w:b/>
          <w:sz w:val="28"/>
        </w:rPr>
      </w:pPr>
    </w:p>
    <w:p>
      <w:pPr>
        <w:snapToGrid w:val="0"/>
        <w:spacing w:before="50" w:after="50" w:line="360" w:lineRule="auto"/>
        <w:rPr>
          <w:b/>
          <w:sz w:val="28"/>
        </w:rPr>
      </w:pPr>
    </w:p>
    <w:p>
      <w:pPr>
        <w:snapToGrid w:val="0"/>
        <w:spacing w:before="50" w:after="50" w:line="360" w:lineRule="auto"/>
        <w:rPr>
          <w:b/>
          <w:sz w:val="28"/>
        </w:rPr>
      </w:pPr>
    </w:p>
    <w:p>
      <w:pPr>
        <w:snapToGrid w:val="0"/>
        <w:spacing w:line="240" w:lineRule="exact"/>
        <w:rPr>
          <w:b/>
          <w:bCs/>
          <w:kern w:val="0"/>
          <w:szCs w:val="21"/>
        </w:rPr>
      </w:pPr>
      <w:r>
        <w:rPr>
          <w:b/>
          <w:szCs w:val="21"/>
        </w:rPr>
        <w:t>附件11</w:t>
      </w:r>
    </w:p>
    <w:p>
      <w:pPr>
        <w:snapToGrid w:val="0"/>
        <w:spacing w:beforeLines="50" w:after="50" w:line="360" w:lineRule="auto"/>
        <w:jc w:val="center"/>
        <w:rPr>
          <w:sz w:val="24"/>
        </w:rPr>
      </w:pPr>
      <w:r>
        <w:rPr>
          <w:b/>
          <w:bCs/>
          <w:kern w:val="0"/>
          <w:sz w:val="30"/>
          <w:szCs w:val="30"/>
        </w:rPr>
        <w:t>技术需求响应表</w:t>
      </w: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jc w:val="center"/>
              <w:rPr>
                <w:b/>
                <w:szCs w:val="21"/>
              </w:rPr>
            </w:pPr>
            <w:r>
              <w:rPr>
                <w:b/>
                <w:szCs w:val="21"/>
              </w:rPr>
              <w:t>序号</w:t>
            </w:r>
          </w:p>
        </w:tc>
        <w:tc>
          <w:tcPr>
            <w:tcW w:w="1785" w:type="dxa"/>
            <w:vAlign w:val="center"/>
          </w:tcPr>
          <w:p>
            <w:pPr>
              <w:spacing w:line="360" w:lineRule="auto"/>
              <w:jc w:val="center"/>
              <w:rPr>
                <w:b/>
                <w:szCs w:val="21"/>
              </w:rPr>
            </w:pPr>
            <w:r>
              <w:rPr>
                <w:b/>
                <w:szCs w:val="21"/>
              </w:rPr>
              <w:t>名称</w:t>
            </w:r>
          </w:p>
        </w:tc>
        <w:tc>
          <w:tcPr>
            <w:tcW w:w="1449" w:type="dxa"/>
            <w:vAlign w:val="center"/>
          </w:tcPr>
          <w:p>
            <w:pPr>
              <w:spacing w:line="360" w:lineRule="auto"/>
              <w:ind w:left="52"/>
              <w:jc w:val="center"/>
              <w:rPr>
                <w:b/>
                <w:szCs w:val="21"/>
              </w:rPr>
            </w:pPr>
            <w:r>
              <w:rPr>
                <w:b/>
                <w:szCs w:val="21"/>
              </w:rPr>
              <w:t>规格型号</w:t>
            </w:r>
          </w:p>
        </w:tc>
        <w:tc>
          <w:tcPr>
            <w:tcW w:w="1560" w:type="dxa"/>
            <w:vAlign w:val="center"/>
          </w:tcPr>
          <w:p>
            <w:pPr>
              <w:spacing w:line="360" w:lineRule="auto"/>
              <w:ind w:left="152"/>
              <w:jc w:val="center"/>
              <w:rPr>
                <w:b/>
                <w:szCs w:val="21"/>
              </w:rPr>
            </w:pPr>
            <w:r>
              <w:rPr>
                <w:b/>
                <w:szCs w:val="21"/>
              </w:rPr>
              <w:t>招标参数</w:t>
            </w:r>
          </w:p>
        </w:tc>
        <w:tc>
          <w:tcPr>
            <w:tcW w:w="1401" w:type="dxa"/>
            <w:vAlign w:val="center"/>
          </w:tcPr>
          <w:p>
            <w:pPr>
              <w:spacing w:line="360" w:lineRule="auto"/>
              <w:jc w:val="center"/>
              <w:rPr>
                <w:b/>
                <w:szCs w:val="21"/>
              </w:rPr>
            </w:pPr>
            <w:r>
              <w:rPr>
                <w:b/>
                <w:szCs w:val="21"/>
              </w:rPr>
              <w:t>投标参数</w:t>
            </w:r>
          </w:p>
        </w:tc>
        <w:tc>
          <w:tcPr>
            <w:tcW w:w="1365" w:type="dxa"/>
            <w:vAlign w:val="center"/>
          </w:tcPr>
          <w:p>
            <w:pPr>
              <w:spacing w:line="360" w:lineRule="auto"/>
              <w:jc w:val="center"/>
              <w:rPr>
                <w:b/>
                <w:szCs w:val="21"/>
              </w:rPr>
            </w:pPr>
            <w:r>
              <w:rPr>
                <w:b/>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szCs w:val="21"/>
              </w:rPr>
            </w:pPr>
          </w:p>
        </w:tc>
        <w:tc>
          <w:tcPr>
            <w:tcW w:w="1785" w:type="dxa"/>
            <w:vAlign w:val="center"/>
          </w:tcPr>
          <w:p>
            <w:pPr>
              <w:spacing w:line="360" w:lineRule="auto"/>
              <w:rPr>
                <w:szCs w:val="21"/>
              </w:rPr>
            </w:pPr>
          </w:p>
        </w:tc>
        <w:tc>
          <w:tcPr>
            <w:tcW w:w="1449" w:type="dxa"/>
            <w:vAlign w:val="center"/>
          </w:tcPr>
          <w:p>
            <w:pPr>
              <w:spacing w:line="360" w:lineRule="auto"/>
              <w:rPr>
                <w:szCs w:val="21"/>
              </w:rPr>
            </w:pPr>
          </w:p>
        </w:tc>
        <w:tc>
          <w:tcPr>
            <w:tcW w:w="1560" w:type="dxa"/>
            <w:vAlign w:val="center"/>
          </w:tcPr>
          <w:p>
            <w:pPr>
              <w:spacing w:line="360" w:lineRule="auto"/>
              <w:rPr>
                <w:szCs w:val="21"/>
              </w:rPr>
            </w:pPr>
          </w:p>
        </w:tc>
        <w:tc>
          <w:tcPr>
            <w:tcW w:w="1401" w:type="dxa"/>
            <w:vAlign w:val="center"/>
          </w:tcPr>
          <w:p>
            <w:pPr>
              <w:spacing w:line="360" w:lineRule="auto"/>
              <w:rPr>
                <w:szCs w:val="21"/>
              </w:rPr>
            </w:pPr>
          </w:p>
        </w:tc>
        <w:tc>
          <w:tcPr>
            <w:tcW w:w="1365" w:type="dxa"/>
            <w:vAlign w:val="center"/>
          </w:tcPr>
          <w:p>
            <w:pPr>
              <w:spacing w:line="360" w:lineRule="auto"/>
              <w:rPr>
                <w:szCs w:val="21"/>
              </w:rPr>
            </w:pPr>
          </w:p>
        </w:tc>
      </w:tr>
    </w:tbl>
    <w:p>
      <w:pPr>
        <w:pStyle w:val="40"/>
        <w:tabs>
          <w:tab w:val="left" w:pos="360"/>
        </w:tabs>
        <w:spacing w:line="360" w:lineRule="auto"/>
        <w:ind w:right="84" w:rightChars="40"/>
        <w:rPr>
          <w:b/>
          <w:szCs w:val="21"/>
        </w:rPr>
      </w:pPr>
      <w:r>
        <w:rPr>
          <w:b/>
          <w:szCs w:val="21"/>
        </w:rPr>
        <w:t>要求：</w:t>
      </w:r>
    </w:p>
    <w:p>
      <w:pPr>
        <w:pStyle w:val="40"/>
        <w:tabs>
          <w:tab w:val="left" w:pos="360"/>
        </w:tabs>
        <w:spacing w:line="360" w:lineRule="auto"/>
        <w:ind w:right="84" w:rightChars="40" w:firstLine="420" w:firstLineChars="200"/>
        <w:rPr>
          <w:szCs w:val="21"/>
        </w:rPr>
      </w:pPr>
      <w:r>
        <w:rPr>
          <w:szCs w:val="21"/>
        </w:rPr>
        <w:t>1. 本表的名称须与《报价明细表》一致。</w:t>
      </w:r>
    </w:p>
    <w:p>
      <w:pPr>
        <w:pStyle w:val="40"/>
        <w:spacing w:line="360" w:lineRule="auto"/>
        <w:ind w:right="84" w:rightChars="40" w:firstLine="420" w:firstLineChars="200"/>
        <w:rPr>
          <w:szCs w:val="21"/>
        </w:rPr>
      </w:pPr>
      <w:r>
        <w:rPr>
          <w:szCs w:val="21"/>
        </w:rPr>
        <w:t>2.本表参照本招标文件第四章“</w:t>
      </w:r>
      <w:r>
        <w:rPr>
          <w:rFonts w:hint="eastAsia"/>
          <w:szCs w:val="21"/>
          <w:lang w:val="en-US" w:eastAsia="zh-CN"/>
        </w:rPr>
        <w:t>公开</w:t>
      </w:r>
      <w:r>
        <w:rPr>
          <w:szCs w:val="21"/>
        </w:rPr>
        <w:t>招标需求”内第二条“</w:t>
      </w:r>
      <w:r>
        <w:rPr>
          <w:rFonts w:hint="eastAsia"/>
          <w:szCs w:val="21"/>
          <w:lang w:val="en-US" w:eastAsia="zh-CN"/>
        </w:rPr>
        <w:t>项目内容</w:t>
      </w:r>
      <w:r>
        <w:rPr>
          <w:szCs w:val="21"/>
        </w:rPr>
        <w:t>”填制，投标人应根据投标设备的性能指标、服务指标，对照招标文件要求在“偏离情况”栏注明“正偏离”、“负偏离”或“无偏离”。</w:t>
      </w:r>
    </w:p>
    <w:p>
      <w:pPr>
        <w:pStyle w:val="40"/>
        <w:spacing w:line="360" w:lineRule="auto"/>
        <w:ind w:right="84" w:rightChars="40" w:firstLine="420" w:firstLineChars="200"/>
        <w:rPr>
          <w:szCs w:val="21"/>
        </w:rPr>
      </w:pPr>
      <w:r>
        <w:rPr>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szCs w:val="21"/>
        </w:rPr>
      </w:pPr>
    </w:p>
    <w:p>
      <w:pPr>
        <w:pStyle w:val="3"/>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pStyle w:val="6"/>
        <w:rPr>
          <w:rFonts w:ascii="Times New Roman" w:hAnsi="Times New Roman" w:eastAsia="宋体"/>
          <w:sz w:val="21"/>
          <w:szCs w:val="21"/>
        </w:rPr>
      </w:pPr>
    </w:p>
    <w:p/>
    <w:p/>
    <w:p/>
    <w:p>
      <w:pPr>
        <w:pStyle w:val="41"/>
        <w:spacing w:line="240" w:lineRule="exact"/>
        <w:jc w:val="left"/>
        <w:rPr>
          <w:b/>
          <w:szCs w:val="21"/>
        </w:rPr>
      </w:pPr>
      <w:r>
        <w:rPr>
          <w:b/>
          <w:szCs w:val="21"/>
        </w:rPr>
        <w:t>附件12</w:t>
      </w:r>
    </w:p>
    <w:p>
      <w:pPr>
        <w:snapToGrid w:val="0"/>
        <w:spacing w:beforeLines="50" w:after="50" w:line="360" w:lineRule="auto"/>
        <w:jc w:val="center"/>
        <w:rPr>
          <w:sz w:val="28"/>
          <w:szCs w:val="28"/>
        </w:rPr>
      </w:pPr>
      <w:r>
        <w:rPr>
          <w:b/>
          <w:bCs/>
          <w:kern w:val="0"/>
          <w:sz w:val="30"/>
          <w:szCs w:val="30"/>
        </w:rPr>
        <w:t>证书一览表</w:t>
      </w: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bottom w:val="single" w:color="auto" w:sz="4" w:space="0"/>
            </w:tcBorders>
            <w:vAlign w:val="center"/>
          </w:tcPr>
          <w:p>
            <w:pPr>
              <w:pStyle w:val="34"/>
              <w:spacing w:line="360" w:lineRule="auto"/>
              <w:jc w:val="center"/>
              <w:rPr>
                <w:b/>
                <w:bCs/>
              </w:rPr>
            </w:pPr>
            <w:r>
              <w:rPr>
                <w:b/>
                <w:bCs/>
              </w:rPr>
              <w:t>证书名称</w:t>
            </w:r>
          </w:p>
        </w:tc>
        <w:tc>
          <w:tcPr>
            <w:tcW w:w="2258" w:type="dxa"/>
            <w:tcBorders>
              <w:top w:val="single" w:color="auto" w:sz="4" w:space="0"/>
              <w:bottom w:val="single" w:color="auto" w:sz="4" w:space="0"/>
            </w:tcBorders>
            <w:vAlign w:val="center"/>
          </w:tcPr>
          <w:p>
            <w:pPr>
              <w:pStyle w:val="34"/>
              <w:spacing w:line="360" w:lineRule="auto"/>
              <w:jc w:val="center"/>
              <w:rPr>
                <w:b/>
                <w:bCs/>
              </w:rPr>
            </w:pPr>
            <w:r>
              <w:rPr>
                <w:b/>
                <w:bCs/>
              </w:rPr>
              <w:t>发证单位</w:t>
            </w:r>
          </w:p>
        </w:tc>
        <w:tc>
          <w:tcPr>
            <w:tcW w:w="2260" w:type="dxa"/>
            <w:tcBorders>
              <w:top w:val="single" w:color="auto" w:sz="4" w:space="0"/>
              <w:bottom w:val="single" w:color="auto" w:sz="4" w:space="0"/>
            </w:tcBorders>
            <w:vAlign w:val="center"/>
          </w:tcPr>
          <w:p>
            <w:pPr>
              <w:pStyle w:val="34"/>
              <w:spacing w:line="360" w:lineRule="auto"/>
              <w:jc w:val="center"/>
              <w:rPr>
                <w:b/>
                <w:bCs/>
              </w:rPr>
            </w:pPr>
            <w:r>
              <w:rPr>
                <w:b/>
                <w:bCs/>
              </w:rPr>
              <w:t>证书等级</w:t>
            </w:r>
          </w:p>
        </w:tc>
        <w:tc>
          <w:tcPr>
            <w:tcW w:w="2047" w:type="dxa"/>
            <w:tcBorders>
              <w:top w:val="single" w:color="auto" w:sz="4" w:space="0"/>
              <w:bottom w:val="single" w:color="auto" w:sz="4" w:space="0"/>
              <w:right w:val="single" w:color="auto" w:sz="4" w:space="0"/>
            </w:tcBorders>
            <w:vAlign w:val="center"/>
          </w:tcPr>
          <w:p>
            <w:pPr>
              <w:pStyle w:val="34"/>
              <w:spacing w:line="360" w:lineRule="auto"/>
              <w:jc w:val="center"/>
              <w:rPr>
                <w:b/>
                <w:bCs/>
              </w:rPr>
            </w:pPr>
            <w:r>
              <w:rPr>
                <w:b/>
                <w:bCs/>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top w:val="single" w:color="auto" w:sz="4" w:space="0"/>
              <w:left w:val="single" w:color="auto" w:sz="4" w:space="0"/>
            </w:tcBorders>
          </w:tcPr>
          <w:p>
            <w:pPr>
              <w:pStyle w:val="34"/>
              <w:spacing w:line="360" w:lineRule="auto"/>
              <w:jc w:val="center"/>
            </w:pPr>
          </w:p>
        </w:tc>
        <w:tc>
          <w:tcPr>
            <w:tcW w:w="2258" w:type="dxa"/>
            <w:tcBorders>
              <w:top w:val="single" w:color="auto" w:sz="4" w:space="0"/>
            </w:tcBorders>
          </w:tcPr>
          <w:p>
            <w:pPr>
              <w:pStyle w:val="34"/>
              <w:spacing w:line="360" w:lineRule="auto"/>
              <w:jc w:val="center"/>
            </w:pPr>
          </w:p>
        </w:tc>
        <w:tc>
          <w:tcPr>
            <w:tcW w:w="2260" w:type="dxa"/>
            <w:tcBorders>
              <w:top w:val="single" w:color="auto" w:sz="4" w:space="0"/>
            </w:tcBorders>
          </w:tcPr>
          <w:p>
            <w:pPr>
              <w:pStyle w:val="34"/>
              <w:spacing w:line="360" w:lineRule="auto"/>
              <w:jc w:val="center"/>
            </w:pPr>
          </w:p>
        </w:tc>
        <w:tc>
          <w:tcPr>
            <w:tcW w:w="2047" w:type="dxa"/>
            <w:tcBorders>
              <w:top w:val="single" w:color="auto" w:sz="4" w:space="0"/>
              <w:right w:val="single" w:color="auto" w:sz="4" w:space="0"/>
            </w:tcBorders>
          </w:tcPr>
          <w:p>
            <w:pPr>
              <w:pStyle w:val="34"/>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pPr>
          </w:p>
        </w:tc>
        <w:tc>
          <w:tcPr>
            <w:tcW w:w="2258" w:type="dxa"/>
          </w:tcPr>
          <w:p>
            <w:pPr>
              <w:pStyle w:val="34"/>
              <w:spacing w:line="360" w:lineRule="auto"/>
              <w:jc w:val="center"/>
            </w:pPr>
          </w:p>
        </w:tc>
        <w:tc>
          <w:tcPr>
            <w:tcW w:w="2260" w:type="dxa"/>
          </w:tcPr>
          <w:p>
            <w:pPr>
              <w:pStyle w:val="34"/>
              <w:spacing w:line="360" w:lineRule="auto"/>
              <w:jc w:val="center"/>
            </w:pPr>
          </w:p>
        </w:tc>
        <w:tc>
          <w:tcPr>
            <w:tcW w:w="2047" w:type="dxa"/>
            <w:tcBorders>
              <w:right w:val="single" w:color="auto" w:sz="4" w:space="0"/>
            </w:tcBorders>
          </w:tcPr>
          <w:p>
            <w:pPr>
              <w:pStyle w:val="34"/>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pPr>
          </w:p>
        </w:tc>
        <w:tc>
          <w:tcPr>
            <w:tcW w:w="2258" w:type="dxa"/>
          </w:tcPr>
          <w:p>
            <w:pPr>
              <w:pStyle w:val="34"/>
              <w:spacing w:line="360" w:lineRule="auto"/>
              <w:jc w:val="center"/>
            </w:pPr>
          </w:p>
        </w:tc>
        <w:tc>
          <w:tcPr>
            <w:tcW w:w="2260" w:type="dxa"/>
          </w:tcPr>
          <w:p>
            <w:pPr>
              <w:pStyle w:val="34"/>
              <w:spacing w:line="360" w:lineRule="auto"/>
              <w:jc w:val="center"/>
            </w:pPr>
          </w:p>
        </w:tc>
        <w:tc>
          <w:tcPr>
            <w:tcW w:w="2047" w:type="dxa"/>
            <w:tcBorders>
              <w:right w:val="single" w:color="auto" w:sz="4" w:space="0"/>
            </w:tcBorders>
          </w:tcPr>
          <w:p>
            <w:pPr>
              <w:pStyle w:val="34"/>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50" w:hRule="exact"/>
          <w:jc w:val="center"/>
        </w:trPr>
        <w:tc>
          <w:tcPr>
            <w:tcW w:w="1867" w:type="dxa"/>
            <w:tcBorders>
              <w:left w:val="single" w:color="auto" w:sz="4" w:space="0"/>
            </w:tcBorders>
          </w:tcPr>
          <w:p>
            <w:pPr>
              <w:pStyle w:val="34"/>
              <w:spacing w:line="360" w:lineRule="auto"/>
              <w:jc w:val="center"/>
            </w:pPr>
          </w:p>
        </w:tc>
        <w:tc>
          <w:tcPr>
            <w:tcW w:w="2258" w:type="dxa"/>
          </w:tcPr>
          <w:p>
            <w:pPr>
              <w:pStyle w:val="34"/>
              <w:spacing w:line="360" w:lineRule="auto"/>
              <w:jc w:val="center"/>
            </w:pPr>
          </w:p>
        </w:tc>
        <w:tc>
          <w:tcPr>
            <w:tcW w:w="2260" w:type="dxa"/>
          </w:tcPr>
          <w:p>
            <w:pPr>
              <w:pStyle w:val="34"/>
              <w:spacing w:line="360" w:lineRule="auto"/>
              <w:jc w:val="center"/>
            </w:pPr>
          </w:p>
        </w:tc>
        <w:tc>
          <w:tcPr>
            <w:tcW w:w="2047" w:type="dxa"/>
            <w:tcBorders>
              <w:right w:val="single" w:color="auto" w:sz="4" w:space="0"/>
            </w:tcBorders>
          </w:tcPr>
          <w:p>
            <w:pPr>
              <w:pStyle w:val="34"/>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pPr>
          </w:p>
        </w:tc>
        <w:tc>
          <w:tcPr>
            <w:tcW w:w="2258" w:type="dxa"/>
          </w:tcPr>
          <w:p>
            <w:pPr>
              <w:pStyle w:val="34"/>
              <w:spacing w:line="360" w:lineRule="auto"/>
              <w:jc w:val="center"/>
            </w:pPr>
          </w:p>
        </w:tc>
        <w:tc>
          <w:tcPr>
            <w:tcW w:w="2260" w:type="dxa"/>
          </w:tcPr>
          <w:p>
            <w:pPr>
              <w:pStyle w:val="34"/>
              <w:spacing w:line="360" w:lineRule="auto"/>
              <w:jc w:val="center"/>
            </w:pPr>
          </w:p>
        </w:tc>
        <w:tc>
          <w:tcPr>
            <w:tcW w:w="2047" w:type="dxa"/>
            <w:tcBorders>
              <w:right w:val="single" w:color="auto" w:sz="4" w:space="0"/>
            </w:tcBorders>
          </w:tcPr>
          <w:p>
            <w:pPr>
              <w:pStyle w:val="34"/>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67" w:type="dxa"/>
            <w:tcBorders>
              <w:left w:val="single" w:color="auto" w:sz="4" w:space="0"/>
            </w:tcBorders>
          </w:tcPr>
          <w:p>
            <w:pPr>
              <w:pStyle w:val="34"/>
              <w:spacing w:line="360" w:lineRule="auto"/>
              <w:jc w:val="center"/>
            </w:pPr>
          </w:p>
        </w:tc>
        <w:tc>
          <w:tcPr>
            <w:tcW w:w="2258" w:type="dxa"/>
          </w:tcPr>
          <w:p>
            <w:pPr>
              <w:pStyle w:val="34"/>
              <w:spacing w:line="360" w:lineRule="auto"/>
              <w:jc w:val="center"/>
            </w:pPr>
          </w:p>
        </w:tc>
        <w:tc>
          <w:tcPr>
            <w:tcW w:w="2260" w:type="dxa"/>
          </w:tcPr>
          <w:p>
            <w:pPr>
              <w:pStyle w:val="34"/>
              <w:spacing w:line="360" w:lineRule="auto"/>
              <w:jc w:val="center"/>
            </w:pPr>
          </w:p>
        </w:tc>
        <w:tc>
          <w:tcPr>
            <w:tcW w:w="2047" w:type="dxa"/>
            <w:tcBorders>
              <w:right w:val="single" w:color="auto" w:sz="4" w:space="0"/>
            </w:tcBorders>
          </w:tcPr>
          <w:p>
            <w:pPr>
              <w:pStyle w:val="34"/>
              <w:spacing w:line="360" w:lineRule="auto"/>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50" w:hRule="exact"/>
          <w:jc w:val="center"/>
        </w:trPr>
        <w:tc>
          <w:tcPr>
            <w:tcW w:w="1867" w:type="dxa"/>
            <w:tcBorders>
              <w:left w:val="single" w:color="auto" w:sz="4" w:space="0"/>
              <w:bottom w:val="single" w:color="auto" w:sz="4" w:space="0"/>
            </w:tcBorders>
          </w:tcPr>
          <w:p>
            <w:pPr>
              <w:pStyle w:val="34"/>
              <w:spacing w:line="360" w:lineRule="auto"/>
              <w:jc w:val="center"/>
            </w:pPr>
          </w:p>
        </w:tc>
        <w:tc>
          <w:tcPr>
            <w:tcW w:w="2258" w:type="dxa"/>
            <w:tcBorders>
              <w:bottom w:val="single" w:color="auto" w:sz="4" w:space="0"/>
            </w:tcBorders>
          </w:tcPr>
          <w:p>
            <w:pPr>
              <w:pStyle w:val="34"/>
              <w:spacing w:line="360" w:lineRule="auto"/>
              <w:jc w:val="center"/>
            </w:pPr>
          </w:p>
        </w:tc>
        <w:tc>
          <w:tcPr>
            <w:tcW w:w="2260" w:type="dxa"/>
            <w:tcBorders>
              <w:bottom w:val="single" w:color="auto" w:sz="4" w:space="0"/>
            </w:tcBorders>
          </w:tcPr>
          <w:p>
            <w:pPr>
              <w:pStyle w:val="34"/>
              <w:spacing w:line="360" w:lineRule="auto"/>
              <w:jc w:val="center"/>
            </w:pPr>
          </w:p>
        </w:tc>
        <w:tc>
          <w:tcPr>
            <w:tcW w:w="2047" w:type="dxa"/>
            <w:tcBorders>
              <w:bottom w:val="single" w:color="auto" w:sz="4" w:space="0"/>
              <w:right w:val="single" w:color="auto" w:sz="4" w:space="0"/>
            </w:tcBorders>
          </w:tcPr>
          <w:p>
            <w:pPr>
              <w:pStyle w:val="34"/>
              <w:spacing w:line="360" w:lineRule="auto"/>
              <w:jc w:val="center"/>
            </w:pPr>
          </w:p>
        </w:tc>
      </w:tr>
    </w:tbl>
    <w:p>
      <w:pPr>
        <w:pStyle w:val="34"/>
        <w:tabs>
          <w:tab w:val="left" w:pos="1050"/>
        </w:tabs>
        <w:spacing w:line="360" w:lineRule="auto"/>
      </w:pPr>
      <w:r>
        <w:rPr>
          <w:b/>
        </w:rPr>
        <w:t>要求：</w:t>
      </w:r>
    </w:p>
    <w:p>
      <w:pPr>
        <w:pStyle w:val="34"/>
        <w:tabs>
          <w:tab w:val="left" w:pos="1050"/>
        </w:tabs>
        <w:spacing w:line="360" w:lineRule="auto"/>
        <w:ind w:firstLine="424" w:firstLineChars="202"/>
      </w:pPr>
      <w:r>
        <w:t>1.填写投标人获得资质、认证或企业信誉证书；</w:t>
      </w:r>
    </w:p>
    <w:p>
      <w:pPr>
        <w:pStyle w:val="34"/>
        <w:tabs>
          <w:tab w:val="left" w:pos="1050"/>
        </w:tabs>
        <w:spacing w:line="360" w:lineRule="auto"/>
        <w:ind w:firstLine="424" w:firstLineChars="202"/>
      </w:pPr>
      <w:r>
        <w:t>2.附所列证书原件扫描件或其他证明材料。</w:t>
      </w:r>
    </w:p>
    <w:p>
      <w:pPr>
        <w:pStyle w:val="34"/>
        <w:tabs>
          <w:tab w:val="left" w:pos="1050"/>
        </w:tabs>
        <w:spacing w:line="360" w:lineRule="auto"/>
        <w:ind w:firstLine="630" w:firstLineChars="300"/>
      </w:pPr>
    </w:p>
    <w:p>
      <w:pPr>
        <w:pStyle w:val="34"/>
        <w:tabs>
          <w:tab w:val="left" w:pos="1050"/>
        </w:tabs>
        <w:spacing w:line="360" w:lineRule="auto"/>
        <w:ind w:firstLine="630" w:firstLineChars="300"/>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spacing w:line="360" w:lineRule="auto"/>
        <w:rPr>
          <w:b/>
          <w:sz w:val="28"/>
        </w:rPr>
      </w:pPr>
    </w:p>
    <w:p>
      <w:pPr>
        <w:pStyle w:val="6"/>
        <w:rPr>
          <w:rFonts w:ascii="Times New Roman" w:hAnsi="Times New Roman" w:eastAsia="宋体"/>
          <w:sz w:val="28"/>
        </w:rPr>
      </w:pPr>
    </w:p>
    <w:p/>
    <w:p>
      <w:pPr>
        <w:spacing w:line="240" w:lineRule="exact"/>
        <w:rPr>
          <w:b/>
          <w:szCs w:val="21"/>
        </w:rPr>
      </w:pPr>
      <w:r>
        <w:rPr>
          <w:b/>
          <w:szCs w:val="21"/>
        </w:rPr>
        <w:t>附件13</w:t>
      </w:r>
    </w:p>
    <w:p>
      <w:pPr>
        <w:snapToGrid w:val="0"/>
        <w:spacing w:beforeLines="50" w:after="50" w:line="360" w:lineRule="auto"/>
        <w:jc w:val="center"/>
        <w:rPr>
          <w:b/>
          <w:bCs/>
          <w:kern w:val="0"/>
          <w:sz w:val="30"/>
          <w:szCs w:val="30"/>
        </w:rPr>
      </w:pPr>
      <w:r>
        <w:rPr>
          <w:b/>
          <w:bCs/>
          <w:kern w:val="0"/>
          <w:sz w:val="30"/>
          <w:szCs w:val="30"/>
        </w:rPr>
        <w:t>投标人类似项目实施情况一览表</w:t>
      </w:r>
    </w:p>
    <w:tbl>
      <w:tblPr>
        <w:tblStyle w:val="26"/>
        <w:tblW w:w="90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03"/>
        <w:gridCol w:w="1086"/>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合同总价</w:t>
            </w: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实施</w:t>
            </w:r>
          </w:p>
          <w:p>
            <w:pPr>
              <w:pStyle w:val="41"/>
              <w:spacing w:line="240" w:lineRule="exact"/>
              <w:jc w:val="center"/>
              <w:rPr>
                <w:b/>
                <w:bCs/>
                <w:szCs w:val="21"/>
              </w:rPr>
            </w:pPr>
            <w:r>
              <w:rPr>
                <w:b/>
                <w:bCs/>
                <w:szCs w:val="21"/>
              </w:rPr>
              <w:t>时间</w:t>
            </w: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项目</w:t>
            </w:r>
          </w:p>
          <w:p>
            <w:pPr>
              <w:pStyle w:val="41"/>
              <w:spacing w:line="240" w:lineRule="exact"/>
              <w:jc w:val="center"/>
              <w:rPr>
                <w:b/>
                <w:bCs/>
                <w:szCs w:val="21"/>
              </w:rPr>
            </w:pPr>
            <w:r>
              <w:rPr>
                <w:b/>
                <w:bCs/>
                <w:szCs w:val="21"/>
              </w:rPr>
              <w:t>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1</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2</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3</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r>
              <w:rPr>
                <w:b/>
                <w:bCs/>
                <w:szCs w:val="21"/>
              </w:rPr>
              <w:t>…</w:t>
            </w: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0" w:hRule="exact"/>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29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575"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303"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1086"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c>
          <w:tcPr>
            <w:tcW w:w="2037" w:type="dxa"/>
            <w:tcBorders>
              <w:top w:val="single" w:color="auto" w:sz="6" w:space="0"/>
              <w:left w:val="single" w:color="auto" w:sz="6" w:space="0"/>
              <w:bottom w:val="single" w:color="auto" w:sz="6" w:space="0"/>
              <w:right w:val="single" w:color="auto" w:sz="6" w:space="0"/>
            </w:tcBorders>
            <w:vAlign w:val="center"/>
          </w:tcPr>
          <w:p>
            <w:pPr>
              <w:pStyle w:val="41"/>
              <w:spacing w:line="240" w:lineRule="exact"/>
              <w:jc w:val="center"/>
              <w:rPr>
                <w:szCs w:val="21"/>
              </w:rPr>
            </w:pPr>
          </w:p>
        </w:tc>
      </w:tr>
    </w:tbl>
    <w:p>
      <w:pPr>
        <w:autoSpaceDE w:val="0"/>
        <w:autoSpaceDN w:val="0"/>
        <w:adjustRightInd w:val="0"/>
        <w:spacing w:line="400" w:lineRule="exact"/>
        <w:rPr>
          <w:b/>
          <w:szCs w:val="21"/>
        </w:rPr>
      </w:pPr>
      <w:r>
        <w:rPr>
          <w:b/>
          <w:szCs w:val="21"/>
        </w:rPr>
        <w:t>要求：</w:t>
      </w:r>
    </w:p>
    <w:p>
      <w:pPr>
        <w:autoSpaceDE w:val="0"/>
        <w:autoSpaceDN w:val="0"/>
        <w:adjustRightInd w:val="0"/>
        <w:spacing w:line="400" w:lineRule="exact"/>
        <w:ind w:firstLine="424" w:firstLineChars="202"/>
        <w:rPr>
          <w:b/>
          <w:szCs w:val="21"/>
        </w:rPr>
      </w:pPr>
      <w:r>
        <w:rPr>
          <w:szCs w:val="21"/>
        </w:rPr>
        <w:t>1.业绩证明应提供证明材料（合同原件扫描件可只提供首页、含金额页、盖章页并加盖投标人公章）；</w:t>
      </w:r>
    </w:p>
    <w:p>
      <w:pPr>
        <w:spacing w:line="400" w:lineRule="exact"/>
        <w:ind w:firstLine="424" w:firstLineChars="202"/>
        <w:jc w:val="left"/>
        <w:rPr>
          <w:szCs w:val="21"/>
        </w:rPr>
      </w:pPr>
      <w:r>
        <w:rPr>
          <w:szCs w:val="21"/>
        </w:rPr>
        <w:t>2.报价投标人可按此表格式复制。</w:t>
      </w:r>
    </w:p>
    <w:p>
      <w:pPr>
        <w:spacing w:line="360" w:lineRule="auto"/>
        <w:rPr>
          <w:szCs w:val="21"/>
        </w:rPr>
      </w:pPr>
    </w:p>
    <w:p>
      <w:pPr>
        <w:spacing w:line="360" w:lineRule="auto"/>
        <w:rPr>
          <w:szCs w:val="21"/>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pStyle w:val="34"/>
        <w:tabs>
          <w:tab w:val="left" w:pos="1050"/>
        </w:tabs>
        <w:spacing w:line="360" w:lineRule="auto"/>
        <w:rPr>
          <w:b/>
          <w:sz w:val="28"/>
        </w:rPr>
      </w:pPr>
    </w:p>
    <w:p>
      <w:pPr>
        <w:pStyle w:val="34"/>
        <w:tabs>
          <w:tab w:val="left" w:pos="1050"/>
        </w:tabs>
        <w:spacing w:line="360" w:lineRule="auto"/>
        <w:rPr>
          <w:b/>
          <w:sz w:val="28"/>
        </w:rPr>
      </w:pPr>
    </w:p>
    <w:p>
      <w:pPr>
        <w:pStyle w:val="34"/>
        <w:tabs>
          <w:tab w:val="left" w:pos="1050"/>
        </w:tabs>
        <w:spacing w:line="360" w:lineRule="auto"/>
        <w:rPr>
          <w:b/>
          <w:sz w:val="28"/>
        </w:rPr>
      </w:pPr>
    </w:p>
    <w:p>
      <w:pPr>
        <w:pStyle w:val="34"/>
        <w:tabs>
          <w:tab w:val="left" w:pos="1050"/>
        </w:tabs>
        <w:spacing w:line="240" w:lineRule="exact"/>
        <w:rPr>
          <w:b/>
        </w:rPr>
      </w:pPr>
    </w:p>
    <w:p>
      <w:pPr>
        <w:pStyle w:val="34"/>
        <w:tabs>
          <w:tab w:val="left" w:pos="1050"/>
        </w:tabs>
        <w:spacing w:line="240" w:lineRule="exact"/>
      </w:pPr>
      <w:r>
        <w:rPr>
          <w:b/>
        </w:rPr>
        <w:t>附件14</w:t>
      </w:r>
    </w:p>
    <w:p>
      <w:pPr>
        <w:snapToGrid w:val="0"/>
        <w:spacing w:beforeLines="50" w:after="50" w:line="360" w:lineRule="auto"/>
        <w:jc w:val="center"/>
        <w:rPr>
          <w:b/>
          <w:sz w:val="18"/>
          <w:szCs w:val="18"/>
        </w:rPr>
      </w:pPr>
      <w:r>
        <w:rPr>
          <w:b/>
          <w:bCs/>
          <w:kern w:val="0"/>
          <w:sz w:val="30"/>
          <w:szCs w:val="30"/>
        </w:rPr>
        <w:t>资信及商务需求响应表</w:t>
      </w: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trPr>
        <w:tc>
          <w:tcPr>
            <w:tcW w:w="735" w:type="dxa"/>
            <w:vAlign w:val="center"/>
          </w:tcPr>
          <w:p>
            <w:pPr>
              <w:spacing w:line="280" w:lineRule="exact"/>
              <w:jc w:val="center"/>
              <w:rPr>
                <w:b/>
                <w:szCs w:val="21"/>
              </w:rPr>
            </w:pPr>
            <w:r>
              <w:rPr>
                <w:b/>
                <w:szCs w:val="21"/>
              </w:rPr>
              <w:t>序号</w:t>
            </w:r>
          </w:p>
        </w:tc>
        <w:tc>
          <w:tcPr>
            <w:tcW w:w="1785" w:type="dxa"/>
            <w:vAlign w:val="center"/>
          </w:tcPr>
          <w:p>
            <w:pPr>
              <w:spacing w:line="280" w:lineRule="exact"/>
              <w:jc w:val="center"/>
              <w:rPr>
                <w:b/>
                <w:szCs w:val="21"/>
              </w:rPr>
            </w:pPr>
            <w:r>
              <w:rPr>
                <w:b/>
                <w:szCs w:val="21"/>
              </w:rPr>
              <w:t>内容</w:t>
            </w:r>
          </w:p>
        </w:tc>
        <w:tc>
          <w:tcPr>
            <w:tcW w:w="1785" w:type="dxa"/>
            <w:vAlign w:val="center"/>
          </w:tcPr>
          <w:p>
            <w:pPr>
              <w:spacing w:line="280" w:lineRule="exact"/>
              <w:ind w:left="53" w:leftChars="25" w:firstLine="211" w:firstLineChars="100"/>
              <w:jc w:val="center"/>
              <w:rPr>
                <w:b/>
                <w:szCs w:val="21"/>
              </w:rPr>
            </w:pPr>
            <w:r>
              <w:rPr>
                <w:b/>
                <w:szCs w:val="21"/>
              </w:rPr>
              <w:t>招标需求</w:t>
            </w:r>
          </w:p>
        </w:tc>
        <w:tc>
          <w:tcPr>
            <w:tcW w:w="1365" w:type="dxa"/>
            <w:vAlign w:val="center"/>
          </w:tcPr>
          <w:p>
            <w:pPr>
              <w:spacing w:line="280" w:lineRule="exact"/>
              <w:ind w:left="152"/>
              <w:jc w:val="center"/>
              <w:rPr>
                <w:b/>
                <w:szCs w:val="21"/>
              </w:rPr>
            </w:pPr>
            <w:r>
              <w:rPr>
                <w:b/>
                <w:szCs w:val="21"/>
              </w:rPr>
              <w:t>是否响应</w:t>
            </w:r>
          </w:p>
        </w:tc>
        <w:tc>
          <w:tcPr>
            <w:tcW w:w="2625" w:type="dxa"/>
            <w:vAlign w:val="center"/>
          </w:tcPr>
          <w:p>
            <w:pPr>
              <w:spacing w:line="280" w:lineRule="exact"/>
              <w:jc w:val="center"/>
              <w:rPr>
                <w:b/>
                <w:szCs w:val="21"/>
              </w:rPr>
            </w:pPr>
            <w:r>
              <w:rPr>
                <w:b/>
                <w:szCs w:val="21"/>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售后服务保障要求</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备品备件及耗材等要求</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质保期</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交货和服务</w:t>
            </w:r>
          </w:p>
          <w:p>
            <w:pPr>
              <w:snapToGrid w:val="0"/>
              <w:spacing w:line="280" w:lineRule="exact"/>
              <w:jc w:val="center"/>
              <w:rPr>
                <w:szCs w:val="21"/>
              </w:rPr>
            </w:pPr>
            <w:r>
              <w:rPr>
                <w:szCs w:val="21"/>
              </w:rPr>
              <w:t>时间及地点</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付款条件</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r>
              <w:rPr>
                <w:szCs w:val="21"/>
              </w:rPr>
              <w:t>……</w:t>
            </w: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35" w:type="dxa"/>
            <w:vAlign w:val="center"/>
          </w:tcPr>
          <w:p>
            <w:pPr>
              <w:spacing w:line="280" w:lineRule="exact"/>
              <w:jc w:val="center"/>
              <w:rPr>
                <w:szCs w:val="21"/>
              </w:rPr>
            </w:pPr>
          </w:p>
        </w:tc>
        <w:tc>
          <w:tcPr>
            <w:tcW w:w="1785" w:type="dxa"/>
            <w:vAlign w:val="center"/>
          </w:tcPr>
          <w:p>
            <w:pPr>
              <w:snapToGrid w:val="0"/>
              <w:spacing w:line="280" w:lineRule="exact"/>
              <w:jc w:val="center"/>
              <w:rPr>
                <w:szCs w:val="21"/>
              </w:rPr>
            </w:pPr>
          </w:p>
        </w:tc>
        <w:tc>
          <w:tcPr>
            <w:tcW w:w="1785" w:type="dxa"/>
            <w:vAlign w:val="center"/>
          </w:tcPr>
          <w:p>
            <w:pPr>
              <w:spacing w:line="280" w:lineRule="exact"/>
              <w:jc w:val="center"/>
              <w:rPr>
                <w:szCs w:val="21"/>
              </w:rPr>
            </w:pPr>
          </w:p>
        </w:tc>
        <w:tc>
          <w:tcPr>
            <w:tcW w:w="1365" w:type="dxa"/>
            <w:vAlign w:val="center"/>
          </w:tcPr>
          <w:p>
            <w:pPr>
              <w:spacing w:line="280" w:lineRule="exact"/>
              <w:jc w:val="center"/>
              <w:rPr>
                <w:szCs w:val="21"/>
              </w:rPr>
            </w:pPr>
          </w:p>
        </w:tc>
        <w:tc>
          <w:tcPr>
            <w:tcW w:w="2625" w:type="dxa"/>
            <w:vAlign w:val="center"/>
          </w:tcPr>
          <w:p>
            <w:pPr>
              <w:spacing w:line="280" w:lineRule="exact"/>
              <w:jc w:val="center"/>
              <w:rPr>
                <w:szCs w:val="21"/>
              </w:rPr>
            </w:pPr>
          </w:p>
        </w:tc>
      </w:tr>
    </w:tbl>
    <w:p>
      <w:pPr>
        <w:spacing w:line="360" w:lineRule="auto"/>
        <w:rPr>
          <w:szCs w:val="21"/>
        </w:rPr>
      </w:pPr>
    </w:p>
    <w:p>
      <w:pPr>
        <w:pStyle w:val="3"/>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tabs>
          <w:tab w:val="left" w:pos="2460"/>
        </w:tabs>
        <w:spacing w:line="360" w:lineRule="auto"/>
        <w:ind w:firstLine="435"/>
        <w:rPr>
          <w:b/>
          <w:szCs w:val="21"/>
        </w:rPr>
      </w:pPr>
    </w:p>
    <w:p>
      <w:pPr>
        <w:pStyle w:val="37"/>
        <w:rPr>
          <w:rFonts w:ascii="Times New Roman" w:hAnsi="Times New Roman" w:eastAsia="宋体" w:cs="Times New Roman"/>
        </w:rPr>
      </w:pPr>
    </w:p>
    <w:p>
      <w:pPr>
        <w:tabs>
          <w:tab w:val="left" w:pos="2460"/>
        </w:tabs>
        <w:spacing w:line="360" w:lineRule="auto"/>
        <w:ind w:firstLine="435"/>
        <w:rPr>
          <w:b/>
          <w:szCs w:val="21"/>
        </w:rPr>
      </w:pPr>
    </w:p>
    <w:p>
      <w:pPr>
        <w:tabs>
          <w:tab w:val="left" w:pos="2460"/>
        </w:tabs>
        <w:spacing w:line="360" w:lineRule="auto"/>
        <w:ind w:firstLine="435"/>
        <w:rPr>
          <w:b/>
          <w:sz w:val="28"/>
        </w:rPr>
      </w:pPr>
    </w:p>
    <w:p>
      <w:pPr>
        <w:tabs>
          <w:tab w:val="left" w:pos="2460"/>
        </w:tabs>
        <w:spacing w:line="360" w:lineRule="auto"/>
        <w:ind w:firstLine="435"/>
        <w:rPr>
          <w:b/>
          <w:sz w:val="28"/>
        </w:rPr>
      </w:pPr>
    </w:p>
    <w:p>
      <w:pPr>
        <w:tabs>
          <w:tab w:val="left" w:pos="2460"/>
        </w:tabs>
        <w:spacing w:line="360" w:lineRule="auto"/>
        <w:rPr>
          <w:b/>
          <w:szCs w:val="21"/>
        </w:rPr>
      </w:pPr>
      <w:r>
        <w:rPr>
          <w:b/>
          <w:szCs w:val="21"/>
        </w:rPr>
        <w:t>附件15</w:t>
      </w:r>
      <w:r>
        <w:rPr>
          <w:b/>
          <w:szCs w:val="21"/>
        </w:rPr>
        <w:tab/>
      </w:r>
    </w:p>
    <w:p>
      <w:pPr>
        <w:snapToGrid w:val="0"/>
        <w:spacing w:beforeLines="50" w:after="50" w:line="360" w:lineRule="auto"/>
        <w:jc w:val="center"/>
        <w:rPr>
          <w:b/>
          <w:sz w:val="36"/>
          <w:szCs w:val="36"/>
        </w:rPr>
      </w:pPr>
      <w:r>
        <w:rPr>
          <w:b/>
          <w:bCs/>
          <w:kern w:val="0"/>
          <w:sz w:val="30"/>
          <w:szCs w:val="30"/>
        </w:rPr>
        <w:t>售后服务情况表</w:t>
      </w: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48" w:hRule="atLeast"/>
          <w:jc w:val="center"/>
        </w:trPr>
        <w:tc>
          <w:tcPr>
            <w:tcW w:w="739" w:type="dxa"/>
            <w:vAlign w:val="center"/>
          </w:tcPr>
          <w:p>
            <w:pPr>
              <w:pStyle w:val="42"/>
              <w:spacing w:line="360" w:lineRule="auto"/>
              <w:jc w:val="center"/>
              <w:rPr>
                <w:b/>
                <w:szCs w:val="21"/>
              </w:rPr>
            </w:pPr>
            <w:r>
              <w:rPr>
                <w:b/>
                <w:szCs w:val="21"/>
              </w:rPr>
              <w:t>序号</w:t>
            </w:r>
          </w:p>
        </w:tc>
        <w:tc>
          <w:tcPr>
            <w:tcW w:w="2355" w:type="dxa"/>
            <w:vAlign w:val="center"/>
          </w:tcPr>
          <w:p>
            <w:pPr>
              <w:pStyle w:val="42"/>
              <w:spacing w:line="360" w:lineRule="auto"/>
              <w:jc w:val="center"/>
              <w:rPr>
                <w:b/>
                <w:szCs w:val="21"/>
              </w:rPr>
            </w:pPr>
            <w:r>
              <w:rPr>
                <w:b/>
                <w:szCs w:val="21"/>
              </w:rPr>
              <w:t>项目</w:t>
            </w:r>
          </w:p>
        </w:tc>
        <w:tc>
          <w:tcPr>
            <w:tcW w:w="4061" w:type="dxa"/>
            <w:vAlign w:val="center"/>
          </w:tcPr>
          <w:p>
            <w:pPr>
              <w:pStyle w:val="42"/>
              <w:spacing w:line="360" w:lineRule="auto"/>
              <w:jc w:val="center"/>
              <w:rPr>
                <w:b/>
                <w:szCs w:val="21"/>
              </w:rPr>
            </w:pPr>
            <w:r>
              <w:rPr>
                <w:b/>
                <w:szCs w:val="21"/>
              </w:rPr>
              <w:t>投标人情况</w:t>
            </w:r>
          </w:p>
        </w:tc>
        <w:tc>
          <w:tcPr>
            <w:tcW w:w="1373" w:type="dxa"/>
            <w:vAlign w:val="center"/>
          </w:tcPr>
          <w:p>
            <w:pPr>
              <w:pStyle w:val="42"/>
              <w:spacing w:line="360" w:lineRule="auto"/>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2"/>
              <w:spacing w:line="360" w:lineRule="auto"/>
              <w:jc w:val="center"/>
              <w:rPr>
                <w:bCs/>
                <w:szCs w:val="21"/>
              </w:rPr>
            </w:pPr>
            <w:r>
              <w:rPr>
                <w:bCs/>
                <w:szCs w:val="21"/>
              </w:rPr>
              <w:t>1</w:t>
            </w:r>
          </w:p>
        </w:tc>
        <w:tc>
          <w:tcPr>
            <w:tcW w:w="2355" w:type="dxa"/>
            <w:vMerge w:val="restart"/>
            <w:vAlign w:val="center"/>
          </w:tcPr>
          <w:p>
            <w:pPr>
              <w:pStyle w:val="42"/>
              <w:widowControl/>
              <w:spacing w:line="360" w:lineRule="auto"/>
              <w:jc w:val="left"/>
              <w:rPr>
                <w:bCs/>
                <w:szCs w:val="21"/>
              </w:rPr>
            </w:pPr>
            <w:r>
              <w:rPr>
                <w:bCs/>
                <w:szCs w:val="21"/>
              </w:rPr>
              <w:t>保修期内售后服务情况(服务方式、服务网点、售后服务的内容和措施等等，可用附页和宣传材料)</w:t>
            </w:r>
          </w:p>
        </w:tc>
        <w:tc>
          <w:tcPr>
            <w:tcW w:w="4061" w:type="dxa"/>
          </w:tcPr>
          <w:p>
            <w:pPr>
              <w:pStyle w:val="42"/>
              <w:spacing w:line="360" w:lineRule="auto"/>
              <w:rPr>
                <w:bCs/>
                <w:szCs w:val="21"/>
              </w:rPr>
            </w:pPr>
            <w:r>
              <w:rPr>
                <w:bCs/>
                <w:szCs w:val="21"/>
              </w:rPr>
              <w:t>生产厂商售后服务情况：</w:t>
            </w:r>
          </w:p>
        </w:tc>
        <w:tc>
          <w:tcPr>
            <w:tcW w:w="1373" w:type="dxa"/>
          </w:tcPr>
          <w:p>
            <w:pPr>
              <w:pStyle w:val="42"/>
              <w:spacing w:line="360" w:lineRule="auto"/>
              <w:rPr>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2"/>
              <w:widowControl/>
              <w:spacing w:line="360" w:lineRule="auto"/>
              <w:jc w:val="left"/>
              <w:rPr>
                <w:bCs/>
                <w:szCs w:val="21"/>
              </w:rPr>
            </w:pPr>
          </w:p>
        </w:tc>
        <w:tc>
          <w:tcPr>
            <w:tcW w:w="2355" w:type="dxa"/>
            <w:vMerge w:val="continue"/>
            <w:vAlign w:val="center"/>
          </w:tcPr>
          <w:p>
            <w:pPr>
              <w:pStyle w:val="42"/>
              <w:widowControl/>
              <w:spacing w:line="360" w:lineRule="auto"/>
              <w:jc w:val="left"/>
              <w:rPr>
                <w:bCs/>
                <w:szCs w:val="21"/>
              </w:rPr>
            </w:pPr>
          </w:p>
        </w:tc>
        <w:tc>
          <w:tcPr>
            <w:tcW w:w="4061" w:type="dxa"/>
          </w:tcPr>
          <w:p>
            <w:pPr>
              <w:pStyle w:val="42"/>
              <w:spacing w:line="360" w:lineRule="auto"/>
              <w:rPr>
                <w:bCs/>
                <w:szCs w:val="21"/>
              </w:rPr>
            </w:pPr>
            <w:r>
              <w:rPr>
                <w:bCs/>
                <w:szCs w:val="21"/>
              </w:rPr>
              <w:t>投标人售后服务情况：</w:t>
            </w:r>
          </w:p>
        </w:tc>
        <w:tc>
          <w:tcPr>
            <w:tcW w:w="1373" w:type="dxa"/>
          </w:tcPr>
          <w:p>
            <w:pPr>
              <w:pStyle w:val="42"/>
              <w:spacing w:line="360" w:lineRule="auto"/>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2"/>
              <w:spacing w:line="360" w:lineRule="auto"/>
              <w:jc w:val="center"/>
              <w:rPr>
                <w:bCs/>
                <w:szCs w:val="21"/>
              </w:rPr>
            </w:pPr>
            <w:r>
              <w:rPr>
                <w:bCs/>
                <w:szCs w:val="21"/>
              </w:rPr>
              <w:t>2</w:t>
            </w:r>
          </w:p>
        </w:tc>
        <w:tc>
          <w:tcPr>
            <w:tcW w:w="2355" w:type="dxa"/>
            <w:vAlign w:val="center"/>
          </w:tcPr>
          <w:p>
            <w:pPr>
              <w:pStyle w:val="42"/>
              <w:spacing w:line="360" w:lineRule="auto"/>
              <w:rPr>
                <w:bCs/>
                <w:szCs w:val="21"/>
              </w:rPr>
            </w:pPr>
            <w:r>
              <w:rPr>
                <w:bCs/>
                <w:szCs w:val="21"/>
              </w:rPr>
              <w:t>保修期后售后服务</w:t>
            </w:r>
          </w:p>
        </w:tc>
        <w:tc>
          <w:tcPr>
            <w:tcW w:w="4061" w:type="dxa"/>
          </w:tcPr>
          <w:p>
            <w:pPr>
              <w:pStyle w:val="42"/>
              <w:widowControl/>
              <w:spacing w:line="360" w:lineRule="auto"/>
              <w:jc w:val="left"/>
              <w:rPr>
                <w:bCs/>
                <w:szCs w:val="21"/>
              </w:rPr>
            </w:pPr>
          </w:p>
          <w:p>
            <w:pPr>
              <w:pStyle w:val="42"/>
              <w:widowControl/>
              <w:spacing w:line="360" w:lineRule="auto"/>
              <w:jc w:val="left"/>
              <w:rPr>
                <w:bCs/>
                <w:szCs w:val="21"/>
              </w:rPr>
            </w:pPr>
          </w:p>
          <w:p>
            <w:pPr>
              <w:pStyle w:val="42"/>
              <w:spacing w:line="360" w:lineRule="auto"/>
              <w:rPr>
                <w:bCs/>
                <w:szCs w:val="21"/>
              </w:rPr>
            </w:pPr>
          </w:p>
        </w:tc>
        <w:tc>
          <w:tcPr>
            <w:tcW w:w="1373" w:type="dxa"/>
          </w:tcPr>
          <w:p>
            <w:pPr>
              <w:pStyle w:val="42"/>
              <w:widowControl/>
              <w:spacing w:line="360" w:lineRule="auto"/>
              <w:jc w:val="left"/>
              <w:rPr>
                <w:bCs/>
                <w:szCs w:val="21"/>
              </w:rPr>
            </w:pPr>
          </w:p>
          <w:p>
            <w:pPr>
              <w:pStyle w:val="42"/>
              <w:widowControl/>
              <w:spacing w:line="360" w:lineRule="auto"/>
              <w:jc w:val="left"/>
              <w:rPr>
                <w:bCs/>
                <w:szCs w:val="21"/>
              </w:rPr>
            </w:pPr>
          </w:p>
          <w:p>
            <w:pPr>
              <w:pStyle w:val="42"/>
              <w:spacing w:line="360" w:lineRule="auto"/>
              <w:rPr>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2"/>
              <w:widowControl/>
              <w:spacing w:line="360" w:lineRule="auto"/>
              <w:jc w:val="left"/>
              <w:rPr>
                <w:bCs/>
                <w:szCs w:val="21"/>
              </w:rPr>
            </w:pPr>
            <w:r>
              <w:rPr>
                <w:bCs/>
                <w:szCs w:val="21"/>
              </w:rPr>
              <w:t xml:space="preserve"> 3</w:t>
            </w:r>
          </w:p>
        </w:tc>
        <w:tc>
          <w:tcPr>
            <w:tcW w:w="2355" w:type="dxa"/>
            <w:vAlign w:val="center"/>
          </w:tcPr>
          <w:p>
            <w:pPr>
              <w:pStyle w:val="42"/>
              <w:widowControl/>
              <w:spacing w:line="360" w:lineRule="auto"/>
              <w:jc w:val="left"/>
              <w:rPr>
                <w:bCs/>
                <w:szCs w:val="21"/>
              </w:rPr>
            </w:pPr>
            <w:r>
              <w:rPr>
                <w:bCs/>
                <w:szCs w:val="21"/>
              </w:rPr>
              <w:t>培训方案（可用附页）</w:t>
            </w:r>
          </w:p>
        </w:tc>
        <w:tc>
          <w:tcPr>
            <w:tcW w:w="4061" w:type="dxa"/>
          </w:tcPr>
          <w:p>
            <w:pPr>
              <w:pStyle w:val="42"/>
              <w:widowControl/>
              <w:spacing w:line="360" w:lineRule="auto"/>
              <w:jc w:val="left"/>
              <w:rPr>
                <w:bCs/>
                <w:i/>
                <w:szCs w:val="21"/>
              </w:rPr>
            </w:pPr>
          </w:p>
          <w:p>
            <w:pPr>
              <w:pStyle w:val="42"/>
              <w:widowControl/>
              <w:spacing w:line="360" w:lineRule="auto"/>
              <w:jc w:val="left"/>
              <w:rPr>
                <w:bCs/>
                <w:i/>
                <w:szCs w:val="21"/>
              </w:rPr>
            </w:pPr>
          </w:p>
        </w:tc>
        <w:tc>
          <w:tcPr>
            <w:tcW w:w="1373" w:type="dxa"/>
          </w:tcPr>
          <w:p>
            <w:pPr>
              <w:pStyle w:val="42"/>
              <w:widowControl/>
              <w:spacing w:line="360" w:lineRule="auto"/>
              <w:jc w:val="left"/>
              <w:rPr>
                <w:bCs/>
                <w:i/>
                <w:szCs w:val="21"/>
              </w:rPr>
            </w:pPr>
          </w:p>
          <w:p>
            <w:pPr>
              <w:pStyle w:val="42"/>
              <w:widowControl/>
              <w:spacing w:line="360" w:lineRule="auto"/>
              <w:jc w:val="left"/>
              <w:rPr>
                <w:bCs/>
                <w:i/>
                <w:szCs w:val="21"/>
              </w:rPr>
            </w:pPr>
          </w:p>
          <w:p>
            <w:pPr>
              <w:pStyle w:val="42"/>
              <w:widowControl/>
              <w:spacing w:line="360" w:lineRule="auto"/>
              <w:jc w:val="left"/>
              <w:rPr>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42"/>
              <w:widowControl/>
              <w:spacing w:line="360" w:lineRule="auto"/>
              <w:jc w:val="left"/>
              <w:rPr>
                <w:bCs/>
                <w:szCs w:val="21"/>
              </w:rPr>
            </w:pPr>
            <w:r>
              <w:rPr>
                <w:bCs/>
                <w:szCs w:val="21"/>
              </w:rPr>
              <w:t>……</w:t>
            </w:r>
          </w:p>
        </w:tc>
        <w:tc>
          <w:tcPr>
            <w:tcW w:w="2355" w:type="dxa"/>
            <w:vAlign w:val="center"/>
          </w:tcPr>
          <w:p>
            <w:pPr>
              <w:pStyle w:val="42"/>
              <w:widowControl/>
              <w:spacing w:line="360" w:lineRule="auto"/>
              <w:jc w:val="left"/>
              <w:rPr>
                <w:bCs/>
                <w:szCs w:val="21"/>
              </w:rPr>
            </w:pPr>
            <w:r>
              <w:rPr>
                <w:bCs/>
                <w:szCs w:val="21"/>
              </w:rPr>
              <w:t>……</w:t>
            </w:r>
          </w:p>
        </w:tc>
        <w:tc>
          <w:tcPr>
            <w:tcW w:w="4061" w:type="dxa"/>
          </w:tcPr>
          <w:p>
            <w:pPr>
              <w:pStyle w:val="42"/>
              <w:widowControl/>
              <w:spacing w:line="360" w:lineRule="auto"/>
              <w:jc w:val="left"/>
              <w:rPr>
                <w:bCs/>
                <w:szCs w:val="21"/>
              </w:rPr>
            </w:pPr>
          </w:p>
        </w:tc>
        <w:tc>
          <w:tcPr>
            <w:tcW w:w="1373" w:type="dxa"/>
          </w:tcPr>
          <w:p>
            <w:pPr>
              <w:pStyle w:val="42"/>
              <w:widowControl/>
              <w:spacing w:line="360" w:lineRule="auto"/>
              <w:jc w:val="left"/>
              <w:rPr>
                <w:bCs/>
                <w:szCs w:val="21"/>
              </w:rPr>
            </w:pPr>
          </w:p>
        </w:tc>
      </w:tr>
    </w:tbl>
    <w:p>
      <w:pPr>
        <w:spacing w:line="360" w:lineRule="auto"/>
        <w:ind w:left="420"/>
        <w:rPr>
          <w:szCs w:val="21"/>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pStyle w:val="6"/>
        <w:rPr>
          <w:rFonts w:ascii="Times New Roman" w:hAnsi="Times New Roman" w:eastAsia="宋体"/>
          <w:sz w:val="21"/>
          <w:szCs w:val="21"/>
        </w:rPr>
      </w:pPr>
    </w:p>
    <w:p>
      <w:pPr>
        <w:rPr>
          <w:szCs w:val="21"/>
        </w:rPr>
      </w:pPr>
    </w:p>
    <w:p>
      <w:pPr>
        <w:pStyle w:val="2"/>
      </w:pPr>
    </w:p>
    <w:p/>
    <w:p>
      <w:pPr>
        <w:rPr>
          <w:szCs w:val="21"/>
        </w:rPr>
      </w:pPr>
    </w:p>
    <w:p>
      <w:pPr>
        <w:pStyle w:val="6"/>
        <w:rPr>
          <w:rFonts w:ascii="Times New Roman" w:hAnsi="Times New Roman" w:eastAsia="宋体"/>
          <w:sz w:val="24"/>
        </w:rPr>
      </w:pPr>
    </w:p>
    <w:p>
      <w:pPr>
        <w:rPr>
          <w:sz w:val="24"/>
        </w:rPr>
      </w:pPr>
    </w:p>
    <w:p>
      <w:pPr>
        <w:pStyle w:val="3"/>
      </w:pPr>
    </w:p>
    <w:p>
      <w:pPr>
        <w:rPr>
          <w:sz w:val="24"/>
        </w:rPr>
      </w:pPr>
    </w:p>
    <w:p>
      <w:pPr>
        <w:pStyle w:val="43"/>
        <w:spacing w:line="240" w:lineRule="exact"/>
        <w:rPr>
          <w:rFonts w:ascii="Times New Roman" w:hAnsi="Times New Roman" w:eastAsia="宋体" w:cs="Times New Roman"/>
          <w:b/>
        </w:rPr>
      </w:pPr>
      <w:r>
        <w:rPr>
          <w:rFonts w:ascii="Times New Roman" w:hAnsi="Times New Roman" w:eastAsia="宋体" w:cs="Times New Roman"/>
          <w:b/>
        </w:rPr>
        <w:t>附件16</w:t>
      </w:r>
    </w:p>
    <w:p>
      <w:pPr>
        <w:snapToGrid w:val="0"/>
        <w:spacing w:beforeLines="50" w:after="50" w:line="360" w:lineRule="auto"/>
        <w:jc w:val="center"/>
        <w:rPr>
          <w:b/>
          <w:bCs/>
          <w:kern w:val="0"/>
          <w:sz w:val="30"/>
          <w:szCs w:val="30"/>
          <w:lang w:val="en-GB"/>
        </w:rPr>
      </w:pPr>
      <w:r>
        <w:rPr>
          <w:b/>
          <w:bCs/>
          <w:kern w:val="0"/>
          <w:sz w:val="30"/>
          <w:szCs w:val="30"/>
        </w:rPr>
        <w:t>主要货物用材响应表</w:t>
      </w:r>
    </w:p>
    <w:tbl>
      <w:tblPr>
        <w:tblStyle w:val="26"/>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98"/>
        <w:gridCol w:w="878"/>
        <w:gridCol w:w="1260"/>
        <w:gridCol w:w="900"/>
        <w:gridCol w:w="1164"/>
        <w:gridCol w:w="869"/>
        <w:gridCol w:w="99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序号</w:t>
            </w: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货物名称</w:t>
            </w:r>
          </w:p>
        </w:tc>
        <w:tc>
          <w:tcPr>
            <w:tcW w:w="878"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产品配置</w:t>
            </w:r>
          </w:p>
        </w:tc>
        <w:tc>
          <w:tcPr>
            <w:tcW w:w="5846" w:type="dxa"/>
            <w:gridSpan w:val="6"/>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bCs/>
                <w:szCs w:val="21"/>
              </w:rPr>
              <w:t>材料规格及参数</w:t>
            </w: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品牌</w:t>
            </w:r>
          </w:p>
          <w:p>
            <w:pPr>
              <w:pStyle w:val="42"/>
              <w:autoSpaceDE w:val="0"/>
              <w:autoSpaceDN w:val="0"/>
              <w:adjustRightInd w:val="0"/>
              <w:spacing w:line="280" w:lineRule="exact"/>
              <w:ind w:right="84" w:rightChars="40"/>
              <w:jc w:val="center"/>
              <w:rPr>
                <w:szCs w:val="21"/>
              </w:rPr>
            </w:pPr>
            <w:r>
              <w:rPr>
                <w:szCs w:val="21"/>
              </w:rPr>
              <w:t>商标</w:t>
            </w: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生产厂家</w:t>
            </w: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符合标准</w:t>
            </w: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性能说明</w:t>
            </w: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498" w:type="dxa"/>
            <w:vMerge w:val="restart"/>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1498" w:type="dxa"/>
            <w:vMerge w:val="continue"/>
            <w:tcBorders>
              <w:top w:val="single" w:color="auto" w:sz="4" w:space="0"/>
              <w:left w:val="single" w:color="auto" w:sz="4" w:space="0"/>
              <w:bottom w:val="single" w:color="auto" w:sz="4" w:space="0"/>
              <w:right w:val="single" w:color="auto" w:sz="4" w:space="0"/>
            </w:tcBorders>
            <w:vAlign w:val="center"/>
          </w:tcPr>
          <w:p>
            <w:pPr>
              <w:pStyle w:val="42"/>
              <w:spacing w:line="280" w:lineRule="exact"/>
              <w:jc w:val="center"/>
              <w:rPr>
                <w:szCs w:val="21"/>
              </w:rPr>
            </w:pPr>
          </w:p>
        </w:tc>
        <w:tc>
          <w:tcPr>
            <w:tcW w:w="878" w:type="dxa"/>
            <w:tcBorders>
              <w:top w:val="single" w:color="auto" w:sz="4" w:space="0"/>
              <w:left w:val="single" w:color="auto" w:sz="4" w:space="0"/>
              <w:bottom w:val="single" w:color="auto" w:sz="4" w:space="0"/>
              <w:right w:val="single" w:color="auto" w:sz="4" w:space="0"/>
            </w:tcBorders>
            <w:vAlign w:val="center"/>
          </w:tcPr>
          <w:p>
            <w:pPr>
              <w:pStyle w:val="42"/>
              <w:spacing w:line="280" w:lineRule="exact"/>
              <w:ind w:right="84" w:rightChars="40"/>
              <w:jc w:val="cente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1164"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c>
          <w:tcPr>
            <w:tcW w:w="663" w:type="dxa"/>
            <w:tcBorders>
              <w:top w:val="single" w:color="auto" w:sz="4" w:space="0"/>
              <w:left w:val="single" w:color="auto" w:sz="4" w:space="0"/>
              <w:bottom w:val="single" w:color="auto" w:sz="4" w:space="0"/>
              <w:right w:val="single" w:color="auto" w:sz="4" w:space="0"/>
            </w:tcBorders>
            <w:vAlign w:val="center"/>
          </w:tcPr>
          <w:p>
            <w:pPr>
              <w:pStyle w:val="42"/>
              <w:autoSpaceDE w:val="0"/>
              <w:autoSpaceDN w:val="0"/>
              <w:adjustRightInd w:val="0"/>
              <w:spacing w:line="280" w:lineRule="exact"/>
              <w:ind w:right="84" w:rightChars="40"/>
              <w:jc w:val="center"/>
              <w:rPr>
                <w:szCs w:val="21"/>
              </w:rPr>
            </w:pPr>
          </w:p>
        </w:tc>
      </w:tr>
    </w:tbl>
    <w:p>
      <w:pPr>
        <w:spacing w:line="360" w:lineRule="auto"/>
        <w:rPr>
          <w:b/>
          <w:szCs w:val="21"/>
        </w:rPr>
      </w:pPr>
      <w:r>
        <w:rPr>
          <w:b/>
          <w:szCs w:val="21"/>
        </w:rPr>
        <w:t>要求：</w:t>
      </w:r>
    </w:p>
    <w:p>
      <w:pPr>
        <w:pStyle w:val="42"/>
        <w:spacing w:line="360" w:lineRule="auto"/>
        <w:ind w:left="689" w:leftChars="228" w:hanging="210" w:hangingChars="100"/>
        <w:rPr>
          <w:szCs w:val="21"/>
        </w:rPr>
      </w:pPr>
      <w:r>
        <w:rPr>
          <w:szCs w:val="21"/>
        </w:rPr>
        <w:t>1.请列出以上产品的各项主要用材、辅料、油漆、五金件等。</w:t>
      </w:r>
    </w:p>
    <w:p>
      <w:pPr>
        <w:pStyle w:val="42"/>
        <w:spacing w:line="360" w:lineRule="auto"/>
        <w:ind w:left="689" w:leftChars="228" w:hanging="210" w:hangingChars="100"/>
        <w:rPr>
          <w:szCs w:val="21"/>
        </w:rPr>
      </w:pPr>
      <w:r>
        <w:rPr>
          <w:szCs w:val="21"/>
        </w:rPr>
        <w:t>2.本表所列产品主要用材均为采购人抽样送检的范围。</w:t>
      </w:r>
    </w:p>
    <w:p>
      <w:pPr>
        <w:spacing w:line="360" w:lineRule="auto"/>
        <w:ind w:firstLine="420" w:firstLineChars="200"/>
        <w:rPr>
          <w:szCs w:val="21"/>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spacing w:line="360" w:lineRule="auto"/>
        <w:ind w:firstLine="435"/>
        <w:rPr>
          <w:szCs w:val="21"/>
        </w:rPr>
      </w:pPr>
    </w:p>
    <w:p>
      <w:pPr>
        <w:pStyle w:val="37"/>
        <w:rPr>
          <w:rFonts w:ascii="Times New Roman" w:hAnsi="Times New Roman" w:eastAsia="宋体" w:cs="Times New Roman"/>
        </w:rPr>
      </w:pPr>
    </w:p>
    <w:p>
      <w:pPr>
        <w:spacing w:line="360" w:lineRule="auto"/>
        <w:ind w:right="-110"/>
        <w:jc w:val="left"/>
        <w:rPr>
          <w:b/>
          <w:sz w:val="28"/>
        </w:rPr>
      </w:pPr>
    </w:p>
    <w:p>
      <w:pPr>
        <w:pStyle w:val="3"/>
      </w:pPr>
    </w:p>
    <w:p>
      <w:pPr>
        <w:spacing w:line="360" w:lineRule="auto"/>
        <w:ind w:right="-110"/>
        <w:jc w:val="left"/>
        <w:rPr>
          <w:b/>
          <w:sz w:val="28"/>
        </w:rPr>
      </w:pPr>
    </w:p>
    <w:p>
      <w:pPr>
        <w:spacing w:line="360" w:lineRule="auto"/>
        <w:ind w:right="-110"/>
        <w:jc w:val="left"/>
        <w:rPr>
          <w:b/>
          <w:szCs w:val="21"/>
        </w:rPr>
      </w:pPr>
      <w:r>
        <w:rPr>
          <w:b/>
          <w:szCs w:val="21"/>
        </w:rPr>
        <w:t>附件17</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700" w:lineRule="exact"/>
        <w:ind w:right="-94"/>
        <w:jc w:val="center"/>
        <w:rPr>
          <w:rFonts w:hint="eastAsia" w:eastAsia="宋体"/>
          <w:b/>
          <w:bCs/>
          <w:kern w:val="0"/>
          <w:sz w:val="36"/>
          <w:szCs w:val="36"/>
          <w:lang w:eastAsia="zh-CN"/>
        </w:rPr>
      </w:pPr>
      <w:r>
        <w:rPr>
          <w:rFonts w:hint="eastAsia"/>
          <w:b/>
          <w:bCs/>
          <w:kern w:val="0"/>
          <w:sz w:val="36"/>
          <w:szCs w:val="36"/>
          <w:lang w:eastAsia="zh-CN"/>
        </w:rPr>
        <w:t>玉环市人民医院健共体集团数据中心设备采购</w:t>
      </w:r>
    </w:p>
    <w:p>
      <w:pPr>
        <w:spacing w:after="100" w:afterAutospacing="1" w:line="360" w:lineRule="auto"/>
        <w:ind w:right="-108"/>
        <w:jc w:val="center"/>
        <w:rPr>
          <w:rFonts w:hint="eastAsia" w:eastAsia="宋体"/>
          <w:b/>
          <w:kern w:val="0"/>
          <w:sz w:val="32"/>
          <w:lang w:eastAsia="zh-CN"/>
        </w:rPr>
      </w:pPr>
      <w:r>
        <w:rPr>
          <w:sz w:val="36"/>
          <w:szCs w:val="36"/>
        </w:rPr>
        <w:t>项目编号：</w:t>
      </w:r>
      <w:r>
        <w:rPr>
          <w:rFonts w:hint="eastAsia"/>
          <w:b/>
          <w:kern w:val="0"/>
          <w:sz w:val="32"/>
          <w:lang w:eastAsia="zh-CN"/>
        </w:rPr>
        <w:t>DDZX2022-Y-GK-22-1</w:t>
      </w:r>
    </w:p>
    <w:p>
      <w:pPr>
        <w:pStyle w:val="6"/>
        <w:rPr>
          <w:rFonts w:ascii="Times New Roman" w:hAnsi="Times New Roman" w:eastAsia="宋体"/>
        </w:rPr>
      </w:pPr>
    </w:p>
    <w:p>
      <w:pPr>
        <w:spacing w:after="100" w:afterAutospacing="1" w:line="360" w:lineRule="auto"/>
        <w:ind w:right="-108"/>
        <w:jc w:val="center"/>
        <w:rPr>
          <w:b/>
          <w:spacing w:val="40"/>
          <w:sz w:val="84"/>
          <w:szCs w:val="84"/>
        </w:rPr>
      </w:pPr>
      <w:r>
        <w:rPr>
          <w:b/>
          <w:spacing w:val="40"/>
          <w:sz w:val="84"/>
          <w:szCs w:val="84"/>
        </w:rPr>
        <w:t>报</w:t>
      </w:r>
    </w:p>
    <w:p>
      <w:pPr>
        <w:spacing w:after="100" w:afterAutospacing="1" w:line="360" w:lineRule="auto"/>
        <w:ind w:right="-108"/>
        <w:jc w:val="center"/>
        <w:rPr>
          <w:b/>
          <w:spacing w:val="40"/>
          <w:sz w:val="84"/>
          <w:szCs w:val="84"/>
        </w:rPr>
      </w:pPr>
      <w:r>
        <w:rPr>
          <w:b/>
          <w:spacing w:val="40"/>
          <w:sz w:val="84"/>
          <w:szCs w:val="84"/>
        </w:rPr>
        <w:t>价</w:t>
      </w:r>
    </w:p>
    <w:p>
      <w:pPr>
        <w:spacing w:after="100" w:afterAutospacing="1" w:line="360" w:lineRule="auto"/>
        <w:ind w:right="-108"/>
        <w:jc w:val="center"/>
        <w:rPr>
          <w:b/>
          <w:spacing w:val="40"/>
          <w:sz w:val="84"/>
          <w:szCs w:val="84"/>
        </w:rPr>
      </w:pPr>
      <w:r>
        <w:rPr>
          <w:b/>
          <w:spacing w:val="40"/>
          <w:sz w:val="84"/>
          <w:szCs w:val="84"/>
        </w:rPr>
        <w:t>文</w:t>
      </w:r>
    </w:p>
    <w:p>
      <w:pPr>
        <w:spacing w:after="100" w:afterAutospacing="1" w:line="360" w:lineRule="auto"/>
        <w:ind w:right="-108"/>
        <w:jc w:val="center"/>
        <w:rPr>
          <w:sz w:val="36"/>
          <w:szCs w:val="36"/>
        </w:rPr>
      </w:pPr>
      <w:r>
        <w:rPr>
          <w:b/>
          <w:spacing w:val="40"/>
          <w:sz w:val="84"/>
          <w:szCs w:val="84"/>
        </w:rPr>
        <w:t>件</w:t>
      </w:r>
    </w:p>
    <w:p>
      <w:pPr>
        <w:spacing w:line="360" w:lineRule="auto"/>
        <w:ind w:right="532"/>
        <w:rPr>
          <w:sz w:val="36"/>
          <w:szCs w:val="36"/>
        </w:rPr>
      </w:pPr>
    </w:p>
    <w:p>
      <w:pPr>
        <w:spacing w:line="360" w:lineRule="auto"/>
        <w:ind w:right="532"/>
        <w:jc w:val="center"/>
        <w:rPr>
          <w:sz w:val="36"/>
          <w:szCs w:val="36"/>
        </w:rPr>
      </w:pPr>
    </w:p>
    <w:p>
      <w:pPr>
        <w:spacing w:line="360" w:lineRule="auto"/>
        <w:ind w:right="532" w:firstLine="1680" w:firstLineChars="700"/>
        <w:rPr>
          <w:sz w:val="24"/>
        </w:rPr>
      </w:pPr>
      <w:r>
        <w:rPr>
          <w:sz w:val="24"/>
        </w:rPr>
        <w:t>投标人全称（公章）：</w:t>
      </w:r>
    </w:p>
    <w:p>
      <w:pPr>
        <w:spacing w:line="360" w:lineRule="auto"/>
        <w:ind w:right="532" w:firstLine="1680" w:firstLineChars="700"/>
        <w:rPr>
          <w:sz w:val="24"/>
        </w:rPr>
      </w:pPr>
      <w:r>
        <w:rPr>
          <w:sz w:val="24"/>
        </w:rPr>
        <w:t>地    址：</w:t>
      </w:r>
    </w:p>
    <w:p>
      <w:pPr>
        <w:spacing w:line="360" w:lineRule="auto"/>
        <w:ind w:right="532" w:firstLine="1680" w:firstLineChars="700"/>
        <w:rPr>
          <w:sz w:val="24"/>
        </w:rPr>
      </w:pPr>
      <w:r>
        <w:rPr>
          <w:sz w:val="24"/>
        </w:rPr>
        <w:t>时    间：</w:t>
      </w:r>
    </w:p>
    <w:p>
      <w:pPr>
        <w:spacing w:line="360" w:lineRule="auto"/>
        <w:ind w:right="-108"/>
        <w:jc w:val="center"/>
        <w:rPr>
          <w:b/>
          <w:sz w:val="30"/>
          <w:szCs w:val="30"/>
        </w:rPr>
      </w:pPr>
    </w:p>
    <w:p>
      <w:pPr>
        <w:pStyle w:val="2"/>
        <w:rPr>
          <w:b/>
          <w:sz w:val="30"/>
          <w:szCs w:val="30"/>
        </w:rPr>
      </w:pPr>
    </w:p>
    <w:p>
      <w:pPr>
        <w:pStyle w:val="4"/>
      </w:pPr>
    </w:p>
    <w:p>
      <w:pPr>
        <w:pStyle w:val="37"/>
        <w:rPr>
          <w:rFonts w:ascii="Times New Roman" w:hAnsi="Times New Roman" w:eastAsia="宋体" w:cs="Times New Roman"/>
        </w:rPr>
      </w:pPr>
    </w:p>
    <w:p>
      <w:pPr>
        <w:spacing w:line="360" w:lineRule="auto"/>
        <w:ind w:right="-108"/>
        <w:jc w:val="center"/>
        <w:rPr>
          <w:b/>
          <w:sz w:val="30"/>
          <w:szCs w:val="30"/>
        </w:rPr>
      </w:pPr>
      <w:r>
        <w:rPr>
          <w:b/>
          <w:sz w:val="30"/>
          <w:szCs w:val="30"/>
        </w:rPr>
        <w:t>报价文件目录</w:t>
      </w:r>
    </w:p>
    <w:p>
      <w:pPr>
        <w:spacing w:line="400" w:lineRule="exact"/>
        <w:ind w:firstLine="560" w:firstLineChars="200"/>
        <w:rPr>
          <w:sz w:val="28"/>
          <w:szCs w:val="28"/>
        </w:rPr>
      </w:pPr>
    </w:p>
    <w:p>
      <w:pPr>
        <w:snapToGrid w:val="0"/>
        <w:spacing w:line="600" w:lineRule="exact"/>
        <w:ind w:firstLine="420" w:firstLineChars="200"/>
        <w:jc w:val="left"/>
        <w:rPr>
          <w:szCs w:val="21"/>
        </w:rPr>
      </w:pPr>
      <w:r>
        <w:rPr>
          <w:szCs w:val="21"/>
        </w:rPr>
        <w:t>1、开标一览表（附件18）；</w:t>
      </w:r>
    </w:p>
    <w:p>
      <w:pPr>
        <w:pStyle w:val="16"/>
        <w:snapToGrid w:val="0"/>
        <w:spacing w:line="600" w:lineRule="exact"/>
        <w:ind w:left="0" w:leftChars="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2、报价明细表（附件19）</w:t>
      </w:r>
      <w:r>
        <w:rPr>
          <w:rFonts w:hint="eastAsia" w:ascii="Times New Roman" w:hAnsi="Times New Roman" w:eastAsia="宋体" w:cs="Times New Roman"/>
          <w:sz w:val="21"/>
          <w:szCs w:val="21"/>
        </w:rPr>
        <w:t>。</w:t>
      </w:r>
    </w:p>
    <w:p>
      <w:pPr>
        <w:spacing w:line="360" w:lineRule="auto"/>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pStyle w:val="2"/>
        <w:rPr>
          <w:b/>
          <w:sz w:val="28"/>
        </w:rPr>
      </w:pPr>
    </w:p>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spacing w:line="360" w:lineRule="auto"/>
        <w:ind w:left="480"/>
        <w:rPr>
          <w:b/>
          <w:sz w:val="28"/>
        </w:rPr>
      </w:pPr>
    </w:p>
    <w:p>
      <w:pPr>
        <w:pStyle w:val="3"/>
        <w:rPr>
          <w:b/>
          <w:sz w:val="28"/>
        </w:rPr>
      </w:pPr>
    </w:p>
    <w:p>
      <w:pPr>
        <w:rPr>
          <w:b/>
          <w:sz w:val="28"/>
        </w:rPr>
      </w:pPr>
    </w:p>
    <w:p>
      <w:pPr>
        <w:pStyle w:val="3"/>
        <w:rPr>
          <w:b/>
          <w:sz w:val="28"/>
        </w:rPr>
      </w:pPr>
    </w:p>
    <w:p/>
    <w:p>
      <w:pPr>
        <w:spacing w:line="240" w:lineRule="exact"/>
        <w:rPr>
          <w:b/>
          <w:szCs w:val="21"/>
        </w:rPr>
      </w:pPr>
      <w:r>
        <w:rPr>
          <w:b/>
          <w:szCs w:val="21"/>
        </w:rPr>
        <w:t>附件18</w:t>
      </w:r>
    </w:p>
    <w:p>
      <w:pPr>
        <w:snapToGrid w:val="0"/>
        <w:spacing w:beforeLines="50" w:after="50" w:line="360" w:lineRule="auto"/>
        <w:jc w:val="center"/>
        <w:rPr>
          <w:b/>
          <w:bCs/>
          <w:kern w:val="0"/>
          <w:sz w:val="30"/>
          <w:szCs w:val="30"/>
        </w:rPr>
      </w:pPr>
      <w:r>
        <w:rPr>
          <w:b/>
          <w:bCs/>
          <w:kern w:val="0"/>
          <w:sz w:val="30"/>
          <w:szCs w:val="30"/>
        </w:rPr>
        <w:t>开标一览表</w:t>
      </w:r>
    </w:p>
    <w:p>
      <w:pPr>
        <w:pStyle w:val="14"/>
        <w:spacing w:line="320" w:lineRule="exact"/>
        <w:rPr>
          <w:rFonts w:ascii="Times New Roman" w:hAnsi="Times New Roman" w:cs="Times New Roman"/>
          <w:b/>
          <w:szCs w:val="21"/>
        </w:rPr>
      </w:pPr>
      <w:r>
        <w:rPr>
          <w:rFonts w:ascii="Times New Roman" w:hAnsi="Times New Roman" w:cs="Times New Roman"/>
          <w:b/>
          <w:szCs w:val="21"/>
        </w:rPr>
        <w:t>项目编号：</w:t>
      </w:r>
    </w:p>
    <w:p>
      <w:pPr>
        <w:pStyle w:val="46"/>
        <w:spacing w:line="360" w:lineRule="auto"/>
        <w:ind w:right="-94"/>
        <w:jc w:val="left"/>
        <w:rPr>
          <w:szCs w:val="21"/>
        </w:rPr>
      </w:pPr>
      <w:r>
        <w:rPr>
          <w:b/>
          <w:szCs w:val="21"/>
        </w:rPr>
        <w:t>项目名称：</w:t>
      </w:r>
      <w:r>
        <w:rPr>
          <w:szCs w:val="21"/>
        </w:rPr>
        <w:t xml:space="preserve">                             </w:t>
      </w:r>
      <w:r>
        <w:rPr>
          <w:rFonts w:hint="eastAsia"/>
          <w:szCs w:val="21"/>
        </w:rPr>
        <w:t xml:space="preserve">             </w:t>
      </w:r>
      <w:r>
        <w:rPr>
          <w:szCs w:val="21"/>
        </w:rPr>
        <w:t xml:space="preserve">        [货币单位：人民币元]</w:t>
      </w:r>
    </w:p>
    <w:tbl>
      <w:tblPr>
        <w:tblStyle w:val="2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szCs w:val="21"/>
              </w:rPr>
            </w:pPr>
            <w:r>
              <w:rPr>
                <w:szCs w:val="21"/>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szCs w:val="21"/>
              </w:rPr>
            </w:pPr>
            <w:r>
              <w:rPr>
                <w:szCs w:val="21"/>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szCs w:val="21"/>
              </w:rPr>
            </w:pPr>
            <w:r>
              <w:rPr>
                <w:szCs w:val="21"/>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szCs w:val="21"/>
              </w:rPr>
            </w:pPr>
          </w:p>
        </w:tc>
      </w:tr>
    </w:tbl>
    <w:p>
      <w:pPr>
        <w:spacing w:line="360" w:lineRule="auto"/>
        <w:rPr>
          <w:szCs w:val="21"/>
        </w:rPr>
      </w:pPr>
      <w:r>
        <w:rPr>
          <w:b/>
          <w:szCs w:val="21"/>
        </w:rPr>
        <w:t>填报要求：</w:t>
      </w:r>
    </w:p>
    <w:p>
      <w:pPr>
        <w:widowControl/>
        <w:snapToGrid w:val="0"/>
        <w:spacing w:line="400" w:lineRule="exact"/>
        <w:ind w:firstLine="420" w:firstLineChars="200"/>
        <w:rPr>
          <w:rStyle w:val="31"/>
          <w:color w:val="auto"/>
          <w:szCs w:val="21"/>
        </w:rPr>
      </w:pPr>
      <w:r>
        <w:rPr>
          <w:bCs/>
          <w:kern w:val="0"/>
          <w:szCs w:val="21"/>
        </w:rPr>
        <w:t>1</w:t>
      </w:r>
      <w:r>
        <w:rPr>
          <w:kern w:val="0"/>
          <w:szCs w:val="21"/>
        </w:rPr>
        <w:t>.</w:t>
      </w:r>
      <w:r>
        <w:rPr>
          <w:rStyle w:val="31"/>
          <w:color w:val="auto"/>
          <w:szCs w:val="21"/>
          <w:lang w:val="zh-CN"/>
        </w:rPr>
        <w:t>总报价</w:t>
      </w:r>
      <w:r>
        <w:rPr>
          <w:rStyle w:val="31"/>
          <w:color w:val="auto"/>
          <w:szCs w:val="21"/>
        </w:rPr>
        <w:t>是含项目实施所需</w:t>
      </w:r>
      <w:r>
        <w:rPr>
          <w:rFonts w:hint="eastAsia"/>
          <w:szCs w:val="21"/>
        </w:rPr>
        <w:t>的</w:t>
      </w:r>
      <w:r>
        <w:rPr>
          <w:rFonts w:hint="eastAsia"/>
          <w:szCs w:val="21"/>
          <w:lang w:val="en-US" w:eastAsia="zh-CN"/>
        </w:rPr>
        <w:t>设备设计及供货、系统集成、安装及调试、培训、维护</w:t>
      </w:r>
      <w:r>
        <w:rPr>
          <w:rFonts w:hint="eastAsia"/>
          <w:szCs w:val="21"/>
        </w:rPr>
        <w:t>、利润、管理费、保险、税金、</w:t>
      </w:r>
      <w:r>
        <w:rPr>
          <w:szCs w:val="21"/>
        </w:rPr>
        <w:t>招标代理服务费</w:t>
      </w:r>
      <w:r>
        <w:rPr>
          <w:rFonts w:hint="eastAsia"/>
          <w:szCs w:val="21"/>
        </w:rPr>
        <w:t>、</w:t>
      </w:r>
      <w:r>
        <w:rPr>
          <w:rStyle w:val="31"/>
          <w:color w:val="auto"/>
          <w:szCs w:val="21"/>
        </w:rPr>
        <w:t>合同包含的所有风险责任等各项费用及不可预见费</w:t>
      </w:r>
      <w:r>
        <w:rPr>
          <w:rStyle w:val="31"/>
          <w:rFonts w:hint="eastAsia"/>
          <w:color w:val="auto"/>
          <w:szCs w:val="21"/>
        </w:rPr>
        <w:t>用</w:t>
      </w:r>
      <w:r>
        <w:rPr>
          <w:rStyle w:val="31"/>
          <w:color w:val="auto"/>
          <w:szCs w:val="21"/>
        </w:rPr>
        <w:t>等所需的全部费用。</w:t>
      </w:r>
    </w:p>
    <w:p>
      <w:pPr>
        <w:spacing w:line="460" w:lineRule="exact"/>
        <w:ind w:firstLine="420" w:firstLineChars="200"/>
        <w:rPr>
          <w:b/>
          <w:i/>
          <w:szCs w:val="21"/>
          <w:u w:val="single"/>
        </w:rPr>
      </w:pPr>
      <w:r>
        <w:rPr>
          <w:kern w:val="0"/>
          <w:szCs w:val="21"/>
        </w:rPr>
        <w:t>2.报价一经涂改，应在涂改处加盖单位公章，否则其投标作无效标处理。</w:t>
      </w:r>
    </w:p>
    <w:p>
      <w:pPr>
        <w:spacing w:line="360" w:lineRule="auto"/>
        <w:ind w:left="420"/>
        <w:rPr>
          <w:szCs w:val="21"/>
        </w:rPr>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b/>
          <w:bCs/>
          <w:spacing w:val="11"/>
          <w:sz w:val="21"/>
          <w:szCs w:val="21"/>
        </w:rPr>
      </w:pPr>
      <w:r>
        <w:rPr>
          <w:rFonts w:ascii="Times New Roman" w:hAnsi="Times New Roman" w:cs="Times New Roman"/>
          <w:sz w:val="21"/>
          <w:szCs w:val="21"/>
        </w:rPr>
        <w:t>日        期：</w:t>
      </w:r>
    </w:p>
    <w:p>
      <w:pPr>
        <w:spacing w:line="360" w:lineRule="auto"/>
        <w:rPr>
          <w:b/>
          <w:szCs w:val="21"/>
        </w:rPr>
      </w:pPr>
    </w:p>
    <w:p>
      <w:pPr>
        <w:spacing w:line="360" w:lineRule="auto"/>
        <w:rPr>
          <w:b/>
          <w:sz w:val="28"/>
        </w:rPr>
      </w:pPr>
    </w:p>
    <w:p>
      <w:pPr>
        <w:spacing w:line="360" w:lineRule="auto"/>
        <w:rPr>
          <w:b/>
          <w:sz w:val="28"/>
        </w:rPr>
      </w:pPr>
    </w:p>
    <w:p>
      <w:pPr>
        <w:spacing w:line="360" w:lineRule="auto"/>
        <w:rPr>
          <w:b/>
          <w:sz w:val="28"/>
        </w:rPr>
      </w:pPr>
    </w:p>
    <w:p>
      <w:pPr>
        <w:pStyle w:val="3"/>
      </w:pPr>
    </w:p>
    <w:p>
      <w:pPr>
        <w:pStyle w:val="3"/>
      </w:pPr>
    </w:p>
    <w:p>
      <w:pPr>
        <w:pStyle w:val="3"/>
      </w:pPr>
    </w:p>
    <w:p/>
    <w:p>
      <w:pPr>
        <w:pStyle w:val="37"/>
        <w:rPr>
          <w:rFonts w:ascii="Times New Roman" w:hAnsi="Times New Roman" w:eastAsia="宋体" w:cs="Times New Roman"/>
        </w:rPr>
      </w:pPr>
    </w:p>
    <w:p>
      <w:pPr>
        <w:pStyle w:val="37"/>
        <w:rPr>
          <w:rFonts w:ascii="Times New Roman" w:hAnsi="Times New Roman" w:eastAsia="宋体" w:cs="Times New Roman"/>
        </w:rPr>
      </w:pPr>
    </w:p>
    <w:p>
      <w:pPr>
        <w:pStyle w:val="37"/>
        <w:rPr>
          <w:rFonts w:ascii="Times New Roman" w:hAnsi="Times New Roman" w:eastAsia="宋体" w:cs="Times New Roman"/>
        </w:rPr>
      </w:pPr>
    </w:p>
    <w:p>
      <w:pPr>
        <w:spacing w:line="240" w:lineRule="exact"/>
        <w:rPr>
          <w:b/>
          <w:sz w:val="24"/>
          <w:szCs w:val="22"/>
        </w:rPr>
      </w:pPr>
    </w:p>
    <w:p>
      <w:pPr>
        <w:spacing w:line="240" w:lineRule="exact"/>
        <w:rPr>
          <w:b/>
          <w:szCs w:val="21"/>
        </w:rPr>
      </w:pPr>
      <w:r>
        <w:rPr>
          <w:b/>
          <w:szCs w:val="21"/>
        </w:rPr>
        <w:t>附件19</w:t>
      </w:r>
    </w:p>
    <w:p>
      <w:pPr>
        <w:snapToGrid w:val="0"/>
        <w:spacing w:beforeLines="50" w:after="50" w:line="360" w:lineRule="auto"/>
        <w:jc w:val="center"/>
        <w:rPr>
          <w:b/>
          <w:bCs/>
          <w:kern w:val="0"/>
          <w:sz w:val="30"/>
          <w:szCs w:val="30"/>
        </w:rPr>
      </w:pPr>
      <w:r>
        <w:rPr>
          <w:b/>
          <w:bCs/>
          <w:kern w:val="0"/>
          <w:sz w:val="30"/>
          <w:szCs w:val="30"/>
        </w:rPr>
        <w:t>报价明细表</w:t>
      </w:r>
    </w:p>
    <w:p>
      <w:pPr>
        <w:spacing w:line="360" w:lineRule="auto"/>
        <w:rPr>
          <w:szCs w:val="21"/>
        </w:rPr>
      </w:pPr>
      <w:r>
        <w:rPr>
          <w:szCs w:val="21"/>
        </w:rPr>
        <w:t xml:space="preserve">  项目编号：                          </w:t>
      </w:r>
      <w:r>
        <w:rPr>
          <w:rFonts w:hint="eastAsia"/>
          <w:szCs w:val="21"/>
        </w:rPr>
        <w:t xml:space="preserve">          </w:t>
      </w:r>
      <w:r>
        <w:rPr>
          <w:szCs w:val="21"/>
        </w:rPr>
        <w:t xml:space="preserve">          [货币单位：人民币元]</w:t>
      </w:r>
    </w:p>
    <w:tbl>
      <w:tblPr>
        <w:tblStyle w:val="2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rPr>
        <w:tc>
          <w:tcPr>
            <w:tcW w:w="525" w:type="dxa"/>
            <w:vAlign w:val="center"/>
          </w:tcPr>
          <w:p>
            <w:pPr>
              <w:spacing w:line="360" w:lineRule="auto"/>
              <w:jc w:val="center"/>
              <w:rPr>
                <w:b/>
                <w:szCs w:val="21"/>
              </w:rPr>
            </w:pPr>
            <w:r>
              <w:rPr>
                <w:b/>
                <w:szCs w:val="21"/>
              </w:rPr>
              <w:t>序号</w:t>
            </w:r>
          </w:p>
        </w:tc>
        <w:tc>
          <w:tcPr>
            <w:tcW w:w="1460" w:type="dxa"/>
            <w:vAlign w:val="center"/>
          </w:tcPr>
          <w:p>
            <w:pPr>
              <w:tabs>
                <w:tab w:val="left" w:pos="8280"/>
              </w:tabs>
              <w:autoSpaceDE w:val="0"/>
              <w:autoSpaceDN w:val="0"/>
              <w:adjustRightInd w:val="0"/>
              <w:spacing w:line="360" w:lineRule="auto"/>
              <w:ind w:right="25"/>
              <w:jc w:val="center"/>
              <w:rPr>
                <w:b/>
                <w:szCs w:val="21"/>
              </w:rPr>
            </w:pPr>
            <w:r>
              <w:rPr>
                <w:b/>
                <w:szCs w:val="21"/>
              </w:rPr>
              <w:t>报价项目</w:t>
            </w:r>
          </w:p>
        </w:tc>
        <w:tc>
          <w:tcPr>
            <w:tcW w:w="1559" w:type="dxa"/>
            <w:vAlign w:val="center"/>
          </w:tcPr>
          <w:p>
            <w:pPr>
              <w:tabs>
                <w:tab w:val="left" w:pos="8280"/>
              </w:tabs>
              <w:autoSpaceDE w:val="0"/>
              <w:autoSpaceDN w:val="0"/>
              <w:adjustRightInd w:val="0"/>
              <w:spacing w:line="360" w:lineRule="auto"/>
              <w:ind w:right="25"/>
              <w:jc w:val="center"/>
              <w:rPr>
                <w:b/>
                <w:szCs w:val="21"/>
              </w:rPr>
            </w:pPr>
            <w:r>
              <w:rPr>
                <w:b/>
                <w:szCs w:val="21"/>
              </w:rPr>
              <w:t>品牌、产地</w:t>
            </w:r>
          </w:p>
        </w:tc>
        <w:tc>
          <w:tcPr>
            <w:tcW w:w="1559" w:type="dxa"/>
            <w:vAlign w:val="center"/>
          </w:tcPr>
          <w:p>
            <w:pPr>
              <w:spacing w:line="360" w:lineRule="auto"/>
              <w:ind w:left="52"/>
              <w:jc w:val="center"/>
              <w:rPr>
                <w:b/>
                <w:szCs w:val="21"/>
              </w:rPr>
            </w:pPr>
            <w:r>
              <w:rPr>
                <w:b/>
                <w:szCs w:val="21"/>
              </w:rPr>
              <w:t>型号规格</w:t>
            </w:r>
          </w:p>
        </w:tc>
        <w:tc>
          <w:tcPr>
            <w:tcW w:w="851" w:type="dxa"/>
            <w:vAlign w:val="center"/>
          </w:tcPr>
          <w:p>
            <w:pPr>
              <w:spacing w:line="360" w:lineRule="auto"/>
              <w:ind w:left="152"/>
              <w:jc w:val="center"/>
              <w:rPr>
                <w:b/>
                <w:szCs w:val="21"/>
              </w:rPr>
            </w:pPr>
            <w:r>
              <w:rPr>
                <w:b/>
                <w:szCs w:val="21"/>
              </w:rPr>
              <w:t>数量</w:t>
            </w:r>
          </w:p>
        </w:tc>
        <w:tc>
          <w:tcPr>
            <w:tcW w:w="992" w:type="dxa"/>
            <w:vAlign w:val="center"/>
          </w:tcPr>
          <w:p>
            <w:pPr>
              <w:spacing w:line="360" w:lineRule="auto"/>
              <w:jc w:val="center"/>
              <w:rPr>
                <w:b/>
                <w:szCs w:val="21"/>
              </w:rPr>
            </w:pPr>
            <w:r>
              <w:rPr>
                <w:b/>
                <w:szCs w:val="21"/>
              </w:rPr>
              <w:t>单价</w:t>
            </w:r>
          </w:p>
        </w:tc>
        <w:tc>
          <w:tcPr>
            <w:tcW w:w="992" w:type="dxa"/>
            <w:vAlign w:val="center"/>
          </w:tcPr>
          <w:p>
            <w:pPr>
              <w:spacing w:line="360" w:lineRule="auto"/>
              <w:jc w:val="center"/>
              <w:rPr>
                <w:b/>
                <w:szCs w:val="21"/>
              </w:rPr>
            </w:pPr>
            <w:r>
              <w:rPr>
                <w:b/>
                <w:szCs w:val="21"/>
              </w:rPr>
              <w:t>小计</w:t>
            </w:r>
          </w:p>
        </w:tc>
        <w:tc>
          <w:tcPr>
            <w:tcW w:w="709" w:type="dxa"/>
            <w:vAlign w:val="center"/>
          </w:tcPr>
          <w:p>
            <w:pPr>
              <w:spacing w:line="360" w:lineRule="auto"/>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rPr>
        <w:tc>
          <w:tcPr>
            <w:tcW w:w="525" w:type="dxa"/>
            <w:vAlign w:val="center"/>
          </w:tcPr>
          <w:p>
            <w:pPr>
              <w:spacing w:line="360" w:lineRule="auto"/>
              <w:rPr>
                <w:szCs w:val="21"/>
              </w:rPr>
            </w:pPr>
          </w:p>
        </w:tc>
        <w:tc>
          <w:tcPr>
            <w:tcW w:w="1460" w:type="dxa"/>
            <w:vAlign w:val="center"/>
          </w:tcPr>
          <w:p>
            <w:pPr>
              <w:spacing w:line="360" w:lineRule="auto"/>
              <w:rPr>
                <w:szCs w:val="21"/>
              </w:rPr>
            </w:pPr>
          </w:p>
        </w:tc>
        <w:tc>
          <w:tcPr>
            <w:tcW w:w="1559" w:type="dxa"/>
            <w:vAlign w:val="center"/>
          </w:tcPr>
          <w:p>
            <w:pPr>
              <w:spacing w:line="360" w:lineRule="auto"/>
              <w:rPr>
                <w:szCs w:val="21"/>
              </w:rPr>
            </w:pPr>
          </w:p>
        </w:tc>
        <w:tc>
          <w:tcPr>
            <w:tcW w:w="1559" w:type="dxa"/>
            <w:vAlign w:val="center"/>
          </w:tcPr>
          <w:p>
            <w:pPr>
              <w:spacing w:line="360" w:lineRule="auto"/>
              <w:rPr>
                <w:szCs w:val="21"/>
              </w:rPr>
            </w:pPr>
          </w:p>
        </w:tc>
        <w:tc>
          <w:tcPr>
            <w:tcW w:w="851" w:type="dxa"/>
            <w:vAlign w:val="center"/>
          </w:tcPr>
          <w:p>
            <w:pPr>
              <w:spacing w:line="360" w:lineRule="auto"/>
              <w:rPr>
                <w:szCs w:val="21"/>
              </w:rPr>
            </w:pPr>
          </w:p>
        </w:tc>
        <w:tc>
          <w:tcPr>
            <w:tcW w:w="992" w:type="dxa"/>
            <w:vAlign w:val="center"/>
          </w:tcPr>
          <w:p>
            <w:pPr>
              <w:spacing w:line="360" w:lineRule="auto"/>
              <w:rPr>
                <w:szCs w:val="21"/>
              </w:rPr>
            </w:pPr>
          </w:p>
        </w:tc>
        <w:tc>
          <w:tcPr>
            <w:tcW w:w="992" w:type="dxa"/>
            <w:vAlign w:val="center"/>
          </w:tcPr>
          <w:p>
            <w:pPr>
              <w:spacing w:line="360" w:lineRule="auto"/>
              <w:rPr>
                <w:szCs w:val="21"/>
              </w:rPr>
            </w:pPr>
          </w:p>
        </w:tc>
        <w:tc>
          <w:tcPr>
            <w:tcW w:w="709"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6" w:hRule="atLeast"/>
        </w:trPr>
        <w:tc>
          <w:tcPr>
            <w:tcW w:w="8647" w:type="dxa"/>
            <w:gridSpan w:val="8"/>
            <w:tcBorders>
              <w:bottom w:val="single" w:color="auto" w:sz="4" w:space="0"/>
            </w:tcBorders>
            <w:vAlign w:val="center"/>
          </w:tcPr>
          <w:p>
            <w:pPr>
              <w:spacing w:line="360" w:lineRule="auto"/>
              <w:rPr>
                <w:b/>
                <w:szCs w:val="21"/>
              </w:rPr>
            </w:pPr>
            <w:r>
              <w:rPr>
                <w:b/>
                <w:szCs w:val="21"/>
              </w:rPr>
              <w:t>合计人民币：大写                               小写</w:t>
            </w:r>
          </w:p>
        </w:tc>
      </w:tr>
    </w:tbl>
    <w:p>
      <w:pPr>
        <w:spacing w:line="360" w:lineRule="auto"/>
        <w:rPr>
          <w:b/>
          <w:szCs w:val="21"/>
        </w:rPr>
      </w:pPr>
      <w:r>
        <w:rPr>
          <w:b/>
          <w:szCs w:val="21"/>
        </w:rPr>
        <w:t>要求：</w:t>
      </w:r>
    </w:p>
    <w:p>
      <w:pPr>
        <w:spacing w:line="440" w:lineRule="exact"/>
        <w:ind w:firstLine="420" w:firstLineChars="200"/>
        <w:rPr>
          <w:szCs w:val="21"/>
        </w:rPr>
      </w:pPr>
      <w:r>
        <w:rPr>
          <w:szCs w:val="21"/>
        </w:rPr>
        <w:t>1.本表为《开标一览表》的报价明细表，如有缺项、漏项，视为投标报价中已包含相关费用，采购人无需另外支付任何费用。</w:t>
      </w:r>
    </w:p>
    <w:p>
      <w:pPr>
        <w:spacing w:line="440" w:lineRule="exact"/>
        <w:ind w:firstLine="420" w:firstLineChars="200"/>
        <w:rPr>
          <w:szCs w:val="21"/>
          <w:lang w:val="zh-CN"/>
        </w:rPr>
      </w:pPr>
      <w:r>
        <w:rPr>
          <w:szCs w:val="21"/>
        </w:rPr>
        <w:t>2.</w:t>
      </w:r>
      <w:r>
        <w:rPr>
          <w:szCs w:val="21"/>
          <w:lang w:val="zh-CN"/>
        </w:rPr>
        <w:t>“报价明细表”中的报价合计应与“开标一览表”中的投标总报价相一致，不一致时，以开标一览表为准。</w:t>
      </w:r>
    </w:p>
    <w:p>
      <w:pPr>
        <w:spacing w:line="440" w:lineRule="exact"/>
        <w:ind w:firstLine="420" w:firstLineChars="200"/>
        <w:rPr>
          <w:szCs w:val="21"/>
          <w:lang w:val="zh-CN"/>
        </w:rPr>
      </w:pPr>
      <w:r>
        <w:rPr>
          <w:szCs w:val="21"/>
        </w:rPr>
        <w:t>3.</w:t>
      </w:r>
      <w:r>
        <w:rPr>
          <w:szCs w:val="21"/>
          <w:lang w:val="zh-CN"/>
        </w:rPr>
        <w:t>投标报价明细表所填内容按招标文件采购设备清单要求为准。如有漏报的，视同已包含在投标总价内或已作优惠处理。有重大缺项的将作无效标处理。</w:t>
      </w:r>
    </w:p>
    <w:p>
      <w:pPr>
        <w:spacing w:line="440" w:lineRule="exact"/>
        <w:ind w:firstLine="420" w:firstLineChars="200"/>
        <w:rPr>
          <w:szCs w:val="21"/>
          <w:lang w:val="zh-CN"/>
        </w:rPr>
      </w:pPr>
      <w:r>
        <w:rPr>
          <w:szCs w:val="21"/>
          <w:lang w:val="zh-CN"/>
        </w:rPr>
        <w:t>▲4. 本表中的型号规格必须明确，招标文件中明确要求定制的除外。</w:t>
      </w:r>
    </w:p>
    <w:p>
      <w:pPr>
        <w:spacing w:line="360" w:lineRule="auto"/>
        <w:ind w:firstLine="420" w:firstLineChars="200"/>
        <w:rPr>
          <w:szCs w:val="21"/>
        </w:rPr>
      </w:pPr>
    </w:p>
    <w:p>
      <w:pPr>
        <w:pStyle w:val="3"/>
      </w:pPr>
    </w:p>
    <w:p>
      <w:pPr>
        <w:spacing w:line="420" w:lineRule="exact"/>
        <w:ind w:firstLine="371" w:firstLineChars="177"/>
        <w:rPr>
          <w:szCs w:val="21"/>
          <w:u w:val="single"/>
        </w:rPr>
      </w:pPr>
      <w:r>
        <w:rPr>
          <w:szCs w:val="21"/>
        </w:rPr>
        <w:t>投标人名称（盖章）：</w:t>
      </w:r>
    </w:p>
    <w:p>
      <w:pPr>
        <w:spacing w:line="420" w:lineRule="exact"/>
        <w:ind w:firstLine="371" w:firstLineChars="177"/>
        <w:rPr>
          <w:szCs w:val="21"/>
        </w:rPr>
      </w:pPr>
      <w:r>
        <w:rPr>
          <w:szCs w:val="21"/>
        </w:rPr>
        <w:t>投标人代表</w:t>
      </w:r>
      <w:r>
        <w:rPr>
          <w:rFonts w:hint="eastAsia"/>
          <w:szCs w:val="21"/>
          <w:lang w:eastAsia="zh-CN"/>
        </w:rPr>
        <w:t>（</w:t>
      </w:r>
      <w:r>
        <w:rPr>
          <w:szCs w:val="21"/>
        </w:rPr>
        <w:t>签字或盖章</w:t>
      </w:r>
      <w:r>
        <w:rPr>
          <w:rFonts w:hint="eastAsia"/>
          <w:szCs w:val="21"/>
          <w:lang w:eastAsia="zh-CN"/>
        </w:rPr>
        <w:t>）</w:t>
      </w:r>
      <w:r>
        <w:rPr>
          <w:szCs w:val="21"/>
        </w:rPr>
        <w:t>：</w:t>
      </w:r>
    </w:p>
    <w:p>
      <w:pPr>
        <w:pStyle w:val="38"/>
        <w:shd w:val="clear" w:color="auto" w:fill="FFFFFF"/>
        <w:spacing w:before="0" w:beforeAutospacing="0" w:after="0" w:afterAutospacing="0" w:line="420" w:lineRule="exact"/>
        <w:ind w:firstLine="371" w:firstLineChars="177"/>
        <w:rPr>
          <w:rFonts w:ascii="Times New Roman" w:hAnsi="Times New Roman" w:cs="Times New Roman"/>
        </w:rPr>
      </w:pPr>
      <w:r>
        <w:rPr>
          <w:rFonts w:ascii="Times New Roman" w:hAnsi="Times New Roman" w:cs="Times New Roman"/>
          <w:sz w:val="21"/>
          <w:szCs w:val="21"/>
        </w:rPr>
        <w:t>日        期：</w:t>
      </w:r>
    </w:p>
    <w:p>
      <w:pPr>
        <w:pStyle w:val="37"/>
        <w:rPr>
          <w:rFonts w:ascii="Times New Roman" w:hAnsi="Times New Roman" w:eastAsia="宋体" w:cs="Times New Roman"/>
        </w:rPr>
      </w:pPr>
    </w:p>
    <w:p>
      <w:pPr>
        <w:pStyle w:val="37"/>
        <w:rPr>
          <w:rFonts w:ascii="Times New Roman" w:hAnsi="Times New Roman" w:eastAsia="宋体" w:cs="Times New Roman"/>
        </w:rPr>
      </w:pPr>
    </w:p>
    <w:p>
      <w:pPr>
        <w:pStyle w:val="37"/>
        <w:rPr>
          <w:rFonts w:ascii="Times New Roman" w:hAnsi="Times New Roman" w:eastAsia="宋体" w:cs="Times New Roman"/>
        </w:rPr>
      </w:pPr>
    </w:p>
    <w:p>
      <w:pPr>
        <w:pStyle w:val="37"/>
        <w:rPr>
          <w:rFonts w:ascii="Times New Roman" w:hAnsi="Times New Roman" w:eastAsia="宋体" w:cs="Times New Roman"/>
        </w:rPr>
      </w:pPr>
    </w:p>
    <w:p>
      <w:pPr>
        <w:pStyle w:val="3"/>
        <w:rPr>
          <w:b/>
          <w:sz w:val="28"/>
          <w:lang w:val="en-GB"/>
        </w:rPr>
      </w:pPr>
    </w:p>
    <w:sectPr>
      <w:headerReference r:id="rId3" w:type="default"/>
      <w:footerReference r:id="rId5" w:type="default"/>
      <w:headerReference r:id="rId4" w:type="even"/>
      <w:footerReference r:id="rId6" w:type="even"/>
      <w:pgSz w:w="11906" w:h="16838"/>
      <w:pgMar w:top="1440" w:right="1800" w:bottom="1757" w:left="1800" w:header="851" w:footer="992" w:gutter="0"/>
      <w:pgBorders>
        <w:top w:val="none" w:sz="0" w:space="0"/>
        <w:left w:val="none" w:sz="0" w:space="0"/>
        <w:bottom w:val="none" w:sz="0" w:space="0"/>
        <w:right w:val="none" w:sz="0" w:space="0"/>
      </w:pgBorders>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hint="eastAsia" w:eastAsia="宋体"/>
        <w:sz w:val="18"/>
        <w:szCs w:val="18"/>
        <w:lang w:eastAsia="zh-CN"/>
      </w:rPr>
    </w:pPr>
    <w:r>
      <w:rPr>
        <w:rFonts w:hint="eastAsia"/>
        <w:sz w:val="18"/>
        <w:szCs w:val="18"/>
        <w:lang w:eastAsia="zh-CN"/>
      </w:rPr>
      <w:t>玉环市人民医院健共体集团数据中心设备采购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E719A"/>
    <w:multiLevelType w:val="singleLevel"/>
    <w:tmpl w:val="EBEE719A"/>
    <w:lvl w:ilvl="0" w:tentative="0">
      <w:start w:val="3"/>
      <w:numFmt w:val="chineseCounting"/>
      <w:suff w:val="nothing"/>
      <w:lvlText w:val="%1、"/>
      <w:lvlJc w:val="left"/>
      <w:rPr>
        <w:rFonts w:hint="eastAsia"/>
      </w:rPr>
    </w:lvl>
  </w:abstractNum>
  <w:abstractNum w:abstractNumId="1">
    <w:nsid w:val="F398E646"/>
    <w:multiLevelType w:val="singleLevel"/>
    <w:tmpl w:val="F398E646"/>
    <w:lvl w:ilvl="0" w:tentative="0">
      <w:start w:val="1"/>
      <w:numFmt w:val="decimal"/>
      <w:pStyle w:val="10"/>
      <w:lvlText w:val="%1."/>
      <w:lvlJc w:val="left"/>
      <w:pPr>
        <w:tabs>
          <w:tab w:val="left" w:pos="360"/>
        </w:tabs>
        <w:ind w:left="360" w:hanging="360"/>
      </w:p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OTU1ODM3NDdhYzdkOTdjZGNhMzkxOWMyNTA3ZjkifQ=="/>
  </w:docVars>
  <w:rsids>
    <w:rsidRoot w:val="249C7798"/>
    <w:rsid w:val="00055CFD"/>
    <w:rsid w:val="00107CA3"/>
    <w:rsid w:val="001F630B"/>
    <w:rsid w:val="00454F28"/>
    <w:rsid w:val="005B6EEF"/>
    <w:rsid w:val="0063051E"/>
    <w:rsid w:val="006B4CF2"/>
    <w:rsid w:val="00992299"/>
    <w:rsid w:val="00B82D12"/>
    <w:rsid w:val="00D02CAF"/>
    <w:rsid w:val="00D55976"/>
    <w:rsid w:val="00D676A5"/>
    <w:rsid w:val="00F809E1"/>
    <w:rsid w:val="01297547"/>
    <w:rsid w:val="01F81C09"/>
    <w:rsid w:val="023D504C"/>
    <w:rsid w:val="028E7917"/>
    <w:rsid w:val="04F9407A"/>
    <w:rsid w:val="06320859"/>
    <w:rsid w:val="08705FF9"/>
    <w:rsid w:val="0A2637F8"/>
    <w:rsid w:val="0A674E1D"/>
    <w:rsid w:val="0ADF42E6"/>
    <w:rsid w:val="0B4012AC"/>
    <w:rsid w:val="0BB67EFE"/>
    <w:rsid w:val="0BD170BC"/>
    <w:rsid w:val="0C2E7EF3"/>
    <w:rsid w:val="0CA44777"/>
    <w:rsid w:val="0D7C3FB3"/>
    <w:rsid w:val="0D9C674E"/>
    <w:rsid w:val="0DD9599C"/>
    <w:rsid w:val="0E284EDE"/>
    <w:rsid w:val="0F364A20"/>
    <w:rsid w:val="0FA522F5"/>
    <w:rsid w:val="10A219F0"/>
    <w:rsid w:val="11E413DB"/>
    <w:rsid w:val="122509C3"/>
    <w:rsid w:val="125D25C6"/>
    <w:rsid w:val="136F0E9E"/>
    <w:rsid w:val="147F1279"/>
    <w:rsid w:val="14DA6E8D"/>
    <w:rsid w:val="163255F7"/>
    <w:rsid w:val="189C2339"/>
    <w:rsid w:val="1A682A23"/>
    <w:rsid w:val="1AE35A8A"/>
    <w:rsid w:val="1C840C9A"/>
    <w:rsid w:val="1CB57848"/>
    <w:rsid w:val="1D5E7DDA"/>
    <w:rsid w:val="1ECB6876"/>
    <w:rsid w:val="1FAE559A"/>
    <w:rsid w:val="1FEF02D5"/>
    <w:rsid w:val="20987712"/>
    <w:rsid w:val="219E6317"/>
    <w:rsid w:val="22FC61B0"/>
    <w:rsid w:val="23BC20B9"/>
    <w:rsid w:val="246179DC"/>
    <w:rsid w:val="249C7798"/>
    <w:rsid w:val="256E7AB5"/>
    <w:rsid w:val="27173893"/>
    <w:rsid w:val="27E7342F"/>
    <w:rsid w:val="294E031C"/>
    <w:rsid w:val="2BE21400"/>
    <w:rsid w:val="2C0D4286"/>
    <w:rsid w:val="2C235791"/>
    <w:rsid w:val="2D4D4449"/>
    <w:rsid w:val="2D9C3201"/>
    <w:rsid w:val="2EC62FBB"/>
    <w:rsid w:val="2F782BE3"/>
    <w:rsid w:val="30315E18"/>
    <w:rsid w:val="3035229A"/>
    <w:rsid w:val="329204B0"/>
    <w:rsid w:val="34570891"/>
    <w:rsid w:val="34861D0B"/>
    <w:rsid w:val="34D614D4"/>
    <w:rsid w:val="34E47E75"/>
    <w:rsid w:val="352C502F"/>
    <w:rsid w:val="35CE6245"/>
    <w:rsid w:val="38CD0D64"/>
    <w:rsid w:val="39F86018"/>
    <w:rsid w:val="3BE04E90"/>
    <w:rsid w:val="3E224C29"/>
    <w:rsid w:val="3F73054E"/>
    <w:rsid w:val="3FC07E6B"/>
    <w:rsid w:val="403501D5"/>
    <w:rsid w:val="44375C1F"/>
    <w:rsid w:val="456442B5"/>
    <w:rsid w:val="460D10DC"/>
    <w:rsid w:val="476514CC"/>
    <w:rsid w:val="479A549E"/>
    <w:rsid w:val="48004335"/>
    <w:rsid w:val="48844676"/>
    <w:rsid w:val="48A81AA8"/>
    <w:rsid w:val="4A760647"/>
    <w:rsid w:val="4AD2737D"/>
    <w:rsid w:val="4B9E509C"/>
    <w:rsid w:val="4C4A2B51"/>
    <w:rsid w:val="4CF47740"/>
    <w:rsid w:val="4D9328FE"/>
    <w:rsid w:val="4DB04D65"/>
    <w:rsid w:val="4DF4356C"/>
    <w:rsid w:val="4E6C0423"/>
    <w:rsid w:val="4EF07272"/>
    <w:rsid w:val="4F0537F0"/>
    <w:rsid w:val="4F976213"/>
    <w:rsid w:val="503556E2"/>
    <w:rsid w:val="508E53F4"/>
    <w:rsid w:val="50992AB6"/>
    <w:rsid w:val="51B6079D"/>
    <w:rsid w:val="53B10A91"/>
    <w:rsid w:val="54C321CD"/>
    <w:rsid w:val="553E34AA"/>
    <w:rsid w:val="569660C9"/>
    <w:rsid w:val="56AF6ADB"/>
    <w:rsid w:val="57BC4B4B"/>
    <w:rsid w:val="5872195A"/>
    <w:rsid w:val="587D1AD7"/>
    <w:rsid w:val="58B31602"/>
    <w:rsid w:val="594D1666"/>
    <w:rsid w:val="5A011459"/>
    <w:rsid w:val="5A1A396F"/>
    <w:rsid w:val="5B8A33F0"/>
    <w:rsid w:val="5BAB2D73"/>
    <w:rsid w:val="5C1454BB"/>
    <w:rsid w:val="5D45338D"/>
    <w:rsid w:val="5DE56A8F"/>
    <w:rsid w:val="5EDB7953"/>
    <w:rsid w:val="60582AB7"/>
    <w:rsid w:val="611357EE"/>
    <w:rsid w:val="625E4AD8"/>
    <w:rsid w:val="62CE50D4"/>
    <w:rsid w:val="64B942DC"/>
    <w:rsid w:val="66010CF5"/>
    <w:rsid w:val="66316F56"/>
    <w:rsid w:val="675B4757"/>
    <w:rsid w:val="68A02EE4"/>
    <w:rsid w:val="69B710B6"/>
    <w:rsid w:val="6A324669"/>
    <w:rsid w:val="6B646F64"/>
    <w:rsid w:val="6C942154"/>
    <w:rsid w:val="6D5A5029"/>
    <w:rsid w:val="6F20663F"/>
    <w:rsid w:val="6F561F65"/>
    <w:rsid w:val="707A73CB"/>
    <w:rsid w:val="707D2F40"/>
    <w:rsid w:val="70FA6D60"/>
    <w:rsid w:val="71C2650D"/>
    <w:rsid w:val="72CC5379"/>
    <w:rsid w:val="740D3B0D"/>
    <w:rsid w:val="74582EB7"/>
    <w:rsid w:val="746B557E"/>
    <w:rsid w:val="74822639"/>
    <w:rsid w:val="74C85A97"/>
    <w:rsid w:val="779823EE"/>
    <w:rsid w:val="78E67760"/>
    <w:rsid w:val="7A1D3160"/>
    <w:rsid w:val="7A2B4A06"/>
    <w:rsid w:val="7B79073F"/>
    <w:rsid w:val="7C035E50"/>
    <w:rsid w:val="7D47463F"/>
    <w:rsid w:val="7F13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6" w:lineRule="auto"/>
      <w:outlineLvl w:val="0"/>
    </w:pPr>
    <w:rPr>
      <w:b/>
      <w:kern w:val="44"/>
      <w:sz w:val="44"/>
    </w:rPr>
  </w:style>
  <w:style w:type="paragraph" w:styleId="6">
    <w:name w:val="heading 2"/>
    <w:basedOn w:val="1"/>
    <w:next w:val="1"/>
    <w:semiHidden/>
    <w:unhideWhenUsed/>
    <w:qFormat/>
    <w:uiPriority w:val="0"/>
    <w:pPr>
      <w:keepNext/>
      <w:keepLines/>
      <w:spacing w:before="260" w:after="260" w:line="415" w:lineRule="auto"/>
      <w:outlineLvl w:val="1"/>
    </w:pPr>
    <w:rPr>
      <w:rFonts w:ascii="Cambria" w:hAnsi="Cambria" w:eastAsia="Cambria"/>
      <w:b/>
      <w:sz w:val="32"/>
      <w:szCs w:val="32"/>
    </w:rPr>
  </w:style>
  <w:style w:type="paragraph" w:styleId="7">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53"/>
    <w:unhideWhenUsed/>
    <w:qFormat/>
    <w:uiPriority w:val="0"/>
    <w:pPr>
      <w:keepNext/>
      <w:keepLines/>
      <w:spacing w:line="360" w:lineRule="auto"/>
      <w:outlineLvl w:val="3"/>
    </w:pPr>
    <w:rPr>
      <w:rFonts w:ascii="Arial" w:hAnsi="Arial" w:eastAsia="黑体"/>
      <w:b/>
      <w:sz w:val="28"/>
    </w:rPr>
  </w:style>
  <w:style w:type="paragraph" w:styleId="9">
    <w:name w:val="heading 5"/>
    <w:basedOn w:val="1"/>
    <w:next w:val="1"/>
    <w:unhideWhenUsed/>
    <w:qFormat/>
    <w:uiPriority w:val="0"/>
    <w:pPr>
      <w:keepNext/>
      <w:keepLines/>
      <w:spacing w:line="360" w:lineRule="auto"/>
      <w:outlineLvl w:val="4"/>
    </w:pPr>
    <w:rPr>
      <w:b/>
      <w:sz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12" w:lineRule="auto"/>
      <w:ind w:firstLine="420"/>
    </w:pPr>
  </w:style>
  <w:style w:type="paragraph" w:styleId="3">
    <w:name w:val="Body Text"/>
    <w:basedOn w:val="1"/>
    <w:next w:val="2"/>
    <w:qFormat/>
    <w:uiPriority w:val="0"/>
    <w:pPr>
      <w:spacing w:line="360" w:lineRule="exact"/>
    </w:pPr>
    <w:rPr>
      <w:sz w:val="24"/>
    </w:rPr>
  </w:style>
  <w:style w:type="paragraph" w:styleId="4">
    <w:name w:val="toc 6"/>
    <w:basedOn w:val="1"/>
    <w:next w:val="1"/>
    <w:qFormat/>
    <w:uiPriority w:val="0"/>
    <w:pPr>
      <w:ind w:left="840"/>
      <w:jc w:val="left"/>
    </w:pPr>
    <w:rPr>
      <w:rFonts w:ascii="Cambria" w:hAnsi="Cambria" w:cs="Cambria"/>
      <w:sz w:val="20"/>
    </w:rPr>
  </w:style>
  <w:style w:type="paragraph" w:styleId="10">
    <w:name w:val="List Number"/>
    <w:basedOn w:val="1"/>
    <w:qFormat/>
    <w:uiPriority w:val="0"/>
    <w:pPr>
      <w:numPr>
        <w:ilvl w:val="0"/>
        <w:numId w:val="1"/>
      </w:numPr>
    </w:pPr>
  </w:style>
  <w:style w:type="paragraph" w:styleId="11">
    <w:name w:val="Normal Indent"/>
    <w:basedOn w:val="1"/>
    <w:next w:val="12"/>
    <w:qFormat/>
    <w:uiPriority w:val="0"/>
    <w:pPr>
      <w:ind w:firstLine="420"/>
    </w:pPr>
  </w:style>
  <w:style w:type="paragraph" w:styleId="12">
    <w:name w:val="Body Text Indent"/>
    <w:basedOn w:val="1"/>
    <w:next w:val="1"/>
    <w:qFormat/>
    <w:uiPriority w:val="0"/>
    <w:pPr>
      <w:spacing w:after="120"/>
      <w:ind w:left="420" w:leftChars="200"/>
    </w:pPr>
  </w:style>
  <w:style w:type="paragraph" w:styleId="13">
    <w:name w:val="annotation text"/>
    <w:basedOn w:val="1"/>
    <w:link w:val="48"/>
    <w:qFormat/>
    <w:uiPriority w:val="0"/>
    <w:pPr>
      <w:jc w:val="left"/>
    </w:pPr>
  </w:style>
  <w:style w:type="paragraph" w:styleId="14">
    <w:name w:val="Plain Text"/>
    <w:basedOn w:val="1"/>
    <w:next w:val="15"/>
    <w:qFormat/>
    <w:uiPriority w:val="0"/>
    <w:rPr>
      <w:rFonts w:ascii="宋体" w:hAnsi="Courier New" w:cstheme="minorBidi"/>
    </w:rPr>
  </w:style>
  <w:style w:type="paragraph" w:styleId="15">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6">
    <w:name w:val="Date"/>
    <w:basedOn w:val="1"/>
    <w:next w:val="1"/>
    <w:qFormat/>
    <w:uiPriority w:val="0"/>
    <w:pPr>
      <w:ind w:left="2500" w:leftChars="2500"/>
    </w:pPr>
    <w:rPr>
      <w:rFonts w:eastAsia="楷体_GB2312" w:asciiTheme="minorHAnsi" w:hAnsiTheme="minorHAnsi" w:cstheme="minorBidi"/>
      <w:sz w:val="32"/>
      <w:szCs w:val="22"/>
    </w:rPr>
  </w:style>
  <w:style w:type="paragraph" w:styleId="17">
    <w:name w:val="Balloon Text"/>
    <w:basedOn w:val="1"/>
    <w:link w:val="50"/>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Normal (Web)"/>
    <w:basedOn w:val="1"/>
    <w:next w:val="14"/>
    <w:qFormat/>
    <w:uiPriority w:val="0"/>
    <w:pPr>
      <w:widowControl/>
      <w:spacing w:before="100" w:beforeAutospacing="1" w:after="100" w:afterAutospacing="1"/>
      <w:jc w:val="left"/>
    </w:pPr>
    <w:rPr>
      <w:rFonts w:hint="eastAsia" w:ascii="宋体" w:hAnsi="宋体"/>
      <w:kern w:val="0"/>
      <w:sz w:val="24"/>
    </w:rPr>
  </w:style>
  <w:style w:type="paragraph" w:styleId="21">
    <w:name w:val="Title"/>
    <w:basedOn w:val="1"/>
    <w:next w:val="1"/>
    <w:qFormat/>
    <w:uiPriority w:val="0"/>
    <w:pPr>
      <w:spacing w:before="240" w:after="60"/>
      <w:jc w:val="center"/>
      <w:outlineLvl w:val="0"/>
    </w:pPr>
    <w:rPr>
      <w:rFonts w:ascii="Arial" w:hAnsi="Arial"/>
      <w:b/>
      <w:kern w:val="0"/>
      <w:sz w:val="32"/>
      <w:szCs w:val="20"/>
    </w:rPr>
  </w:style>
  <w:style w:type="paragraph" w:styleId="22">
    <w:name w:val="annotation subject"/>
    <w:basedOn w:val="13"/>
    <w:next w:val="13"/>
    <w:link w:val="49"/>
    <w:qFormat/>
    <w:uiPriority w:val="0"/>
    <w:rPr>
      <w:b/>
      <w:bCs/>
    </w:rPr>
  </w:style>
  <w:style w:type="paragraph" w:styleId="23">
    <w:name w:val="Body Text First Indent 2"/>
    <w:basedOn w:val="12"/>
    <w:next w:val="24"/>
    <w:qFormat/>
    <w:uiPriority w:val="0"/>
    <w:pPr>
      <w:tabs>
        <w:tab w:val="left" w:pos="720"/>
        <w:tab w:val="left" w:pos="1260"/>
        <w:tab w:val="left" w:pos="2160"/>
        <w:tab w:val="left" w:pos="2880"/>
        <w:tab w:val="left" w:pos="3600"/>
        <w:tab w:val="left" w:pos="4320"/>
        <w:tab w:val="left" w:pos="5040"/>
        <w:tab w:val="left" w:pos="5760"/>
      </w:tabs>
      <w:spacing w:after="0" w:line="240" w:lineRule="atLeast"/>
      <w:ind w:left="0" w:firstLine="420" w:firstLineChars="200"/>
    </w:pPr>
    <w:rPr>
      <w:rFonts w:hint="eastAsia" w:ascii="宋体" w:hAnsi="Courier New"/>
      <w:spacing w:val="-4"/>
      <w:sz w:val="18"/>
      <w:szCs w:val="18"/>
    </w:rPr>
  </w:style>
  <w:style w:type="paragraph" w:customStyle="1" w:styleId="24">
    <w:name w:val="xl53"/>
    <w:basedOn w:val="25"/>
    <w:next w:val="1"/>
    <w:qFormat/>
    <w:uiPriority w:val="0"/>
    <w:pPr>
      <w:spacing w:before="280" w:after="280" w:line="100" w:lineRule="exact"/>
      <w:jc w:val="center"/>
    </w:pPr>
    <w:rPr>
      <w:b/>
      <w:sz w:val="20"/>
    </w:rPr>
  </w:style>
  <w:style w:type="paragraph" w:customStyle="1" w:styleId="25">
    <w:name w:val="正文（四号）"/>
    <w:basedOn w:val="1"/>
    <w:qFormat/>
    <w:uiPriority w:val="0"/>
    <w:pPr>
      <w:snapToGrid w:val="0"/>
      <w:ind w:firstLine="200"/>
    </w:pPr>
    <w:rPr>
      <w:rFonts w:cs="宋体"/>
      <w:sz w:val="28"/>
      <w:szCs w:val="28"/>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rPr>
  </w:style>
  <w:style w:type="character" w:styleId="30">
    <w:name w:val="page number"/>
    <w:basedOn w:val="28"/>
    <w:qFormat/>
    <w:uiPriority w:val="0"/>
  </w:style>
  <w:style w:type="character" w:styleId="31">
    <w:name w:val="Hyperlink"/>
    <w:basedOn w:val="28"/>
    <w:qFormat/>
    <w:uiPriority w:val="0"/>
    <w:rPr>
      <w:color w:val="000000"/>
      <w:u w:val="none"/>
    </w:rPr>
  </w:style>
  <w:style w:type="character" w:styleId="32">
    <w:name w:val="annotation reference"/>
    <w:basedOn w:val="28"/>
    <w:qFormat/>
    <w:uiPriority w:val="0"/>
    <w:rPr>
      <w:sz w:val="21"/>
      <w:szCs w:val="21"/>
    </w:rPr>
  </w:style>
  <w:style w:type="paragraph" w:styleId="33">
    <w:name w:val="List Paragraph"/>
    <w:basedOn w:val="1"/>
    <w:qFormat/>
    <w:uiPriority w:val="34"/>
    <w:pPr>
      <w:ind w:firstLine="420" w:firstLineChars="200"/>
    </w:pPr>
    <w:rPr>
      <w:rFonts w:ascii="Calibri" w:hAnsi="Calibri"/>
      <w:szCs w:val="22"/>
    </w:rPr>
  </w:style>
  <w:style w:type="paragraph" w:customStyle="1" w:styleId="34">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章正文"/>
    <w:basedOn w:val="1"/>
    <w:qFormat/>
    <w:uiPriority w:val="0"/>
    <w:pPr>
      <w:spacing w:beforeLines="50" w:after="120" w:line="300" w:lineRule="auto"/>
      <w:ind w:firstLine="480"/>
    </w:pPr>
    <w:rPr>
      <w:rFonts w:ascii="Helvetica" w:hAnsi="Helvetica"/>
      <w:kern w:val="0"/>
    </w:rPr>
  </w:style>
  <w:style w:type="paragraph" w:customStyle="1" w:styleId="36">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批注文字 Char"/>
    <w:basedOn w:val="28"/>
    <w:link w:val="13"/>
    <w:qFormat/>
    <w:uiPriority w:val="0"/>
    <w:rPr>
      <w:kern w:val="2"/>
      <w:sz w:val="21"/>
      <w:szCs w:val="24"/>
    </w:rPr>
  </w:style>
  <w:style w:type="character" w:customStyle="1" w:styleId="49">
    <w:name w:val="批注主题 Char"/>
    <w:basedOn w:val="48"/>
    <w:link w:val="22"/>
    <w:qFormat/>
    <w:uiPriority w:val="0"/>
    <w:rPr>
      <w:b/>
      <w:bCs/>
      <w:kern w:val="2"/>
      <w:sz w:val="21"/>
      <w:szCs w:val="24"/>
    </w:rPr>
  </w:style>
  <w:style w:type="character" w:customStyle="1" w:styleId="50">
    <w:name w:val="批注框文本 Char"/>
    <w:basedOn w:val="28"/>
    <w:link w:val="17"/>
    <w:qFormat/>
    <w:uiPriority w:val="0"/>
    <w:rPr>
      <w:kern w:val="2"/>
      <w:sz w:val="18"/>
      <w:szCs w:val="18"/>
    </w:rPr>
  </w:style>
  <w:style w:type="paragraph" w:customStyle="1" w:styleId="51">
    <w:name w:val="表格文字"/>
    <w:basedOn w:val="1"/>
    <w:next w:val="3"/>
    <w:qFormat/>
    <w:uiPriority w:val="0"/>
    <w:pPr>
      <w:jc w:val="left"/>
    </w:pPr>
    <w:rPr>
      <w:kern w:val="21"/>
    </w:rPr>
  </w:style>
  <w:style w:type="paragraph" w:customStyle="1" w:styleId="52">
    <w:name w:val="文档正文"/>
    <w:basedOn w:val="1"/>
    <w:qFormat/>
    <w:uiPriority w:val="0"/>
    <w:rPr>
      <w:rFonts w:ascii="宋体" w:hAnsi="宋体" w:cs="Arial"/>
      <w:bCs/>
    </w:rPr>
  </w:style>
  <w:style w:type="character" w:customStyle="1" w:styleId="53">
    <w:name w:val="标题 4 Char"/>
    <w:link w:val="8"/>
    <w:qFormat/>
    <w:uiPriority w:val="0"/>
    <w:rPr>
      <w:rFonts w:ascii="Arial" w:hAnsi="Arial" w:eastAsia="黑体"/>
      <w:b/>
      <w:sz w:val="28"/>
    </w:rPr>
  </w:style>
  <w:style w:type="paragraph" w:customStyle="1" w:styleId="54">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table" w:customStyle="1" w:styleId="55">
    <w:name w:val="网格型1"/>
    <w:basedOn w:val="26"/>
    <w:qFormat/>
    <w:uiPriority w:val="59"/>
    <w:rPr>
      <w:rFonts w:ascii="Calibri" w:hAnsi="Calibri"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36831</Words>
  <Characters>40847</Characters>
  <Lines>199</Lines>
  <Paragraphs>56</Paragraphs>
  <TotalTime>32</TotalTime>
  <ScaleCrop>false</ScaleCrop>
  <LinksUpToDate>false</LinksUpToDate>
  <CharactersWithSpaces>42555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2022-04-20T01:08:00Z</dcterms:created>
  <dc:creator>Administrator</dc:creator>
  <cp:lastModifiedBy>岁月如歌</cp:lastModifiedBy>
  <cp:lastPrinted>2022-11-08T03:01:00Z</cp:lastPrinted>
  <dcterms:modified xsi:type="dcterms:W3CDTF">2022-11-24T00:26:10Z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398ECC0835D44ACE966A74B65BC77B39</vt:lpwstr>
  </property>
  <property fmtid="{D5CDD505-2E9C-101B-9397-08002B2CF9AE}" pid="4" name="commondata">
    <vt:lpwstr>eyJoZGlkIjoiYjc3MjcyNjQwNzQ5MGZlMjQwZGYzNDViY2YzNWVhMDUifQ==</vt:lpwstr>
  </property>
</Properties>
</file>