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val="en-US" w:eastAsia="zh-CN"/>
        </w:rPr>
        <w:t>杭州市余杭区综合行政执法局(杭州市余杭区城市管理局)数字城管采集服务项目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编号: HYZFCG-202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017</w:t>
      </w:r>
    </w:p>
    <w:p>
      <w:pPr>
        <w:adjustRightInd/>
        <w:spacing w:line="360" w:lineRule="auto"/>
        <w:jc w:val="center"/>
        <w:rPr>
          <w:rFonts w:hint="eastAsia" w:ascii="仿宋" w:hAnsi="仿宋" w:eastAsia="仿宋" w:cs="仿宋"/>
          <w:color w:val="auto"/>
          <w:sz w:val="28"/>
          <w:szCs w:val="20"/>
          <w:highlight w:val="none"/>
          <w:lang w:val="en-US" w:eastAsia="zh-CN"/>
        </w:rPr>
      </w:pPr>
      <w:r>
        <w:rPr>
          <w:rFonts w:hint="eastAsia" w:ascii="仿宋" w:hAnsi="仿宋" w:eastAsia="仿宋" w:cs="仿宋"/>
          <w:color w:val="auto"/>
          <w:sz w:val="28"/>
          <w:szCs w:val="20"/>
          <w:highlight w:val="none"/>
          <w:lang w:val="en-US" w:eastAsia="zh-CN"/>
        </w:rPr>
        <w:t xml:space="preserve">  </w:t>
      </w:r>
    </w:p>
    <w:p>
      <w:pPr>
        <w:tabs>
          <w:tab w:val="left" w:pos="432"/>
        </w:tabs>
        <w:outlineLvl w:val="9"/>
        <w:rPr>
          <w:rFonts w:hint="eastAsia" w:ascii="仿宋" w:hAnsi="仿宋" w:eastAsia="仿宋" w:cs="仿宋"/>
          <w:color w:val="auto"/>
          <w:sz w:val="28"/>
          <w:szCs w:val="20"/>
          <w:highlight w:val="none"/>
          <w:lang w:val="en-US" w:eastAsia="zh-CN"/>
        </w:rPr>
      </w:pPr>
    </w:p>
    <w:p>
      <w:pPr>
        <w:outlineLvl w:val="9"/>
        <w:rPr>
          <w:rFonts w:hint="eastAsia" w:ascii="仿宋" w:hAnsi="仿宋" w:eastAsia="仿宋" w:cs="仿宋"/>
          <w:color w:val="auto"/>
          <w:sz w:val="28"/>
          <w:szCs w:val="20"/>
          <w:highlight w:val="none"/>
          <w:lang w:val="en-US" w:eastAsia="zh-CN"/>
        </w:rPr>
      </w:pPr>
    </w:p>
    <w:p>
      <w:pPr>
        <w:tabs>
          <w:tab w:val="left" w:pos="432"/>
        </w:tabs>
        <w:outlineLvl w:val="9"/>
        <w:rPr>
          <w:rFonts w:hint="eastAsia" w:ascii="仿宋" w:hAnsi="仿宋" w:eastAsia="仿宋" w:cs="仿宋"/>
          <w:color w:val="auto"/>
          <w:sz w:val="28"/>
          <w:szCs w:val="20"/>
          <w:highlight w:val="none"/>
          <w:lang w:val="en-US" w:eastAsia="zh-CN"/>
        </w:rPr>
      </w:pPr>
    </w:p>
    <w:p>
      <w:pPr>
        <w:outlineLvl w:val="9"/>
        <w:rPr>
          <w:rFonts w:hint="eastAsia" w:ascii="仿宋" w:hAnsi="仿宋" w:eastAsia="仿宋" w:cs="仿宋"/>
          <w:color w:val="auto"/>
          <w:sz w:val="28"/>
          <w:szCs w:val="20"/>
          <w:highlight w:val="none"/>
          <w:lang w:val="en-US" w:eastAsia="zh-CN"/>
        </w:rPr>
      </w:pPr>
    </w:p>
    <w:p>
      <w:pPr>
        <w:tabs>
          <w:tab w:val="left" w:pos="432"/>
        </w:tabs>
        <w:outlineLvl w:val="9"/>
        <w:rPr>
          <w:rFonts w:hint="eastAsia" w:ascii="仿宋" w:hAnsi="仿宋" w:eastAsia="仿宋" w:cs="仿宋"/>
          <w:color w:val="auto"/>
          <w:sz w:val="28"/>
          <w:szCs w:val="20"/>
          <w:highlight w:val="none"/>
          <w:lang w:val="en-US" w:eastAsia="zh-CN"/>
        </w:rPr>
      </w:pPr>
    </w:p>
    <w:p>
      <w:pPr>
        <w:outlineLvl w:val="9"/>
        <w:rPr>
          <w:rFonts w:hint="eastAsia" w:ascii="仿宋" w:hAnsi="仿宋" w:eastAsia="仿宋" w:cs="仿宋"/>
          <w:color w:val="auto"/>
          <w:sz w:val="28"/>
          <w:szCs w:val="20"/>
          <w:highlight w:val="none"/>
          <w:lang w:val="en-US" w:eastAsia="zh-CN"/>
        </w:rPr>
      </w:pPr>
    </w:p>
    <w:p>
      <w:pPr>
        <w:tabs>
          <w:tab w:val="left" w:pos="432"/>
        </w:tabs>
        <w:outlineLvl w:val="9"/>
        <w:rPr>
          <w:rFonts w:hint="eastAsia" w:ascii="仿宋" w:hAnsi="仿宋" w:eastAsia="仿宋" w:cs="仿宋"/>
          <w:color w:val="auto"/>
          <w:sz w:val="28"/>
          <w:szCs w:val="20"/>
          <w:highlight w:val="none"/>
          <w:lang w:val="en-US" w:eastAsia="zh-CN"/>
        </w:rPr>
      </w:pPr>
    </w:p>
    <w:p>
      <w:pPr>
        <w:outlineLvl w:val="9"/>
        <w:rPr>
          <w:rFonts w:hint="eastAsia" w:ascii="仿宋" w:hAnsi="仿宋" w:eastAsia="仿宋" w:cs="仿宋"/>
          <w:color w:val="auto"/>
          <w:sz w:val="28"/>
          <w:szCs w:val="20"/>
          <w:highlight w:val="none"/>
          <w:lang w:val="en-US" w:eastAsia="zh-CN"/>
        </w:rPr>
      </w:pPr>
    </w:p>
    <w:p>
      <w:pPr>
        <w:tabs>
          <w:tab w:val="left" w:pos="432"/>
        </w:tabs>
        <w:outlineLvl w:val="9"/>
        <w:rPr>
          <w:rFonts w:hint="eastAsia" w:ascii="仿宋" w:hAnsi="仿宋" w:eastAsia="仿宋" w:cs="仿宋"/>
          <w:color w:val="auto"/>
          <w:highlight w:val="none"/>
          <w:lang w:val="en-US" w:eastAsia="zh-CN"/>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杭州市余杭区综合行政执法局</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浙江华耀建设咨询有限公司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2023</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16日</w:t>
      </w:r>
    </w:p>
    <w:p>
      <w:pPr>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81"/>
        <w:rPr>
          <w:rFonts w:hint="eastAsia"/>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1"/>
    <w:p>
      <w:pPr>
        <w:adjustRightInd/>
        <w:spacing w:line="360" w:lineRule="auto"/>
        <w:jc w:val="center"/>
        <w:outlineLvl w:val="0"/>
        <w:rPr>
          <w:rFonts w:hint="eastAsia" w:ascii="仿宋" w:hAnsi="仿宋" w:eastAsia="仿宋" w:cs="仿宋"/>
          <w:b/>
          <w:color w:val="auto"/>
          <w:sz w:val="36"/>
          <w:szCs w:val="20"/>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 w:name="_Hlt74728647"/>
      <w:bookmarkEnd w:id="2"/>
      <w:bookmarkStart w:id="3" w:name="_Hlt74707423"/>
      <w:bookmarkEnd w:id="3"/>
      <w:bookmarkStart w:id="4" w:name="_Hlt74729822"/>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杭州市余杭区综合行政执法局(杭州市余杭区城市管理局)数字城管采集服务项目招标项目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HYZFCG-202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017</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eastAsia="zh-CN"/>
        </w:rPr>
        <w:t>杭州市余杭区综合行政执法局(杭州市余杭区城市管理局)数字城管采集服务项目</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10600000</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10600000</w:t>
      </w:r>
    </w:p>
    <w:p>
      <w:pPr>
        <w:pStyle w:val="5"/>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p>
    <w:p>
      <w:pPr>
        <w:pStyle w:val="5"/>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
          <w:bCs w:val="0"/>
          <w:color w:val="auto"/>
          <w:kern w:val="2"/>
          <w:sz w:val="24"/>
          <w:szCs w:val="24"/>
          <w:highlight w:val="none"/>
        </w:rPr>
        <w:t>主要内容</w:t>
      </w:r>
      <w:r>
        <w:rPr>
          <w:rFonts w:hint="eastAsia" w:ascii="仿宋" w:hAnsi="仿宋" w:eastAsia="仿宋" w:cs="仿宋"/>
          <w:bCs/>
          <w:color w:val="auto"/>
          <w:kern w:val="2"/>
          <w:sz w:val="24"/>
          <w:szCs w:val="24"/>
          <w:highlight w:val="none"/>
        </w:rPr>
        <w:t>：详见招标文件第三部分采购需求。</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2390000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良渚街道、仁和街道全域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，具体详见采购文件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1900000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仓前</w:t>
      </w:r>
      <w:r>
        <w:rPr>
          <w:rFonts w:hint="eastAsia" w:ascii="仿宋" w:hAnsi="仿宋" w:eastAsia="仿宋" w:cs="仿宋"/>
          <w:color w:val="auto"/>
          <w:sz w:val="24"/>
          <w:szCs w:val="24"/>
          <w:highlight w:val="none"/>
        </w:rPr>
        <w:t>街道</w:t>
      </w:r>
      <w:r>
        <w:rPr>
          <w:rFonts w:hint="eastAsia" w:ascii="仿宋" w:hAnsi="仿宋" w:eastAsia="仿宋" w:cs="仿宋"/>
          <w:color w:val="auto"/>
          <w:sz w:val="24"/>
          <w:szCs w:val="24"/>
          <w:highlight w:val="none"/>
          <w:lang w:val="en-US" w:eastAsia="zh-CN"/>
        </w:rPr>
        <w:t>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，具体详见采购文件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三</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1730000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五常街道全域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，具体详见采购文件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四</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1930000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瓶窑镇、</w:t>
      </w:r>
      <w:r>
        <w:rPr>
          <w:rFonts w:hint="eastAsia" w:ascii="仿宋" w:hAnsi="仿宋" w:eastAsia="仿宋" w:cs="仿宋"/>
          <w:color w:val="auto"/>
          <w:sz w:val="24"/>
          <w:szCs w:val="24"/>
          <w:highlight w:val="none"/>
        </w:rPr>
        <w:t>径山镇、黄湖镇、鸬鸟镇、百丈镇</w:t>
      </w:r>
      <w:r>
        <w:rPr>
          <w:rFonts w:hint="eastAsia" w:ascii="仿宋" w:hAnsi="仿宋" w:eastAsia="仿宋" w:cs="仿宋"/>
          <w:color w:val="auto"/>
          <w:sz w:val="24"/>
          <w:szCs w:val="24"/>
          <w:highlight w:val="none"/>
          <w:lang w:val="en-US" w:eastAsia="zh-CN"/>
        </w:rPr>
        <w:t>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，具体详见采购文件</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五</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1280000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余杭街道全域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，具体详见采购文件</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val="en-US" w:eastAsia="zh-CN"/>
        </w:rPr>
        <w:t>余杭区非城市化管理范围</w:t>
      </w:r>
      <w:r>
        <w:rPr>
          <w:rFonts w:hint="eastAsia" w:ascii="仿宋" w:hAnsi="仿宋" w:eastAsia="仿宋" w:cs="仿宋"/>
          <w:color w:val="auto"/>
          <w:sz w:val="24"/>
          <w:szCs w:val="24"/>
          <w:highlight w:val="none"/>
          <w:lang w:eastAsia="zh-CN"/>
        </w:rPr>
        <w:t>数字城管信息采集服务外包项目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六</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1370000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b w:val="0"/>
          <w:bCs w:val="0"/>
          <w:color w:val="auto"/>
          <w:sz w:val="24"/>
          <w:szCs w:val="24"/>
          <w:highlight w:val="none"/>
          <w:lang w:val="en-US" w:eastAsia="zh-CN"/>
        </w:rPr>
        <w:t>闲林街道、中泰</w:t>
      </w:r>
      <w:r>
        <w:rPr>
          <w:rFonts w:hint="eastAsia" w:ascii="仿宋" w:hAnsi="仿宋" w:eastAsia="仿宋" w:cs="仿宋"/>
          <w:color w:val="auto"/>
          <w:sz w:val="24"/>
          <w:szCs w:val="24"/>
          <w:highlight w:val="none"/>
          <w:lang w:val="en-US" w:eastAsia="zh-CN"/>
        </w:rPr>
        <w:t>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lang w:val="en-US" w:eastAsia="zh-CN"/>
        </w:rPr>
        <w:t>除已覆盖采集范围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，具体详见采购文件</w:t>
      </w:r>
    </w:p>
    <w:p>
      <w:pPr>
        <w:keepNext w:val="0"/>
        <w:keepLines w:val="0"/>
        <w:pageBreakBefore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备注： </w:t>
      </w:r>
      <w:r>
        <w:rPr>
          <w:rFonts w:hint="eastAsia" w:ascii="仿宋" w:hAnsi="仿宋" w:eastAsia="仿宋" w:cs="仿宋"/>
          <w:color w:val="auto"/>
          <w:sz w:val="24"/>
          <w:szCs w:val="24"/>
          <w:highlight w:val="none"/>
          <w:lang w:val="en-US" w:eastAsia="zh-CN"/>
        </w:rPr>
        <w:t>服务期限8个月</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本招标采购文件内如未明确为哪个标项要求，即为所有标项的共同要求和内容，如已明示为哪个标项的具体要求，即按相关要求执行。</w:t>
      </w:r>
    </w:p>
    <w:p>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3.本项目的特定资格要求：无；</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2023年3月8日</w:t>
      </w:r>
      <w:r>
        <w:rPr>
          <w:rFonts w:hint="eastAsia" w:ascii="仿宋" w:hAnsi="仿宋" w:eastAsia="仿宋" w:cs="仿宋"/>
          <w:color w:val="auto"/>
          <w:sz w:val="24"/>
          <w:szCs w:val="24"/>
          <w:highlight w:val="none"/>
        </w:rPr>
        <w:t>，每天上午00:00至12:00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b w:val="0"/>
          <w:bCs/>
          <w:color w:val="auto"/>
          <w:sz w:val="24"/>
          <w:szCs w:val="24"/>
          <w:highlight w:val="none"/>
        </w:rPr>
        <w:t>政采云平台（https://www.zcygov.cn/）</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五、采购意向公开链接</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https://zfcg.czt.zj.gov.cn/innerUsed_noticeDetails/index.html?noticeId=9147191&amp;utm=web-government-front.49399a16.0.0.52cdfc30a51911ed8e85a1379997c916</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、公告期限</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、其他补充事宜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《浙江省财政厅关于进一步加大政府采购支持中小企业力度助力扎实稳住经济的通知》 （浙财采监（2022）8号）已分别于2022年1月29日和2022年2月1日</w:t>
      </w:r>
      <w:r>
        <w:rPr>
          <w:rFonts w:hint="eastAsia" w:ascii="仿宋" w:hAnsi="仿宋" w:eastAsia="仿宋" w:cs="仿宋"/>
          <w:b w:val="0"/>
          <w:bCs w:val="0"/>
          <w:color w:val="auto"/>
          <w:sz w:val="24"/>
          <w:szCs w:val="24"/>
          <w:highlight w:val="none"/>
          <w:lang w:val="en-US" w:eastAsia="zh-CN"/>
        </w:rPr>
        <w:t>和2022年7月1日</w:t>
      </w:r>
      <w:r>
        <w:rPr>
          <w:rFonts w:hint="eastAsia" w:ascii="仿宋" w:hAnsi="仿宋" w:eastAsia="仿宋" w:cs="仿宋"/>
          <w:b w:val="0"/>
          <w:bCs w:val="0"/>
          <w:color w:val="auto"/>
          <w:sz w:val="24"/>
          <w:szCs w:val="24"/>
          <w:highlight w:val="none"/>
        </w:rPr>
        <w:t>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、对本次采购提出询问、质疑、投诉，请按以下方式联系</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杭州市余杭区综合行政执法局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余杭区五常街道西坝路49号友谊社区综合楼2栋403室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i w:val="0"/>
          <w:iCs w:val="0"/>
          <w:caps w:val="0"/>
          <w:color w:val="auto"/>
          <w:spacing w:val="0"/>
          <w:sz w:val="24"/>
          <w:szCs w:val="24"/>
          <w:highlight w:val="none"/>
          <w:lang w:val="en-US" w:eastAsia="zh-CN"/>
        </w:rPr>
        <w:t xml:space="preserve"> 金建平</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iCs w:val="0"/>
          <w:caps w:val="0"/>
          <w:color w:val="auto"/>
          <w:spacing w:val="0"/>
          <w:sz w:val="24"/>
          <w:szCs w:val="24"/>
          <w:highlight w:val="none"/>
          <w:lang w:val="en-US" w:eastAsia="zh-CN"/>
        </w:rPr>
        <w:t xml:space="preserve"> 0571-88729396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i w:val="0"/>
          <w:iCs w:val="0"/>
          <w:caps w:val="0"/>
          <w:color w:val="auto"/>
          <w:spacing w:val="0"/>
          <w:sz w:val="24"/>
          <w:szCs w:val="24"/>
          <w:highlight w:val="none"/>
          <w:lang w:val="en-US" w:eastAsia="zh-CN"/>
        </w:rPr>
        <w:t xml:space="preserve"> 董宏高</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质疑联系方式：0571-88729719 </w:t>
      </w:r>
      <w:r>
        <w:rPr>
          <w:rFonts w:hint="eastAsia" w:ascii="仿宋" w:hAnsi="仿宋" w:eastAsia="仿宋" w:cs="仿宋"/>
          <w:i w:val="0"/>
          <w:iCs w:val="0"/>
          <w:caps w:val="0"/>
          <w:color w:val="auto"/>
          <w:spacing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2.采购代理机构信息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称：浙江华耀建设咨询有限公司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    址：杭州市临平区南苑街道时代广场1号楼A座19楼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传    真：/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项目联系人（询问）：富超群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项目联系方式（询问）：13606536869</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质疑联系人：马天顺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  0571-89172010</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3.同级政府采购监督管理部门</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名    称：余杭区政府采购办公室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址：余杭区五常街道溪沁路8号中国电信浙江创新园1号楼</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传    真：0571-88728858</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 ：杜国强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监督投诉电话：0571-88728858 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否；☐是，检测机构的要求；检测内容。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kern w:val="0"/>
                <w:sz w:val="24"/>
                <w:szCs w:val="24"/>
                <w:highlight w:val="none"/>
              </w:rPr>
              <w:t>；地点：；联系人</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lang w:val="en-US" w:eastAsia="zh-CN"/>
              </w:rPr>
              <w:t>信息采集服务</w:t>
            </w:r>
            <w:r>
              <w:rPr>
                <w:rFonts w:hint="eastAsia" w:ascii="仿宋" w:hAnsi="仿宋" w:eastAsia="仿宋" w:cs="仿宋"/>
                <w:color w:val="auto"/>
                <w:kern w:val="0"/>
                <w:sz w:val="24"/>
                <w:szCs w:val="24"/>
                <w:highlight w:val="none"/>
              </w:rPr>
              <w:t>；所属行业：其他未列明行业。</w:t>
            </w:r>
          </w:p>
          <w:p>
            <w:pPr>
              <w:pStyle w:val="3"/>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bidi="ar-SA"/>
              </w:rPr>
              <w:t>备份投标文件送达地点：杭州市临平区南苑街道时代广场1号楼A座19楼会议室；备份投标文件签收人员：富超群，联系电话：13606536869。采购人、采购机构不强制或变相强制投标人提交备份投标文件。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w:t>
            </w:r>
            <w:r>
              <w:rPr>
                <w:rFonts w:hint="eastAsia" w:ascii="仿宋" w:hAnsi="仿宋" w:eastAsia="仿宋" w:cs="仿宋"/>
                <w:snapToGrid w:val="0"/>
                <w:color w:val="auto"/>
                <w:kern w:val="28"/>
                <w:sz w:val="24"/>
                <w:szCs w:val="24"/>
                <w:highlight w:val="none"/>
                <w:lang w:val="en-US" w:eastAsia="zh-CN"/>
              </w:rPr>
              <w:t>否则</w:t>
            </w:r>
            <w:r>
              <w:rPr>
                <w:rFonts w:hint="eastAsia" w:ascii="仿宋" w:hAnsi="仿宋" w:eastAsia="仿宋" w:cs="仿宋"/>
                <w:snapToGrid w:val="0"/>
                <w:color w:val="auto"/>
                <w:kern w:val="28"/>
                <w:sz w:val="24"/>
                <w:szCs w:val="24"/>
                <w:highlight w:val="none"/>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snapToGrid w:val="0"/>
                <w:color w:val="auto"/>
                <w:kern w:val="28"/>
                <w:sz w:val="24"/>
                <w:szCs w:val="24"/>
                <w:highlight w:val="none"/>
                <w:lang w:val="en-US" w:eastAsia="zh-CN"/>
              </w:rPr>
              <w:t>各标项</w:t>
            </w:r>
            <w:r>
              <w:rPr>
                <w:rFonts w:hint="eastAsia" w:ascii="仿宋" w:hAnsi="仿宋" w:eastAsia="仿宋" w:cs="仿宋"/>
                <w:snapToGrid w:val="0"/>
                <w:color w:val="auto"/>
                <w:kern w:val="28"/>
                <w:sz w:val="24"/>
                <w:szCs w:val="24"/>
                <w:highlight w:val="none"/>
              </w:rPr>
              <w:t>中标人在领取中标通知书时需</w:t>
            </w:r>
            <w:r>
              <w:rPr>
                <w:rFonts w:hint="eastAsia" w:ascii="仿宋" w:hAnsi="仿宋" w:eastAsia="仿宋" w:cs="仿宋"/>
                <w:snapToGrid w:val="0"/>
                <w:color w:val="auto"/>
                <w:kern w:val="28"/>
                <w:sz w:val="24"/>
                <w:szCs w:val="24"/>
                <w:highlight w:val="none"/>
                <w:lang w:val="en-US" w:eastAsia="zh-CN"/>
              </w:rPr>
              <w:t>按余财政【2018】24号文件服务类计取</w:t>
            </w:r>
            <w:r>
              <w:rPr>
                <w:rFonts w:hint="eastAsia" w:ascii="仿宋" w:hAnsi="仿宋" w:eastAsia="仿宋" w:cs="仿宋"/>
                <w:snapToGrid w:val="0"/>
                <w:color w:val="auto"/>
                <w:kern w:val="28"/>
                <w:sz w:val="24"/>
                <w:szCs w:val="24"/>
                <w:highlight w:val="none"/>
              </w:rPr>
              <w:t>向招标代理机构支付招标代理服务费</w:t>
            </w:r>
            <w:r>
              <w:rPr>
                <w:rFonts w:hint="eastAsia" w:ascii="仿宋" w:hAnsi="仿宋" w:eastAsia="仿宋" w:cs="仿宋"/>
                <w:snapToGrid w:val="0"/>
                <w:color w:val="auto"/>
                <w:kern w:val="28"/>
                <w:sz w:val="24"/>
                <w:szCs w:val="24"/>
                <w:highlight w:val="none"/>
                <w:lang w:eastAsia="zh-CN"/>
              </w:rPr>
              <w:t>，专家费按实结算</w:t>
            </w:r>
            <w:r>
              <w:rPr>
                <w:rFonts w:hint="eastAsia" w:ascii="仿宋" w:hAnsi="仿宋" w:eastAsia="仿宋" w:cs="仿宋"/>
                <w:snapToGrid w:val="0"/>
                <w:color w:val="auto"/>
                <w:kern w:val="28"/>
                <w:sz w:val="24"/>
                <w:szCs w:val="24"/>
                <w:highlight w:val="none"/>
              </w:rPr>
              <w:t>，费用包含在总报价中，不单独列项报价。</w:t>
            </w:r>
          </w:p>
          <w:p>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snapToGrid w:val="0"/>
                <w:color w:val="auto"/>
                <w:kern w:val="28"/>
                <w:sz w:val="24"/>
                <w:szCs w:val="24"/>
                <w:highlight w:val="none"/>
              </w:rPr>
              <w:t>中标服务费的交纳方式：以转帐或支票的形式支付</w:t>
            </w:r>
            <w:r>
              <w:rPr>
                <w:rFonts w:hint="eastAsia" w:ascii="仿宋" w:hAnsi="仿宋" w:eastAsia="仿宋" w:cs="仿宋"/>
                <w:snapToGrid w:val="0"/>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28"/>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eastAsia="zh-CN"/>
              </w:rPr>
              <w:t>中标人</w:t>
            </w:r>
            <w:r>
              <w:rPr>
                <w:rFonts w:hint="eastAsia" w:ascii="仿宋" w:hAnsi="仿宋" w:eastAsia="仿宋" w:cs="仿宋"/>
                <w:snapToGrid w:val="0"/>
                <w:color w:val="auto"/>
                <w:kern w:val="28"/>
                <w:sz w:val="24"/>
                <w:szCs w:val="24"/>
                <w:highlight w:val="none"/>
              </w:rPr>
              <w:t>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bookmarkStart w:id="407" w:name="_GoBack" w:colFirst="2" w:colLast="2"/>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b/>
                <w:bCs/>
                <w:snapToGrid w:val="0"/>
                <w:color w:val="auto"/>
                <w:kern w:val="28"/>
                <w:sz w:val="24"/>
                <w:szCs w:val="24"/>
                <w:highlight w:val="none"/>
                <w:lang w:val="en-US" w:eastAsia="zh-CN"/>
              </w:rPr>
              <w:t>本次招标共有六个标项；供应商可自行选择标项响应投标，但供应商中标只能中一个标项，开评标根据标项一、标项二、标项三、标项四、标项五、标项六顺序开启并进行评审，投标单位已中标的，后面标项不再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特别提示</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rPr>
                <w:rFonts w:hint="eastAsia" w:ascii="仿宋" w:hAnsi="仿宋" w:eastAsia="仿宋" w:cs="仿宋"/>
                <w:b/>
                <w:bCs/>
                <w:snapToGrid w:val="0"/>
                <w:color w:val="auto"/>
                <w:kern w:val="28"/>
                <w:sz w:val="24"/>
                <w:szCs w:val="24"/>
                <w:highlight w:val="none"/>
                <w:lang w:val="en-US" w:eastAsia="zh-CN"/>
              </w:rPr>
            </w:pPr>
            <w:r>
              <w:rPr>
                <w:rFonts w:hint="eastAsia" w:ascii="仿宋" w:hAnsi="仿宋" w:eastAsia="仿宋" w:cs="仿宋"/>
                <w:b/>
                <w:bCs/>
                <w:snapToGrid w:val="0"/>
                <w:color w:val="auto"/>
                <w:kern w:val="28"/>
                <w:sz w:val="24"/>
                <w:szCs w:val="24"/>
                <w:highlight w:val="none"/>
                <w:lang w:val="en-US" w:eastAsia="zh-CN"/>
              </w:rPr>
              <w:t>1）▲投标人在所投标段的巡查区域内应无数字城管业务之外的涉及有关养护、道路保洁等方面的城管业务；不与投标区域内城管部门存在利益关系。须在投标文件中提供承诺书等证明材料。否则投标无效；</w:t>
            </w:r>
          </w:p>
          <w:p>
            <w:pPr>
              <w:adjustRightInd/>
              <w:spacing w:line="360" w:lineRule="auto"/>
              <w:rPr>
                <w:rFonts w:hint="eastAsia" w:ascii="仿宋" w:hAnsi="仿宋" w:eastAsia="仿宋" w:cs="仿宋"/>
                <w:b/>
                <w:bCs/>
                <w:snapToGrid w:val="0"/>
                <w:color w:val="auto"/>
                <w:kern w:val="28"/>
                <w:sz w:val="24"/>
                <w:szCs w:val="24"/>
                <w:highlight w:val="none"/>
                <w:lang w:val="en-US" w:eastAsia="zh-CN"/>
              </w:rPr>
            </w:pPr>
            <w:r>
              <w:rPr>
                <w:rFonts w:hint="eastAsia" w:ascii="仿宋" w:hAnsi="仿宋" w:eastAsia="仿宋" w:cs="仿宋"/>
                <w:b/>
                <w:bCs/>
                <w:snapToGrid w:val="0"/>
                <w:color w:val="auto"/>
                <w:kern w:val="28"/>
                <w:sz w:val="24"/>
                <w:szCs w:val="24"/>
                <w:highlight w:val="none"/>
                <w:lang w:val="en-US" w:eastAsia="zh-CN"/>
              </w:rPr>
              <w:t>2）▲为确保项目实施质量，投标人必须确保所投项目项目组人员及投入的软硬件设施固定为本项目使用。须在投标文件中提供承诺书等证明材料。否则投标无效。</w:t>
            </w:r>
          </w:p>
          <w:p>
            <w:pPr>
              <w:adjustRightInd/>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napToGrid w:val="0"/>
                <w:color w:val="auto"/>
                <w:kern w:val="28"/>
                <w:sz w:val="24"/>
                <w:szCs w:val="24"/>
                <w:highlight w:val="none"/>
                <w:lang w:val="en-US" w:eastAsia="zh-CN"/>
              </w:rPr>
              <w:t>3）本招标采购文件内如未明确为哪个标项要求，即为所有标项的共同要求和内容，如已明示为哪个标项的具体要求，即按相关要求执行。</w:t>
            </w:r>
          </w:p>
        </w:tc>
      </w:tr>
      <w:bookmarkEnd w:id="407"/>
    </w:tbl>
    <w:p>
      <w:pPr>
        <w:snapToGrid w:val="0"/>
        <w:spacing w:line="360" w:lineRule="auto"/>
        <w:jc w:val="center"/>
        <w:rPr>
          <w:rFonts w:hint="eastAsia" w:ascii="仿宋" w:hAnsi="仿宋" w:eastAsia="仿宋" w:cs="仿宋"/>
          <w:b/>
          <w:color w:val="auto"/>
          <w:sz w:val="32"/>
          <w:szCs w:val="20"/>
          <w:highlight w:val="none"/>
        </w:rPr>
      </w:pPr>
    </w:p>
    <w:p>
      <w:pPr>
        <w:tabs>
          <w:tab w:val="left" w:pos="432"/>
        </w:tabs>
        <w:outlineLvl w:val="9"/>
        <w:rPr>
          <w:rFonts w:hint="eastAsia" w:ascii="仿宋" w:hAnsi="仿宋" w:eastAsia="仿宋" w:cs="仿宋"/>
          <w:b/>
          <w:color w:val="auto"/>
          <w:sz w:val="32"/>
          <w:szCs w:val="20"/>
          <w:highlight w:val="none"/>
        </w:rPr>
      </w:pPr>
    </w:p>
    <w:p>
      <w:pPr>
        <w:outlineLvl w:val="9"/>
        <w:rPr>
          <w:rFonts w:hint="eastAsia" w:ascii="仿宋" w:hAnsi="仿宋" w:eastAsia="仿宋" w:cs="仿宋"/>
          <w:b/>
          <w:color w:val="auto"/>
          <w:sz w:val="32"/>
          <w:szCs w:val="20"/>
          <w:highlight w:val="none"/>
        </w:rPr>
      </w:pPr>
    </w:p>
    <w:bookmarkEnd w:id="8"/>
    <w:p>
      <w:pPr>
        <w:adjustRightInd/>
        <w:spacing w:line="360" w:lineRule="auto"/>
        <w:outlineLvl w:val="9"/>
        <w:rPr>
          <w:rFonts w:hint="eastAsia" w:ascii="仿宋" w:hAnsi="仿宋" w:eastAsia="仿宋" w:cs="仿宋"/>
          <w:b/>
          <w:color w:val="auto"/>
          <w:sz w:val="32"/>
          <w:szCs w:val="20"/>
          <w:highlight w:val="none"/>
        </w:rPr>
      </w:pPr>
      <w:bookmarkStart w:id="9" w:name="_Toc164416483"/>
      <w:bookmarkStart w:id="10" w:name="第三部分"/>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adjustRightInd/>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一、总则</w:t>
      </w:r>
    </w:p>
    <w:p>
      <w:pPr>
        <w:widowControl w:val="0"/>
        <w:wordWrap/>
        <w:adjustRightInd w:val="0"/>
        <w:snapToGrid w:val="0"/>
        <w:spacing w:line="360" w:lineRule="auto"/>
        <w:ind w:firstLine="562" w:firstLineChars="200"/>
        <w:jc w:val="left"/>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1.适用范围</w:t>
      </w:r>
    </w:p>
    <w:p>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本招标文件适用于该项目的招标、投标、开标、资格审查及信用信息查询、评标、定标、合同、验收等行为（法律、法规另有规定的，从其规定）。</w:t>
      </w:r>
    </w:p>
    <w:p>
      <w:pPr>
        <w:widowControl w:val="0"/>
        <w:wordWrap/>
        <w:adjustRightInd/>
        <w:snapToGrid/>
        <w:spacing w:line="360" w:lineRule="auto"/>
        <w:ind w:firstLine="562" w:firstLineChars="200"/>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2.定义</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“采购人”系指招标公告中载明的本项目的采购人。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“采购机构”系指招标公告中载明的本项目的采购机构。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“投标人”系指是指响应招标、参加投标竞争的法人、其他组织或者自然人。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“负责人”系指法人企业的法定负责人，或其他组织为法律、行政法规规定代表单位行使职权的主要负责人，或自然人本人。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2.6“电子交易平台”是指本项目政府采购活动所依托的政府采购云平台（https://www.zcygov.cn/）。</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“▲”系指实质性要求条款，“★”系产品采购项目中单一产品或核心产品，“</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”系指适用本项目的要求，“</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”系指不适用本项目的要求。</w:t>
      </w:r>
    </w:p>
    <w:p>
      <w:pPr>
        <w:widowControl w:val="0"/>
        <w:wordWrap/>
        <w:adjustRightInd w:val="0"/>
        <w:snapToGrid/>
        <w:spacing w:line="360" w:lineRule="auto"/>
        <w:ind w:firstLine="562" w:firstLineChars="200"/>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3.采购项目需要落实的政府采购政策</w:t>
      </w:r>
    </w:p>
    <w:p>
      <w:pPr>
        <w:widowControl w:val="0"/>
        <w:wordWrap/>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widowControl w:val="0"/>
        <w:wordWrap/>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支持绿色发展</w:t>
      </w:r>
    </w:p>
    <w:p>
      <w:pPr>
        <w:widowControl w:val="0"/>
        <w:wordWrap/>
        <w:adjustRightInd w:val="0"/>
        <w:snapToGrid/>
        <w:spacing w:line="360" w:lineRule="auto"/>
        <w:ind w:firstLine="700" w:firstLineChars="25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8"/>
          <w:szCs w:val="28"/>
          <w:highlight w:val="none"/>
        </w:rPr>
        <w:t>采购人拟采购的产品属于政府强制采购的节能产品品目清单范围的，投标人未按招标文件要求提供国家确定的认证机构出具的、处于有效期之内的节能产品认证证书的，投标无效。</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 修缮、装修类项目采购建材的，采购人应将绿色建筑和绿色建材性能、指标等作为实质性条件纳入招标文件和合同。</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3.3支持中小企业发展</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符合中小企业划分标准的个体工商户，在政府采购活动中视同中小企业。</w:t>
      </w:r>
    </w:p>
    <w:p>
      <w:pPr>
        <w:widowControl/>
        <w:wordWrap/>
        <w:adjustRightInd w:val="0"/>
        <w:snapToGrid/>
        <w:spacing w:line="360" w:lineRule="auto"/>
        <w:ind w:firstLine="700" w:firstLineChars="2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rPr>
        <w:t>3.3.2</w:t>
      </w:r>
      <w:r>
        <w:rPr>
          <w:rFonts w:hint="eastAsia" w:ascii="仿宋" w:hAnsi="仿宋" w:eastAsia="仿宋" w:cs="仿宋"/>
          <w:color w:val="auto"/>
          <w:kern w:val="0"/>
          <w:sz w:val="28"/>
          <w:szCs w:val="28"/>
          <w:highlight w:val="none"/>
        </w:rPr>
        <w:t>在政府采购活动中，投标人提供的货物、工程或者服务符合下列情形的，享受中小企业扶持政策：</w:t>
      </w:r>
    </w:p>
    <w:p>
      <w:pPr>
        <w:widowControl/>
        <w:wordWrap/>
        <w:adjustRightInd w:val="0"/>
        <w:snapToGrid/>
        <w:spacing w:line="360" w:lineRule="auto"/>
        <w:ind w:firstLine="700" w:firstLineChars="2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3.3.2.1在货物采购项目中，货物由中小企业制造，即货物由中小企业生产且使用该中小企业商号或者注册商标；</w:t>
      </w:r>
    </w:p>
    <w:p>
      <w:pPr>
        <w:widowControl/>
        <w:wordWrap/>
        <w:adjustRightInd w:val="0"/>
        <w:snapToGrid/>
        <w:spacing w:line="360" w:lineRule="auto"/>
        <w:ind w:firstLine="700" w:firstLineChars="2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3.3.2.2在工程采购项目中，工程由中小企业承建，即工程施工单位为中小企业；</w:t>
      </w:r>
    </w:p>
    <w:p>
      <w:pPr>
        <w:widowControl/>
        <w:wordWrap/>
        <w:adjustRightInd w:val="0"/>
        <w:snapToGrid/>
        <w:spacing w:line="360" w:lineRule="auto"/>
        <w:ind w:firstLine="700" w:firstLineChars="2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3.3.2.3在服务采购项目中，服务由中小企业承接，即提供服务的人员为中小企业依照《中华人民共和国劳动合同法》订立劳动合同的从业人员。</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在货物采购项目中，投标人提供的货物既有中小企业制造货物，也有大型企业制造货物的，不享受中小企业扶持政策。</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以联合体形式参加政府采购活动，联合体各方均为中小企业的，联合体视同中小企业。其中，联合体各方均为小微企业的，联合体视同小微企业。</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%的扣除，用扣除后的价格参加评审。组成联合体或者接受分包的小微企业与联合体内其他企业、分包企业之间存在直接控股、管理关系的，不享受价格扣除优惠政策。</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3.3.4符合《关于促进残疾人就业政府采购政策的通知》（财库〔2017〕141号）规定的条件并提供《残疾人福利性单位声明函》（附件1）的残疾人福利性单位视同小型、微型企业；</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3.3.7中小企业享受扶持政策获得政府采购合同的，小微企业不得将合同分包给大中型企业，中型企业不得将合同分包给大型企业。</w:t>
      </w:r>
    </w:p>
    <w:p>
      <w:pPr>
        <w:widowControl w:val="0"/>
        <w:wordWrap/>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bCs/>
          <w:color w:val="auto"/>
          <w:sz w:val="28"/>
          <w:szCs w:val="28"/>
          <w:highlight w:val="none"/>
        </w:rPr>
        <w:t>支持创新发展</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采购人优先采购被认定为首台套产品和“制造精品”的自主创新产品。</w:t>
      </w:r>
    </w:p>
    <w:p>
      <w:pPr>
        <w:widowControl w:val="0"/>
        <w:wordWrap/>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idowControl w:val="0"/>
        <w:wordWrap/>
        <w:adjustRightInd w:val="0"/>
        <w:snapToGrid/>
        <w:spacing w:line="36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widowControl w:val="0"/>
        <w:wordWrap/>
        <w:adjustRightInd w:val="0"/>
        <w:snapToGrid/>
        <w:spacing w:line="360" w:lineRule="auto"/>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4.询问、质疑、投诉</w:t>
      </w:r>
    </w:p>
    <w:p>
      <w:pPr>
        <w:widowControl w:val="0"/>
        <w:wordWrap/>
        <w:autoSpaceDE w:val="0"/>
        <w:autoSpaceDN w:val="0"/>
        <w:adjustRightInd w:val="0"/>
        <w:snapToGrid/>
        <w:spacing w:line="360" w:lineRule="auto"/>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4.1供应商询问</w:t>
      </w:r>
    </w:p>
    <w:p>
      <w:pPr>
        <w:autoSpaceDE w:val="0"/>
        <w:autoSpaceDN w:val="0"/>
        <w:spacing w:line="360" w:lineRule="auto"/>
        <w:ind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val="0"/>
        <w:wordWrap/>
        <w:autoSpaceDE w:val="0"/>
        <w:autoSpaceDN w:val="0"/>
        <w:adjustRightInd w:val="0"/>
        <w:snapToGrid/>
        <w:spacing w:line="360" w:lineRule="auto"/>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4.2供应商质疑</w:t>
      </w:r>
    </w:p>
    <w:p>
      <w:pPr>
        <w:pStyle w:val="33"/>
        <w:wordWrap/>
        <w:adjustRightIn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.1提出质疑的供应商应当是参与所质疑项目采购活动的供应商。潜在供应商已依法获取其可质疑的招标文件的，可以对该文件提出质疑。</w:t>
      </w:r>
    </w:p>
    <w:p>
      <w:pPr>
        <w:pStyle w:val="33"/>
        <w:wordWrap/>
        <w:adjustRightIn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wordWrap/>
        <w:adjustRightInd w:val="0"/>
        <w:spacing w:line="360" w:lineRule="auto"/>
        <w:ind w:firstLine="700" w:firstLineChars="25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4.2.2.1对招标文件提出质疑的，质疑期限为供应商获得招标文件之日或者招标文件公告期限届满之日起计算。</w:t>
      </w:r>
    </w:p>
    <w:p>
      <w:pPr>
        <w:pStyle w:val="33"/>
        <w:wordWrap/>
        <w:adjustRightIn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4.2.2.2对采购过程提出质疑的，质疑期限为各采购程序环节结束之日起计算。对同一采购程序环节的质疑，供应商须一次性提出。</w:t>
      </w:r>
    </w:p>
    <w:p>
      <w:pPr>
        <w:pStyle w:val="33"/>
        <w:wordWrap/>
        <w:adjustRightIn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4.2.2.3对采购结果提出质疑的，质疑期限自采购结果公告期限届满之日起计算。</w:t>
      </w:r>
    </w:p>
    <w:p>
      <w:pPr>
        <w:pStyle w:val="33"/>
        <w:wordWrap/>
        <w:adjustRightInd w:val="0"/>
        <w:spacing w:line="360" w:lineRule="auto"/>
        <w:ind w:firstLine="700" w:firstLineChars="2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w:t>
      </w:r>
      <w:r>
        <w:rPr>
          <w:rFonts w:hint="eastAsia" w:ascii="仿宋" w:hAnsi="仿宋" w:eastAsia="仿宋" w:cs="仿宋"/>
          <w:color w:val="auto"/>
          <w:sz w:val="28"/>
          <w:szCs w:val="28"/>
          <w:highlight w:val="none"/>
        </w:rPr>
        <w:t>供应商提出质疑应当提交质疑函和必要的证明材料。质疑函应当包括下列内容：</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4.2.3.1供应商的姓名或者名称、地址、邮编、联系人及联系电话；</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4.2.3.2质疑项目的名称、编号；</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4.2.3.3具体、明确的质疑事项和与质疑事项相关的请求；</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4.2.3.4事实依据；</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4.2.3.5必要的法律依据；</w:t>
      </w:r>
    </w:p>
    <w:p>
      <w:pPr>
        <w:pStyle w:val="33"/>
        <w:widowControl w:val="0"/>
        <w:wordWrap/>
        <w:adjustRightInd w:val="0"/>
        <w:snapToGrid/>
        <w:spacing w:line="360" w:lineRule="auto"/>
        <w:ind w:firstLine="980" w:firstLineChars="35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4.2.3.6提出质疑的日期。</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质疑函范本及制作说明详见附件2。</w:t>
      </w:r>
    </w:p>
    <w:p>
      <w:pPr>
        <w:pStyle w:val="574"/>
        <w:widowControl/>
        <w:shd w:val="clear" w:color="auto" w:fill="FFFFFF"/>
        <w:wordWrap/>
        <w:adjustRightInd/>
        <w:snapToGrid w:val="0"/>
        <w:spacing w:after="240" w:afterAutospacing="0" w:line="360" w:lineRule="auto"/>
        <w:ind w:firstLine="700" w:firstLineChars="25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widowControl/>
        <w:shd w:val="clear" w:color="auto" w:fill="FFFFFF"/>
        <w:wordWrap/>
        <w:adjustRightInd/>
        <w:snapToGrid w:val="0"/>
        <w:spacing w:after="240" w:afterAutospacing="0" w:line="360" w:lineRule="auto"/>
        <w:ind w:firstLine="700" w:firstLineChars="25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.5询问或者质疑事项可能影响采购结果的，采购人应当暂停签订合同，已经签订合同的，应当中止履行合同。</w:t>
      </w:r>
    </w:p>
    <w:p>
      <w:pPr>
        <w:pStyle w:val="574"/>
        <w:widowControl/>
        <w:shd w:val="clear" w:color="auto" w:fill="FFFFFF"/>
        <w:wordWrap/>
        <w:adjustRightInd/>
        <w:snapToGrid w:val="0"/>
        <w:spacing w:after="240" w:afterAutospacing="0" w:line="360" w:lineRule="auto"/>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4.3供应商投诉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4.3.5 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投诉书范本及制作说明详见附件3。</w:t>
      </w:r>
    </w:p>
    <w:p>
      <w:pPr>
        <w:pStyle w:val="8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6"/>
          <w:szCs w:val="36"/>
          <w:highlight w:val="none"/>
        </w:rPr>
        <w:t>二、招标文件的构成、澄清、修改</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招标文件的构成</w:t>
      </w:r>
    </w:p>
    <w:p>
      <w:pPr>
        <w:pStyle w:val="33"/>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招标文件包括下列文件及附件：</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5.1.1招标公告；</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5.1.2投标人须知；</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5.1.3采购需求；</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5.1.4评标办法；</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5.1.5拟签订的合同文本；</w:t>
      </w:r>
    </w:p>
    <w:p>
      <w:pPr>
        <w:pStyle w:val="33"/>
        <w:tabs>
          <w:tab w:val="left" w:pos="840"/>
        </w:tabs>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5.1.6应提交的有关格式范例。</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5.2与本项目有关的</w:t>
      </w:r>
      <w:r>
        <w:rPr>
          <w:rFonts w:hint="eastAsia" w:ascii="仿宋" w:hAnsi="仿宋" w:eastAsia="仿宋" w:cs="仿宋"/>
          <w:bCs/>
          <w:color w:val="auto"/>
          <w:sz w:val="28"/>
          <w:szCs w:val="28"/>
          <w:highlight w:val="none"/>
        </w:rPr>
        <w:t>澄清或者修改的内容为招标文件的组成部分</w:t>
      </w:r>
      <w:r>
        <w:rPr>
          <w:rFonts w:hint="eastAsia" w:ascii="仿宋" w:hAnsi="仿宋" w:eastAsia="仿宋" w:cs="仿宋"/>
          <w:color w:val="auto"/>
          <w:sz w:val="28"/>
          <w:szCs w:val="28"/>
          <w:highlight w:val="none"/>
        </w:rPr>
        <w:t>。</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6.招标文件的澄清、修改</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p>
    <w:p>
      <w:pPr>
        <w:adjustRightInd/>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6"/>
          <w:szCs w:val="36"/>
          <w:highlight w:val="none"/>
        </w:rPr>
        <w:t>三、投标</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7.招标文件的获取</w:t>
      </w:r>
    </w:p>
    <w:p>
      <w:pPr>
        <w:spacing w:line="360" w:lineRule="auto"/>
        <w:ind w:firstLine="560" w:firstLineChars="200"/>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详见招标公告中获取招标文件的时间期限、地点、方式及招标文件售价。</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8.开标前答疑会或现场考察</w:t>
      </w:r>
    </w:p>
    <w:p>
      <w:pPr>
        <w:pStyle w:val="33"/>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采购人组织潜在投标人现场考察或者召开开标前答疑会的，潜在投标人按第二部分投标人须知前附表的规定参加现场考察或者开标前答疑会。</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kern w:val="28"/>
          <w:sz w:val="28"/>
          <w:szCs w:val="28"/>
          <w:highlight w:val="none"/>
        </w:rPr>
        <w:t>9.投标保证金</w:t>
      </w:r>
    </w:p>
    <w:p>
      <w:pPr>
        <w:pStyle w:val="5"/>
        <w:spacing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本项目不需缴纳投标保证金。</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10.投标文件的语言</w:t>
      </w:r>
    </w:p>
    <w:p>
      <w:pPr>
        <w:autoSpaceDE w:val="0"/>
        <w:autoSpaceDN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投标文件及投标人与采购有关的来往通知、函件和文件均应使用中文。</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11.投标文件的组成</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b/>
          <w:color w:val="auto"/>
          <w:sz w:val="28"/>
          <w:szCs w:val="28"/>
          <w:highlight w:val="none"/>
        </w:rPr>
        <w:t>资格文件</w:t>
      </w:r>
      <w:r>
        <w:rPr>
          <w:rFonts w:hint="eastAsia" w:ascii="仿宋" w:hAnsi="仿宋" w:eastAsia="仿宋" w:cs="仿宋"/>
          <w:color w:val="auto"/>
          <w:sz w:val="28"/>
          <w:szCs w:val="28"/>
          <w:highlight w:val="none"/>
        </w:rPr>
        <w:t>：</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11.1.1符合参加政府采购活动应当具备的一般条件的承诺函；</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11.1.2落实政府采购政策需满足的资格要求；</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11.1.3本项目的特定资格要求。</w:t>
      </w:r>
    </w:p>
    <w:p>
      <w:pPr>
        <w:snapToGrid w:val="0"/>
        <w:spacing w:line="360" w:lineRule="auto"/>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11.</w:t>
      </w:r>
      <w:r>
        <w:rPr>
          <w:rFonts w:hint="eastAsia" w:ascii="仿宋" w:hAnsi="仿宋" w:eastAsia="仿宋" w:cs="仿宋"/>
          <w:b/>
          <w:bCs/>
          <w:color w:val="auto"/>
          <w:sz w:val="28"/>
          <w:szCs w:val="28"/>
          <w:highlight w:val="none"/>
        </w:rPr>
        <w:t>2商务技术</w:t>
      </w:r>
      <w:r>
        <w:rPr>
          <w:rFonts w:hint="eastAsia" w:ascii="仿宋" w:hAnsi="仿宋" w:eastAsia="仿宋" w:cs="仿宋"/>
          <w:b/>
          <w:bCs/>
          <w:color w:val="auto"/>
          <w:sz w:val="28"/>
          <w:szCs w:val="28"/>
          <w:highlight w:val="none"/>
          <w:lang w:val="zh-CN"/>
        </w:rPr>
        <w:t>文件：</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11.2.1投标函；</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11.2.2授权委托书或法定代表人（单位负责人、自然人本人）身份证明；</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11.2.3联合协议；</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11.2.4分包意向协议；</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11.2.5符合性审查资料；</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11.2.6评标标准相应的商务技术资料；</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11.2.7商务技术偏离表；</w:t>
      </w:r>
    </w:p>
    <w:p>
      <w:pPr>
        <w:snapToGrid w:val="0"/>
        <w:spacing w:line="360" w:lineRule="auto"/>
        <w:ind w:firstLine="1120" w:firstLineChars="4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zh-CN"/>
        </w:rPr>
        <w:t>政府采购供应商廉洁自律承诺书；</w:t>
      </w:r>
    </w:p>
    <w:p>
      <w:pPr>
        <w:tabs>
          <w:tab w:val="left" w:pos="432"/>
        </w:tabs>
        <w:ind w:left="664" w:leftChars="316" w:firstLine="266" w:firstLineChars="95"/>
        <w:outlineLvl w:val="9"/>
        <w:rPr>
          <w:rFonts w:hint="eastAsia" w:ascii="仿宋" w:hAnsi="仿宋" w:eastAsia="仿宋" w:cs="仿宋"/>
          <w:color w:val="auto"/>
          <w:sz w:val="28"/>
          <w:szCs w:val="28"/>
          <w:highlight w:val="none"/>
          <w:lang w:val="zh-CN"/>
        </w:rPr>
      </w:pPr>
      <w:r>
        <w:rPr>
          <w:rFonts w:hint="eastAsia" w:ascii="仿宋" w:hAnsi="仿宋" w:eastAsia="仿宋" w:cs="仿宋"/>
          <w:b w:val="0"/>
          <w:bCs w:val="0"/>
          <w:color w:val="auto"/>
          <w:kern w:val="2"/>
          <w:sz w:val="28"/>
          <w:szCs w:val="28"/>
          <w:highlight w:val="none"/>
          <w:lang w:val="zh-CN" w:eastAsia="zh-CN" w:bidi="ar-SA"/>
        </w:rPr>
        <w:t>11.2.</w:t>
      </w:r>
      <w:r>
        <w:rPr>
          <w:rFonts w:hint="eastAsia" w:ascii="仿宋" w:hAnsi="仿宋" w:eastAsia="仿宋" w:cs="仿宋"/>
          <w:b w:val="0"/>
          <w:bCs w:val="0"/>
          <w:color w:val="auto"/>
          <w:kern w:val="2"/>
          <w:sz w:val="28"/>
          <w:szCs w:val="28"/>
          <w:highlight w:val="none"/>
          <w:lang w:val="en-US" w:eastAsia="zh-CN" w:bidi="ar-SA"/>
        </w:rPr>
        <w:t>9</w:t>
      </w:r>
      <w:r>
        <w:rPr>
          <w:rFonts w:hint="eastAsia" w:ascii="仿宋" w:hAnsi="仿宋" w:eastAsia="仿宋" w:cs="仿宋"/>
          <w:b w:val="0"/>
          <w:bCs w:val="0"/>
          <w:color w:val="auto"/>
          <w:kern w:val="2"/>
          <w:sz w:val="28"/>
          <w:szCs w:val="28"/>
          <w:highlight w:val="none"/>
          <w:lang w:val="zh-CN" w:eastAsia="zh-CN" w:bidi="ar-SA"/>
        </w:rPr>
        <w:t>投标</w:t>
      </w:r>
      <w:r>
        <w:rPr>
          <w:rFonts w:hint="eastAsia" w:ascii="仿宋" w:hAnsi="仿宋" w:eastAsia="仿宋" w:cs="仿宋"/>
          <w:b w:val="0"/>
          <w:bCs w:val="0"/>
          <w:color w:val="auto"/>
          <w:kern w:val="2"/>
          <w:sz w:val="28"/>
          <w:szCs w:val="28"/>
          <w:highlight w:val="none"/>
          <w:lang w:val="en-US" w:eastAsia="zh-CN" w:bidi="ar-SA"/>
        </w:rPr>
        <w:t>人</w:t>
      </w:r>
      <w:r>
        <w:rPr>
          <w:rFonts w:hint="eastAsia" w:ascii="仿宋" w:hAnsi="仿宋" w:eastAsia="仿宋" w:cs="仿宋"/>
          <w:b w:val="0"/>
          <w:bCs w:val="0"/>
          <w:color w:val="auto"/>
          <w:kern w:val="2"/>
          <w:sz w:val="28"/>
          <w:szCs w:val="28"/>
          <w:highlight w:val="none"/>
          <w:lang w:val="zh-CN" w:eastAsia="zh-CN" w:bidi="ar-SA"/>
        </w:rPr>
        <w:t>认为需要的其他文件资料</w:t>
      </w:r>
      <w:r>
        <w:rPr>
          <w:rFonts w:hint="eastAsia" w:ascii="仿宋" w:hAnsi="仿宋" w:eastAsia="仿宋" w:cs="仿宋"/>
          <w:color w:val="auto"/>
          <w:sz w:val="28"/>
          <w:szCs w:val="28"/>
          <w:highlight w:val="none"/>
          <w:lang w:val="zh-CN" w:eastAsia="zh-CN"/>
        </w:rPr>
        <w:t>（如有）。</w:t>
      </w:r>
    </w:p>
    <w:p>
      <w:pPr>
        <w:snapToGrid w:val="0"/>
        <w:spacing w:line="360" w:lineRule="auto"/>
        <w:ind w:firstLine="560" w:firstLineChars="2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kern w:val="0"/>
          <w:sz w:val="28"/>
          <w:szCs w:val="28"/>
          <w:highlight w:val="none"/>
          <w:lang w:val="zh-CN"/>
        </w:rPr>
        <w:t>11.</w:t>
      </w:r>
      <w:r>
        <w:rPr>
          <w:rFonts w:hint="eastAsia" w:ascii="仿宋" w:hAnsi="仿宋" w:eastAsia="仿宋" w:cs="仿宋"/>
          <w:color w:val="auto"/>
          <w:kern w:val="0"/>
          <w:sz w:val="28"/>
          <w:szCs w:val="28"/>
          <w:highlight w:val="none"/>
        </w:rPr>
        <w:t>3</w:t>
      </w:r>
      <w:r>
        <w:rPr>
          <w:rFonts w:hint="eastAsia" w:ascii="仿宋" w:hAnsi="仿宋" w:eastAsia="仿宋" w:cs="仿宋"/>
          <w:b/>
          <w:color w:val="auto"/>
          <w:sz w:val="28"/>
          <w:szCs w:val="28"/>
          <w:highlight w:val="none"/>
        </w:rPr>
        <w:t>报价文件：</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11.3.1开标一览表（报价表）；</w:t>
      </w:r>
    </w:p>
    <w:p>
      <w:pPr>
        <w:snapToGrid w:val="0"/>
        <w:spacing w:line="360" w:lineRule="auto"/>
        <w:ind w:firstLine="1120" w:firstLineChars="4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中小企业声明函</w:t>
      </w:r>
      <w:r>
        <w:rPr>
          <w:rFonts w:hint="eastAsia" w:ascii="仿宋" w:hAnsi="仿宋" w:eastAsia="仿宋" w:cs="仿宋"/>
          <w:color w:val="auto"/>
          <w:sz w:val="28"/>
          <w:szCs w:val="28"/>
          <w:highlight w:val="none"/>
          <w:lang w:eastAsia="zh-CN"/>
        </w:rPr>
        <w:t>；</w:t>
      </w:r>
    </w:p>
    <w:p>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11.3.3</w:t>
      </w:r>
      <w:r>
        <w:rPr>
          <w:rFonts w:hint="eastAsia" w:ascii="仿宋" w:hAnsi="仿宋" w:eastAsia="仿宋" w:cs="仿宋"/>
          <w:color w:val="auto"/>
          <w:sz w:val="28"/>
          <w:szCs w:val="28"/>
          <w:highlight w:val="none"/>
        </w:rPr>
        <w:t>投标人针对报价需要说明的其他文件和说明</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投标文件含有采购人不能接受的附加条件的，投标无效；</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投标人提供虚假材料投标的，投标无效。</w:t>
      </w:r>
    </w:p>
    <w:p>
      <w:pPr>
        <w:pStyle w:val="89"/>
        <w:snapToGrid w:val="0"/>
        <w:spacing w:before="0"/>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w:t>
      </w:r>
      <w:r>
        <w:rPr>
          <w:rFonts w:hint="eastAsia" w:ascii="仿宋" w:hAnsi="仿宋" w:eastAsia="仿宋" w:cs="仿宋"/>
          <w:b/>
          <w:color w:val="auto"/>
          <w:kern w:val="0"/>
          <w:sz w:val="28"/>
          <w:szCs w:val="28"/>
          <w:highlight w:val="none"/>
          <w:lang w:val="zh-CN"/>
        </w:rPr>
        <w:t>.</w:t>
      </w:r>
      <w:r>
        <w:rPr>
          <w:rFonts w:hint="eastAsia" w:ascii="仿宋" w:hAnsi="仿宋" w:eastAsia="仿宋" w:cs="仿宋"/>
          <w:b/>
          <w:color w:val="auto"/>
          <w:sz w:val="28"/>
          <w:szCs w:val="28"/>
          <w:highlight w:val="none"/>
        </w:rPr>
        <w:t>投标文件的编制</w:t>
      </w:r>
    </w:p>
    <w:p>
      <w:pPr>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13.投标文件的签署、盖章</w:t>
      </w:r>
    </w:p>
    <w:p>
      <w:pPr>
        <w:pStyle w:val="89"/>
        <w:snapToGrid w:val="0"/>
        <w:spacing w:before="0"/>
        <w:ind w:firstLine="48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13.1投标文件按照招标文件第六部分格式要求进行签署、盖章。</w:t>
      </w:r>
      <w:r>
        <w:rPr>
          <w:rFonts w:hint="eastAsia" w:ascii="仿宋" w:hAnsi="仿宋" w:eastAsia="仿宋" w:cs="仿宋"/>
          <w:b/>
          <w:color w:val="auto"/>
          <w:sz w:val="28"/>
          <w:szCs w:val="28"/>
          <w:highlight w:val="none"/>
        </w:rPr>
        <w:t>▲投标人的投标文件未按照招标文件要求签署、盖章的，其投标无效</w:t>
      </w:r>
      <w:r>
        <w:rPr>
          <w:rFonts w:hint="eastAsia" w:ascii="仿宋" w:hAnsi="仿宋" w:eastAsia="仿宋" w:cs="仿宋"/>
          <w:color w:val="auto"/>
          <w:sz w:val="28"/>
          <w:szCs w:val="28"/>
          <w:highlight w:val="none"/>
        </w:rPr>
        <w:t>。</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13.3招标文件对投标文件签署、盖章的要求适用于电子签名。</w:t>
      </w:r>
    </w:p>
    <w:p>
      <w:pPr>
        <w:pStyle w:val="89"/>
        <w:spacing w:before="0"/>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14.投标文件的提交、补充、修改、撤回</w:t>
      </w:r>
    </w:p>
    <w:p>
      <w:pPr>
        <w:pStyle w:val="89"/>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15.备份投标文件</w:t>
      </w:r>
    </w:p>
    <w:p>
      <w:pPr>
        <w:pStyle w:val="33"/>
        <w:spacing w:line="360" w:lineRule="auto"/>
        <w:ind w:firstLine="420" w:firstLineChars="15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8"/>
          <w:szCs w:val="28"/>
          <w:highlight w:val="none"/>
        </w:rPr>
        <w:t>但采购人、采购机构不强制或变相强制投标人提交备份投标文件。</w:t>
      </w:r>
    </w:p>
    <w:p>
      <w:pPr>
        <w:pStyle w:val="33"/>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8"/>
          <w:szCs w:val="28"/>
          <w:highlight w:val="none"/>
        </w:rPr>
        <w:t>不符合上述制作、存储、密封规定的备份投标文件将被视为无效或者被拒绝接收。</w:t>
      </w:r>
    </w:p>
    <w:p>
      <w:pPr>
        <w:pStyle w:val="33"/>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3"/>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559" w:firstLineChars="19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15.5投标人仅提交备份投标文件，没有在电子交易平台传输递交投标文件的，投标无效。</w:t>
      </w:r>
    </w:p>
    <w:p>
      <w:pPr>
        <w:pStyle w:val="89"/>
        <w:spacing w:before="0"/>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16.投标文件的无效处理</w:t>
      </w:r>
    </w:p>
    <w:p>
      <w:pPr>
        <w:pStyle w:val="25"/>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有招标文件第四部分第13项规定的情形之一的，投标无效：</w:t>
      </w:r>
    </w:p>
    <w:p>
      <w:pPr>
        <w:pStyle w:val="89"/>
        <w:spacing w:before="0"/>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17.投标有效期</w:t>
      </w:r>
    </w:p>
    <w:p>
      <w:pPr>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17.1投标有效期为从提交投标文件的截止之日起90天。▲</w:t>
      </w:r>
      <w:r>
        <w:rPr>
          <w:rFonts w:hint="eastAsia" w:ascii="仿宋" w:hAnsi="仿宋" w:eastAsia="仿宋" w:cs="仿宋"/>
          <w:b/>
          <w:color w:val="auto"/>
          <w:sz w:val="28"/>
          <w:szCs w:val="28"/>
          <w:highlight w:val="none"/>
        </w:rPr>
        <w:t>投标人的投标文件中承诺的投标有效期少于招标文件中载明的投标有效期的，投标无效。</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17.2投标文件合格投递后，自投标截止日期起，在投标有效期内有效。</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color w:val="auto"/>
          <w:sz w:val="32"/>
          <w:highlight w:val="none"/>
        </w:rPr>
      </w:pPr>
    </w:p>
    <w:p>
      <w:pPr>
        <w:pStyle w:val="89"/>
        <w:spacing w:before="0"/>
        <w:ind w:firstLine="2168" w:firstLineChars="600"/>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四、开标、资格审查与信用信息查询</w:t>
      </w:r>
    </w:p>
    <w:p>
      <w:pPr>
        <w:pStyle w:val="243"/>
        <w:spacing w:before="0" w:line="360" w:lineRule="auto"/>
        <w:ind w:left="0" w:firstLine="281" w:firstLineChars="100"/>
        <w:contextualSpacing/>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18.开标</w:t>
      </w:r>
    </w:p>
    <w:p>
      <w:pPr>
        <w:pStyle w:val="243"/>
        <w:spacing w:before="0" w:line="360" w:lineRule="auto"/>
        <w:ind w:left="0"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80" w:firstLineChars="1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80" w:firstLineChars="100"/>
        <w:contextualSpacing/>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18.3</w:t>
      </w:r>
      <w:r>
        <w:rPr>
          <w:rFonts w:hint="eastAsia" w:ascii="仿宋" w:hAnsi="仿宋" w:eastAsia="仿宋" w:cs="仿宋"/>
          <w:b/>
          <w:color w:val="auto"/>
          <w:sz w:val="28"/>
          <w:szCs w:val="28"/>
          <w:highlight w:val="none"/>
        </w:rPr>
        <w:t>投标文件未按时解密，投标人提供了备份投标文件的，以备份投标文件作为依据，否则视为投标文件撤回。投标文件已按时解密的，备份投标文件自动失效。</w:t>
      </w:r>
    </w:p>
    <w:p>
      <w:pPr>
        <w:pStyle w:val="243"/>
        <w:spacing w:before="0" w:line="360" w:lineRule="auto"/>
        <w:ind w:left="0" w:firstLine="281" w:firstLineChars="100"/>
        <w:contextualSpacing/>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19</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资格审查</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19.1开标后，采购人或采购机构将依法对投标人的资格进行审查。</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19.2</w:t>
      </w:r>
      <w:r>
        <w:rPr>
          <w:rFonts w:hint="eastAsia" w:ascii="仿宋" w:hAnsi="仿宋" w:eastAsia="仿宋" w:cs="仿宋"/>
          <w:color w:val="auto"/>
          <w:sz w:val="28"/>
          <w:szCs w:val="28"/>
          <w:highlight w:val="none"/>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19.3投标人未按照招标文件要求提供与</w:t>
      </w:r>
      <w:r>
        <w:rPr>
          <w:rFonts w:hint="eastAsia" w:ascii="仿宋" w:hAnsi="仿宋" w:eastAsia="仿宋" w:cs="仿宋"/>
          <w:color w:val="auto"/>
          <w:sz w:val="28"/>
          <w:szCs w:val="28"/>
          <w:highlight w:val="none"/>
        </w:rPr>
        <w:t>基本资格条件、特定资格条件相应的</w:t>
      </w:r>
      <w:r>
        <w:rPr>
          <w:rFonts w:hint="eastAsia" w:ascii="仿宋" w:hAnsi="仿宋" w:eastAsia="仿宋" w:cs="仿宋"/>
          <w:color w:val="auto"/>
          <w:kern w:val="0"/>
          <w:sz w:val="28"/>
          <w:szCs w:val="28"/>
          <w:highlight w:val="none"/>
        </w:rPr>
        <w:t>有效资格证明材料的，视为</w:t>
      </w:r>
      <w:r>
        <w:rPr>
          <w:rFonts w:hint="eastAsia" w:ascii="仿宋" w:hAnsi="仿宋" w:eastAsia="仿宋" w:cs="仿宋"/>
          <w:color w:val="auto"/>
          <w:sz w:val="28"/>
          <w:szCs w:val="28"/>
          <w:highlight w:val="none"/>
        </w:rPr>
        <w:t>投标人不具备招标文件中规定的资格要求，其投标无效。</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19.</w:t>
      </w:r>
      <w:r>
        <w:rPr>
          <w:rFonts w:hint="eastAsia" w:ascii="仿宋" w:hAnsi="仿宋" w:eastAsia="仿宋" w:cs="仿宋"/>
          <w:color w:val="auto"/>
          <w:sz w:val="28"/>
          <w:szCs w:val="28"/>
          <w:highlight w:val="none"/>
        </w:rPr>
        <w:t>4对未通过资格审查的投标人，采购人或采购机构告知其未通过的原因。</w:t>
      </w:r>
    </w:p>
    <w:p>
      <w:pPr>
        <w:pStyle w:val="89"/>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19.</w:t>
      </w:r>
      <w:r>
        <w:rPr>
          <w:rFonts w:hint="eastAsia" w:ascii="仿宋" w:hAnsi="仿宋" w:eastAsia="仿宋" w:cs="仿宋"/>
          <w:color w:val="auto"/>
          <w:sz w:val="28"/>
          <w:szCs w:val="28"/>
          <w:highlight w:val="none"/>
        </w:rPr>
        <w:t>5合格投标人不足3家的，不再评标。</w:t>
      </w:r>
    </w:p>
    <w:p>
      <w:pPr>
        <w:pStyle w:val="89"/>
        <w:widowControl w:val="0"/>
        <w:wordWrap/>
        <w:adjustRightInd w:val="0"/>
        <w:snapToGrid/>
        <w:spacing w:before="0"/>
        <w:ind w:firstLine="281" w:firstLineChars="100"/>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20</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信用信息查询</w:t>
      </w:r>
    </w:p>
    <w:p>
      <w:pPr>
        <w:pStyle w:val="89"/>
        <w:widowControl w:val="0"/>
        <w:wordWrap/>
        <w:adjustRightInd w:val="0"/>
        <w:snapToGrid/>
        <w:spacing w:before="0"/>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20.1信用信息查询渠道及截止时间：采购机构将通过“信用中国”网站(www.creditchina.gov.cn)、中国政府采购网(www.ccgp.gov.cn)渠道查询投标人投标截止时间当天的信用记录。</w:t>
      </w:r>
    </w:p>
    <w:p>
      <w:pPr>
        <w:pStyle w:val="89"/>
        <w:widowControl w:val="0"/>
        <w:wordWrap/>
        <w:adjustRightInd w:val="0"/>
        <w:snapToGrid/>
        <w:spacing w:before="0"/>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20.2信用信息查询记录和证据留存的具体方式：现场查询的投标人的信用记录、查询结果经确认后将与采购文件一起存档。</w:t>
      </w:r>
    </w:p>
    <w:p>
      <w:pPr>
        <w:pStyle w:val="89"/>
        <w:widowControl w:val="0"/>
        <w:wordWrap/>
        <w:adjustRightInd w:val="0"/>
        <w:snapToGrid/>
        <w:spacing w:before="0"/>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20.3信用信息的使用规则：经查询列入失信被执行人名单、重大税收违法案件当事人名单、政府采购严重违法失信行为记录名单的投标人将被拒绝参与政府采购活动。</w:t>
      </w:r>
    </w:p>
    <w:p>
      <w:pPr>
        <w:pStyle w:val="89"/>
        <w:widowControl w:val="0"/>
        <w:wordWrap/>
        <w:adjustRightInd w:val="0"/>
        <w:snapToGrid/>
        <w:spacing w:before="0"/>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8"/>
          <w:szCs w:val="28"/>
          <w:highlight w:val="none"/>
        </w:rPr>
        <w:t>。</w:t>
      </w:r>
    </w:p>
    <w:p>
      <w:pPr>
        <w:pStyle w:val="8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outlineLvl w:val="2"/>
        <w:rPr>
          <w:rFonts w:hint="eastAsia" w:ascii="仿宋" w:hAnsi="仿宋" w:eastAsia="仿宋" w:cs="仿宋"/>
          <w:color w:val="auto"/>
          <w:sz w:val="28"/>
          <w:szCs w:val="28"/>
          <w:highlight w:val="none"/>
        </w:rPr>
      </w:pPr>
      <w:bookmarkStart w:id="11" w:name="_Toc91899903"/>
      <w:r>
        <w:rPr>
          <w:rFonts w:hint="eastAsia" w:ascii="仿宋" w:hAnsi="仿宋" w:eastAsia="仿宋" w:cs="仿宋"/>
          <w:b/>
          <w:color w:val="auto"/>
          <w:sz w:val="28"/>
          <w:szCs w:val="28"/>
          <w:highlight w:val="none"/>
        </w:rPr>
        <w:t>21.</w:t>
      </w:r>
      <w:r>
        <w:rPr>
          <w:rFonts w:hint="eastAsia" w:ascii="仿宋" w:hAnsi="仿宋" w:eastAsia="仿宋" w:cs="仿宋"/>
          <w:color w:val="auto"/>
          <w:sz w:val="28"/>
          <w:szCs w:val="28"/>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6"/>
          <w:szCs w:val="36"/>
          <w:highlight w:val="none"/>
        </w:rPr>
        <w:t>六、定标</w:t>
      </w:r>
    </w:p>
    <w:p>
      <w:pPr>
        <w:pStyle w:val="25"/>
        <w:spacing w:line="360" w:lineRule="auto"/>
        <w:ind w:left="479" w:hanging="559" w:hangingChars="199"/>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22.确定中标供应商</w:t>
      </w:r>
    </w:p>
    <w:p>
      <w:pPr>
        <w:pStyle w:val="89"/>
        <w:snapToGrid w:val="0"/>
        <w:spacing w:before="0"/>
        <w:ind w:firstLine="480"/>
        <w:rPr>
          <w:rFonts w:hint="eastAsia" w:ascii="仿宋" w:hAnsi="仿宋" w:eastAsia="仿宋" w:cs="仿宋"/>
          <w:b/>
          <w:color w:val="auto"/>
          <w:sz w:val="28"/>
          <w:szCs w:val="28"/>
          <w:highlight w:val="none"/>
        </w:rPr>
      </w:pPr>
      <w:r>
        <w:rPr>
          <w:rFonts w:hint="eastAsia" w:ascii="仿宋" w:hAnsi="仿宋" w:eastAsia="仿宋" w:cs="仿宋"/>
          <w:color w:val="auto"/>
          <w:kern w:val="2"/>
          <w:sz w:val="28"/>
          <w:szCs w:val="28"/>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 w:val="28"/>
          <w:szCs w:val="28"/>
          <w:highlight w:val="none"/>
        </w:rPr>
        <w:t>。</w:t>
      </w:r>
    </w:p>
    <w:p>
      <w:pPr>
        <w:pStyle w:val="89"/>
        <w:snapToGrid w:val="0"/>
        <w:spacing w:before="0"/>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542" w:firstLineChars="150"/>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pPr>
        <w:pStyle w:val="25"/>
        <w:spacing w:line="360" w:lineRule="auto"/>
        <w:ind w:left="479" w:hanging="559" w:hangingChars="199"/>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24. </w:t>
      </w:r>
      <w:r>
        <w:rPr>
          <w:rFonts w:hint="eastAsia" w:ascii="仿宋" w:hAnsi="仿宋" w:eastAsia="仿宋" w:cs="仿宋"/>
          <w:color w:val="auto"/>
          <w:sz w:val="28"/>
          <w:szCs w:val="28"/>
          <w:highlight w:val="none"/>
        </w:rPr>
        <w:t>合同主要条款详见第五部分拟签订的合同文本。</w:t>
      </w:r>
    </w:p>
    <w:p>
      <w:pPr>
        <w:pStyle w:val="25"/>
        <w:spacing w:line="360" w:lineRule="auto"/>
        <w:ind w:left="479" w:hanging="559" w:hangingChars="199"/>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25.1</w:t>
      </w:r>
      <w:r>
        <w:rPr>
          <w:rFonts w:hint="eastAsia" w:ascii="仿宋" w:hAnsi="仿宋" w:eastAsia="仿宋" w:cs="仿宋"/>
          <w:color w:val="auto"/>
          <w:kern w:val="0"/>
          <w:sz w:val="28"/>
          <w:szCs w:val="28"/>
          <w:highlight w:val="none"/>
        </w:rPr>
        <w:t xml:space="preserve"> 采购人与中标人应当通过电子交易平台在中标通知书发出之日起</w:t>
      </w:r>
      <w:r>
        <w:rPr>
          <w:rFonts w:hint="eastAsia" w:ascii="仿宋" w:hAnsi="仿宋" w:eastAsia="仿宋" w:cs="仿宋"/>
          <w:color w:val="auto"/>
          <w:kern w:val="0"/>
          <w:sz w:val="28"/>
          <w:szCs w:val="28"/>
          <w:highlight w:val="none"/>
          <w:lang w:eastAsia="zh-CN"/>
        </w:rPr>
        <w:t>十个工作日</w:t>
      </w:r>
      <w:r>
        <w:rPr>
          <w:rFonts w:hint="eastAsia" w:ascii="仿宋" w:hAnsi="仿宋" w:eastAsia="仿宋" w:cs="仿宋"/>
          <w:color w:val="auto"/>
          <w:kern w:val="0"/>
          <w:sz w:val="28"/>
          <w:szCs w:val="28"/>
          <w:highlight w:val="none"/>
        </w:rPr>
        <w:t>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25.5采购合同由采购人与中标供应商根据招标文件、投标文件等内容通过政府采购电子交易平台在线签订，自动备案。</w:t>
      </w:r>
    </w:p>
    <w:p>
      <w:pPr>
        <w:pStyle w:val="25"/>
        <w:spacing w:line="360" w:lineRule="auto"/>
        <w:ind w:left="479" w:hanging="559" w:hangingChars="199"/>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26. 履约保证金</w:t>
      </w:r>
    </w:p>
    <w:p>
      <w:pPr>
        <w:tabs>
          <w:tab w:val="left" w:pos="0"/>
        </w:tabs>
        <w:spacing w:line="360" w:lineRule="auto"/>
        <w:ind w:firstLine="482"/>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杭州市政府采购网公布的供应商履约评价为满分的供应商，采购单位应当免收履约保证金。确需收履约保证金的，</w:t>
      </w:r>
      <w:r>
        <w:rPr>
          <w:rFonts w:hint="eastAsia" w:ascii="仿宋" w:hAnsi="仿宋" w:eastAsia="仿宋" w:cs="仿宋"/>
          <w:color w:val="auto"/>
          <w:sz w:val="28"/>
          <w:szCs w:val="28"/>
          <w:highlight w:val="none"/>
        </w:rPr>
        <w:t>履约保证金的数额不得超过政府采购合同金额的</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%。鼓励和支持供应商以银行、保险公司出具的保函形式提供履约保证金。</w:t>
      </w:r>
      <w:r>
        <w:rPr>
          <w:rFonts w:hint="eastAsia" w:ascii="仿宋" w:hAnsi="仿宋" w:eastAsia="仿宋" w:cs="仿宋"/>
          <w:b/>
          <w:color w:val="auto"/>
          <w:sz w:val="28"/>
          <w:szCs w:val="28"/>
          <w:highlight w:val="none"/>
        </w:rPr>
        <w:t>采购人不得拒收履约保函。</w:t>
      </w:r>
    </w:p>
    <w:p>
      <w:pPr>
        <w:tabs>
          <w:tab w:val="left" w:pos="0"/>
        </w:tabs>
        <w:spacing w:line="360" w:lineRule="auto"/>
        <w:ind w:firstLine="482"/>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rPr>
        <w:t>可</w:t>
      </w:r>
      <w:r>
        <w:rPr>
          <w:rFonts w:hint="eastAsia" w:ascii="仿宋" w:hAnsi="仿宋" w:eastAsia="仿宋" w:cs="仿宋"/>
          <w:color w:val="auto"/>
          <w:sz w:val="28"/>
          <w:szCs w:val="28"/>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八、电子交易活动的中止</w:t>
      </w:r>
    </w:p>
    <w:p>
      <w:pPr>
        <w:pStyle w:val="89"/>
        <w:snapToGrid w:val="0"/>
        <w:spacing w:before="0"/>
        <w:ind w:firstLine="0" w:firstLineChars="0"/>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color w:val="auto"/>
          <w:sz w:val="28"/>
          <w:szCs w:val="28"/>
          <w:highlight w:val="none"/>
        </w:rPr>
        <w:t>7.电子交易活动的中止。</w:t>
      </w:r>
      <w:r>
        <w:rPr>
          <w:rFonts w:hint="eastAsia" w:ascii="仿宋" w:hAnsi="仿宋" w:eastAsia="仿宋" w:cs="仿宋"/>
          <w:color w:val="auto"/>
          <w:sz w:val="28"/>
          <w:szCs w:val="28"/>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27.1电子交易平台发生故障而无法登录访问的； </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27.2电子交易平台应用或数据库出现错误，不能进行正常操作的；</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27.3电子交易平台发现严重安全漏洞，有潜在泄密危险的；</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27.4病毒发作导致不能进行正常操作的； </w:t>
      </w:r>
    </w:p>
    <w:p>
      <w:pPr>
        <w:pStyle w:val="89"/>
        <w:snapToGrid w:val="0"/>
        <w:spacing w:before="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27.5其他无法保证电子交易的公平、公正和安全的情况。</w:t>
      </w:r>
    </w:p>
    <w:p>
      <w:pPr>
        <w:pStyle w:val="89"/>
        <w:snapToGrid w:val="0"/>
        <w:spacing w:before="0"/>
        <w:ind w:firstLine="0" w:firstLineChars="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542" w:firstLineChars="150"/>
        <w:jc w:val="center"/>
        <w:outlineLvl w:val="1"/>
        <w:rPr>
          <w:rFonts w:hint="eastAsia" w:ascii="仿宋" w:hAnsi="仿宋" w:eastAsia="仿宋" w:cs="仿宋"/>
          <w:b/>
          <w:color w:val="auto"/>
          <w:sz w:val="36"/>
          <w:szCs w:val="36"/>
          <w:highlight w:val="none"/>
        </w:rPr>
      </w:pPr>
    </w:p>
    <w:p>
      <w:pPr>
        <w:snapToGrid w:val="0"/>
        <w:spacing w:line="360" w:lineRule="auto"/>
        <w:ind w:left="120" w:leftChars="57" w:firstLine="542" w:firstLineChars="150"/>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pStyle w:val="25"/>
        <w:spacing w:line="360" w:lineRule="auto"/>
        <w:ind w:firstLine="0" w:firstLineChars="0"/>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29.验收</w:t>
      </w:r>
    </w:p>
    <w:p>
      <w:pPr>
        <w:tabs>
          <w:tab w:val="left" w:pos="0"/>
        </w:tabs>
        <w:spacing w:line="360" w:lineRule="auto"/>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仿宋" w:hAnsi="仿宋" w:eastAsia="仿宋" w:cs="仿宋"/>
          <w:color w:val="auto"/>
          <w:kern w:val="0"/>
          <w:sz w:val="28"/>
          <w:szCs w:val="28"/>
          <w:highlight w:val="none"/>
        </w:rPr>
        <w:sectPr>
          <w:footerReference r:id="rId8" w:type="default"/>
          <w:pgSz w:w="11906" w:h="16838"/>
          <w:pgMar w:top="680" w:right="1418" w:bottom="468" w:left="1418" w:header="851" w:footer="992" w:gutter="0"/>
          <w:pgNumType w:start="1"/>
          <w:cols w:space="720" w:num="1"/>
          <w:docGrid w:linePitch="312" w:charSpace="0"/>
        </w:sectPr>
      </w:pPr>
      <w:bookmarkStart w:id="12" w:name="_Hlt68073093"/>
      <w:bookmarkEnd w:id="12"/>
      <w:bookmarkStart w:id="13" w:name="_Hlt68072990"/>
      <w:bookmarkEnd w:id="13"/>
      <w:bookmarkStart w:id="14" w:name="_Hlt74729768"/>
      <w:bookmarkEnd w:id="14"/>
      <w:bookmarkStart w:id="15" w:name="_Hlt68403820"/>
      <w:bookmarkEnd w:id="15"/>
      <w:bookmarkStart w:id="16" w:name="_Hlt68072998"/>
      <w:bookmarkEnd w:id="16"/>
      <w:bookmarkStart w:id="17" w:name="_Hlt74714665"/>
      <w:bookmarkEnd w:id="17"/>
      <w:bookmarkStart w:id="18" w:name="_Hlt75236290"/>
      <w:bookmarkEnd w:id="18"/>
      <w:bookmarkStart w:id="19" w:name="_Hlt75236011"/>
      <w:bookmarkEnd w:id="19"/>
      <w:bookmarkStart w:id="20" w:name="_Hlt74730295"/>
      <w:bookmarkEnd w:id="20"/>
      <w:bookmarkStart w:id="21" w:name="_Hlt68057669"/>
      <w:bookmarkEnd w:id="21"/>
      <w:bookmarkStart w:id="22" w:name="_Hlt75236101"/>
      <w:bookmarkEnd w:id="22"/>
      <w:bookmarkStart w:id="23" w:name="_Hlt74707468"/>
      <w:bookmarkEnd w:id="23"/>
    </w:p>
    <w:bookmarkEnd w:id="9"/>
    <w:bookmarkEnd w:id="10"/>
    <w:p>
      <w:pPr>
        <w:spacing w:line="360" w:lineRule="auto"/>
        <w:jc w:val="center"/>
        <w:outlineLvl w:val="0"/>
        <w:rPr>
          <w:rFonts w:hint="eastAsia" w:ascii="仿宋" w:hAnsi="仿宋" w:eastAsia="仿宋" w:cs="仿宋"/>
          <w:b/>
          <w:color w:val="auto"/>
          <w:sz w:val="36"/>
          <w:szCs w:val="36"/>
          <w:highlight w:val="none"/>
        </w:rPr>
      </w:pPr>
      <w:bookmarkStart w:id="24" w:name="第四部分"/>
      <w:r>
        <w:rPr>
          <w:rFonts w:hint="eastAsia" w:ascii="仿宋" w:hAnsi="仿宋" w:eastAsia="仿宋" w:cs="仿宋"/>
          <w:b/>
          <w:color w:val="auto"/>
          <w:sz w:val="36"/>
          <w:szCs w:val="36"/>
          <w:highlight w:val="none"/>
        </w:rPr>
        <w:t>第三部分采购需求</w:t>
      </w:r>
    </w:p>
    <w:p>
      <w:pPr>
        <w:tabs>
          <w:tab w:val="left" w:pos="432"/>
        </w:tabs>
        <w:spacing w:before="120" w:after="120"/>
        <w:ind w:left="0" w:leftChars="0" w:firstLine="0" w:firstLineChars="0"/>
        <w:jc w:val="both"/>
        <w:outlineLvl w:val="9"/>
        <w:rPr>
          <w:rFonts w:hint="eastAsia" w:ascii="仿宋" w:hAnsi="仿宋" w:eastAsia="仿宋" w:cs="仿宋"/>
          <w:b w:val="0"/>
          <w:color w:val="auto"/>
          <w:sz w:val="24"/>
          <w:highlight w:val="none"/>
          <w:lang w:eastAsia="zh-CN"/>
        </w:rPr>
      </w:pPr>
    </w:p>
    <w:p>
      <w:pPr>
        <w:tabs>
          <w:tab w:val="left" w:pos="3172"/>
        </w:tabs>
        <w:adjustRightInd w:val="0"/>
        <w:snapToGrid w:val="0"/>
        <w:spacing w:line="360" w:lineRule="auto"/>
        <w:outlineLvl w:val="1"/>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rPr>
        <w:t>一、</w:t>
      </w:r>
      <w:r>
        <w:rPr>
          <w:rFonts w:hint="eastAsia" w:ascii="仿宋" w:hAnsi="仿宋" w:eastAsia="仿宋" w:cs="仿宋"/>
          <w:b/>
          <w:color w:val="auto"/>
          <w:sz w:val="28"/>
          <w:szCs w:val="28"/>
          <w:highlight w:val="none"/>
        </w:rPr>
        <w:t>项目概述</w:t>
      </w:r>
      <w:r>
        <w:rPr>
          <w:rFonts w:hint="eastAsia" w:ascii="仿宋" w:hAnsi="仿宋" w:eastAsia="仿宋" w:cs="仿宋"/>
          <w:b/>
          <w:color w:val="auto"/>
          <w:sz w:val="28"/>
          <w:szCs w:val="28"/>
          <w:highlight w:val="none"/>
          <w:lang w:eastAsia="zh-CN"/>
        </w:rPr>
        <w:tab/>
      </w:r>
    </w:p>
    <w:p>
      <w:pPr>
        <w:pStyle w:val="388"/>
        <w:tabs>
          <w:tab w:val="left" w:pos="6300"/>
        </w:tabs>
        <w:spacing w:after="0"/>
        <w:ind w:left="0" w:leftChars="0" w:firstLine="506" w:firstLineChars="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总体概述：数字城管信息采集是本着 “群专结合”和“政府花钱买服务”、“养事不养人”的原则，将数字城管覆盖范围内的城市事、部件委托具有信息采集能力、劳动和社会保障事务代理服务、劳动合作交流、职业培训等人力资源项目的管理和服务能力的公司或事业法人单位，按照城市事、部件管理标准、巡查监管要求，并以社区为基本工作区域，进行定时、全面、公正、及时的监管和有效信息数据采集（立案）、准确传输以及核查、核实等，保证问题的及时发现和全面处置。为体现采集数据的公正，有属地管理职责的公司或事业法人单位，不得在当地实施采集工作。</w:t>
      </w:r>
    </w:p>
    <w:p>
      <w:pPr>
        <w:pStyle w:val="388"/>
        <w:tabs>
          <w:tab w:val="left" w:pos="6300"/>
        </w:tabs>
        <w:spacing w:after="0"/>
        <w:ind w:left="0" w:leftChars="0"/>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项目实施时间：</w:t>
      </w:r>
      <w:r>
        <w:rPr>
          <w:rFonts w:hint="eastAsia" w:ascii="仿宋" w:hAnsi="仿宋" w:eastAsia="仿宋" w:cs="仿宋"/>
          <w:color w:val="auto"/>
          <w:sz w:val="28"/>
          <w:szCs w:val="28"/>
          <w:highlight w:val="none"/>
        </w:rPr>
        <w:t xml:space="preserve"> </w:t>
      </w:r>
    </w:p>
    <w:tbl>
      <w:tblPr>
        <w:tblStyle w:val="63"/>
        <w:tblW w:w="4698" w:type="pct"/>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141"/>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良渚街道、仁和街道；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仓前街道；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五常街道；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瓶窑镇、</w:t>
            </w:r>
            <w:r>
              <w:rPr>
                <w:rFonts w:hint="eastAsia" w:ascii="仿宋" w:hAnsi="仿宋" w:eastAsia="仿宋" w:cs="仿宋"/>
                <w:color w:val="auto"/>
                <w:sz w:val="28"/>
                <w:szCs w:val="28"/>
                <w:highlight w:val="none"/>
              </w:rPr>
              <w:t>径山镇、黄湖镇、鸬鸟镇、百丈镇</w:t>
            </w:r>
            <w:r>
              <w:rPr>
                <w:rFonts w:hint="eastAsia" w:ascii="仿宋" w:hAnsi="仿宋" w:eastAsia="仿宋" w:cs="仿宋"/>
                <w:color w:val="auto"/>
                <w:sz w:val="28"/>
                <w:szCs w:val="28"/>
                <w:highlight w:val="none"/>
                <w:lang w:eastAsia="zh-CN"/>
              </w:rPr>
              <w:t>；</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余杭街道；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w:t>
            </w:r>
          </w:p>
        </w:tc>
        <w:tc>
          <w:tcPr>
            <w:tcW w:w="239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闲林街道、中泰街道；</w:t>
            </w:r>
          </w:p>
        </w:tc>
        <w:tc>
          <w:tcPr>
            <w:tcW w:w="2076"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合同约定时间</w:t>
            </w:r>
            <w:r>
              <w:rPr>
                <w:rFonts w:hint="eastAsia" w:ascii="仿宋" w:hAnsi="仿宋" w:eastAsia="仿宋" w:cs="仿宋"/>
                <w:color w:val="auto"/>
                <w:sz w:val="28"/>
                <w:szCs w:val="28"/>
                <w:highlight w:val="none"/>
                <w:lang w:val="en-US" w:eastAsia="zh-CN"/>
              </w:rPr>
              <w:t>起8个月</w:t>
            </w:r>
          </w:p>
        </w:tc>
      </w:tr>
    </w:tbl>
    <w:p>
      <w:pPr>
        <w:tabs>
          <w:tab w:val="left" w:pos="6300"/>
        </w:tabs>
        <w:adjustRightInd w:val="0"/>
        <w:snapToGrid w:val="0"/>
        <w:spacing w:line="360" w:lineRule="auto"/>
        <w:ind w:firstLine="562" w:firstLineChars="2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实施范围：</w:t>
      </w:r>
    </w:p>
    <w:p>
      <w:pPr>
        <w:tabs>
          <w:tab w:val="left" w:pos="6300"/>
        </w:tabs>
        <w:adjustRightInd w:val="0"/>
        <w:snapToGrid w:val="0"/>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各镇街城市化管理范围以外的建成区、开放式工业园区、村委会或社区居委会驻地。</w:t>
      </w:r>
    </w:p>
    <w:p>
      <w:pPr>
        <w:tabs>
          <w:tab w:val="left" w:pos="6300"/>
        </w:tabs>
        <w:adjustRightInd w:val="0"/>
        <w:snapToGrid w:val="0"/>
        <w:spacing w:line="360" w:lineRule="auto"/>
        <w:rPr>
          <w:rFonts w:hint="eastAsia" w:ascii="仿宋" w:hAnsi="仿宋" w:eastAsia="仿宋" w:cs="仿宋"/>
          <w:b/>
          <w:bCs/>
          <w:color w:val="auto"/>
          <w:sz w:val="28"/>
          <w:szCs w:val="28"/>
          <w:highlight w:val="none"/>
        </w:rPr>
      </w:pPr>
    </w:p>
    <w:p>
      <w:pPr>
        <w:rPr>
          <w:rFonts w:hint="eastAsia" w:ascii="仿宋" w:hAnsi="仿宋" w:eastAsia="仿宋" w:cs="仿宋"/>
          <w:color w:val="auto"/>
          <w:sz w:val="28"/>
          <w:szCs w:val="28"/>
          <w:highlight w:val="none"/>
        </w:rPr>
        <w:sectPr>
          <w:headerReference r:id="rId9" w:type="default"/>
          <w:footerReference r:id="rId10" w:type="default"/>
          <w:pgSz w:w="11907" w:h="16839"/>
          <w:pgMar w:top="1304" w:right="1565" w:bottom="1247" w:left="1344" w:header="851" w:footer="992" w:gutter="0"/>
          <w:pgBorders>
            <w:top w:val="none" w:sz="0" w:space="0"/>
            <w:left w:val="none" w:sz="0" w:space="0"/>
            <w:bottom w:val="none" w:sz="0" w:space="0"/>
            <w:right w:val="none" w:sz="0" w:space="0"/>
          </w:pgBorders>
          <w:cols w:space="720" w:num="1"/>
          <w:docGrid w:linePitch="312" w:charSpace="0"/>
        </w:sectPr>
      </w:pPr>
    </w:p>
    <w:p>
      <w:pPr>
        <w:tabs>
          <w:tab w:val="left" w:pos="6300"/>
        </w:tabs>
        <w:wordWrap/>
        <w:adjustRightInd w:val="0"/>
        <w:snapToGrid w:val="0"/>
        <w:spacing w:line="440" w:lineRule="exact"/>
        <w:textAlignment w:val="auto"/>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二、详细的服务要求：</w:t>
      </w:r>
    </w:p>
    <w:p>
      <w:pPr>
        <w:pStyle w:val="388"/>
        <w:tabs>
          <w:tab w:val="left" w:pos="6300"/>
        </w:tabs>
        <w:spacing w:after="0"/>
        <w:ind w:left="0" w:leftChars="0" w:firstLine="509" w:firstLineChars="181"/>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1.总体目标</w:t>
      </w:r>
    </w:p>
    <w:p>
      <w:pPr>
        <w:pStyle w:val="388"/>
        <w:tabs>
          <w:tab w:val="left" w:pos="6300"/>
        </w:tabs>
        <w:spacing w:after="0"/>
        <w:ind w:left="0" w:leftChars="0" w:firstLine="506" w:firstLineChars="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余杭区数字城管的总目标是：</w:t>
      </w:r>
      <w:r>
        <w:rPr>
          <w:rFonts w:hint="eastAsia" w:ascii="仿宋" w:hAnsi="仿宋" w:eastAsia="仿宋" w:cs="仿宋"/>
          <w:color w:val="auto"/>
          <w:sz w:val="28"/>
          <w:szCs w:val="28"/>
          <w:highlight w:val="none"/>
          <w:lang w:val="en-US" w:eastAsia="zh-CN"/>
        </w:rPr>
        <w:t>按照事、部件管理法和网格式管理法</w:t>
      </w:r>
      <w:r>
        <w:rPr>
          <w:rFonts w:hint="eastAsia" w:ascii="仿宋" w:hAnsi="仿宋" w:eastAsia="仿宋" w:cs="仿宋"/>
          <w:color w:val="auto"/>
          <w:sz w:val="28"/>
          <w:szCs w:val="28"/>
          <w:highlight w:val="none"/>
        </w:rPr>
        <w:t>，创新城市管理模式，再造城市管理流程，提高</w:t>
      </w:r>
      <w:r>
        <w:rPr>
          <w:rFonts w:hint="eastAsia" w:ascii="仿宋" w:hAnsi="仿宋" w:eastAsia="仿宋" w:cs="仿宋"/>
          <w:color w:val="auto"/>
          <w:sz w:val="28"/>
          <w:szCs w:val="28"/>
          <w:highlight w:val="none"/>
          <w:lang w:val="en-US" w:eastAsia="zh-CN"/>
        </w:rPr>
        <w:t>各类城市管理问题的发现和处置效率，提升</w:t>
      </w:r>
      <w:r>
        <w:rPr>
          <w:rFonts w:hint="eastAsia" w:ascii="仿宋" w:hAnsi="仿宋" w:eastAsia="仿宋" w:cs="仿宋"/>
          <w:color w:val="auto"/>
          <w:sz w:val="28"/>
          <w:szCs w:val="28"/>
          <w:highlight w:val="none"/>
        </w:rPr>
        <w:t>城市管理水平。</w:t>
      </w:r>
    </w:p>
    <w:p>
      <w:pPr>
        <w:pStyle w:val="388"/>
        <w:tabs>
          <w:tab w:val="left" w:pos="6300"/>
        </w:tabs>
        <w:spacing w:after="0"/>
        <w:ind w:left="0" w:leftChars="0" w:firstLine="509" w:firstLineChars="181"/>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2.本次项目实施内容</w:t>
      </w:r>
    </w:p>
    <w:p>
      <w:pPr>
        <w:pStyle w:val="388"/>
        <w:tabs>
          <w:tab w:val="left" w:pos="6300"/>
        </w:tabs>
        <w:spacing w:after="0"/>
        <w:ind w:left="0" w:leftChars="0" w:firstLine="506" w:firstLineChars="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内容需求：依据</w:t>
      </w:r>
      <w:r>
        <w:rPr>
          <w:rFonts w:hint="eastAsia" w:ascii="仿宋" w:hAnsi="仿宋" w:eastAsia="仿宋" w:cs="仿宋"/>
          <w:color w:val="auto"/>
          <w:sz w:val="28"/>
          <w:szCs w:val="28"/>
          <w:highlight w:val="none"/>
          <w:lang w:val="en-US" w:eastAsia="zh-CN"/>
        </w:rPr>
        <w:t>数字城管事、部件问题立结案规范，</w:t>
      </w:r>
      <w:r>
        <w:rPr>
          <w:rFonts w:hint="eastAsia" w:ascii="仿宋" w:hAnsi="仿宋" w:eastAsia="仿宋" w:cs="仿宋"/>
          <w:color w:val="auto"/>
          <w:sz w:val="28"/>
          <w:szCs w:val="28"/>
          <w:highlight w:val="none"/>
        </w:rPr>
        <w:t>负责对</w:t>
      </w:r>
      <w:r>
        <w:rPr>
          <w:rFonts w:hint="eastAsia" w:ascii="仿宋" w:hAnsi="仿宋" w:eastAsia="仿宋" w:cs="仿宋"/>
          <w:color w:val="auto"/>
          <w:sz w:val="28"/>
          <w:szCs w:val="28"/>
          <w:highlight w:val="none"/>
          <w:lang w:val="en-US" w:eastAsia="zh-CN"/>
        </w:rPr>
        <w:t>各类</w:t>
      </w:r>
      <w:r>
        <w:rPr>
          <w:rFonts w:hint="eastAsia" w:ascii="仿宋" w:hAnsi="仿宋" w:eastAsia="仿宋" w:cs="仿宋"/>
          <w:color w:val="auto"/>
          <w:sz w:val="28"/>
          <w:szCs w:val="28"/>
          <w:highlight w:val="none"/>
        </w:rPr>
        <w:t>城市</w:t>
      </w:r>
      <w:r>
        <w:rPr>
          <w:rFonts w:hint="eastAsia" w:ascii="仿宋" w:hAnsi="仿宋" w:eastAsia="仿宋" w:cs="仿宋"/>
          <w:color w:val="auto"/>
          <w:sz w:val="28"/>
          <w:szCs w:val="28"/>
          <w:highlight w:val="none"/>
          <w:lang w:val="en-US" w:eastAsia="zh-CN"/>
        </w:rPr>
        <w:t>管理问题</w:t>
      </w:r>
      <w:r>
        <w:rPr>
          <w:rFonts w:hint="eastAsia" w:ascii="仿宋" w:hAnsi="仿宋" w:eastAsia="仿宋" w:cs="仿宋"/>
          <w:color w:val="auto"/>
          <w:sz w:val="28"/>
          <w:szCs w:val="28"/>
          <w:highlight w:val="none"/>
        </w:rPr>
        <w:t>的限时采集及立案操作；对热线投诉和社区联系站等途径反馈问题进行核实；对</w:t>
      </w:r>
      <w:r>
        <w:rPr>
          <w:rFonts w:hint="eastAsia" w:ascii="仿宋" w:hAnsi="仿宋" w:eastAsia="仿宋" w:cs="仿宋"/>
          <w:color w:val="auto"/>
          <w:sz w:val="28"/>
          <w:szCs w:val="28"/>
          <w:highlight w:val="none"/>
          <w:lang w:val="en-US" w:eastAsia="zh-CN"/>
        </w:rPr>
        <w:t>完成处置的</w:t>
      </w:r>
      <w:r>
        <w:rPr>
          <w:rFonts w:hint="eastAsia" w:ascii="仿宋" w:hAnsi="仿宋" w:eastAsia="仿宋" w:cs="仿宋"/>
          <w:color w:val="auto"/>
          <w:sz w:val="28"/>
          <w:szCs w:val="28"/>
          <w:highlight w:val="none"/>
        </w:rPr>
        <w:t>问题进行结案前核查；根据城市管理工作的要求，实施全区行政区域范围内各类专项信息普查工作。</w:t>
      </w:r>
    </w:p>
    <w:p>
      <w:pPr>
        <w:pStyle w:val="388"/>
        <w:tabs>
          <w:tab w:val="left" w:pos="6300"/>
        </w:tabs>
        <w:spacing w:after="0"/>
        <w:ind w:left="0" w:leftChars="0" w:firstLine="506" w:firstLineChars="181"/>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u w:val="none" w:color="auto"/>
        </w:rPr>
        <w:t>标项基本情况如下：</w:t>
      </w:r>
    </w:p>
    <w:tbl>
      <w:tblPr>
        <w:tblStyle w:val="63"/>
        <w:tblW w:w="7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8"/>
        <w:gridCol w:w="1153"/>
        <w:gridCol w:w="936"/>
        <w:gridCol w:w="936"/>
        <w:gridCol w:w="1217"/>
        <w:gridCol w:w="1356"/>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208" w:type="dxa"/>
            <w:tcBorders>
              <w:top w:val="single" w:color="auto" w:sz="4" w:space="0"/>
              <w:left w:val="single" w:color="auto" w:sz="4" w:space="0"/>
              <w:bottom w:val="single" w:color="auto" w:sz="4" w:space="0"/>
              <w:right w:val="single" w:color="auto" w:sz="4" w:space="0"/>
              <w:tl2br w:val="single" w:color="auto" w:sz="4" w:space="0"/>
            </w:tcBorders>
            <w:vAlign w:val="top"/>
          </w:tcPr>
          <w:p>
            <w:pPr>
              <w:wordWrap/>
              <w:spacing w:line="440" w:lineRule="exact"/>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类别</w:t>
            </w:r>
          </w:p>
          <w:p>
            <w:pPr>
              <w:wordWrap/>
              <w:spacing w:line="440" w:lineRule="exact"/>
              <w:textAlignment w:val="auto"/>
              <w:rPr>
                <w:rFonts w:hint="eastAsia" w:ascii="仿宋" w:hAnsi="仿宋" w:eastAsia="仿宋" w:cs="仿宋"/>
                <w:color w:val="auto"/>
                <w:sz w:val="28"/>
                <w:szCs w:val="28"/>
                <w:highlight w:val="none"/>
              </w:rPr>
            </w:pPr>
          </w:p>
          <w:p>
            <w:pPr>
              <w:wordWrap/>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项目负责人（人）</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管理员（人）</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采集员（人）</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监控巡查员（人）</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无人机组人员（人）</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二</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24</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三</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22</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w:t>
            </w:r>
          </w:p>
        </w:tc>
        <w:tc>
          <w:tcPr>
            <w:tcW w:w="1153"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93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1217"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356"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991"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r>
    </w:tbl>
    <w:p>
      <w:pPr>
        <w:pStyle w:val="25"/>
        <w:keepNext w:val="0"/>
        <w:keepLines w:val="0"/>
        <w:pageBreakBefore w:val="0"/>
        <w:widowControl w:val="0"/>
        <w:tabs>
          <w:tab w:val="left" w:pos="6300"/>
        </w:tabs>
        <w:kinsoku/>
        <w:wordWrap/>
        <w:topLinePunct w:val="0"/>
        <w:bidi w:val="0"/>
        <w:adjustRightInd w:val="0"/>
        <w:snapToGrid/>
        <w:spacing w:line="360" w:lineRule="auto"/>
        <w:ind w:firstLine="0"/>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3.项目需求及相关要求</w:t>
      </w:r>
    </w:p>
    <w:p>
      <w:pPr>
        <w:keepNext w:val="0"/>
        <w:keepLines w:val="0"/>
        <w:pageBreakBefore w:val="0"/>
        <w:widowControl w:val="0"/>
        <w:tabs>
          <w:tab w:val="left" w:pos="6300"/>
        </w:tabs>
        <w:kinsoku/>
        <w:wordWrap/>
        <w:topLinePunct w:val="0"/>
        <w:bidi w:val="0"/>
        <w:adjustRightInd w:val="0"/>
        <w:snapToGrid/>
        <w:spacing w:line="360" w:lineRule="auto"/>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3.1有效数据及报价</w:t>
      </w:r>
    </w:p>
    <w:p>
      <w:pPr>
        <w:keepNext w:val="0"/>
        <w:keepLines w:val="0"/>
        <w:pageBreakBefore w:val="0"/>
        <w:widowControl w:val="0"/>
        <w:tabs>
          <w:tab w:val="left" w:pos="198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（1）有效数据：</w:t>
      </w:r>
      <w:r>
        <w:rPr>
          <w:rFonts w:hint="eastAsia" w:ascii="仿宋" w:hAnsi="仿宋" w:eastAsia="仿宋" w:cs="仿宋"/>
          <w:color w:val="auto"/>
          <w:sz w:val="28"/>
          <w:szCs w:val="28"/>
          <w:highlight w:val="none"/>
          <w:lang w:eastAsia="zh-CN"/>
        </w:rPr>
        <w:t>投标人需确保信息采集数据的有效性。有效数据是指被数字城管系统利用，进入系统正常流转的立案数据、核查数据、普查数据、核实数据。</w:t>
      </w:r>
    </w:p>
    <w:p>
      <w:pPr>
        <w:keepNext w:val="0"/>
        <w:keepLines w:val="0"/>
        <w:pageBreakBefore w:val="0"/>
        <w:widowControl w:val="0"/>
        <w:tabs>
          <w:tab w:val="left" w:pos="6300"/>
        </w:tabs>
        <w:kinsoku/>
        <w:wordWrap/>
        <w:topLinePunct w:val="0"/>
        <w:bidi w:val="0"/>
        <w:adjustRightInd w:val="0"/>
        <w:snapToGrid/>
        <w:spacing w:line="360" w:lineRule="auto"/>
        <w:ind w:firstLine="56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个标项分别报价，报价为完成本招标文件所述的服务项目内容指标所需的全部费用，即按采购人要求完工的价格，（包括各种人工费、</w:t>
      </w:r>
      <w:r>
        <w:rPr>
          <w:rFonts w:hint="eastAsia" w:ascii="仿宋" w:hAnsi="仿宋" w:eastAsia="仿宋" w:cs="仿宋"/>
          <w:color w:val="auto"/>
          <w:sz w:val="28"/>
          <w:szCs w:val="28"/>
          <w:highlight w:val="none"/>
          <w:lang w:eastAsia="zh-CN"/>
        </w:rPr>
        <w:t>信息采集费、车辆使用费、设备及场地</w:t>
      </w:r>
      <w:r>
        <w:rPr>
          <w:rFonts w:hint="eastAsia" w:ascii="仿宋" w:hAnsi="仿宋" w:eastAsia="仿宋" w:cs="仿宋"/>
          <w:color w:val="auto"/>
          <w:sz w:val="28"/>
          <w:szCs w:val="28"/>
          <w:highlight w:val="none"/>
        </w:rPr>
        <w:t>使用费、管理、利润、税务费、必要的保险费用、必须的专用工具、辅助材料费及合同实施过程中不可预见的费用等）的总和。</w:t>
      </w:r>
    </w:p>
    <w:p>
      <w:pPr>
        <w:keepNext w:val="0"/>
        <w:keepLines w:val="0"/>
        <w:pageBreakBefore w:val="0"/>
        <w:widowControl w:val="0"/>
        <w:tabs>
          <w:tab w:val="left" w:pos="6300"/>
        </w:tabs>
        <w:kinsoku/>
        <w:wordWrap/>
        <w:topLinePunct w:val="0"/>
        <w:bidi w:val="0"/>
        <w:adjustRightInd w:val="0"/>
        <w:snapToGrid/>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3.2相关要求及考核办法（具体见附表一）</w:t>
      </w:r>
    </w:p>
    <w:p>
      <w:pPr>
        <w:keepNext w:val="0"/>
        <w:keepLines w:val="0"/>
        <w:pageBreakBefore w:val="0"/>
        <w:widowControl w:val="0"/>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）人员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车辆配备</w:t>
      </w:r>
      <w:r>
        <w:rPr>
          <w:rFonts w:hint="eastAsia" w:ascii="仿宋" w:hAnsi="仿宋" w:eastAsia="仿宋" w:cs="仿宋"/>
          <w:color w:val="auto"/>
          <w:sz w:val="28"/>
          <w:szCs w:val="28"/>
          <w:highlight w:val="none"/>
          <w:lang w:val="en-US" w:eastAsia="zh-CN"/>
        </w:rPr>
        <w:t>需求</w:t>
      </w:r>
      <w:r>
        <w:rPr>
          <w:rFonts w:hint="eastAsia" w:ascii="仿宋" w:hAnsi="仿宋" w:eastAsia="仿宋" w:cs="仿宋"/>
          <w:color w:val="auto"/>
          <w:sz w:val="28"/>
          <w:szCs w:val="28"/>
          <w:highlight w:val="none"/>
        </w:rPr>
        <w:t>。应足额配备一定素质的工作人员（包括采集员、管理员、项目负责人）及车辆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无人机</w:t>
      </w:r>
      <w:r>
        <w:rPr>
          <w:rFonts w:hint="eastAsia" w:ascii="仿宋" w:hAnsi="仿宋" w:eastAsia="仿宋" w:cs="仿宋"/>
          <w:color w:val="auto"/>
          <w:sz w:val="28"/>
          <w:szCs w:val="28"/>
          <w:highlight w:val="none"/>
          <w:lang w:eastAsia="zh-CN"/>
        </w:rPr>
        <w:t>（车辆型号、参数需与投标方案保持一致），以下每发现一次不符合采购要求的扣</w:t>
      </w:r>
      <w:r>
        <w:rPr>
          <w:rFonts w:hint="eastAsia" w:ascii="仿宋" w:hAnsi="仿宋" w:eastAsia="仿宋" w:cs="仿宋"/>
          <w:color w:val="auto"/>
          <w:sz w:val="28"/>
          <w:szCs w:val="28"/>
          <w:highlight w:val="none"/>
          <w:lang w:val="en-US" w:eastAsia="zh-CN"/>
        </w:rPr>
        <w:t>0.2分，人员依据在岗人数要求进行考核，</w:t>
      </w:r>
      <w:r>
        <w:rPr>
          <w:rFonts w:hint="eastAsia" w:ascii="仿宋" w:hAnsi="仿宋" w:eastAsia="仿宋" w:cs="仿宋"/>
          <w:color w:val="auto"/>
          <w:sz w:val="28"/>
          <w:szCs w:val="28"/>
          <w:highlight w:val="none"/>
        </w:rPr>
        <w:t xml:space="preserve">具体要求： </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配置：人</w:t>
      </w:r>
      <w:r>
        <w:rPr>
          <w:rFonts w:hint="eastAsia" w:ascii="仿宋" w:hAnsi="仿宋" w:eastAsia="仿宋" w:cs="仿宋"/>
          <w:color w:val="auto"/>
          <w:sz w:val="28"/>
          <w:szCs w:val="28"/>
          <w:highlight w:val="none"/>
          <w:lang w:val="en-US" w:eastAsia="zh-CN"/>
        </w:rPr>
        <w:t>员总</w:t>
      </w:r>
      <w:r>
        <w:rPr>
          <w:rFonts w:hint="eastAsia" w:ascii="仿宋" w:hAnsi="仿宋" w:eastAsia="仿宋" w:cs="仿宋"/>
          <w:color w:val="auto"/>
          <w:sz w:val="28"/>
          <w:szCs w:val="28"/>
          <w:highlight w:val="none"/>
        </w:rPr>
        <w:t>数不少于</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人（含管理员、项目负责人</w:t>
      </w:r>
      <w:r>
        <w:rPr>
          <w:rFonts w:hint="eastAsia" w:ascii="仿宋" w:hAnsi="仿宋" w:eastAsia="仿宋" w:cs="仿宋"/>
          <w:color w:val="auto"/>
          <w:sz w:val="28"/>
          <w:szCs w:val="28"/>
          <w:highlight w:val="none"/>
          <w:lang w:val="en-US" w:eastAsia="zh-CN"/>
        </w:rPr>
        <w:t>共3</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无人机机组人员6名，监控巡查员7名</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工作时间</w:t>
      </w:r>
      <w:r>
        <w:rPr>
          <w:rFonts w:hint="eastAsia" w:ascii="仿宋" w:hAnsi="仿宋" w:eastAsia="仿宋" w:cs="仿宋"/>
          <w:color w:val="auto"/>
          <w:sz w:val="28"/>
          <w:szCs w:val="28"/>
          <w:highlight w:val="none"/>
          <w:lang w:val="en-US" w:eastAsia="zh-CN"/>
        </w:rPr>
        <w:t>在岗</w:t>
      </w:r>
      <w:r>
        <w:rPr>
          <w:rFonts w:hint="eastAsia" w:ascii="仿宋" w:hAnsi="仿宋" w:eastAsia="仿宋" w:cs="仿宋"/>
          <w:color w:val="auto"/>
          <w:sz w:val="28"/>
          <w:szCs w:val="28"/>
          <w:highlight w:val="none"/>
        </w:rPr>
        <w:t>人数不少于</w:t>
      </w:r>
      <w:r>
        <w:rPr>
          <w:rFonts w:hint="eastAsia" w:ascii="仿宋" w:hAnsi="仿宋" w:eastAsia="仿宋" w:cs="仿宋"/>
          <w:color w:val="auto"/>
          <w:sz w:val="28"/>
          <w:szCs w:val="28"/>
          <w:highlight w:val="none"/>
          <w:lang w:val="en-US" w:eastAsia="zh-CN"/>
        </w:rPr>
        <w:t>33</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机动车</w:t>
      </w:r>
      <w:r>
        <w:rPr>
          <w:rFonts w:hint="eastAsia" w:ascii="仿宋" w:hAnsi="仿宋" w:eastAsia="仿宋" w:cs="仿宋"/>
          <w:color w:val="auto"/>
          <w:sz w:val="28"/>
          <w:szCs w:val="28"/>
          <w:highlight w:val="none"/>
          <w:lang w:val="en-US" w:eastAsia="zh-CN"/>
        </w:rPr>
        <w:t>不少于2辆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巡查无人机</w:t>
      </w:r>
      <w:r>
        <w:rPr>
          <w:rFonts w:hint="eastAsia" w:ascii="仿宋" w:hAnsi="仿宋" w:eastAsia="仿宋" w:cs="仿宋"/>
          <w:color w:val="auto"/>
          <w:sz w:val="28"/>
          <w:szCs w:val="28"/>
          <w:highlight w:val="none"/>
        </w:rPr>
        <w:t>不少于</w:t>
      </w:r>
      <w:r>
        <w:rPr>
          <w:rFonts w:hint="eastAsia" w:ascii="仿宋" w:hAnsi="仿宋" w:eastAsia="仿宋" w:cs="仿宋"/>
          <w:color w:val="auto"/>
          <w:sz w:val="28"/>
          <w:szCs w:val="28"/>
          <w:highlight w:val="none"/>
          <w:lang w:val="en-US" w:eastAsia="zh-CN"/>
        </w:rPr>
        <w:t>4架，其中配备机场的无人机2架，机动无人机2架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,非正常工作时间（中午11:30-12:30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晚上17:30-21:00）</w:t>
      </w:r>
      <w:r>
        <w:rPr>
          <w:rFonts w:hint="eastAsia" w:ascii="仿宋" w:hAnsi="仿宋" w:eastAsia="仿宋" w:cs="仿宋"/>
          <w:color w:val="auto"/>
          <w:sz w:val="28"/>
          <w:szCs w:val="28"/>
          <w:highlight w:val="none"/>
          <w:lang w:val="en-US" w:eastAsia="zh-CN"/>
        </w:rPr>
        <w:t>在岗</w:t>
      </w:r>
      <w:r>
        <w:rPr>
          <w:rFonts w:hint="eastAsia" w:ascii="仿宋" w:hAnsi="仿宋" w:eastAsia="仿宋" w:cs="仿宋"/>
          <w:color w:val="auto"/>
          <w:sz w:val="28"/>
          <w:szCs w:val="28"/>
          <w:highlight w:val="none"/>
        </w:rPr>
        <w:t>人数不少于</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；晚上</w:t>
      </w:r>
      <w:r>
        <w:rPr>
          <w:rFonts w:hint="eastAsia" w:ascii="仿宋" w:hAnsi="仿宋" w:eastAsia="仿宋" w:cs="仿宋"/>
          <w:color w:val="auto"/>
          <w:sz w:val="28"/>
          <w:szCs w:val="28"/>
          <w:highlight w:val="none"/>
          <w:lang w:val="en-US" w:eastAsia="zh-CN"/>
        </w:rPr>
        <w:t>21:00-次日早上8：00值班在岗人员不少于1人，在岗值班车辆不少于1辆</w:t>
      </w:r>
      <w:r>
        <w:rPr>
          <w:rFonts w:hint="eastAsia" w:ascii="仿宋" w:hAnsi="仿宋" w:eastAsia="仿宋" w:cs="仿宋"/>
          <w:color w:val="auto"/>
          <w:sz w:val="28"/>
          <w:szCs w:val="28"/>
          <w:highlight w:val="none"/>
        </w:rPr>
        <w:t>。</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配置：</w:t>
      </w:r>
      <w:r>
        <w:rPr>
          <w:rFonts w:hint="eastAsia" w:ascii="仿宋" w:hAnsi="仿宋" w:eastAsia="仿宋" w:cs="仿宋"/>
          <w:color w:val="auto"/>
          <w:sz w:val="28"/>
          <w:szCs w:val="28"/>
          <w:highlight w:val="none"/>
          <w:lang w:val="en-US" w:eastAsia="zh-CN"/>
        </w:rPr>
        <w:t>人员总数不少于39人（含管理员、项目负责人共2人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无人机机组人员6名，监控巡查员7名）。工作时间在岗人数不少于26人【机动车不少于1辆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巡查无人机不少于4架、其中配备机场的无人机1架，机动无人机3架】；非正常工作时间（中午11:30-12:30、晚上17:30-21:00）在岗人数不少于7人；晚上21:00-次日早上8：00值班在岗人员不少于1人，在岗值班车辆不少于1辆。</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配置：</w:t>
      </w:r>
      <w:r>
        <w:rPr>
          <w:rFonts w:hint="eastAsia" w:ascii="仿宋" w:hAnsi="仿宋" w:eastAsia="仿宋" w:cs="仿宋"/>
          <w:color w:val="auto"/>
          <w:sz w:val="28"/>
          <w:szCs w:val="28"/>
          <w:highlight w:val="none"/>
          <w:lang w:val="en-US" w:eastAsia="zh-CN"/>
        </w:rPr>
        <w:t>人员总数不少于36人（含管理员、项目负责人共2人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无人机机组人员5名，监控巡查员7名）。工作时间在岗人数不少于25人【机动车不少于1辆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巡查无人机各不少于3架、其中配备机场的无人机1架，机动无人机2架】；非正常工作时间（中午11:30-12:30、晚上17:30-21:00）在岗人数不少于6人；晚上21:00-次日早上8：00值班在岗人员不少于1人，在岗值班车辆不少于1辆。</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标项四配置：</w:t>
      </w:r>
      <w:r>
        <w:rPr>
          <w:rFonts w:hint="eastAsia" w:ascii="仿宋" w:hAnsi="仿宋" w:eastAsia="仿宋" w:cs="仿宋"/>
          <w:color w:val="auto"/>
          <w:sz w:val="28"/>
          <w:szCs w:val="28"/>
          <w:highlight w:val="none"/>
          <w:lang w:val="en-US" w:eastAsia="zh-CN"/>
        </w:rPr>
        <w:t>人员总数不少于39人（含管理员、项目负责人共3人，无人机机组人员7名，监控巡查员4名）。工作时间在岗人数不少于26人【机动车5辆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配备机场的无人机不少于5架】，非正常工作时间（中午11:30-12:30、晚上17:30-21:00）在岗人数不少于6人；晚上21:00-次日早上8：00值班在岗人员不少于1人，在岗值班车辆不少于1辆。</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配置：</w:t>
      </w:r>
      <w:r>
        <w:rPr>
          <w:rFonts w:hint="eastAsia" w:ascii="仿宋" w:hAnsi="仿宋" w:eastAsia="仿宋" w:cs="仿宋"/>
          <w:color w:val="auto"/>
          <w:sz w:val="28"/>
          <w:szCs w:val="28"/>
          <w:highlight w:val="none"/>
          <w:lang w:val="en-US" w:eastAsia="zh-CN"/>
        </w:rPr>
        <w:t>人员总数不少于27人（含管理员、项目负责人共2人，无人机机组人员3名，监控巡查员4名）。工作时间在岗人数不少于18人【机动车不少于1辆、巡查无人机各不少于2架、其中配备机场的无人机1架，机动无人机1架】，非正常工作时间（中午11:30-12:30、晚上17:30-21:00）在岗人数不少于5人；晚上21:00-次日早上8：00值班在岗人员不少于1人，在岗值班车辆不少于1辆。</w:t>
      </w:r>
    </w:p>
    <w:p>
      <w:pPr>
        <w:keepNext w:val="0"/>
        <w:keepLines w:val="0"/>
        <w:pageBreakBefore w:val="0"/>
        <w:widowControl w:val="0"/>
        <w:shd w:val="clear" w:color="auto" w:fill="auto"/>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配置：</w:t>
      </w:r>
      <w:r>
        <w:rPr>
          <w:rFonts w:hint="eastAsia" w:ascii="仿宋" w:hAnsi="仿宋" w:eastAsia="仿宋" w:cs="仿宋"/>
          <w:color w:val="auto"/>
          <w:sz w:val="28"/>
          <w:szCs w:val="28"/>
          <w:highlight w:val="none"/>
          <w:lang w:val="en-US" w:eastAsia="zh-CN"/>
        </w:rPr>
        <w:t>人员总数不少于29人（含管理员、项目负责人共2人，无人机机组人员3名，监控巡查员4名）。工作时间在岗人数不少于20人【机动车不少于2辆，配备机场的无人机不少于2架】，非正常工作时间（中午11:30-12:30、晚上17:30-21:00）在岗人数不少于5人；晚上21:00-次日早上8：00值班在岗人员不少于1人，在岗值班车辆不少于1辆。</w:t>
      </w:r>
    </w:p>
    <w:p>
      <w:pPr>
        <w:keepNext w:val="0"/>
        <w:keepLines w:val="0"/>
        <w:pageBreakBefore w:val="0"/>
        <w:widowControl w:val="0"/>
        <w:shd w:val="clear" w:color="auto" w:fill="auto"/>
        <w:tabs>
          <w:tab w:val="left" w:pos="5851"/>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人员素质需求</w:t>
      </w:r>
      <w:r>
        <w:rPr>
          <w:rFonts w:hint="eastAsia" w:ascii="仿宋" w:hAnsi="仿宋" w:eastAsia="仿宋" w:cs="仿宋"/>
          <w:color w:val="auto"/>
          <w:sz w:val="28"/>
          <w:szCs w:val="28"/>
          <w:highlight w:val="none"/>
        </w:rPr>
        <w:t>：身体健康，具有较强责任心和事业心。项目负责人具有类似工作的管理经验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项目管理员具有大专</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以上文化程度，具有</w:t>
      </w:r>
      <w:r>
        <w:rPr>
          <w:rFonts w:hint="eastAsia" w:ascii="仿宋" w:hAnsi="仿宋" w:eastAsia="仿宋" w:cs="仿宋"/>
          <w:color w:val="auto"/>
          <w:sz w:val="28"/>
          <w:szCs w:val="28"/>
          <w:highlight w:val="none"/>
          <w:lang w:val="en-US" w:eastAsia="zh-CN"/>
        </w:rPr>
        <w:t>3个月以上</w:t>
      </w:r>
      <w:r>
        <w:rPr>
          <w:rFonts w:hint="eastAsia" w:ascii="仿宋" w:hAnsi="仿宋" w:eastAsia="仿宋" w:cs="仿宋"/>
          <w:color w:val="auto"/>
          <w:sz w:val="28"/>
          <w:szCs w:val="28"/>
          <w:highlight w:val="none"/>
        </w:rPr>
        <w:t>类似工作管理经验；</w:t>
      </w:r>
      <w:r>
        <w:rPr>
          <w:rFonts w:hint="eastAsia" w:ascii="仿宋" w:hAnsi="仿宋" w:eastAsia="仿宋" w:cs="仿宋"/>
          <w:strike w:val="0"/>
          <w:dstrike w:val="0"/>
          <w:color w:val="auto"/>
          <w:sz w:val="28"/>
          <w:szCs w:val="28"/>
          <w:highlight w:val="none"/>
          <w:u w:val="none" w:color="auto"/>
          <w:lang w:val="en-US" w:eastAsia="zh-CN"/>
        </w:rPr>
        <w:t>监控巡查员需具有大专以上文化程度；</w:t>
      </w:r>
      <w:r>
        <w:rPr>
          <w:rFonts w:hint="eastAsia" w:ascii="仿宋" w:hAnsi="仿宋" w:eastAsia="仿宋" w:cs="仿宋"/>
          <w:color w:val="auto"/>
          <w:sz w:val="28"/>
          <w:szCs w:val="28"/>
          <w:highlight w:val="none"/>
        </w:rPr>
        <w:t>采集员队伍中有</w:t>
      </w:r>
      <w:r>
        <w:rPr>
          <w:rFonts w:hint="eastAsia" w:ascii="仿宋" w:hAnsi="仿宋" w:eastAsia="仿宋" w:cs="仿宋"/>
          <w:color w:val="auto"/>
          <w:sz w:val="28"/>
          <w:szCs w:val="28"/>
          <w:highlight w:val="none"/>
          <w:lang w:val="en-US" w:eastAsia="zh-CN"/>
        </w:rPr>
        <w:t>3个月以上</w:t>
      </w:r>
      <w:r>
        <w:rPr>
          <w:rFonts w:hint="eastAsia" w:ascii="仿宋" w:hAnsi="仿宋" w:eastAsia="仿宋" w:cs="仿宋"/>
          <w:color w:val="auto"/>
          <w:sz w:val="28"/>
          <w:szCs w:val="28"/>
          <w:highlight w:val="none"/>
        </w:rPr>
        <w:t>信息采集经验人员不少于30%；高中以上学历人员不少于60%，采集人员年龄在55周岁(女性50周岁）及以下人员不少于60%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符上述规定的，每人次扣0.5分；采集员配置人数以数字城管系统统计的路面巡查人数为准，因系统等客观原因造成人员掉线的需提前报备，无报备的按不在位纳入考核，检查发现不符合配置要求的每少一人，每次扣1分。</w:t>
      </w:r>
    </w:p>
    <w:p>
      <w:pPr>
        <w:keepNext w:val="0"/>
        <w:keepLines w:val="0"/>
        <w:pageBreakBefore w:val="0"/>
        <w:widowControl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strike w:val="0"/>
          <w:dstrike w:val="0"/>
          <w:color w:val="auto"/>
          <w:sz w:val="28"/>
          <w:szCs w:val="28"/>
          <w:highlight w:val="none"/>
          <w:u w:val="none" w:color="auto"/>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）设施</w:t>
      </w:r>
      <w:r>
        <w:rPr>
          <w:rFonts w:hint="eastAsia" w:ascii="仿宋" w:hAnsi="仿宋" w:eastAsia="仿宋" w:cs="仿宋"/>
          <w:color w:val="auto"/>
          <w:sz w:val="28"/>
          <w:szCs w:val="28"/>
          <w:highlight w:val="none"/>
          <w:lang w:val="en-US" w:eastAsia="zh-CN"/>
        </w:rPr>
        <w:t>设备需求</w:t>
      </w:r>
      <w:r>
        <w:rPr>
          <w:rFonts w:hint="eastAsia" w:ascii="仿宋" w:hAnsi="仿宋" w:eastAsia="仿宋" w:cs="仿宋"/>
          <w:color w:val="auto"/>
          <w:sz w:val="28"/>
          <w:szCs w:val="28"/>
          <w:highlight w:val="none"/>
        </w:rPr>
        <w:t>。</w:t>
      </w:r>
      <w:r>
        <w:rPr>
          <w:rFonts w:hint="eastAsia" w:ascii="仿宋" w:hAnsi="仿宋" w:eastAsia="仿宋" w:cs="仿宋"/>
          <w:strike w:val="0"/>
          <w:dstrike w:val="0"/>
          <w:color w:val="auto"/>
          <w:sz w:val="28"/>
          <w:szCs w:val="28"/>
          <w:highlight w:val="none"/>
          <w:u w:val="none" w:color="auto"/>
          <w:lang w:eastAsia="zh-CN"/>
        </w:rPr>
        <w:t>投标人</w:t>
      </w:r>
      <w:r>
        <w:rPr>
          <w:rFonts w:hint="eastAsia" w:ascii="仿宋" w:hAnsi="仿宋" w:eastAsia="仿宋" w:cs="仿宋"/>
          <w:strike w:val="0"/>
          <w:dstrike w:val="0"/>
          <w:color w:val="auto"/>
          <w:sz w:val="28"/>
          <w:szCs w:val="28"/>
          <w:highlight w:val="none"/>
          <w:u w:val="none" w:color="auto"/>
        </w:rPr>
        <w:t>应</w:t>
      </w:r>
      <w:r>
        <w:rPr>
          <w:rFonts w:hint="eastAsia" w:ascii="仿宋" w:hAnsi="仿宋" w:eastAsia="仿宋" w:cs="仿宋"/>
          <w:strike w:val="0"/>
          <w:dstrike w:val="0"/>
          <w:color w:val="auto"/>
          <w:sz w:val="28"/>
          <w:szCs w:val="28"/>
          <w:highlight w:val="none"/>
          <w:u w:val="none" w:color="auto"/>
          <w:lang w:eastAsia="zh-CN"/>
        </w:rPr>
        <w:t>配备单个采集员、机动车巡查的信息采集设备</w:t>
      </w:r>
      <w:r>
        <w:rPr>
          <w:rFonts w:hint="eastAsia" w:ascii="仿宋" w:hAnsi="仿宋" w:eastAsia="仿宋" w:cs="仿宋"/>
          <w:strike w:val="0"/>
          <w:dstrike w:val="0"/>
          <w:color w:val="auto"/>
          <w:sz w:val="28"/>
          <w:szCs w:val="28"/>
          <w:highlight w:val="none"/>
          <w:u w:val="none" w:color="auto"/>
          <w:lang w:val="en-US" w:eastAsia="zh-CN"/>
        </w:rPr>
        <w:t>(具备图形和视频摄录的功能），按要求配备巡查无人机（具有实时图传功能及地面站操作平台）</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rPr>
        <w:t>其中行人、非机动车不能进入的高架、立交桥、快速路等区域使用机动车巡查</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lang w:val="en-US" w:eastAsia="zh-CN"/>
        </w:rPr>
        <w:t>铁路、高架、河湖堤坝沿线等人工巡查难度较大区域使用无人机巡查；根据甲方需要启用机动车、无人机等硬件设施对</w:t>
      </w:r>
      <w:r>
        <w:rPr>
          <w:rFonts w:hint="eastAsia" w:ascii="仿宋" w:hAnsi="仿宋" w:eastAsia="仿宋" w:cs="仿宋"/>
          <w:strike w:val="0"/>
          <w:dstrike w:val="0"/>
          <w:color w:val="auto"/>
          <w:sz w:val="28"/>
          <w:szCs w:val="28"/>
          <w:highlight w:val="none"/>
          <w:u w:val="none" w:color="auto"/>
        </w:rPr>
        <w:t>数字城管信息采集</w:t>
      </w:r>
      <w:r>
        <w:rPr>
          <w:rFonts w:hint="eastAsia" w:ascii="仿宋" w:hAnsi="仿宋" w:eastAsia="仿宋" w:cs="仿宋"/>
          <w:strike w:val="0"/>
          <w:dstrike w:val="0"/>
          <w:color w:val="auto"/>
          <w:sz w:val="28"/>
          <w:szCs w:val="28"/>
          <w:highlight w:val="none"/>
          <w:u w:val="none" w:color="auto"/>
          <w:lang w:val="en-US" w:eastAsia="zh-CN"/>
        </w:rPr>
        <w:t>质量</w:t>
      </w:r>
      <w:r>
        <w:rPr>
          <w:rFonts w:hint="eastAsia" w:ascii="仿宋" w:hAnsi="仿宋" w:eastAsia="仿宋" w:cs="仿宋"/>
          <w:strike w:val="0"/>
          <w:dstrike w:val="0"/>
          <w:color w:val="auto"/>
          <w:sz w:val="28"/>
          <w:szCs w:val="28"/>
          <w:highlight w:val="none"/>
          <w:u w:val="none" w:color="auto"/>
        </w:rPr>
        <w:t>进行检查</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lang w:val="en-US" w:eastAsia="zh-CN"/>
        </w:rPr>
        <w:t>对重大活动、应急响应等工作进行全程保障</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rPr>
        <w:t>配备各类井盖（含重型）的开启设施、应急维护设施</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lang w:val="en-US" w:eastAsia="zh-CN"/>
        </w:rPr>
        <w:t>对存在安全隐患的问题进行临时维护。</w:t>
      </w:r>
      <w:r>
        <w:rPr>
          <w:rFonts w:hint="eastAsia" w:ascii="仿宋" w:hAnsi="仿宋" w:eastAsia="仿宋" w:cs="仿宋"/>
          <w:strike w:val="0"/>
          <w:dstrike w:val="0"/>
          <w:color w:val="auto"/>
          <w:sz w:val="28"/>
          <w:szCs w:val="28"/>
          <w:highlight w:val="none"/>
          <w:u w:val="none" w:color="auto"/>
        </w:rPr>
        <w:t>未按要求配备机动车</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lang w:val="en-US" w:eastAsia="zh-CN"/>
        </w:rPr>
        <w:t>无人机</w:t>
      </w:r>
      <w:r>
        <w:rPr>
          <w:rFonts w:hint="eastAsia" w:ascii="仿宋" w:hAnsi="仿宋" w:eastAsia="仿宋" w:cs="仿宋"/>
          <w:strike w:val="0"/>
          <w:dstrike w:val="0"/>
          <w:color w:val="auto"/>
          <w:sz w:val="28"/>
          <w:szCs w:val="28"/>
          <w:highlight w:val="none"/>
          <w:u w:val="none" w:color="auto"/>
        </w:rPr>
        <w:t>巡查的，发现一次扣0.2分；</w:t>
      </w:r>
      <w:r>
        <w:rPr>
          <w:rFonts w:hint="eastAsia" w:ascii="仿宋" w:hAnsi="仿宋" w:eastAsia="仿宋" w:cs="仿宋"/>
          <w:strike w:val="0"/>
          <w:dstrike w:val="0"/>
          <w:color w:val="auto"/>
          <w:sz w:val="28"/>
          <w:szCs w:val="28"/>
          <w:highlight w:val="none"/>
          <w:u w:val="none" w:color="auto"/>
          <w:lang w:val="en-US" w:eastAsia="zh-CN"/>
        </w:rPr>
        <w:t>不按要求落实检查、保障工作</w:t>
      </w:r>
      <w:r>
        <w:rPr>
          <w:rFonts w:hint="eastAsia" w:ascii="仿宋" w:hAnsi="仿宋" w:eastAsia="仿宋" w:cs="仿宋"/>
          <w:strike w:val="0"/>
          <w:dstrike w:val="0"/>
          <w:color w:val="auto"/>
          <w:sz w:val="28"/>
          <w:szCs w:val="28"/>
          <w:highlight w:val="none"/>
          <w:u w:val="none" w:color="auto"/>
        </w:rPr>
        <w:t>的，每次扣1分</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rPr>
        <w:t>未配备井盖开启设施、应急维护设施的，发现一次扣0.2分。</w:t>
      </w:r>
    </w:p>
    <w:p>
      <w:pPr>
        <w:keepNext w:val="0"/>
        <w:keepLines w:val="0"/>
        <w:pageBreakBefore w:val="0"/>
        <w:widowControl w:val="0"/>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（4）巡查频率</w:t>
      </w:r>
      <w:r>
        <w:rPr>
          <w:rFonts w:hint="eastAsia" w:ascii="仿宋" w:hAnsi="仿宋" w:eastAsia="仿宋" w:cs="仿宋"/>
          <w:color w:val="auto"/>
          <w:sz w:val="28"/>
          <w:szCs w:val="28"/>
          <w:highlight w:val="none"/>
          <w:lang w:val="en-US" w:eastAsia="zh-CN"/>
        </w:rPr>
        <w:t>需求</w:t>
      </w:r>
      <w:r>
        <w:rPr>
          <w:rFonts w:hint="eastAsia" w:ascii="仿宋" w:hAnsi="仿宋" w:eastAsia="仿宋" w:cs="仿宋"/>
          <w:color w:val="auto"/>
          <w:sz w:val="28"/>
          <w:szCs w:val="28"/>
          <w:highlight w:val="none"/>
        </w:rPr>
        <w:t>。根据城市管理需要将各镇、街数字城管覆盖范围内的城市道路（包括道路周边绿化、河道）具体分为一类道路、二类道路、三类道路（详见附表）、</w:t>
      </w:r>
      <w:r>
        <w:rPr>
          <w:rFonts w:hint="eastAsia" w:ascii="仿宋" w:hAnsi="仿宋" w:eastAsia="仿宋" w:cs="仿宋"/>
          <w:color w:val="auto"/>
          <w:sz w:val="28"/>
          <w:szCs w:val="28"/>
          <w:highlight w:val="none"/>
          <w:lang w:val="en-US" w:eastAsia="zh-CN"/>
        </w:rPr>
        <w:t>其他道路</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sz w:val="28"/>
          <w:szCs w:val="28"/>
          <w:highlight w:val="none"/>
          <w:u w:val="none" w:color="auto"/>
          <w:lang w:val="en-US" w:eastAsia="zh-CN"/>
        </w:rPr>
        <w:t>非城市化管理范围内国、省、县道，村社道路</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一类</w:t>
      </w:r>
      <w:r>
        <w:rPr>
          <w:rFonts w:hint="eastAsia" w:ascii="仿宋" w:hAnsi="仿宋" w:eastAsia="仿宋" w:cs="仿宋"/>
          <w:color w:val="auto"/>
          <w:sz w:val="28"/>
          <w:szCs w:val="28"/>
          <w:highlight w:val="none"/>
        </w:rPr>
        <w:t>道路每天徒步巡查3次</w:t>
      </w:r>
      <w:r>
        <w:rPr>
          <w:rFonts w:hint="eastAsia" w:ascii="仿宋" w:hAnsi="仿宋" w:eastAsia="仿宋" w:cs="仿宋"/>
          <w:color w:val="auto"/>
          <w:sz w:val="28"/>
          <w:szCs w:val="28"/>
          <w:highlight w:val="none"/>
          <w:lang w:eastAsia="zh-CN"/>
        </w:rPr>
        <w:t>（上午、下午、晚上，各一次）</w:t>
      </w:r>
      <w:r>
        <w:rPr>
          <w:rFonts w:hint="eastAsia" w:ascii="仿宋" w:hAnsi="仿宋" w:eastAsia="仿宋" w:cs="仿宋"/>
          <w:color w:val="auto"/>
          <w:sz w:val="28"/>
          <w:szCs w:val="28"/>
          <w:highlight w:val="none"/>
        </w:rPr>
        <w:t>，电瓶车骑行巡查3次</w:t>
      </w:r>
      <w:r>
        <w:rPr>
          <w:rFonts w:hint="eastAsia" w:ascii="仿宋" w:hAnsi="仿宋" w:eastAsia="仿宋" w:cs="仿宋"/>
          <w:color w:val="auto"/>
          <w:sz w:val="28"/>
          <w:szCs w:val="28"/>
          <w:highlight w:val="none"/>
          <w:lang w:eastAsia="zh-CN"/>
        </w:rPr>
        <w:t>（上午、下午、晚上各一次）。</w:t>
      </w:r>
      <w:r>
        <w:rPr>
          <w:rFonts w:hint="eastAsia" w:ascii="仿宋" w:hAnsi="仿宋" w:eastAsia="仿宋" w:cs="仿宋"/>
          <w:color w:val="auto"/>
          <w:sz w:val="28"/>
          <w:szCs w:val="28"/>
          <w:highlight w:val="none"/>
          <w:lang w:val="en-US" w:eastAsia="zh-CN"/>
        </w:rPr>
        <w:t>二、三类</w:t>
      </w:r>
      <w:r>
        <w:rPr>
          <w:rFonts w:hint="eastAsia" w:ascii="仿宋" w:hAnsi="仿宋" w:eastAsia="仿宋" w:cs="仿宋"/>
          <w:color w:val="auto"/>
          <w:sz w:val="28"/>
          <w:szCs w:val="28"/>
          <w:highlight w:val="none"/>
        </w:rPr>
        <w:t>道路徒步巡查2次</w:t>
      </w:r>
      <w:r>
        <w:rPr>
          <w:rFonts w:hint="eastAsia" w:ascii="仿宋" w:hAnsi="仿宋" w:eastAsia="仿宋" w:cs="仿宋"/>
          <w:color w:val="auto"/>
          <w:sz w:val="28"/>
          <w:szCs w:val="28"/>
          <w:highlight w:val="none"/>
          <w:lang w:eastAsia="zh-CN"/>
        </w:rPr>
        <w:t>（上午、下午各一次）</w:t>
      </w:r>
      <w:r>
        <w:rPr>
          <w:rFonts w:hint="eastAsia" w:ascii="仿宋" w:hAnsi="仿宋" w:eastAsia="仿宋" w:cs="仿宋"/>
          <w:color w:val="auto"/>
          <w:sz w:val="28"/>
          <w:szCs w:val="28"/>
          <w:highlight w:val="none"/>
        </w:rPr>
        <w:t>，电瓶车骑行巡查3次</w:t>
      </w:r>
      <w:r>
        <w:rPr>
          <w:rFonts w:hint="eastAsia" w:ascii="仿宋" w:hAnsi="仿宋" w:eastAsia="仿宋" w:cs="仿宋"/>
          <w:color w:val="auto"/>
          <w:sz w:val="28"/>
          <w:szCs w:val="28"/>
          <w:highlight w:val="none"/>
          <w:lang w:eastAsia="zh-CN"/>
        </w:rPr>
        <w:t>（上午、下午、晚上各一次）。</w:t>
      </w:r>
      <w:r>
        <w:rPr>
          <w:rFonts w:hint="eastAsia" w:ascii="仿宋" w:hAnsi="仿宋" w:eastAsia="仿宋" w:cs="仿宋"/>
          <w:color w:val="auto"/>
          <w:sz w:val="28"/>
          <w:szCs w:val="28"/>
          <w:highlight w:val="none"/>
        </w:rPr>
        <w:t>绿化及河道骑行巡查1次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none" w:color="auto"/>
          <w:lang w:val="en-US" w:eastAsia="zh-CN"/>
        </w:rPr>
        <w:t>其他道路</w:t>
      </w:r>
      <w:r>
        <w:rPr>
          <w:rFonts w:hint="eastAsia" w:ascii="仿宋" w:hAnsi="仿宋" w:eastAsia="仿宋" w:cs="仿宋"/>
          <w:color w:val="auto"/>
          <w:sz w:val="28"/>
          <w:szCs w:val="28"/>
          <w:highlight w:val="none"/>
          <w:u w:val="none" w:color="auto"/>
        </w:rPr>
        <w:t>每天</w:t>
      </w:r>
      <w:r>
        <w:rPr>
          <w:rFonts w:hint="eastAsia" w:ascii="仿宋" w:hAnsi="仿宋" w:eastAsia="仿宋" w:cs="仿宋"/>
          <w:color w:val="auto"/>
          <w:sz w:val="28"/>
          <w:szCs w:val="28"/>
          <w:highlight w:val="none"/>
          <w:u w:val="none" w:color="auto"/>
          <w:lang w:val="en-US" w:eastAsia="zh-CN"/>
        </w:rPr>
        <w:t>非机动车骑行</w:t>
      </w:r>
      <w:r>
        <w:rPr>
          <w:rFonts w:hint="eastAsia" w:ascii="仿宋" w:hAnsi="仿宋" w:eastAsia="仿宋" w:cs="仿宋"/>
          <w:color w:val="auto"/>
          <w:sz w:val="28"/>
          <w:szCs w:val="28"/>
          <w:highlight w:val="none"/>
          <w:u w:val="none" w:color="auto"/>
        </w:rPr>
        <w:t>巡查不少于</w:t>
      </w:r>
      <w:r>
        <w:rPr>
          <w:rFonts w:hint="eastAsia" w:ascii="仿宋" w:hAnsi="仿宋" w:eastAsia="仿宋" w:cs="仿宋"/>
          <w:color w:val="auto"/>
          <w:sz w:val="28"/>
          <w:szCs w:val="28"/>
          <w:highlight w:val="none"/>
          <w:u w:val="none" w:color="auto"/>
          <w:lang w:val="en-US" w:eastAsia="zh-CN"/>
        </w:rPr>
        <w:t>2</w:t>
      </w:r>
      <w:r>
        <w:rPr>
          <w:rFonts w:hint="eastAsia" w:ascii="仿宋" w:hAnsi="仿宋" w:eastAsia="仿宋" w:cs="仿宋"/>
          <w:color w:val="auto"/>
          <w:sz w:val="28"/>
          <w:szCs w:val="28"/>
          <w:highlight w:val="none"/>
          <w:u w:val="none" w:color="auto"/>
        </w:rPr>
        <w:t>次</w:t>
      </w:r>
      <w:r>
        <w:rPr>
          <w:rFonts w:hint="eastAsia" w:ascii="仿宋" w:hAnsi="仿宋" w:eastAsia="仿宋" w:cs="仿宋"/>
          <w:color w:val="auto"/>
          <w:sz w:val="28"/>
          <w:szCs w:val="28"/>
          <w:highlight w:val="none"/>
          <w:u w:val="none" w:color="auto"/>
          <w:lang w:eastAsia="zh-CN"/>
        </w:rPr>
        <w:t>；</w:t>
      </w:r>
      <w:r>
        <w:rPr>
          <w:rFonts w:hint="eastAsia" w:ascii="仿宋" w:hAnsi="仿宋" w:eastAsia="仿宋" w:cs="仿宋"/>
          <w:color w:val="auto"/>
          <w:sz w:val="28"/>
          <w:szCs w:val="28"/>
          <w:highlight w:val="none"/>
          <w:u w:val="none" w:color="auto"/>
          <w:lang w:val="en-US" w:eastAsia="zh-CN"/>
        </w:rPr>
        <w:t>有</w:t>
      </w:r>
      <w:r>
        <w:rPr>
          <w:rFonts w:hint="eastAsia" w:ascii="仿宋" w:hAnsi="仿宋" w:eastAsia="仿宋" w:cs="仿宋"/>
          <w:color w:val="auto"/>
          <w:sz w:val="28"/>
          <w:szCs w:val="28"/>
          <w:highlight w:val="none"/>
          <w:lang w:eastAsia="zh-CN"/>
        </w:rPr>
        <w:t>监控</w:t>
      </w:r>
      <w:r>
        <w:rPr>
          <w:rFonts w:hint="eastAsia" w:ascii="仿宋" w:hAnsi="仿宋" w:eastAsia="仿宋" w:cs="仿宋"/>
          <w:color w:val="auto"/>
          <w:sz w:val="28"/>
          <w:szCs w:val="28"/>
          <w:highlight w:val="none"/>
          <w:lang w:val="en-US" w:eastAsia="zh-CN"/>
        </w:rPr>
        <w:t>道路每天监控巡查</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lang w:val="en-US" w:eastAsia="zh-CN"/>
        </w:rPr>
        <w:t>1次；</w:t>
      </w:r>
      <w:r>
        <w:rPr>
          <w:rFonts w:hint="eastAsia" w:ascii="仿宋" w:hAnsi="仿宋" w:eastAsia="仿宋" w:cs="仿宋"/>
          <w:strike w:val="0"/>
          <w:dstrike w:val="0"/>
          <w:color w:val="auto"/>
          <w:sz w:val="28"/>
          <w:szCs w:val="28"/>
          <w:highlight w:val="none"/>
          <w:u w:val="none" w:color="auto"/>
        </w:rPr>
        <w:t>行人、非机动车不能进入的高架、立交桥、快速路等区域使用机动车巡查</w:t>
      </w:r>
      <w:r>
        <w:rPr>
          <w:rFonts w:hint="eastAsia" w:ascii="仿宋" w:hAnsi="仿宋" w:eastAsia="仿宋" w:cs="仿宋"/>
          <w:strike w:val="0"/>
          <w:dstrike w:val="0"/>
          <w:color w:val="auto"/>
          <w:sz w:val="28"/>
          <w:szCs w:val="28"/>
          <w:highlight w:val="none"/>
          <w:u w:val="none" w:color="auto"/>
          <w:lang w:eastAsia="zh-CN"/>
        </w:rPr>
        <w:t>，</w:t>
      </w:r>
      <w:r>
        <w:rPr>
          <w:rFonts w:hint="eastAsia" w:ascii="仿宋" w:hAnsi="仿宋" w:eastAsia="仿宋" w:cs="仿宋"/>
          <w:strike w:val="0"/>
          <w:dstrike w:val="0"/>
          <w:color w:val="auto"/>
          <w:sz w:val="28"/>
          <w:szCs w:val="28"/>
          <w:highlight w:val="none"/>
          <w:u w:val="none" w:color="auto"/>
          <w:lang w:val="en-US" w:eastAsia="zh-CN"/>
        </w:rPr>
        <w:t>每天不少于1次；铁路、高架、河湖堤坝沿线等人工巡查难度较大区域使用无人机巡查，每天起降不少于4次，可用视频数据时长不少于2小时。</w:t>
      </w:r>
      <w:r>
        <w:rPr>
          <w:rFonts w:hint="eastAsia" w:ascii="仿宋" w:hAnsi="仿宋" w:eastAsia="仿宋" w:cs="仿宋"/>
          <w:color w:val="auto"/>
          <w:sz w:val="28"/>
          <w:szCs w:val="28"/>
          <w:highlight w:val="none"/>
        </w:rPr>
        <w:t>巡查频率不符合要求的，每发现一次扣0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集质量。应严格按事、部件标准实行“全视野”采集。采集（立案）、核实（查）差错每发现一起，每次扣0.2分；被上级主管部门扣分或给问题处置带来重大影响的，每件扣1分；在规定的处置时限内，同一个问题重复上报，被处置单位投诉的，每发生一起扣0.2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及时回复。采集员必须根据核实（查）指令要求，在限定时间内回复。核查时间为：突发事件必须在半小时内完成，其他事件、部件问题必须在1小时内完成。核实（查）回复不及时的，每发现一次扣0.2分，被上级主管部门扣分或</w:t>
      </w:r>
      <w:r>
        <w:rPr>
          <w:rFonts w:hint="eastAsia" w:ascii="仿宋" w:hAnsi="仿宋" w:eastAsia="仿宋" w:cs="仿宋"/>
          <w:color w:val="auto"/>
          <w:sz w:val="28"/>
          <w:szCs w:val="28"/>
          <w:highlight w:val="none"/>
          <w:lang w:eastAsia="zh-CN"/>
        </w:rPr>
        <w:t>造成</w:t>
      </w:r>
      <w:r>
        <w:rPr>
          <w:rFonts w:hint="eastAsia" w:ascii="仿宋" w:hAnsi="仿宋" w:eastAsia="仿宋" w:cs="仿宋"/>
          <w:color w:val="auto"/>
          <w:sz w:val="28"/>
          <w:szCs w:val="28"/>
          <w:highlight w:val="none"/>
        </w:rPr>
        <w:t>问题处置</w:t>
      </w:r>
      <w:r>
        <w:rPr>
          <w:rFonts w:hint="eastAsia" w:ascii="仿宋" w:hAnsi="仿宋" w:eastAsia="仿宋" w:cs="仿宋"/>
          <w:color w:val="auto"/>
          <w:sz w:val="28"/>
          <w:szCs w:val="28"/>
          <w:highlight w:val="none"/>
          <w:lang w:eastAsia="zh-CN"/>
        </w:rPr>
        <w:t>被动被投诉</w:t>
      </w:r>
      <w:r>
        <w:rPr>
          <w:rFonts w:hint="eastAsia" w:ascii="仿宋" w:hAnsi="仿宋" w:eastAsia="仿宋" w:cs="仿宋"/>
          <w:color w:val="auto"/>
          <w:sz w:val="28"/>
          <w:szCs w:val="28"/>
          <w:highlight w:val="none"/>
        </w:rPr>
        <w:t>的，每件扣1分。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（7）控制漏报。工作区域内所有事、部件问题应第一时间上报，因不及时上报而构成漏报事实的，将按以下标准计扣：由指挥中心和</w:t>
      </w:r>
      <w:r>
        <w:rPr>
          <w:rFonts w:hint="eastAsia" w:ascii="仿宋" w:hAnsi="仿宋" w:eastAsia="仿宋" w:cs="仿宋"/>
          <w:color w:val="auto"/>
          <w:sz w:val="28"/>
          <w:szCs w:val="28"/>
          <w:highlight w:val="none"/>
          <w:lang w:eastAsia="zh-CN"/>
        </w:rPr>
        <w:t>区级及以下</w:t>
      </w:r>
      <w:r>
        <w:rPr>
          <w:rFonts w:hint="eastAsia" w:ascii="仿宋" w:hAnsi="仿宋" w:eastAsia="仿宋" w:cs="仿宋"/>
          <w:color w:val="auto"/>
          <w:sz w:val="28"/>
          <w:szCs w:val="28"/>
          <w:highlight w:val="none"/>
        </w:rPr>
        <w:t>相关部门巡查</w:t>
      </w:r>
      <w:r>
        <w:rPr>
          <w:rFonts w:hint="eastAsia" w:ascii="仿宋" w:hAnsi="仿宋" w:eastAsia="仿宋" w:cs="仿宋"/>
          <w:color w:val="auto"/>
          <w:sz w:val="28"/>
          <w:szCs w:val="28"/>
          <w:highlight w:val="none"/>
          <w:lang w:eastAsia="zh-CN"/>
        </w:rPr>
        <w:t>发现，经</w:t>
      </w:r>
      <w:r>
        <w:rPr>
          <w:rFonts w:hint="eastAsia" w:ascii="仿宋" w:hAnsi="仿宋" w:eastAsia="仿宋" w:cs="仿宋"/>
          <w:color w:val="auto"/>
          <w:sz w:val="28"/>
          <w:szCs w:val="28"/>
          <w:highlight w:val="none"/>
        </w:rPr>
        <w:t>校核确认为漏报的，每件扣0.2分；市民投诉、市级部门检查</w:t>
      </w:r>
      <w:r>
        <w:rPr>
          <w:rFonts w:hint="eastAsia" w:ascii="仿宋" w:hAnsi="仿宋" w:eastAsia="仿宋" w:cs="仿宋"/>
          <w:color w:val="auto"/>
          <w:sz w:val="28"/>
          <w:szCs w:val="28"/>
          <w:highlight w:val="none"/>
          <w:lang w:eastAsia="zh-CN"/>
        </w:rPr>
        <w:t>发现，经</w:t>
      </w:r>
      <w:r>
        <w:rPr>
          <w:rFonts w:hint="eastAsia" w:ascii="仿宋" w:hAnsi="仿宋" w:eastAsia="仿宋" w:cs="仿宋"/>
          <w:color w:val="auto"/>
          <w:sz w:val="28"/>
          <w:szCs w:val="28"/>
          <w:highlight w:val="none"/>
        </w:rPr>
        <w:t>校核后确认为漏报的，每件扣0.4分；媒体曝光、领导批示</w:t>
      </w:r>
      <w:r>
        <w:rPr>
          <w:rFonts w:hint="eastAsia" w:ascii="仿宋" w:hAnsi="仿宋" w:eastAsia="仿宋" w:cs="仿宋"/>
          <w:color w:val="auto"/>
          <w:sz w:val="28"/>
          <w:szCs w:val="28"/>
          <w:highlight w:val="none"/>
          <w:lang w:eastAsia="zh-CN"/>
        </w:rPr>
        <w:t>，经</w:t>
      </w:r>
      <w:r>
        <w:rPr>
          <w:rFonts w:hint="eastAsia" w:ascii="仿宋" w:hAnsi="仿宋" w:eastAsia="仿宋" w:cs="仿宋"/>
          <w:color w:val="auto"/>
          <w:sz w:val="28"/>
          <w:szCs w:val="28"/>
          <w:highlight w:val="none"/>
        </w:rPr>
        <w:t xml:space="preserve">校核后确认为漏报的，每件扣1分； </w:t>
      </w:r>
    </w:p>
    <w:p>
      <w:pPr>
        <w:keepNext w:val="0"/>
        <w:keepLines w:val="0"/>
        <w:pageBreakBefore w:val="0"/>
        <w:tabs>
          <w:tab w:val="left" w:pos="6300"/>
        </w:tabs>
        <w:kinsoku/>
        <w:wordWrap/>
        <w:topLinePunct w:val="0"/>
        <w:bidi w:val="0"/>
        <w:adjustRightInd w:val="0"/>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（8）简易处置。采集员应对情节轻微且力所能及的问题实施简易处置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对存在安全隐患的问题进行简易维护。</w:t>
      </w:r>
      <w:r>
        <w:rPr>
          <w:rFonts w:hint="eastAsia" w:ascii="仿宋" w:hAnsi="仿宋" w:eastAsia="仿宋" w:cs="仿宋"/>
          <w:color w:val="auto"/>
          <w:sz w:val="28"/>
          <w:szCs w:val="28"/>
          <w:highlight w:val="none"/>
        </w:rPr>
        <w:t>如出现采集员漠视城市管理轻微问题</w:t>
      </w:r>
      <w:r>
        <w:rPr>
          <w:rFonts w:hint="eastAsia" w:ascii="仿宋" w:hAnsi="仿宋" w:eastAsia="仿宋" w:cs="仿宋"/>
          <w:color w:val="auto"/>
          <w:sz w:val="28"/>
          <w:szCs w:val="28"/>
          <w:highlight w:val="none"/>
          <w:lang w:val="en-US" w:eastAsia="zh-CN"/>
        </w:rPr>
        <w:t>及安全隐患问题</w:t>
      </w:r>
      <w:r>
        <w:rPr>
          <w:rFonts w:hint="eastAsia" w:ascii="仿宋" w:hAnsi="仿宋" w:eastAsia="仿宋" w:cs="仿宋"/>
          <w:color w:val="auto"/>
          <w:sz w:val="28"/>
          <w:szCs w:val="28"/>
          <w:highlight w:val="none"/>
        </w:rPr>
        <w:t>的，核查属实的每次扣0.1分。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（9）普查保障。应保质保量完成数字城管普查任务，并按要求承担完成城市管理考核普查任务及其他甲方交办的普查任务，未按规定完成普查任务的，每次扣1分。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人员</w:t>
      </w:r>
      <w:r>
        <w:rPr>
          <w:rFonts w:hint="eastAsia" w:ascii="仿宋" w:hAnsi="仿宋" w:eastAsia="仿宋" w:cs="仿宋"/>
          <w:color w:val="auto"/>
          <w:sz w:val="28"/>
          <w:szCs w:val="28"/>
          <w:highlight w:val="none"/>
        </w:rPr>
        <w:t>管理。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①采集员和项目负责人不得擅自变更。如采集员管理、配置违反“三定（定采集员、定采集器、定巡查区域）”要求，每次扣0.2分；如采集员“三定”有变更，</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应提前以书面形式告知采购人，如擅自变更，每次扣0.2分；项目负责人如需变更或暂离岗位的，</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应提前以书面形式告知采购人并做好工作对接，且暂离不得超过5天。如擅自变更、暂离或暂离超过期限的，每次扣2分；项目负责人应定期参加甲方组织的信息采集会议，无故不参加的，每次扣1分。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②采集</w:t>
      </w:r>
      <w:r>
        <w:rPr>
          <w:rFonts w:hint="eastAsia" w:ascii="仿宋" w:hAnsi="仿宋" w:eastAsia="仿宋" w:cs="仿宋"/>
          <w:color w:val="auto"/>
          <w:sz w:val="28"/>
          <w:szCs w:val="28"/>
          <w:highlight w:val="none"/>
          <w:lang w:val="en-US" w:eastAsia="zh-CN"/>
        </w:rPr>
        <w:t>工作人员</w:t>
      </w:r>
      <w:r>
        <w:rPr>
          <w:rFonts w:hint="eastAsia" w:ascii="仿宋" w:hAnsi="仿宋" w:eastAsia="仿宋" w:cs="仿宋"/>
          <w:color w:val="auto"/>
          <w:sz w:val="28"/>
          <w:szCs w:val="28"/>
          <w:highlight w:val="none"/>
        </w:rPr>
        <w:t>必须持证上岗。采集公司应组织</w:t>
      </w:r>
      <w:r>
        <w:rPr>
          <w:rFonts w:hint="eastAsia" w:ascii="仿宋" w:hAnsi="仿宋" w:eastAsia="仿宋" w:cs="仿宋"/>
          <w:color w:val="auto"/>
          <w:sz w:val="28"/>
          <w:szCs w:val="28"/>
          <w:highlight w:val="none"/>
          <w:lang w:val="en-US" w:eastAsia="zh-CN"/>
        </w:rPr>
        <w:t>采集工作人员</w:t>
      </w:r>
      <w:r>
        <w:rPr>
          <w:rFonts w:hint="eastAsia" w:ascii="仿宋" w:hAnsi="仿宋" w:eastAsia="仿宋" w:cs="仿宋"/>
          <w:color w:val="auto"/>
          <w:sz w:val="28"/>
          <w:szCs w:val="28"/>
          <w:highlight w:val="none"/>
        </w:rPr>
        <w:t xml:space="preserve">进行岗前培训，合格后配发上岗证，未经培训取得上岗资格或未持证从事采集工作，每次扣0.4分；如采集行为发生有责投诉、采集员越级上访，每次扣1分。 </w:t>
      </w:r>
    </w:p>
    <w:p>
      <w:pPr>
        <w:pStyle w:val="81"/>
        <w:keepNext w:val="0"/>
        <w:keepLines w:val="0"/>
        <w:pageBreakBefore w:val="0"/>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u w:val="none" w:color="auto"/>
          <w:lang w:val="en-US" w:eastAsia="zh-CN"/>
        </w:rPr>
      </w:pPr>
      <w:r>
        <w:rPr>
          <w:rFonts w:hint="eastAsia" w:ascii="仿宋" w:hAnsi="仿宋" w:eastAsia="仿宋" w:cs="仿宋"/>
          <w:color w:val="auto"/>
          <w:sz w:val="28"/>
          <w:szCs w:val="28"/>
          <w:highlight w:val="none"/>
          <w:u w:val="none" w:color="auto"/>
        </w:rPr>
        <w:t>③</w:t>
      </w:r>
      <w:r>
        <w:rPr>
          <w:rFonts w:hint="eastAsia" w:ascii="仿宋" w:hAnsi="仿宋" w:eastAsia="仿宋" w:cs="仿宋"/>
          <w:color w:val="auto"/>
          <w:sz w:val="28"/>
          <w:szCs w:val="28"/>
          <w:highlight w:val="none"/>
          <w:u w:val="none" w:color="auto"/>
          <w:lang w:val="en-US" w:eastAsia="zh-CN"/>
        </w:rPr>
        <w:t>无人机机组至少配备1名民航部门认可的超视距操作人员，飞行路线符合民航部门空域管理规定，确保合法飞行。发现因存在违法行为被相关部门查处的，每次扣1分。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遵守国家法律法规和工作制度。因采集</w:t>
      </w:r>
      <w:r>
        <w:rPr>
          <w:rFonts w:hint="eastAsia" w:ascii="仿宋" w:hAnsi="仿宋" w:eastAsia="仿宋" w:cs="仿宋"/>
          <w:color w:val="auto"/>
          <w:sz w:val="28"/>
          <w:szCs w:val="28"/>
          <w:highlight w:val="none"/>
          <w:lang w:val="en-US" w:eastAsia="zh-CN"/>
        </w:rPr>
        <w:t>工作人员</w:t>
      </w:r>
      <w:r>
        <w:rPr>
          <w:rFonts w:hint="eastAsia" w:ascii="仿宋" w:hAnsi="仿宋" w:eastAsia="仿宋" w:cs="仿宋"/>
          <w:color w:val="auto"/>
          <w:sz w:val="28"/>
          <w:szCs w:val="28"/>
          <w:highlight w:val="none"/>
        </w:rPr>
        <w:t>违法国家法律、法规及公司工作制度上报虚假信息，发生有责纠纷的，一经查实，每次扣</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分，造成严重影响的，采购人有权中止双方合同。</w:t>
      </w:r>
    </w:p>
    <w:p>
      <w:pPr>
        <w:keepNext w:val="0"/>
        <w:keepLines w:val="0"/>
        <w:pageBreakBefore w:val="0"/>
        <w:tabs>
          <w:tab w:val="left" w:pos="6300"/>
        </w:tabs>
        <w:kinsoku/>
        <w:wordWrap/>
        <w:topLinePunct w:val="0"/>
        <w:bidi w:val="0"/>
        <w:adjustRightInd w:val="0"/>
        <w:snapToGrid/>
        <w:spacing w:line="360" w:lineRule="auto"/>
        <w:ind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⑤承诺为员工购买 “五险一金”和交通意外险。</w:t>
      </w:r>
    </w:p>
    <w:p>
      <w:pPr>
        <w:pStyle w:val="81"/>
        <w:keepNext w:val="0"/>
        <w:keepLines w:val="0"/>
        <w:pageBreakBefore w:val="0"/>
        <w:numPr>
          <w:ilvl w:val="0"/>
          <w:numId w:val="0"/>
        </w:numPr>
        <w:kinsoku/>
        <w:wordWrap/>
        <w:topLinePunct w:val="0"/>
        <w:bidi w:val="0"/>
        <w:adjustRightInd w:val="0"/>
        <w:snapToGrid/>
        <w:spacing w:line="360" w:lineRule="auto"/>
        <w:ind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⑥承诺员工工资月均实际收入不低于当年杭州市最低工资标准数额。</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（11）做好装备、设备的管理，保证功能的正常发挥。因设备维护不到位影响正常工作的 （扣除因不可抗拒力所引起的故障），每发现一次扣0.2分。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（12）加分项。</w:t>
      </w:r>
    </w:p>
    <w:p>
      <w:pPr>
        <w:keepNext w:val="0"/>
        <w:keepLines w:val="0"/>
        <w:pageBreakBefore w:val="0"/>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①正面宣传。提供相关宣传素材，被各级媒体或上级机关报道录用的给予一定加分，其中被区级媒体或机关录用的，每次加0.1分；被市级以上媒体或机关录用的每次加0.2分。</w:t>
      </w:r>
    </w:p>
    <w:p>
      <w:pPr>
        <w:keepNext w:val="0"/>
        <w:keepLines w:val="0"/>
        <w:pageBreakBefore w:val="0"/>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②应急保障。防汛防台、抗雪防冻等应急抢险或重大保障过程中，因表现出色被</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表彰的，每次加0.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p>
      <w:pPr>
        <w:keepNext w:val="0"/>
        <w:keepLines w:val="0"/>
        <w:pageBreakBefore w:val="0"/>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u w:val="none" w:color="auto"/>
        </w:rPr>
        <w:t>③</w:t>
      </w:r>
      <w:r>
        <w:rPr>
          <w:rFonts w:hint="eastAsia" w:ascii="仿宋" w:hAnsi="仿宋" w:eastAsia="仿宋" w:cs="仿宋"/>
          <w:color w:val="auto"/>
          <w:sz w:val="28"/>
          <w:szCs w:val="28"/>
          <w:highlight w:val="none"/>
          <w:u w:val="none" w:color="auto"/>
          <w:lang w:val="en-US" w:eastAsia="zh-CN"/>
        </w:rPr>
        <w:t>安全</w:t>
      </w:r>
      <w:r>
        <w:rPr>
          <w:rFonts w:hint="eastAsia" w:ascii="仿宋" w:hAnsi="仿宋" w:eastAsia="仿宋" w:cs="仿宋"/>
          <w:color w:val="auto"/>
          <w:sz w:val="28"/>
          <w:szCs w:val="28"/>
          <w:highlight w:val="none"/>
          <w:u w:val="none" w:color="auto"/>
        </w:rPr>
        <w:t>隐患上报。针对突发的影响市民人身安全的城市管理问题，第一时间向有关部门反映信息，做好简易维护，</w:t>
      </w:r>
      <w:r>
        <w:rPr>
          <w:rFonts w:hint="eastAsia" w:ascii="仿宋" w:hAnsi="仿宋" w:eastAsia="仿宋" w:cs="仿宋"/>
          <w:color w:val="auto"/>
          <w:sz w:val="28"/>
          <w:szCs w:val="28"/>
          <w:highlight w:val="none"/>
          <w:u w:val="none" w:color="auto"/>
          <w:lang w:val="en-US" w:eastAsia="zh-CN"/>
        </w:rPr>
        <w:t>经甲方录用的</w:t>
      </w:r>
      <w:r>
        <w:rPr>
          <w:rFonts w:hint="eastAsia" w:ascii="仿宋" w:hAnsi="仿宋" w:eastAsia="仿宋" w:cs="仿宋"/>
          <w:color w:val="auto"/>
          <w:sz w:val="28"/>
          <w:szCs w:val="28"/>
          <w:highlight w:val="none"/>
          <w:u w:val="none" w:color="auto"/>
        </w:rPr>
        <w:t>，每次加0.</w:t>
      </w:r>
      <w:r>
        <w:rPr>
          <w:rFonts w:hint="eastAsia" w:ascii="仿宋" w:hAnsi="仿宋" w:eastAsia="仿宋" w:cs="仿宋"/>
          <w:color w:val="auto"/>
          <w:sz w:val="28"/>
          <w:szCs w:val="28"/>
          <w:highlight w:val="none"/>
          <w:u w:val="none" w:color="auto"/>
          <w:lang w:val="en-US" w:eastAsia="zh-CN"/>
        </w:rPr>
        <w:t>1</w:t>
      </w:r>
      <w:r>
        <w:rPr>
          <w:rFonts w:hint="eastAsia" w:ascii="仿宋" w:hAnsi="仿宋" w:eastAsia="仿宋" w:cs="仿宋"/>
          <w:color w:val="auto"/>
          <w:sz w:val="28"/>
          <w:szCs w:val="28"/>
          <w:highlight w:val="none"/>
          <w:u w:val="none" w:color="auto"/>
        </w:rPr>
        <w:t>分。</w:t>
      </w:r>
    </w:p>
    <w:p>
      <w:pPr>
        <w:keepNext w:val="0"/>
        <w:keepLines w:val="0"/>
        <w:pageBreakBefore w:val="0"/>
        <w:widowControl/>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④月度考核加分项每月不超过5分，月度考核总分不超过100分。</w:t>
      </w:r>
    </w:p>
    <w:p>
      <w:pPr>
        <w:pStyle w:val="81"/>
        <w:keepNext w:val="0"/>
        <w:keepLines w:val="0"/>
        <w:pageBreakBefore w:val="0"/>
        <w:widowControl w:val="0"/>
        <w:numPr>
          <w:ilvl w:val="0"/>
          <w:numId w:val="1"/>
        </w:numPr>
        <w:kinsoku/>
        <w:wordWrap/>
        <w:topLinePunct w:val="0"/>
        <w:bidi w:val="0"/>
        <w:adjustRightInd w:val="0"/>
        <w:snapToGrid/>
        <w:spacing w:line="360" w:lineRule="auto"/>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投标人应具有项目启动能力，具有完备的项目启动方案。</w:t>
      </w:r>
    </w:p>
    <w:p>
      <w:pPr>
        <w:pStyle w:val="81"/>
        <w:keepNext w:val="0"/>
        <w:keepLines w:val="0"/>
        <w:pageBreakBefore w:val="0"/>
        <w:numPr>
          <w:ilvl w:val="0"/>
          <w:numId w:val="1"/>
        </w:numPr>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投标人具有内部管理能力，项目内实行层级管理机制，对各岗位有完备的管理制度及考核办法，并确保员工基础保障符合要求。</w:t>
      </w:r>
    </w:p>
    <w:p>
      <w:pPr>
        <w:pStyle w:val="81"/>
        <w:keepNext w:val="0"/>
        <w:keepLines w:val="0"/>
        <w:pageBreakBefore w:val="0"/>
        <w:numPr>
          <w:ilvl w:val="0"/>
          <w:numId w:val="1"/>
        </w:numPr>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u w:val="none" w:color="auto"/>
          <w:lang w:val="en-US" w:eastAsia="zh-CN"/>
        </w:rPr>
      </w:pPr>
      <w:r>
        <w:rPr>
          <w:rFonts w:hint="eastAsia" w:ascii="仿宋" w:hAnsi="仿宋" w:eastAsia="仿宋" w:cs="仿宋"/>
          <w:color w:val="auto"/>
          <w:sz w:val="28"/>
          <w:szCs w:val="28"/>
          <w:highlight w:val="none"/>
          <w:lang w:val="en-US" w:eastAsia="zh-CN"/>
        </w:rPr>
        <w:t>投标人具有明晰的信息采集方案，人员、设备组成符合采购需</w:t>
      </w:r>
      <w:r>
        <w:rPr>
          <w:rFonts w:hint="eastAsia" w:ascii="仿宋" w:hAnsi="仿宋" w:eastAsia="仿宋" w:cs="仿宋"/>
          <w:color w:val="auto"/>
          <w:sz w:val="28"/>
          <w:szCs w:val="28"/>
          <w:highlight w:val="none"/>
          <w:u w:val="none" w:color="auto"/>
          <w:lang w:val="en-US" w:eastAsia="zh-CN"/>
        </w:rPr>
        <w:t>求。信息采集方案包括采集员及机动车巡查方案、无人机采集方案、重大活动保障方案、监控采集方案、部件设施责任主体确认方案、应急处置方案等。</w:t>
      </w:r>
    </w:p>
    <w:p>
      <w:pPr>
        <w:pStyle w:val="81"/>
        <w:keepNext w:val="0"/>
        <w:keepLines w:val="0"/>
        <w:pageBreakBefore w:val="0"/>
        <w:numPr>
          <w:ilvl w:val="0"/>
          <w:numId w:val="1"/>
        </w:numPr>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投标人应确保所投入的设施设备运行正常，所需备品备件齐全，同时落实好设备管理、维护、报修制度。</w:t>
      </w:r>
    </w:p>
    <w:p>
      <w:pPr>
        <w:pStyle w:val="81"/>
        <w:keepNext w:val="0"/>
        <w:keepLines w:val="0"/>
        <w:pageBreakBefore w:val="0"/>
        <w:numPr>
          <w:ilvl w:val="0"/>
          <w:numId w:val="1"/>
        </w:numPr>
        <w:kinsoku/>
        <w:wordWrap/>
        <w:topLinePunct w:val="0"/>
        <w:bidi w:val="0"/>
        <w:adjustRightInd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投标人具有质量管理能力，针对采集发生的漏报、差错、市民投诉等具有明晰的管理措施，同时开展优秀事迹宣传等工作。</w:t>
      </w:r>
    </w:p>
    <w:p>
      <w:pPr>
        <w:pStyle w:val="81"/>
        <w:keepNext w:val="0"/>
        <w:keepLines w:val="0"/>
        <w:pageBreakBefore w:val="0"/>
        <w:widowControl/>
        <w:numPr>
          <w:ilvl w:val="0"/>
          <w:numId w:val="1"/>
        </w:numPr>
        <w:kinsoku/>
        <w:wordWrap/>
        <w:topLinePunct w:val="0"/>
        <w:bidi w:val="0"/>
        <w:adjustRightInd w:val="0"/>
        <w:snapToGrid/>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投标人应熟悉本项目实施现状及存在的问题点，周期性进行总结优化，并保证落实员工培训制度、应急保障制度，具有解决突发状况的能力。</w:t>
      </w:r>
    </w:p>
    <w:p>
      <w:pPr>
        <w:pStyle w:val="81"/>
        <w:keepNext w:val="0"/>
        <w:keepLines w:val="0"/>
        <w:pageBreakBefore w:val="0"/>
        <w:widowControl/>
        <w:numPr>
          <w:ilvl w:val="0"/>
          <w:numId w:val="1"/>
        </w:numPr>
        <w:kinsoku/>
        <w:wordWrap/>
        <w:topLinePunct w:val="0"/>
        <w:bidi w:val="0"/>
        <w:adjustRightInd w:val="0"/>
        <w:snapToGrid/>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en-US" w:eastAsia="zh-CN"/>
        </w:rPr>
        <w:t>所提供采集器应符合项目需求（运行内存不低于4G，设备内存不低于64G，像素不低于1200万，GPS偏移不超过5米，机龄2年以内），投标人应保证提供足额的采集器，保证采集工作顺利执行。</w:t>
      </w:r>
    </w:p>
    <w:p>
      <w:pPr>
        <w:pStyle w:val="81"/>
        <w:keepNext w:val="0"/>
        <w:keepLines w:val="0"/>
        <w:pageBreakBefore w:val="0"/>
        <w:widowControl/>
        <w:numPr>
          <w:ilvl w:val="0"/>
          <w:numId w:val="1"/>
        </w:numPr>
        <w:kinsoku/>
        <w:wordWrap/>
        <w:topLinePunct w:val="0"/>
        <w:bidi w:val="0"/>
        <w:adjustRightInd w:val="0"/>
        <w:snapToGrid/>
        <w:spacing w:line="360" w:lineRule="auto"/>
        <w:jc w:val="left"/>
        <w:textAlignment w:val="auto"/>
        <w:rPr>
          <w:rFonts w:hint="eastAsia" w:ascii="仿宋" w:hAnsi="仿宋" w:eastAsia="仿宋" w:cs="仿宋"/>
          <w:color w:val="auto"/>
          <w:sz w:val="28"/>
          <w:szCs w:val="28"/>
          <w:highlight w:val="none"/>
          <w:u w:val="none" w:color="auto"/>
          <w:lang w:val="en-US" w:eastAsia="zh-CN"/>
        </w:rPr>
      </w:pPr>
      <w:r>
        <w:rPr>
          <w:rFonts w:hint="eastAsia" w:ascii="仿宋" w:hAnsi="仿宋" w:eastAsia="仿宋" w:cs="仿宋"/>
          <w:color w:val="auto"/>
          <w:sz w:val="28"/>
          <w:szCs w:val="28"/>
          <w:highlight w:val="none"/>
          <w:u w:val="none" w:color="auto"/>
          <w:lang w:val="en-US" w:eastAsia="zh-CN"/>
        </w:rPr>
        <w:t>投标人所承诺自购或租赁的无人机设备，符合以下需求。</w:t>
      </w:r>
    </w:p>
    <w:p>
      <w:pPr>
        <w:pStyle w:val="81"/>
        <w:keepNext w:val="0"/>
        <w:keepLines w:val="0"/>
        <w:pageBreakBefore w:val="0"/>
        <w:widowControl/>
        <w:numPr>
          <w:ilvl w:val="0"/>
          <w:numId w:val="0"/>
        </w:numPr>
        <w:kinsoku/>
        <w:wordWrap/>
        <w:topLinePunct w:val="0"/>
        <w:bidi w:val="0"/>
        <w:adjustRightInd w:val="0"/>
        <w:snapToGrid/>
        <w:spacing w:line="360" w:lineRule="auto"/>
        <w:ind w:firstLine="562" w:firstLineChars="200"/>
        <w:jc w:val="left"/>
        <w:textAlignment w:val="auto"/>
        <w:rPr>
          <w:rFonts w:hint="eastAsia" w:ascii="仿宋" w:hAnsi="仿宋" w:eastAsia="仿宋" w:cs="仿宋"/>
          <w:color w:val="auto"/>
          <w:sz w:val="28"/>
          <w:szCs w:val="28"/>
          <w:highlight w:val="none"/>
          <w:u w:val="none" w:color="auto"/>
          <w:lang w:val="en-US" w:eastAsia="zh-CN"/>
        </w:rPr>
      </w:pPr>
      <w:r>
        <w:rPr>
          <w:rFonts w:hint="eastAsia" w:ascii="仿宋" w:hAnsi="仿宋" w:eastAsia="仿宋" w:cs="仿宋"/>
          <w:b/>
          <w:bCs/>
          <w:color w:val="auto"/>
          <w:sz w:val="28"/>
          <w:szCs w:val="28"/>
          <w:highlight w:val="none"/>
          <w:u w:val="none" w:color="auto"/>
          <w:lang w:val="en-US" w:eastAsia="zh-CN"/>
        </w:rPr>
        <w:t>机动无人机设备标准</w:t>
      </w:r>
      <w:r>
        <w:rPr>
          <w:rFonts w:hint="eastAsia" w:ascii="仿宋" w:hAnsi="仿宋" w:eastAsia="仿宋" w:cs="仿宋"/>
          <w:color w:val="auto"/>
          <w:sz w:val="28"/>
          <w:szCs w:val="28"/>
          <w:highlight w:val="none"/>
          <w:u w:val="none" w:color="auto"/>
          <w:lang w:val="en-US" w:eastAsia="zh-CN"/>
        </w:rPr>
        <w:t>：①具有独立图传网络，确保网络传输稳定，可进行实时图传；②广角像素≥2000万，长焦相机有效像素≥1200万；③最大信号有效距离≥15km；④单电池、单次飞行时间≥35分钟；⑤抗风等级≥6级，确保非极端恶劣天气仍能正常起降工作；</w:t>
      </w:r>
    </w:p>
    <w:p>
      <w:pPr>
        <w:pStyle w:val="81"/>
        <w:keepNext w:val="0"/>
        <w:keepLines w:val="0"/>
        <w:pageBreakBefore w:val="0"/>
        <w:widowControl/>
        <w:numPr>
          <w:ilvl w:val="0"/>
          <w:numId w:val="0"/>
        </w:numPr>
        <w:kinsoku/>
        <w:wordWrap/>
        <w:topLinePunct w:val="0"/>
        <w:bidi w:val="0"/>
        <w:adjustRightInd w:val="0"/>
        <w:snapToGrid/>
        <w:spacing w:line="360" w:lineRule="auto"/>
        <w:ind w:firstLine="562" w:firstLineChars="200"/>
        <w:jc w:val="left"/>
        <w:textAlignment w:val="auto"/>
        <w:rPr>
          <w:rFonts w:hint="eastAsia" w:ascii="仿宋" w:hAnsi="仿宋" w:eastAsia="仿宋" w:cs="仿宋"/>
          <w:color w:val="auto"/>
          <w:sz w:val="28"/>
          <w:szCs w:val="28"/>
          <w:highlight w:val="none"/>
          <w:u w:val="none" w:color="auto"/>
          <w:lang w:val="en-US" w:eastAsia="zh-CN"/>
        </w:rPr>
      </w:pPr>
      <w:r>
        <w:rPr>
          <w:rFonts w:hint="eastAsia" w:ascii="仿宋" w:hAnsi="仿宋" w:eastAsia="仿宋" w:cs="仿宋"/>
          <w:b/>
          <w:bCs/>
          <w:color w:val="auto"/>
          <w:sz w:val="28"/>
          <w:szCs w:val="28"/>
          <w:highlight w:val="none"/>
          <w:u w:val="none" w:color="auto"/>
          <w:lang w:val="en-US" w:eastAsia="zh-CN"/>
        </w:rPr>
        <w:t>无人机机场设备标准（机场+配套无人机</w:t>
      </w:r>
      <w:r>
        <w:rPr>
          <w:rFonts w:hint="eastAsia" w:ascii="仿宋" w:hAnsi="仿宋" w:eastAsia="仿宋" w:cs="仿宋"/>
          <w:color w:val="auto"/>
          <w:sz w:val="28"/>
          <w:szCs w:val="28"/>
          <w:highlight w:val="none"/>
          <w:u w:val="none" w:color="auto"/>
          <w:lang w:val="en-US" w:eastAsia="zh-CN"/>
        </w:rPr>
        <w:t>）：①机场布局合理，能满足所投标段巡查范围全覆盖需要；②无人机机场需具有独立网络、自动落地充电等基础功能；③具备防水、抗冻、耐高温属性，确保非极端恶劣天气仍能正常作业；④支持多种卫星信号，确保日常飞行巡检高机动,能够实时图传；⑤具有临时供电解决方案，续航符合日常飞行采集要求；⑥机场配套无人机变焦像素≥4000万，广角相机有效像素≥1200万，且备有红外摄录技术，确保日、夜间巡查摄录内容符合采集标准；最大信号有效距离≥15km；单组电池飞行时间≥36分钟；抗风等级≥7级，确保非极端恶劣天气仍能正常起降工作；</w:t>
      </w:r>
    </w:p>
    <w:p>
      <w:pPr>
        <w:keepNext w:val="0"/>
        <w:keepLines w:val="0"/>
        <w:pageBreakBefore w:val="0"/>
        <w:widowControl/>
        <w:tabs>
          <w:tab w:val="left" w:pos="6300"/>
        </w:tabs>
        <w:kinsoku/>
        <w:wordWrap/>
        <w:topLinePunct w:val="0"/>
        <w:bidi w:val="0"/>
        <w:adjustRightInd w:val="0"/>
        <w:snapToGrid/>
        <w:spacing w:line="360" w:lineRule="auto"/>
        <w:ind w:firstLine="562" w:firstLineChars="200"/>
        <w:textAlignment w:val="auto"/>
        <w:rPr>
          <w:rFonts w:hint="eastAsia" w:ascii="仿宋" w:hAnsi="仿宋" w:eastAsia="仿宋" w:cs="仿宋"/>
          <w:color w:val="auto"/>
          <w:sz w:val="28"/>
          <w:szCs w:val="28"/>
          <w:highlight w:val="none"/>
          <w:u w:val="thick" w:color="FF0000"/>
          <w:lang w:val="en-US" w:eastAsia="zh-CN"/>
        </w:rPr>
      </w:pPr>
      <w:r>
        <w:rPr>
          <w:rFonts w:hint="eastAsia" w:ascii="仿宋" w:hAnsi="仿宋" w:eastAsia="仿宋" w:cs="仿宋"/>
          <w:b/>
          <w:bCs/>
          <w:color w:val="auto"/>
          <w:sz w:val="28"/>
          <w:szCs w:val="28"/>
          <w:highlight w:val="none"/>
          <w:u w:val="none" w:color="auto"/>
          <w:lang w:val="en-US" w:eastAsia="zh-CN"/>
        </w:rPr>
        <w:t>无人机操作系统配置标准</w:t>
      </w:r>
      <w:r>
        <w:rPr>
          <w:rFonts w:hint="eastAsia" w:ascii="仿宋" w:hAnsi="仿宋" w:eastAsia="仿宋" w:cs="仿宋"/>
          <w:color w:val="auto"/>
          <w:sz w:val="28"/>
          <w:szCs w:val="28"/>
          <w:highlight w:val="none"/>
          <w:u w:val="none" w:color="auto"/>
          <w:lang w:val="en-US" w:eastAsia="zh-CN"/>
        </w:rPr>
        <w:t>：①具有综合指挥功能，可实时监控各设备状态；②可实现预设航线自动飞行与超视距手动飞行功能；③无人机动态数据可接入监管部门系统，确保飞行安全合规。</w:t>
      </w:r>
    </w:p>
    <w:p>
      <w:pPr>
        <w:keepNext w:val="0"/>
        <w:keepLines w:val="0"/>
        <w:pageBreakBefore w:val="0"/>
        <w:widowControl/>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有其他服务承诺，未实际履行的，每发现一次扣1分。</w:t>
      </w:r>
    </w:p>
    <w:p>
      <w:pPr>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）其他事项。</w:t>
      </w:r>
    </w:p>
    <w:p>
      <w:pPr>
        <w:pStyle w:val="33"/>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rPr>
        <w:t>根据采购需求</w:t>
      </w:r>
      <w:r>
        <w:rPr>
          <w:rFonts w:hint="eastAsia" w:ascii="仿宋" w:hAnsi="仿宋" w:eastAsia="仿宋" w:cs="仿宋"/>
          <w:color w:val="auto"/>
          <w:sz w:val="28"/>
          <w:szCs w:val="28"/>
          <w:highlight w:val="none"/>
          <w:lang w:val="en-US" w:eastAsia="zh-CN"/>
        </w:rPr>
        <w:t>制定项目实施方案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w:t>
      </w:r>
      <w:r>
        <w:rPr>
          <w:rFonts w:hint="eastAsia" w:ascii="仿宋" w:hAnsi="仿宋" w:eastAsia="仿宋" w:cs="仿宋"/>
          <w:color w:val="auto"/>
          <w:sz w:val="28"/>
          <w:szCs w:val="28"/>
          <w:highlight w:val="none"/>
        </w:rPr>
        <w:t>前向采购人提供各信息采集员的巡查行径线路</w:t>
      </w:r>
      <w:r>
        <w:rPr>
          <w:rFonts w:hint="eastAsia" w:ascii="仿宋" w:hAnsi="仿宋" w:eastAsia="仿宋" w:cs="仿宋"/>
          <w:color w:val="auto"/>
          <w:sz w:val="28"/>
          <w:szCs w:val="28"/>
          <w:highlight w:val="none"/>
          <w:lang w:val="en-US" w:eastAsia="zh-CN"/>
        </w:rPr>
        <w:t>及无人机巡查航线</w:t>
      </w:r>
      <w:r>
        <w:rPr>
          <w:rFonts w:hint="eastAsia" w:ascii="仿宋" w:hAnsi="仿宋" w:eastAsia="仿宋" w:cs="仿宋"/>
          <w:color w:val="auto"/>
          <w:sz w:val="28"/>
          <w:szCs w:val="28"/>
          <w:highlight w:val="none"/>
        </w:rPr>
        <w:t>。</w:t>
      </w:r>
    </w:p>
    <w:p>
      <w:pPr>
        <w:pStyle w:val="33"/>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按月进行考核，满分为100分，每扣1分，折扣合同款5000元。得分在70分（含）以上的为合格；如出现连续两次不合格的，</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更换项目负责人，累计3次考核不合格的，采购人有权终止合同。</w:t>
      </w:r>
    </w:p>
    <w:p>
      <w:pPr>
        <w:pStyle w:val="33"/>
        <w:keepNext w:val="0"/>
        <w:keepLines w:val="0"/>
        <w:pageBreakBefore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在合同期间，被采购人</w:t>
      </w:r>
      <w:r>
        <w:rPr>
          <w:rFonts w:hint="eastAsia" w:ascii="仿宋" w:hAnsi="仿宋" w:eastAsia="仿宋" w:cs="仿宋"/>
          <w:color w:val="auto"/>
          <w:sz w:val="28"/>
          <w:szCs w:val="28"/>
          <w:highlight w:val="none"/>
          <w:lang w:val="en-US" w:eastAsia="zh-CN"/>
        </w:rPr>
        <w:t>终</w:t>
      </w:r>
      <w:r>
        <w:rPr>
          <w:rFonts w:hint="eastAsia" w:ascii="仿宋" w:hAnsi="仿宋" w:eastAsia="仿宋" w:cs="仿宋"/>
          <w:color w:val="auto"/>
          <w:sz w:val="28"/>
          <w:szCs w:val="28"/>
          <w:highlight w:val="none"/>
        </w:rPr>
        <w:t>止合同的，费用结算至合同</w:t>
      </w:r>
      <w:r>
        <w:rPr>
          <w:rFonts w:hint="eastAsia" w:ascii="仿宋" w:hAnsi="仿宋" w:eastAsia="仿宋" w:cs="仿宋"/>
          <w:color w:val="auto"/>
          <w:sz w:val="28"/>
          <w:szCs w:val="28"/>
          <w:highlight w:val="none"/>
          <w:lang w:val="en-US" w:eastAsia="zh-CN"/>
        </w:rPr>
        <w:t>终</w:t>
      </w:r>
      <w:r>
        <w:rPr>
          <w:rFonts w:hint="eastAsia" w:ascii="仿宋" w:hAnsi="仿宋" w:eastAsia="仿宋" w:cs="仿宋"/>
          <w:color w:val="auto"/>
          <w:sz w:val="28"/>
          <w:szCs w:val="28"/>
          <w:highlight w:val="none"/>
        </w:rPr>
        <w:t>止日，采购人有权追缴预付款、没收履约保证金，由此引起的一切后果由</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承担。</w:t>
      </w:r>
    </w:p>
    <w:p>
      <w:pPr>
        <w:pStyle w:val="33"/>
        <w:keepNext w:val="0"/>
        <w:keepLines w:val="0"/>
        <w:pageBreakBefore w:val="0"/>
        <w:widowControl w:val="0"/>
        <w:tabs>
          <w:tab w:val="left" w:pos="6300"/>
        </w:tabs>
        <w:kinsoku/>
        <w:wordWrap/>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要对所属人员（含劳务外包人员）的工作行为负责，要加强所属人员的教育与培训工作，防止安全事故、违法乱纪事件、有责民事纠纷等现象的发现。所有采集员、管理人员及项目负责人工作中的安全责任以及法律纠纷均由</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自行承担。</w:t>
      </w:r>
    </w:p>
    <w:p>
      <w:pPr>
        <w:pStyle w:val="33"/>
        <w:keepNext w:val="0"/>
        <w:keepLines w:val="0"/>
        <w:pageBreakBefore w:val="0"/>
        <w:widowControl w:val="0"/>
        <w:tabs>
          <w:tab w:val="left" w:pos="6300"/>
        </w:tabs>
        <w:kinsoku/>
        <w:wordWrap/>
        <w:topLinePunct w:val="0"/>
        <w:bidi w:val="0"/>
        <w:adjustRightInd w:val="0"/>
        <w:snapToGrid/>
        <w:spacing w:line="360" w:lineRule="auto"/>
        <w:ind w:firstLine="562" w:firstLineChars="200"/>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.信息采集费的支付</w:t>
      </w:r>
    </w:p>
    <w:p>
      <w:pPr>
        <w:keepNext w:val="0"/>
        <w:keepLines w:val="0"/>
        <w:pageBreakBefore w:val="0"/>
        <w:widowControl w:val="0"/>
        <w:numPr>
          <w:ilvl w:val="0"/>
          <w:numId w:val="0"/>
        </w:numPr>
        <w:kinsoku/>
        <w:wordWrap/>
        <w:topLinePunct w:val="0"/>
        <w:bidi w:val="0"/>
        <w:adjustRightInd/>
        <w:snapToGrid/>
        <w:spacing w:line="360" w:lineRule="auto"/>
        <w:ind w:right="0" w:firstLine="560" w:firstLineChars="200"/>
        <w:jc w:val="left"/>
        <w:textAlignment w:val="auto"/>
        <w:outlineLvl w:val="9"/>
        <w:rPr>
          <w:rFonts w:hint="eastAsia" w:ascii="仿宋" w:hAnsi="仿宋" w:eastAsia="仿宋" w:cs="仿宋"/>
          <w:i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完成项目启动验收后，根据政府财务支付审批流程支付第一笔项目款项，为中标合同金额的50%；合同履行3个月后，</w:t>
      </w:r>
      <w:r>
        <w:rPr>
          <w:rFonts w:hint="eastAsia" w:ascii="仿宋" w:hAnsi="仿宋" w:eastAsia="仿宋" w:cs="仿宋"/>
          <w:iCs/>
          <w:color w:val="auto"/>
          <w:sz w:val="28"/>
          <w:szCs w:val="28"/>
          <w:highlight w:val="none"/>
          <w:lang w:val="en-US" w:eastAsia="zh-CN"/>
        </w:rPr>
        <w:t>根据考核结果再</w:t>
      </w:r>
      <w:r>
        <w:rPr>
          <w:rFonts w:hint="eastAsia" w:ascii="仿宋" w:hAnsi="仿宋" w:eastAsia="仿宋" w:cs="仿宋"/>
          <w:color w:val="auto"/>
          <w:sz w:val="28"/>
          <w:szCs w:val="28"/>
          <w:highlight w:val="none"/>
          <w:lang w:val="en-US" w:eastAsia="zh-CN"/>
        </w:rPr>
        <w:t>支付合同金额的25%；</w:t>
      </w:r>
      <w:r>
        <w:rPr>
          <w:rFonts w:hint="eastAsia" w:ascii="仿宋" w:hAnsi="仿宋" w:eastAsia="仿宋" w:cs="仿宋"/>
          <w:iCs/>
          <w:color w:val="auto"/>
          <w:sz w:val="28"/>
          <w:szCs w:val="28"/>
          <w:highlight w:val="none"/>
          <w:lang w:val="en-US" w:eastAsia="zh-CN"/>
        </w:rPr>
        <w:t>合同履行完毕后，根据考核结果支付</w:t>
      </w:r>
      <w:r>
        <w:rPr>
          <w:rFonts w:hint="eastAsia" w:ascii="仿宋" w:hAnsi="仿宋" w:eastAsia="仿宋" w:cs="仿宋"/>
          <w:color w:val="auto"/>
          <w:sz w:val="28"/>
          <w:szCs w:val="28"/>
          <w:highlight w:val="none"/>
          <w:lang w:val="en-US" w:eastAsia="zh-CN"/>
        </w:rPr>
        <w:t>剩余款项</w:t>
      </w:r>
      <w:r>
        <w:rPr>
          <w:rFonts w:hint="eastAsia" w:ascii="仿宋" w:hAnsi="仿宋" w:eastAsia="仿宋" w:cs="仿宋"/>
          <w:iCs/>
          <w:color w:val="auto"/>
          <w:sz w:val="28"/>
          <w:szCs w:val="28"/>
          <w:highlight w:val="none"/>
          <w:lang w:val="en-US" w:eastAsia="zh-CN"/>
        </w:rPr>
        <w:t>。</w:t>
      </w:r>
    </w:p>
    <w:p>
      <w:pPr>
        <w:keepNext w:val="0"/>
        <w:keepLines w:val="0"/>
        <w:pageBreakBefore w:val="0"/>
        <w:widowControl w:val="0"/>
        <w:numPr>
          <w:ilvl w:val="0"/>
          <w:numId w:val="0"/>
        </w:numPr>
        <w:kinsoku/>
        <w:wordWrap/>
        <w:topLinePunct w:val="0"/>
        <w:bidi w:val="0"/>
        <w:adjustRightInd/>
        <w:snapToGrid/>
        <w:spacing w:line="360" w:lineRule="auto"/>
        <w:ind w:right="0" w:firstLine="280" w:firstLineChars="100"/>
        <w:jc w:val="left"/>
        <w:textAlignment w:val="auto"/>
        <w:outlineLvl w:val="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.采集队伍的组建</w:t>
      </w:r>
    </w:p>
    <w:p>
      <w:pPr>
        <w:keepNext w:val="0"/>
        <w:keepLines w:val="0"/>
        <w:pageBreakBefore w:val="0"/>
        <w:widowControl w:val="0"/>
        <w:kinsoku/>
        <w:wordWrap/>
        <w:overflowPunct w:val="0"/>
        <w:topLinePunct w:val="0"/>
        <w:bidi w:val="0"/>
        <w:adjustRightInd w:val="0"/>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需在履行合同前7日内按照投标文件的承诺，完成信息采集队伍</w:t>
      </w:r>
      <w:r>
        <w:rPr>
          <w:rFonts w:hint="eastAsia" w:ascii="仿宋" w:hAnsi="仿宋" w:eastAsia="仿宋" w:cs="仿宋"/>
          <w:color w:val="auto"/>
          <w:sz w:val="28"/>
          <w:szCs w:val="28"/>
          <w:highlight w:val="none"/>
          <w:lang w:eastAsia="zh-CN"/>
        </w:rPr>
        <w:t>的招募、</w:t>
      </w:r>
      <w:r>
        <w:rPr>
          <w:rFonts w:hint="eastAsia" w:ascii="仿宋" w:hAnsi="仿宋" w:eastAsia="仿宋" w:cs="仿宋"/>
          <w:color w:val="auto"/>
          <w:sz w:val="28"/>
          <w:szCs w:val="28"/>
          <w:highlight w:val="none"/>
        </w:rPr>
        <w:t>培训等前期工作。</w:t>
      </w:r>
    </w:p>
    <w:p>
      <w:pPr>
        <w:pStyle w:val="81"/>
        <w:keepNext w:val="0"/>
        <w:keepLines w:val="0"/>
        <w:pageBreakBefore w:val="0"/>
        <w:widowControl w:val="0"/>
        <w:numPr>
          <w:ilvl w:val="0"/>
          <w:numId w:val="0"/>
        </w:numPr>
        <w:kinsoku/>
        <w:wordWrap/>
        <w:topLinePunct w:val="0"/>
        <w:bidi w:val="0"/>
        <w:adjustRightInd w:val="0"/>
        <w:snapToGrid/>
        <w:spacing w:line="360" w:lineRule="auto"/>
        <w:ind w:left="0" w:firstLine="562"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kern w:val="2"/>
          <w:sz w:val="28"/>
          <w:szCs w:val="28"/>
          <w:highlight w:val="none"/>
          <w:lang w:val="en-US" w:eastAsia="zh-CN" w:bidi="ar-SA"/>
        </w:rPr>
        <w:t>6.服务期：</w:t>
      </w:r>
      <w:r>
        <w:rPr>
          <w:rFonts w:hint="eastAsia" w:ascii="仿宋" w:hAnsi="仿宋" w:eastAsia="仿宋" w:cs="仿宋"/>
          <w:color w:val="auto"/>
          <w:kern w:val="2"/>
          <w:sz w:val="28"/>
          <w:szCs w:val="28"/>
          <w:highlight w:val="none"/>
          <w:lang w:val="en-US" w:eastAsia="zh-CN" w:bidi="ar-SA"/>
        </w:rPr>
        <w:t>自合同约定时间起8个月。</w:t>
      </w:r>
    </w:p>
    <w:p>
      <w:pPr>
        <w:keepNext w:val="0"/>
        <w:keepLines w:val="0"/>
        <w:pageBreakBefore w:val="0"/>
        <w:widowControl w:val="0"/>
        <w:numPr>
          <w:ilvl w:val="0"/>
          <w:numId w:val="0"/>
        </w:numPr>
        <w:tabs>
          <w:tab w:val="left" w:pos="6300"/>
        </w:tabs>
        <w:kinsoku/>
        <w:wordWrap/>
        <w:topLinePunct w:val="0"/>
        <w:bidi w:val="0"/>
        <w:snapToGrid/>
        <w:spacing w:line="360" w:lineRule="auto"/>
        <w:ind w:left="361" w:leftChars="0"/>
        <w:textAlignment w:val="auto"/>
        <w:outlineLvl w:val="2"/>
        <w:rPr>
          <w:rStyle w:val="79"/>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 xml:space="preserve">  7</w:t>
      </w:r>
      <w:r>
        <w:rPr>
          <w:rFonts w:hint="eastAsia" w:ascii="仿宋" w:hAnsi="仿宋" w:eastAsia="仿宋" w:cs="仿宋"/>
          <w:b/>
          <w:color w:val="auto"/>
          <w:sz w:val="28"/>
          <w:szCs w:val="28"/>
          <w:highlight w:val="none"/>
        </w:rPr>
        <w:t>.项目验收</w:t>
      </w:r>
    </w:p>
    <w:p>
      <w:pPr>
        <w:keepNext w:val="0"/>
        <w:keepLines w:val="0"/>
        <w:pageBreakBefore w:val="0"/>
        <w:tabs>
          <w:tab w:val="left" w:pos="6300"/>
        </w:tabs>
        <w:kinsoku/>
        <w:wordWrap/>
        <w:topLinePunct w:val="0"/>
        <w:bidi w:val="0"/>
        <w:snapToGrid/>
        <w:spacing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项目验收根据《余杭区政府购买服务采购管理暂行办法》第三十一、三十二条规定，</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按照《采集公司月度综合考核表》（附表一）进行</w:t>
      </w:r>
      <w:r>
        <w:rPr>
          <w:rFonts w:hint="eastAsia" w:ascii="仿宋" w:hAnsi="仿宋" w:eastAsia="仿宋" w:cs="仿宋"/>
          <w:color w:val="auto"/>
          <w:sz w:val="28"/>
          <w:szCs w:val="28"/>
          <w:highlight w:val="none"/>
          <w:lang w:val="en-US" w:eastAsia="zh-CN"/>
        </w:rPr>
        <w:t>月度</w:t>
      </w:r>
      <w:r>
        <w:rPr>
          <w:rFonts w:hint="eastAsia" w:ascii="仿宋" w:hAnsi="仿宋" w:eastAsia="仿宋" w:cs="仿宋"/>
          <w:color w:val="auto"/>
          <w:sz w:val="28"/>
          <w:szCs w:val="28"/>
          <w:highlight w:val="none"/>
        </w:rPr>
        <w:t>考核，考核结果关系到费用支付及履约评价。</w:t>
      </w:r>
    </w:p>
    <w:p>
      <w:pPr>
        <w:pStyle w:val="60"/>
        <w:keepNext w:val="0"/>
        <w:keepLines w:val="0"/>
        <w:pageBreakBefore w:val="0"/>
        <w:kinsoku/>
        <w:wordWrap/>
        <w:topLinePunct w:val="0"/>
        <w:bidi w:val="0"/>
        <w:snapToGrid/>
        <w:spacing w:line="360" w:lineRule="auto"/>
        <w:ind w:firstLine="560" w:firstLineChars="200"/>
        <w:jc w:val="left"/>
        <w:rPr>
          <w:rFonts w:hint="eastAsia" w:ascii="仿宋" w:hAnsi="仿宋" w:eastAsia="仿宋" w:cs="仿宋"/>
          <w:b w:val="0"/>
          <w:color w:val="auto"/>
          <w:kern w:val="2"/>
          <w:sz w:val="28"/>
          <w:szCs w:val="28"/>
          <w:highlight w:val="none"/>
        </w:rPr>
      </w:pPr>
      <w:r>
        <w:rPr>
          <w:rFonts w:hint="eastAsia" w:ascii="仿宋" w:hAnsi="仿宋" w:eastAsia="仿宋" w:cs="仿宋"/>
          <w:b w:val="0"/>
          <w:color w:val="auto"/>
          <w:kern w:val="2"/>
          <w:sz w:val="28"/>
          <w:szCs w:val="28"/>
          <w:highlight w:val="none"/>
        </w:rPr>
        <w:t>首次验收</w:t>
      </w:r>
      <w:r>
        <w:rPr>
          <w:rFonts w:hint="eastAsia" w:ascii="仿宋" w:hAnsi="仿宋" w:eastAsia="仿宋" w:cs="仿宋"/>
          <w:b w:val="0"/>
          <w:color w:val="auto"/>
          <w:kern w:val="2"/>
          <w:sz w:val="28"/>
          <w:szCs w:val="28"/>
          <w:highlight w:val="none"/>
          <w:lang w:val="en-US" w:eastAsia="zh-CN"/>
        </w:rPr>
        <w:t>费用由采购人</w:t>
      </w:r>
      <w:r>
        <w:rPr>
          <w:rFonts w:hint="eastAsia" w:ascii="仿宋" w:hAnsi="仿宋" w:eastAsia="仿宋" w:cs="仿宋"/>
          <w:b w:val="0"/>
          <w:color w:val="auto"/>
          <w:kern w:val="2"/>
          <w:sz w:val="28"/>
          <w:szCs w:val="28"/>
          <w:highlight w:val="none"/>
        </w:rPr>
        <w:t>支付，首次因乙方原因未通过的</w:t>
      </w:r>
      <w:r>
        <w:rPr>
          <w:rFonts w:hint="eastAsia" w:ascii="仿宋" w:hAnsi="仿宋" w:eastAsia="仿宋" w:cs="仿宋"/>
          <w:b w:val="0"/>
          <w:color w:val="auto"/>
          <w:kern w:val="2"/>
          <w:sz w:val="28"/>
          <w:szCs w:val="28"/>
          <w:highlight w:val="none"/>
          <w:lang w:val="en-US" w:eastAsia="zh-CN"/>
        </w:rPr>
        <w:t>需进行</w:t>
      </w:r>
      <w:r>
        <w:rPr>
          <w:rFonts w:hint="eastAsia" w:ascii="仿宋" w:hAnsi="仿宋" w:eastAsia="仿宋" w:cs="仿宋"/>
          <w:b w:val="0"/>
          <w:color w:val="auto"/>
          <w:kern w:val="2"/>
          <w:sz w:val="28"/>
          <w:szCs w:val="28"/>
          <w:highlight w:val="none"/>
        </w:rPr>
        <w:t>再次验收</w:t>
      </w:r>
      <w:r>
        <w:rPr>
          <w:rFonts w:hint="eastAsia" w:ascii="仿宋" w:hAnsi="仿宋" w:eastAsia="仿宋" w:cs="仿宋"/>
          <w:b w:val="0"/>
          <w:color w:val="auto"/>
          <w:kern w:val="2"/>
          <w:sz w:val="28"/>
          <w:szCs w:val="28"/>
          <w:highlight w:val="none"/>
          <w:lang w:eastAsia="zh-CN"/>
        </w:rPr>
        <w:t>的</w:t>
      </w:r>
      <w:r>
        <w:rPr>
          <w:rFonts w:hint="eastAsia" w:ascii="仿宋" w:hAnsi="仿宋" w:eastAsia="仿宋" w:cs="仿宋"/>
          <w:b w:val="0"/>
          <w:color w:val="auto"/>
          <w:kern w:val="2"/>
          <w:sz w:val="28"/>
          <w:szCs w:val="28"/>
          <w:highlight w:val="none"/>
        </w:rPr>
        <w:t>，由乙方支付</w:t>
      </w:r>
      <w:r>
        <w:rPr>
          <w:rFonts w:hint="eastAsia" w:ascii="仿宋" w:hAnsi="仿宋" w:eastAsia="仿宋" w:cs="仿宋"/>
          <w:b w:val="0"/>
          <w:color w:val="auto"/>
          <w:kern w:val="2"/>
          <w:sz w:val="28"/>
          <w:szCs w:val="28"/>
          <w:highlight w:val="none"/>
          <w:lang w:val="en-US" w:eastAsia="zh-CN"/>
        </w:rPr>
        <w:t>验收费用</w:t>
      </w:r>
      <w:r>
        <w:rPr>
          <w:rFonts w:hint="eastAsia" w:ascii="仿宋" w:hAnsi="仿宋" w:eastAsia="仿宋" w:cs="仿宋"/>
          <w:b w:val="0"/>
          <w:color w:val="auto"/>
          <w:kern w:val="2"/>
          <w:sz w:val="28"/>
          <w:szCs w:val="28"/>
          <w:highlight w:val="none"/>
        </w:rPr>
        <w:t>。</w:t>
      </w:r>
    </w:p>
    <w:p>
      <w:pPr>
        <w:keepNext w:val="0"/>
        <w:keepLines w:val="0"/>
        <w:pageBreakBefore w:val="0"/>
        <w:widowControl w:val="0"/>
        <w:numPr>
          <w:ilvl w:val="0"/>
          <w:numId w:val="0"/>
        </w:numPr>
        <w:tabs>
          <w:tab w:val="left" w:pos="6300"/>
        </w:tabs>
        <w:kinsoku/>
        <w:wordWrap/>
        <w:topLinePunct w:val="0"/>
        <w:bidi w:val="0"/>
        <w:snapToGrid/>
        <w:spacing w:line="360" w:lineRule="auto"/>
        <w:ind w:left="361" w:leftChars="0"/>
        <w:textAlignment w:val="auto"/>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8.履约保证金</w:t>
      </w:r>
    </w:p>
    <w:p>
      <w:pPr>
        <w:keepNext w:val="0"/>
        <w:keepLines w:val="0"/>
        <w:pageBreakBefore w:val="0"/>
        <w:tabs>
          <w:tab w:val="left" w:pos="6300"/>
        </w:tabs>
        <w:kinsoku/>
        <w:wordWrap/>
        <w:topLinePunct w:val="0"/>
        <w:bidi w:val="0"/>
        <w:snapToGrid/>
        <w:spacing w:line="360" w:lineRule="auto"/>
        <w:ind w:firstLine="560"/>
        <w:textAlignment w:val="auto"/>
        <w:rPr>
          <w:rFonts w:hint="eastAsia" w:ascii="仿宋" w:hAnsi="仿宋" w:eastAsia="仿宋" w:cs="仿宋"/>
          <w:color w:val="auto"/>
          <w:sz w:val="28"/>
          <w:szCs w:val="28"/>
          <w:highlight w:val="none"/>
          <w:lang w:eastAsia="zh-CN"/>
        </w:rPr>
      </w:pPr>
      <w:bookmarkStart w:id="25" w:name="_Hlk10903278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成交供应商应向采购人交纳</w:t>
      </w:r>
      <w:r>
        <w:rPr>
          <w:rFonts w:hint="eastAsia" w:ascii="仿宋" w:hAnsi="仿宋" w:eastAsia="仿宋" w:cs="仿宋"/>
          <w:color w:val="auto"/>
          <w:sz w:val="28"/>
          <w:szCs w:val="28"/>
          <w:highlight w:val="none"/>
          <w:lang w:val="en-US" w:eastAsia="zh-CN"/>
        </w:rPr>
        <w:t>合同价的1%做为</w:t>
      </w:r>
      <w:r>
        <w:rPr>
          <w:rFonts w:hint="eastAsia" w:ascii="仿宋" w:hAnsi="仿宋" w:eastAsia="仿宋" w:cs="仿宋"/>
          <w:color w:val="auto"/>
          <w:sz w:val="28"/>
          <w:szCs w:val="28"/>
          <w:highlight w:val="none"/>
        </w:rPr>
        <w:t>履约保证金</w:t>
      </w:r>
      <w:r>
        <w:rPr>
          <w:rFonts w:hint="eastAsia" w:ascii="仿宋" w:hAnsi="仿宋" w:eastAsia="仿宋" w:cs="仿宋"/>
          <w:color w:val="auto"/>
          <w:sz w:val="28"/>
          <w:szCs w:val="28"/>
          <w:highlight w:val="none"/>
          <w:lang w:eastAsia="zh-CN"/>
        </w:rPr>
        <w:t>。</w:t>
      </w:r>
    </w:p>
    <w:p>
      <w:pPr>
        <w:keepNext w:val="0"/>
        <w:keepLines w:val="0"/>
        <w:pageBreakBefore w:val="0"/>
        <w:tabs>
          <w:tab w:val="left" w:pos="6300"/>
        </w:tabs>
        <w:kinsoku/>
        <w:wordWrap/>
        <w:topLinePunct w:val="0"/>
        <w:bidi w:val="0"/>
        <w:snapToGrid/>
        <w:spacing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签订合同后，如成交供应商不按双方合同约定履约，则没收其全部履约保证金。</w:t>
      </w:r>
      <w:bookmarkEnd w:id="25"/>
    </w:p>
    <w:p>
      <w:pPr>
        <w:pStyle w:val="60"/>
        <w:numPr>
          <w:ilvl w:val="0"/>
          <w:numId w:val="0"/>
        </w:numPr>
        <w:spacing w:line="440" w:lineRule="exact"/>
        <w:ind w:firstLine="560" w:firstLineChars="200"/>
        <w:jc w:val="left"/>
        <w:rPr>
          <w:rFonts w:hint="eastAsia" w:ascii="仿宋" w:hAnsi="仿宋" w:eastAsia="仿宋" w:cs="仿宋"/>
          <w:b w:val="0"/>
          <w:color w:val="auto"/>
          <w:kern w:val="2"/>
          <w:sz w:val="28"/>
          <w:szCs w:val="28"/>
          <w:highlight w:val="none"/>
          <w:lang w:val="en-US" w:eastAsia="zh-CN"/>
        </w:rPr>
        <w:sectPr>
          <w:headerReference r:id="rId12" w:type="first"/>
          <w:headerReference r:id="rId11" w:type="default"/>
          <w:footerReference r:id="rId13" w:type="default"/>
          <w:footerReference r:id="rId14" w:type="even"/>
          <w:pgSz w:w="11906" w:h="16838"/>
          <w:pgMar w:top="1440" w:right="1797" w:bottom="1440" w:left="1797" w:header="851" w:footer="992" w:gutter="0"/>
          <w:pgBorders>
            <w:top w:val="none" w:sz="0" w:space="0"/>
            <w:left w:val="none" w:sz="0" w:space="0"/>
            <w:bottom w:val="none" w:sz="0" w:space="0"/>
            <w:right w:val="none" w:sz="0" w:space="0"/>
          </w:pgBorders>
          <w:cols w:space="720" w:num="1"/>
          <w:titlePg/>
          <w:rtlGutter w:val="0"/>
          <w:docGrid w:type="lines" w:linePitch="312" w:charSpace="0"/>
        </w:sect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附表一：采集公司月度综合考核表</w:t>
      </w:r>
      <w:r>
        <w:rPr>
          <w:rFonts w:hint="eastAsia" w:ascii="仿宋" w:hAnsi="仿宋" w:eastAsia="仿宋" w:cs="仿宋"/>
          <w:b/>
          <w:color w:val="auto"/>
          <w:sz w:val="24"/>
          <w:highlight w:val="none"/>
        </w:rPr>
        <w:t xml:space="preserve">  </w:t>
      </w:r>
    </w:p>
    <w:tbl>
      <w:tblPr>
        <w:tblStyle w:val="63"/>
        <w:tblW w:w="97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410"/>
        <w:gridCol w:w="2280"/>
        <w:gridCol w:w="1395"/>
        <w:gridCol w:w="2190"/>
        <w:gridCol w:w="16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ind w:left="10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评价公式及要求</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数据来源</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ind w:right="414" w:rightChars="19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计扣办法</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考核得分</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工作时间</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合理安排人员，无迟到、早退现象</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中心抽查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出现迟到、早退的，每人次扣0.2分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防汛、抗雪、防灾或重大活动保障</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应无条件的严格按照要求合理安排人员进行采集</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中心检查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出现不执行或执行不到位的，每次扣5分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7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队伍基本素质符合合同要求</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中心抽查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不符合要求的，每人次扣0.5分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人员配置及路面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巡查人数符合合同要求</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不符合要求的，每少一人扣1分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巡查设施</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使用机动车巡查</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中心检查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未使用机动车巡查，每发现一次扣0.2分</w:t>
            </w:r>
          </w:p>
        </w:tc>
        <w:tc>
          <w:tcPr>
            <w:tcW w:w="16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使用机动车参加联合信息采集检查</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无故不参加的，每次扣1分</w:t>
            </w:r>
          </w:p>
        </w:tc>
        <w:tc>
          <w:tcPr>
            <w:tcW w:w="16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配备井盖开启设施及应急维护设施</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未配备的，每发现一次扣0.2分</w:t>
            </w:r>
          </w:p>
        </w:tc>
        <w:tc>
          <w:tcPr>
            <w:tcW w:w="16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strike w:val="0"/>
                <w:dstrike w:val="0"/>
                <w:color w:val="auto"/>
                <w:sz w:val="24"/>
                <w:szCs w:val="24"/>
                <w:highlight w:val="none"/>
                <w:u w:val="none" w:color="auto"/>
                <w:lang w:val="en-US" w:eastAsia="zh-CN"/>
              </w:rPr>
              <w:t>使用无人机巡查</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lang w:val="en-US" w:eastAsia="zh-CN"/>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未按频次进行无人机巡查的（排除极端恶劣天气），每发现一次扣0.2分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巡查频率</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一类、二类道路每天四次、三类道路每天2次、其他区域每天一次</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数据、中心抽查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不符合要求的，每发现一次扣0.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差错率</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采集（立案）、核实（查）差错</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每发现一起，每次扣0.2分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差错件</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被上级主管部门扣分或给问题处置带来重大影响</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造成扣分或重大影响的，每件扣1分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规定处置时间内，同一问题无重复上报</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重复上报被处置单位有责投诉的，每件扣0.2分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核查及时回复</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在限定时间内及时回复</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系统数据</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不及时回复的，每发现一次扣0.2分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5"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被上级主管部门扣分或给问题处置带来重大影响</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每件扣1分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漏报件</w:t>
            </w:r>
          </w:p>
        </w:tc>
        <w:tc>
          <w:tcPr>
            <w:tcW w:w="22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工作区域内无漏报</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媒体曝光、市民投诉、巡查校核等</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媒体曝光、领导批示确认漏报的，每件扣1分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市民投诉、上级检查等确认漏报的，每件扣0.4分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指挥中心、相关部门检查确认漏报的，每件扣0.2分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简易处置</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采集员应对情节轻微且力所能及的问题实施简易处置</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中心检查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采集员漠视城市管理轻微问题不实施简易处置的，每发生1次扣0.1分。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trPr>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普查保障</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应保质保量完成数字城管普查任务，并按要求承担完成城市管理考核普查任务</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系统数据、中心评价</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未按规定完成普查任务的，每次扣1分。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“三定”管理</w:t>
            </w:r>
          </w:p>
        </w:tc>
        <w:tc>
          <w:tcPr>
            <w:tcW w:w="22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做到“定采集员、定采集器、定巡查区域”</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120" w:firstLine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系统数据、中心检查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未按“三定”要求的，每次扣0.2分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擅自变更的，每次扣0.2分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管理层变更</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分层管控健全、有效、有序，合同期限内管理层未发生变更</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中心抽查、记录单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合同期限内项目负责人及管理员未经中心同意发生变动的，每发生1次扣2分。</w:t>
            </w:r>
          </w:p>
        </w:tc>
        <w:tc>
          <w:tcPr>
            <w:tcW w:w="16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负责人定期参加信息采集会议</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无故不参加的，每次扣1分</w:t>
            </w:r>
          </w:p>
        </w:tc>
        <w:tc>
          <w:tcPr>
            <w:tcW w:w="16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78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持证上岗</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采集员必须进行岗前培训，并取得上岗证</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中心抽查</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未取得上岗证上岗的，每人次扣0.4分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在岗人员必须持证上岗</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未持证上岗的，每人次扣0.4分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越级上访</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不发生越级上访</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每发生一次扣1分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有责投诉</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不发生有责投诉</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每发生一次扣1分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工作制度</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无上报虚假信息、有责纠纷</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处置单位反映件、中心记录单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每发生一次扣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采集设备管理</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保证功能正常发挥</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中心检查及记录单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每发生一次扣0.2分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4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正面宣传</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区级媒体录用</w:t>
            </w:r>
          </w:p>
        </w:tc>
        <w:tc>
          <w:tcPr>
            <w:tcW w:w="139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每次加0.1分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14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市级以上录用</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每次加0.2分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应急抢险或重大保障</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因表现出色被表彰</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每次加0.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安全</w:t>
            </w:r>
            <w:r>
              <w:rPr>
                <w:rFonts w:hint="eastAsia" w:ascii="仿宋" w:hAnsi="仿宋" w:eastAsia="仿宋" w:cs="仿宋"/>
                <w:color w:val="auto"/>
                <w:sz w:val="24"/>
                <w:szCs w:val="24"/>
                <w:highlight w:val="none"/>
              </w:rPr>
              <w:t>隐患上报</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做好简易维护并经甲方核实录用</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中心记录单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每次加0.</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41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22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有其他服务承诺</w:t>
            </w:r>
          </w:p>
        </w:tc>
        <w:tc>
          <w:tcPr>
            <w:tcW w:w="13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中心检查、记录</w:t>
            </w:r>
          </w:p>
        </w:tc>
        <w:tc>
          <w:tcPr>
            <w:tcW w:w="21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未实际履行的，每发现一次扣1分</w:t>
            </w:r>
          </w:p>
        </w:tc>
        <w:tc>
          <w:tcPr>
            <w:tcW w:w="1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085"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387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lang w:val="en-US" w:eastAsia="zh-CN"/>
        </w:rPr>
        <w:sectPr>
          <w:headerReference r:id="rId16" w:type="first"/>
          <w:headerReference r:id="rId15" w:type="default"/>
          <w:footerReference r:id="rId17" w:type="default"/>
          <w:pgSz w:w="11907" w:h="16840"/>
          <w:pgMar w:top="1304" w:right="1565" w:bottom="1247" w:left="1344" w:header="851" w:footer="992" w:gutter="0"/>
          <w:cols w:space="720" w:num="1"/>
          <w:titlePg/>
          <w:docGrid w:linePitch="312" w:charSpace="0"/>
        </w:sectPr>
      </w:pPr>
      <w:r>
        <w:rPr>
          <w:rFonts w:hint="eastAsia" w:ascii="仿宋" w:hAnsi="仿宋" w:eastAsia="仿宋" w:cs="仿宋"/>
          <w:color w:val="auto"/>
          <w:highlight w:val="none"/>
          <w:lang w:val="en-US" w:eastAsia="zh-CN"/>
        </w:rPr>
        <w:t>备注：总分超过100分的，按照100分计。</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6" w:name="_Toc184313246"/>
      <w:bookmarkEnd w:id="26"/>
      <w:bookmarkStart w:id="27" w:name="_Toc184312109"/>
      <w:bookmarkEnd w:id="27"/>
      <w:bookmarkStart w:id="28" w:name="_Toc184314455"/>
      <w:bookmarkEnd w:id="28"/>
      <w:bookmarkStart w:id="29" w:name="_Toc184310294"/>
      <w:bookmarkEnd w:id="29"/>
      <w:bookmarkStart w:id="30" w:name="_Toc184310286"/>
      <w:bookmarkEnd w:id="30"/>
      <w:bookmarkStart w:id="31" w:name="_Toc184308038"/>
      <w:bookmarkEnd w:id="31"/>
      <w:bookmarkStart w:id="32" w:name="_Toc184308091"/>
      <w:bookmarkEnd w:id="32"/>
      <w:bookmarkStart w:id="33" w:name="_Toc184308092"/>
      <w:bookmarkEnd w:id="33"/>
      <w:bookmarkStart w:id="34" w:name="_Toc184312074"/>
      <w:bookmarkEnd w:id="34"/>
      <w:bookmarkStart w:id="35" w:name="_Toc184314431"/>
      <w:bookmarkEnd w:id="35"/>
      <w:bookmarkStart w:id="36" w:name="_Toc184314472"/>
      <w:bookmarkEnd w:id="36"/>
      <w:bookmarkStart w:id="37" w:name="_Toc184313248"/>
      <w:bookmarkEnd w:id="37"/>
      <w:bookmarkStart w:id="38" w:name="_Toc184312132"/>
      <w:bookmarkEnd w:id="38"/>
      <w:bookmarkStart w:id="39" w:name="_Toc184314474"/>
      <w:bookmarkEnd w:id="39"/>
      <w:bookmarkStart w:id="40" w:name="_Toc184314464"/>
      <w:bookmarkEnd w:id="40"/>
      <w:bookmarkStart w:id="41" w:name="_Toc184308072"/>
      <w:bookmarkEnd w:id="41"/>
      <w:bookmarkStart w:id="42" w:name="_Toc184312107"/>
      <w:bookmarkEnd w:id="42"/>
      <w:bookmarkStart w:id="43" w:name="_Toc184310323"/>
      <w:bookmarkEnd w:id="43"/>
      <w:bookmarkStart w:id="44" w:name="_Toc184312112"/>
      <w:bookmarkEnd w:id="44"/>
      <w:bookmarkStart w:id="45" w:name="_Toc184310285"/>
      <w:bookmarkEnd w:id="45"/>
      <w:bookmarkStart w:id="46" w:name="_Toc184312120"/>
      <w:bookmarkEnd w:id="46"/>
      <w:bookmarkStart w:id="47" w:name="_Toc184308096"/>
      <w:bookmarkEnd w:id="47"/>
      <w:bookmarkStart w:id="48" w:name="_Toc184308077"/>
      <w:bookmarkEnd w:id="48"/>
      <w:bookmarkStart w:id="49" w:name="_Toc184308093"/>
      <w:bookmarkEnd w:id="49"/>
      <w:bookmarkStart w:id="50" w:name="_Toc184314449"/>
      <w:bookmarkEnd w:id="50"/>
      <w:bookmarkStart w:id="51" w:name="_Toc184312092"/>
      <w:bookmarkEnd w:id="51"/>
      <w:bookmarkStart w:id="52" w:name="_Toc184310318"/>
      <w:bookmarkEnd w:id="52"/>
      <w:bookmarkStart w:id="53" w:name="_Toc184313255"/>
      <w:bookmarkEnd w:id="53"/>
      <w:bookmarkStart w:id="54" w:name="_Toc184313271"/>
      <w:bookmarkEnd w:id="54"/>
      <w:bookmarkStart w:id="55" w:name="_Toc184313294"/>
      <w:bookmarkEnd w:id="55"/>
      <w:bookmarkStart w:id="56" w:name="_Toc184308102"/>
      <w:bookmarkEnd w:id="56"/>
      <w:bookmarkStart w:id="57" w:name="_Toc184313306"/>
      <w:bookmarkEnd w:id="57"/>
      <w:bookmarkStart w:id="58" w:name="_Toc184310291"/>
      <w:bookmarkEnd w:id="58"/>
      <w:bookmarkStart w:id="59" w:name="_Toc184314427"/>
      <w:bookmarkEnd w:id="59"/>
      <w:bookmarkStart w:id="60" w:name="_Toc184314437"/>
      <w:bookmarkEnd w:id="60"/>
      <w:bookmarkStart w:id="61" w:name="_Toc184310341"/>
      <w:bookmarkEnd w:id="61"/>
      <w:bookmarkStart w:id="62" w:name="_Toc184310328"/>
      <w:bookmarkEnd w:id="62"/>
      <w:bookmarkStart w:id="63" w:name="_Toc184310309"/>
      <w:bookmarkEnd w:id="63"/>
      <w:bookmarkStart w:id="64" w:name="_Toc184308055"/>
      <w:bookmarkEnd w:id="64"/>
      <w:bookmarkStart w:id="65" w:name="_Toc184310284"/>
      <w:bookmarkEnd w:id="65"/>
      <w:bookmarkStart w:id="66" w:name="_Toc184313252"/>
      <w:bookmarkEnd w:id="66"/>
      <w:bookmarkStart w:id="67" w:name="_Toc184314445"/>
      <w:bookmarkEnd w:id="67"/>
      <w:bookmarkStart w:id="68" w:name="_Toc184314469"/>
      <w:bookmarkEnd w:id="68"/>
      <w:bookmarkStart w:id="69" w:name="_Toc184308106"/>
      <w:bookmarkEnd w:id="69"/>
      <w:bookmarkStart w:id="70" w:name="_Toc184310287"/>
      <w:bookmarkEnd w:id="70"/>
      <w:bookmarkStart w:id="71" w:name="_Toc184312094"/>
      <w:bookmarkEnd w:id="71"/>
      <w:bookmarkStart w:id="72" w:name="_Toc184312098"/>
      <w:bookmarkEnd w:id="72"/>
      <w:bookmarkStart w:id="73" w:name="_Toc184312099"/>
      <w:bookmarkEnd w:id="73"/>
      <w:bookmarkStart w:id="74" w:name="_Toc184310320"/>
      <w:bookmarkEnd w:id="74"/>
      <w:bookmarkStart w:id="75" w:name="_Toc184312118"/>
      <w:bookmarkEnd w:id="75"/>
      <w:bookmarkStart w:id="76" w:name="_Toc184312124"/>
      <w:bookmarkEnd w:id="76"/>
      <w:bookmarkStart w:id="77" w:name="_Toc184314418"/>
      <w:bookmarkEnd w:id="77"/>
      <w:bookmarkStart w:id="78" w:name="_Toc184308047"/>
      <w:bookmarkEnd w:id="78"/>
      <w:bookmarkStart w:id="79" w:name="_Toc184314415"/>
      <w:bookmarkEnd w:id="79"/>
      <w:bookmarkStart w:id="80" w:name="_Toc184314479"/>
      <w:bookmarkEnd w:id="80"/>
      <w:bookmarkStart w:id="81" w:name="_Toc184310305"/>
      <w:bookmarkEnd w:id="81"/>
      <w:bookmarkStart w:id="82" w:name="_Toc184310339"/>
      <w:bookmarkEnd w:id="82"/>
      <w:bookmarkStart w:id="83" w:name="_Toc184314461"/>
      <w:bookmarkEnd w:id="83"/>
      <w:bookmarkStart w:id="84" w:name="_Toc184310308"/>
      <w:bookmarkEnd w:id="84"/>
      <w:bookmarkStart w:id="85" w:name="_Toc184313295"/>
      <w:bookmarkEnd w:id="85"/>
      <w:bookmarkStart w:id="86" w:name="_Toc184308048"/>
      <w:bookmarkEnd w:id="86"/>
      <w:bookmarkStart w:id="87" w:name="_Toc184310293"/>
      <w:bookmarkEnd w:id="87"/>
      <w:bookmarkStart w:id="88" w:name="_Toc184314432"/>
      <w:bookmarkEnd w:id="88"/>
      <w:bookmarkStart w:id="89" w:name="_Toc184308079"/>
      <w:bookmarkEnd w:id="89"/>
      <w:bookmarkStart w:id="90" w:name="_Toc184314422"/>
      <w:bookmarkEnd w:id="90"/>
      <w:bookmarkStart w:id="91" w:name="_Toc184312137"/>
      <w:bookmarkEnd w:id="91"/>
      <w:bookmarkStart w:id="92" w:name="_Toc184314434"/>
      <w:bookmarkEnd w:id="92"/>
      <w:bookmarkStart w:id="93" w:name="_Toc184308064"/>
      <w:bookmarkEnd w:id="93"/>
      <w:bookmarkStart w:id="94" w:name="_Toc184312129"/>
      <w:bookmarkEnd w:id="94"/>
      <w:bookmarkStart w:id="95" w:name="_Toc184314450"/>
      <w:bookmarkEnd w:id="95"/>
      <w:bookmarkStart w:id="96" w:name="_Toc184308068"/>
      <w:bookmarkEnd w:id="96"/>
      <w:bookmarkStart w:id="97" w:name="_Toc184308044"/>
      <w:bookmarkEnd w:id="97"/>
      <w:bookmarkStart w:id="98" w:name="_Toc184314411"/>
      <w:bookmarkEnd w:id="98"/>
      <w:bookmarkStart w:id="99" w:name="_Toc184313263"/>
      <w:bookmarkEnd w:id="99"/>
      <w:bookmarkStart w:id="100" w:name="_Toc184313250"/>
      <w:bookmarkEnd w:id="100"/>
      <w:bookmarkStart w:id="101" w:name="_Toc184314410"/>
      <w:bookmarkEnd w:id="101"/>
      <w:bookmarkStart w:id="102" w:name="_Toc184314480"/>
      <w:bookmarkEnd w:id="102"/>
      <w:bookmarkStart w:id="103" w:name="_Toc184314457"/>
      <w:bookmarkEnd w:id="103"/>
      <w:bookmarkStart w:id="104" w:name="_Toc184313302"/>
      <w:bookmarkEnd w:id="104"/>
      <w:bookmarkStart w:id="105" w:name="_Toc184314452"/>
      <w:bookmarkEnd w:id="105"/>
      <w:bookmarkStart w:id="106" w:name="_Toc184313293"/>
      <w:bookmarkEnd w:id="106"/>
      <w:bookmarkStart w:id="107" w:name="_Toc184313241"/>
      <w:bookmarkEnd w:id="107"/>
      <w:bookmarkStart w:id="108" w:name="_Toc184312075"/>
      <w:bookmarkEnd w:id="108"/>
      <w:bookmarkStart w:id="109" w:name="_Toc184313244"/>
      <w:bookmarkEnd w:id="109"/>
      <w:bookmarkStart w:id="110" w:name="_Toc184310290"/>
      <w:bookmarkEnd w:id="110"/>
      <w:bookmarkStart w:id="111" w:name="_Toc184308078"/>
      <w:bookmarkEnd w:id="111"/>
      <w:bookmarkStart w:id="112" w:name="_Toc184308108"/>
      <w:bookmarkEnd w:id="112"/>
      <w:bookmarkStart w:id="113" w:name="_Toc184313292"/>
      <w:bookmarkEnd w:id="113"/>
      <w:bookmarkStart w:id="114" w:name="_Toc184314413"/>
      <w:bookmarkEnd w:id="114"/>
      <w:bookmarkStart w:id="115" w:name="_Toc184312067"/>
      <w:bookmarkEnd w:id="115"/>
      <w:bookmarkStart w:id="116" w:name="_Toc184312083"/>
      <w:bookmarkEnd w:id="116"/>
      <w:bookmarkStart w:id="117" w:name="_Toc184314429"/>
      <w:bookmarkEnd w:id="117"/>
      <w:bookmarkStart w:id="118" w:name="_Toc184312072"/>
      <w:bookmarkEnd w:id="118"/>
      <w:bookmarkStart w:id="119" w:name="_Toc184313266"/>
      <w:bookmarkEnd w:id="119"/>
      <w:bookmarkStart w:id="120" w:name="_Toc184314419"/>
      <w:bookmarkEnd w:id="120"/>
      <w:bookmarkStart w:id="121" w:name="_Toc184310299"/>
      <w:bookmarkEnd w:id="121"/>
      <w:bookmarkStart w:id="122" w:name="_Toc184310325"/>
      <w:bookmarkEnd w:id="122"/>
      <w:bookmarkStart w:id="123" w:name="_Toc184313264"/>
      <w:bookmarkEnd w:id="123"/>
      <w:bookmarkStart w:id="124" w:name="_Toc184314447"/>
      <w:bookmarkEnd w:id="124"/>
      <w:bookmarkStart w:id="125" w:name="_Toc184312101"/>
      <w:bookmarkEnd w:id="125"/>
      <w:bookmarkStart w:id="126" w:name="_Toc184313299"/>
      <w:bookmarkEnd w:id="126"/>
      <w:bookmarkStart w:id="127" w:name="_Toc184308051"/>
      <w:bookmarkEnd w:id="127"/>
      <w:bookmarkStart w:id="128" w:name="_Toc184314465"/>
      <w:bookmarkEnd w:id="128"/>
      <w:bookmarkStart w:id="129" w:name="_Toc184313269"/>
      <w:bookmarkEnd w:id="129"/>
      <w:bookmarkStart w:id="130" w:name="_Toc184312095"/>
      <w:bookmarkEnd w:id="130"/>
      <w:bookmarkStart w:id="131" w:name="_Toc184313297"/>
      <w:bookmarkEnd w:id="131"/>
      <w:bookmarkStart w:id="132" w:name="_Toc184310316"/>
      <w:bookmarkEnd w:id="132"/>
      <w:bookmarkStart w:id="133" w:name="_Toc184308057"/>
      <w:bookmarkEnd w:id="133"/>
      <w:bookmarkStart w:id="134" w:name="_Toc184310272"/>
      <w:bookmarkEnd w:id="134"/>
      <w:bookmarkStart w:id="135" w:name="_Toc184310310"/>
      <w:bookmarkEnd w:id="135"/>
      <w:bookmarkStart w:id="136" w:name="_Toc184312090"/>
      <w:bookmarkEnd w:id="136"/>
      <w:bookmarkStart w:id="137" w:name="_Toc184313259"/>
      <w:bookmarkEnd w:id="137"/>
      <w:bookmarkStart w:id="138" w:name="_Toc184314459"/>
      <w:bookmarkEnd w:id="138"/>
      <w:bookmarkStart w:id="139" w:name="_Toc184308049"/>
      <w:bookmarkEnd w:id="139"/>
      <w:bookmarkStart w:id="140" w:name="_Toc184314454"/>
      <w:bookmarkEnd w:id="140"/>
      <w:bookmarkStart w:id="141" w:name="_Toc184308054"/>
      <w:bookmarkEnd w:id="141"/>
      <w:bookmarkStart w:id="142" w:name="_Toc184308042"/>
      <w:bookmarkEnd w:id="142"/>
      <w:bookmarkStart w:id="143" w:name="_Toc184308090"/>
      <w:bookmarkEnd w:id="143"/>
      <w:bookmarkStart w:id="144" w:name="_Toc184308095"/>
      <w:bookmarkEnd w:id="144"/>
      <w:bookmarkStart w:id="145" w:name="_Toc184313291"/>
      <w:bookmarkEnd w:id="145"/>
      <w:bookmarkStart w:id="146" w:name="_Toc184314416"/>
      <w:bookmarkEnd w:id="146"/>
      <w:bookmarkStart w:id="147" w:name="_Toc184310322"/>
      <w:bookmarkEnd w:id="147"/>
      <w:bookmarkStart w:id="148" w:name="_Toc184312125"/>
      <w:bookmarkEnd w:id="148"/>
      <w:bookmarkStart w:id="149" w:name="_Toc184312084"/>
      <w:bookmarkEnd w:id="149"/>
      <w:bookmarkStart w:id="150" w:name="_Toc184308050"/>
      <w:bookmarkEnd w:id="150"/>
      <w:bookmarkStart w:id="151" w:name="_Toc184310288"/>
      <w:bookmarkEnd w:id="151"/>
      <w:bookmarkStart w:id="152" w:name="_Toc184308056"/>
      <w:bookmarkEnd w:id="152"/>
      <w:bookmarkStart w:id="153" w:name="_Toc184312135"/>
      <w:bookmarkEnd w:id="153"/>
      <w:bookmarkStart w:id="154" w:name="_Toc184312115"/>
      <w:bookmarkEnd w:id="154"/>
      <w:bookmarkStart w:id="155" w:name="_Toc184312123"/>
      <w:bookmarkEnd w:id="155"/>
      <w:bookmarkStart w:id="156" w:name="_Toc184312073"/>
      <w:bookmarkEnd w:id="156"/>
      <w:bookmarkStart w:id="157" w:name="_Toc184313256"/>
      <w:bookmarkEnd w:id="157"/>
      <w:bookmarkStart w:id="158" w:name="_Toc184313267"/>
      <w:bookmarkEnd w:id="158"/>
      <w:bookmarkStart w:id="159" w:name="_Toc184314467"/>
      <w:bookmarkEnd w:id="159"/>
      <w:bookmarkStart w:id="160" w:name="_Toc184314412"/>
      <w:bookmarkEnd w:id="160"/>
      <w:bookmarkStart w:id="161" w:name="_Toc184310314"/>
      <w:bookmarkEnd w:id="161"/>
      <w:bookmarkStart w:id="162" w:name="_Toc184313304"/>
      <w:bookmarkEnd w:id="162"/>
      <w:bookmarkStart w:id="163" w:name="_Toc184312131"/>
      <w:bookmarkEnd w:id="163"/>
      <w:bookmarkStart w:id="164" w:name="_Toc184313286"/>
      <w:bookmarkEnd w:id="164"/>
      <w:bookmarkStart w:id="165" w:name="_Toc184308104"/>
      <w:bookmarkEnd w:id="165"/>
      <w:bookmarkStart w:id="166" w:name="_Toc184310340"/>
      <w:bookmarkEnd w:id="166"/>
      <w:bookmarkStart w:id="167" w:name="_Toc184310326"/>
      <w:bookmarkEnd w:id="167"/>
      <w:bookmarkStart w:id="168" w:name="_Toc184314477"/>
      <w:bookmarkEnd w:id="168"/>
      <w:bookmarkStart w:id="169" w:name="_Toc184310278"/>
      <w:bookmarkEnd w:id="169"/>
      <w:bookmarkStart w:id="170" w:name="_Toc184314448"/>
      <w:bookmarkEnd w:id="170"/>
      <w:bookmarkStart w:id="171" w:name="_Toc184310331"/>
      <w:bookmarkEnd w:id="171"/>
      <w:bookmarkStart w:id="172" w:name="_Toc184310276"/>
      <w:bookmarkEnd w:id="172"/>
      <w:bookmarkStart w:id="173" w:name="_Toc184308075"/>
      <w:bookmarkEnd w:id="173"/>
      <w:bookmarkStart w:id="174" w:name="_Toc184313257"/>
      <w:bookmarkEnd w:id="174"/>
      <w:bookmarkStart w:id="175" w:name="_Toc184314456"/>
      <w:bookmarkEnd w:id="175"/>
      <w:bookmarkStart w:id="176" w:name="_Toc184312071"/>
      <w:bookmarkEnd w:id="176"/>
      <w:bookmarkStart w:id="177" w:name="_Toc184314466"/>
      <w:bookmarkEnd w:id="177"/>
      <w:bookmarkStart w:id="178" w:name="_Toc184314433"/>
      <w:bookmarkEnd w:id="178"/>
      <w:bookmarkStart w:id="179" w:name="_Toc184310280"/>
      <w:bookmarkEnd w:id="179"/>
      <w:bookmarkStart w:id="180" w:name="_Toc184313303"/>
      <w:bookmarkEnd w:id="180"/>
      <w:bookmarkStart w:id="181" w:name="_Toc184314473"/>
      <w:bookmarkEnd w:id="181"/>
      <w:bookmarkStart w:id="182" w:name="_Toc184314444"/>
      <w:bookmarkEnd w:id="182"/>
      <w:bookmarkStart w:id="183" w:name="_Toc184312086"/>
      <w:bookmarkEnd w:id="183"/>
      <w:bookmarkStart w:id="184" w:name="_Toc184313287"/>
      <w:bookmarkEnd w:id="184"/>
      <w:bookmarkStart w:id="185" w:name="_Toc184310317"/>
      <w:bookmarkEnd w:id="185"/>
      <w:bookmarkStart w:id="186" w:name="_Toc184308061"/>
      <w:bookmarkEnd w:id="186"/>
      <w:bookmarkStart w:id="187" w:name="_Toc184313254"/>
      <w:bookmarkEnd w:id="187"/>
      <w:bookmarkStart w:id="188" w:name="_Toc184313245"/>
      <w:bookmarkEnd w:id="188"/>
      <w:bookmarkStart w:id="189" w:name="_Toc184314451"/>
      <w:bookmarkEnd w:id="189"/>
      <w:bookmarkStart w:id="190" w:name="_Toc184312085"/>
      <w:bookmarkEnd w:id="190"/>
      <w:bookmarkStart w:id="191" w:name="_Toc184308076"/>
      <w:bookmarkEnd w:id="191"/>
      <w:bookmarkStart w:id="192" w:name="_Toc184314446"/>
      <w:bookmarkEnd w:id="192"/>
      <w:bookmarkStart w:id="193" w:name="_Toc184313289"/>
      <w:bookmarkEnd w:id="193"/>
      <w:bookmarkStart w:id="194" w:name="_Toc184308087"/>
      <w:bookmarkEnd w:id="194"/>
      <w:bookmarkStart w:id="195" w:name="_Toc184312102"/>
      <w:bookmarkEnd w:id="195"/>
      <w:bookmarkStart w:id="196" w:name="_Toc184310302"/>
      <w:bookmarkEnd w:id="196"/>
      <w:bookmarkStart w:id="197" w:name="_Toc184308084"/>
      <w:bookmarkEnd w:id="197"/>
      <w:bookmarkStart w:id="198" w:name="_Toc184313296"/>
      <w:bookmarkEnd w:id="198"/>
      <w:bookmarkStart w:id="199" w:name="_Toc184310337"/>
      <w:bookmarkEnd w:id="199"/>
      <w:bookmarkStart w:id="200" w:name="_Toc184310289"/>
      <w:bookmarkEnd w:id="200"/>
      <w:bookmarkStart w:id="201" w:name="_Toc184310336"/>
      <w:bookmarkEnd w:id="201"/>
      <w:bookmarkStart w:id="202" w:name="_Toc184310312"/>
      <w:bookmarkEnd w:id="202"/>
      <w:bookmarkStart w:id="203" w:name="_Toc184310274"/>
      <w:bookmarkEnd w:id="203"/>
      <w:bookmarkStart w:id="204" w:name="_Toc184308107"/>
      <w:bookmarkEnd w:id="204"/>
      <w:bookmarkStart w:id="205" w:name="_Toc184313285"/>
      <w:bookmarkEnd w:id="205"/>
      <w:bookmarkStart w:id="206" w:name="_Toc184308105"/>
      <w:bookmarkEnd w:id="206"/>
      <w:bookmarkStart w:id="207" w:name="_Toc184312114"/>
      <w:bookmarkEnd w:id="207"/>
      <w:bookmarkStart w:id="208" w:name="_Toc184313280"/>
      <w:bookmarkEnd w:id="208"/>
      <w:bookmarkStart w:id="209" w:name="_Toc184313309"/>
      <w:bookmarkEnd w:id="209"/>
      <w:bookmarkStart w:id="210" w:name="_Toc184308100"/>
      <w:bookmarkEnd w:id="210"/>
      <w:bookmarkStart w:id="211" w:name="_Toc184314426"/>
      <w:bookmarkEnd w:id="211"/>
      <w:bookmarkStart w:id="212" w:name="_Toc184313239"/>
      <w:bookmarkEnd w:id="212"/>
      <w:bookmarkStart w:id="213" w:name="_Toc184308040"/>
      <w:bookmarkEnd w:id="213"/>
      <w:bookmarkStart w:id="214" w:name="_Toc184308059"/>
      <w:bookmarkEnd w:id="214"/>
      <w:bookmarkStart w:id="215" w:name="_Toc184308060"/>
      <w:bookmarkEnd w:id="215"/>
      <w:bookmarkStart w:id="216" w:name="_Toc184312080"/>
      <w:bookmarkEnd w:id="216"/>
      <w:bookmarkStart w:id="217" w:name="_Toc184312134"/>
      <w:bookmarkEnd w:id="217"/>
      <w:bookmarkStart w:id="218" w:name="_Toc184313307"/>
      <w:bookmarkEnd w:id="218"/>
      <w:bookmarkStart w:id="219" w:name="_Toc184308099"/>
      <w:bookmarkEnd w:id="219"/>
      <w:bookmarkStart w:id="220" w:name="_Toc184314417"/>
      <w:bookmarkEnd w:id="220"/>
      <w:bookmarkStart w:id="221" w:name="_Toc184312078"/>
      <w:bookmarkEnd w:id="221"/>
      <w:bookmarkStart w:id="222" w:name="_Toc184314475"/>
      <w:bookmarkEnd w:id="222"/>
      <w:bookmarkStart w:id="223" w:name="_Toc184313262"/>
      <w:bookmarkEnd w:id="223"/>
      <w:bookmarkStart w:id="224" w:name="_Toc184308081"/>
      <w:bookmarkEnd w:id="224"/>
      <w:bookmarkStart w:id="225" w:name="_Toc184313265"/>
      <w:bookmarkEnd w:id="225"/>
      <w:bookmarkStart w:id="226" w:name="_Toc184310343"/>
      <w:bookmarkEnd w:id="226"/>
      <w:bookmarkStart w:id="227" w:name="_Toc184314423"/>
      <w:bookmarkEnd w:id="227"/>
      <w:bookmarkStart w:id="228" w:name="_Toc184313240"/>
      <w:bookmarkEnd w:id="228"/>
      <w:bookmarkStart w:id="229" w:name="_Toc184312121"/>
      <w:bookmarkEnd w:id="229"/>
      <w:bookmarkStart w:id="230" w:name="_Toc184312117"/>
      <w:bookmarkEnd w:id="230"/>
      <w:bookmarkStart w:id="231" w:name="_Toc184310303"/>
      <w:bookmarkEnd w:id="231"/>
      <w:bookmarkStart w:id="232" w:name="_Toc184312104"/>
      <w:bookmarkEnd w:id="232"/>
      <w:bookmarkStart w:id="233" w:name="_Toc184310334"/>
      <w:bookmarkEnd w:id="233"/>
      <w:bookmarkStart w:id="234" w:name="_Toc184310335"/>
      <w:bookmarkEnd w:id="234"/>
      <w:bookmarkStart w:id="235" w:name="_Toc184310283"/>
      <w:bookmarkEnd w:id="235"/>
      <w:bookmarkStart w:id="236" w:name="_Toc184313249"/>
      <w:bookmarkEnd w:id="236"/>
      <w:bookmarkStart w:id="237" w:name="_Toc184312105"/>
      <w:bookmarkEnd w:id="237"/>
      <w:bookmarkStart w:id="238" w:name="_Toc184310321"/>
      <w:bookmarkEnd w:id="238"/>
      <w:bookmarkStart w:id="239" w:name="_Toc184312127"/>
      <w:bookmarkEnd w:id="239"/>
      <w:bookmarkStart w:id="240" w:name="_Toc184308073"/>
      <w:bookmarkEnd w:id="240"/>
      <w:bookmarkStart w:id="241" w:name="_Toc184314462"/>
      <w:bookmarkEnd w:id="241"/>
      <w:bookmarkStart w:id="242" w:name="_Toc184312136"/>
      <w:bookmarkEnd w:id="242"/>
      <w:bookmarkStart w:id="243" w:name="_Toc184314436"/>
      <w:bookmarkEnd w:id="243"/>
      <w:bookmarkStart w:id="244" w:name="_Toc184314442"/>
      <w:bookmarkEnd w:id="244"/>
      <w:bookmarkStart w:id="245" w:name="_Toc184310307"/>
      <w:bookmarkEnd w:id="245"/>
      <w:bookmarkStart w:id="246" w:name="_Toc184310330"/>
      <w:bookmarkEnd w:id="246"/>
      <w:bookmarkStart w:id="247" w:name="_Toc184313273"/>
      <w:bookmarkEnd w:id="247"/>
      <w:bookmarkStart w:id="248" w:name="_Toc184310344"/>
      <w:bookmarkEnd w:id="248"/>
      <w:bookmarkStart w:id="249" w:name="_Toc184313275"/>
      <w:bookmarkEnd w:id="249"/>
      <w:bookmarkStart w:id="250" w:name="_Toc184313261"/>
      <w:bookmarkEnd w:id="250"/>
      <w:bookmarkStart w:id="251" w:name="_Toc184312097"/>
      <w:bookmarkEnd w:id="251"/>
      <w:bookmarkStart w:id="252" w:name="_Toc184312126"/>
      <w:bookmarkEnd w:id="252"/>
      <w:bookmarkStart w:id="253" w:name="_Toc184312089"/>
      <w:bookmarkEnd w:id="253"/>
      <w:bookmarkStart w:id="254" w:name="_Toc184312069"/>
      <w:bookmarkEnd w:id="254"/>
      <w:bookmarkStart w:id="255" w:name="_Toc184310332"/>
      <w:bookmarkEnd w:id="255"/>
      <w:bookmarkStart w:id="256" w:name="_Toc184312113"/>
      <w:bookmarkEnd w:id="256"/>
      <w:bookmarkStart w:id="257" w:name="_Toc184313258"/>
      <w:bookmarkEnd w:id="257"/>
      <w:bookmarkStart w:id="258" w:name="_Toc184314468"/>
      <w:bookmarkEnd w:id="258"/>
      <w:bookmarkStart w:id="259" w:name="_Toc184308041"/>
      <w:bookmarkEnd w:id="259"/>
      <w:bookmarkStart w:id="260" w:name="_Toc184312108"/>
      <w:bookmarkEnd w:id="260"/>
      <w:bookmarkStart w:id="261" w:name="_Toc184313247"/>
      <w:bookmarkEnd w:id="261"/>
      <w:bookmarkStart w:id="262" w:name="_Toc184313272"/>
      <w:bookmarkEnd w:id="262"/>
      <w:bookmarkStart w:id="263" w:name="_Toc184313238"/>
      <w:bookmarkEnd w:id="263"/>
      <w:bookmarkStart w:id="264" w:name="_Toc184312087"/>
      <w:bookmarkEnd w:id="264"/>
      <w:bookmarkStart w:id="265" w:name="_Toc184312079"/>
      <w:bookmarkEnd w:id="265"/>
      <w:bookmarkStart w:id="266" w:name="_Toc184308103"/>
      <w:bookmarkEnd w:id="266"/>
      <w:bookmarkStart w:id="267" w:name="_Toc184312138"/>
      <w:bookmarkEnd w:id="267"/>
      <w:bookmarkStart w:id="268" w:name="_Toc184312068"/>
      <w:bookmarkEnd w:id="268"/>
      <w:bookmarkStart w:id="269" w:name="_Toc184313278"/>
      <w:bookmarkEnd w:id="269"/>
      <w:bookmarkStart w:id="270" w:name="_Toc184310297"/>
      <w:bookmarkEnd w:id="270"/>
      <w:bookmarkStart w:id="271" w:name="_Toc184308052"/>
      <w:bookmarkEnd w:id="271"/>
      <w:bookmarkStart w:id="272" w:name="_Toc184308069"/>
      <w:bookmarkEnd w:id="272"/>
      <w:bookmarkStart w:id="273" w:name="_Toc184313305"/>
      <w:bookmarkEnd w:id="273"/>
      <w:bookmarkStart w:id="274" w:name="_Toc184308094"/>
      <w:bookmarkEnd w:id="274"/>
      <w:bookmarkStart w:id="275" w:name="_Toc184314453"/>
      <w:bookmarkEnd w:id="275"/>
      <w:bookmarkStart w:id="276" w:name="_Toc184313260"/>
      <w:bookmarkEnd w:id="276"/>
      <w:bookmarkStart w:id="277" w:name="_Toc184314435"/>
      <w:bookmarkEnd w:id="277"/>
      <w:bookmarkStart w:id="278" w:name="_Toc184308083"/>
      <w:bookmarkEnd w:id="278"/>
      <w:bookmarkStart w:id="279" w:name="_Toc184310300"/>
      <w:bookmarkEnd w:id="279"/>
      <w:bookmarkStart w:id="280" w:name="_Toc184313298"/>
      <w:bookmarkEnd w:id="280"/>
      <w:bookmarkStart w:id="281" w:name="_Toc184308063"/>
      <w:bookmarkEnd w:id="281"/>
      <w:bookmarkStart w:id="282" w:name="_Toc184313268"/>
      <w:bookmarkEnd w:id="282"/>
      <w:bookmarkStart w:id="283" w:name="_Toc184314424"/>
      <w:bookmarkEnd w:id="283"/>
      <w:bookmarkStart w:id="284" w:name="_Toc184314420"/>
      <w:bookmarkEnd w:id="284"/>
      <w:bookmarkStart w:id="285" w:name="_Toc184308058"/>
      <w:bookmarkEnd w:id="285"/>
      <w:bookmarkStart w:id="286" w:name="_Toc184312096"/>
      <w:bookmarkEnd w:id="286"/>
      <w:bookmarkStart w:id="287" w:name="_Toc184312076"/>
      <w:bookmarkEnd w:id="287"/>
      <w:bookmarkStart w:id="288" w:name="_Toc184312081"/>
      <w:bookmarkEnd w:id="288"/>
      <w:bookmarkStart w:id="289" w:name="_Toc184313301"/>
      <w:bookmarkEnd w:id="289"/>
      <w:bookmarkStart w:id="290" w:name="_Toc184310296"/>
      <w:bookmarkEnd w:id="290"/>
      <w:bookmarkStart w:id="291" w:name="_Toc184313283"/>
      <w:bookmarkEnd w:id="291"/>
      <w:bookmarkStart w:id="292" w:name="_Toc184308039"/>
      <w:bookmarkEnd w:id="292"/>
      <w:bookmarkStart w:id="293" w:name="_Toc184310338"/>
      <w:bookmarkEnd w:id="293"/>
      <w:bookmarkStart w:id="294" w:name="_Toc184308045"/>
      <w:bookmarkEnd w:id="294"/>
      <w:bookmarkStart w:id="295" w:name="_Toc184310313"/>
      <w:bookmarkEnd w:id="295"/>
      <w:bookmarkStart w:id="296" w:name="_Toc184308046"/>
      <w:bookmarkEnd w:id="296"/>
      <w:bookmarkStart w:id="297" w:name="_Toc184313310"/>
      <w:bookmarkEnd w:id="297"/>
      <w:bookmarkStart w:id="298" w:name="_Toc184313276"/>
      <w:bookmarkEnd w:id="298"/>
      <w:bookmarkStart w:id="299" w:name="_Toc184314482"/>
      <w:bookmarkEnd w:id="299"/>
      <w:bookmarkStart w:id="300" w:name="_Toc184313243"/>
      <w:bookmarkEnd w:id="300"/>
      <w:bookmarkStart w:id="301" w:name="_Toc184312082"/>
      <w:bookmarkEnd w:id="301"/>
      <w:bookmarkStart w:id="302" w:name="_Toc184312106"/>
      <w:bookmarkEnd w:id="302"/>
      <w:bookmarkStart w:id="303" w:name="_Toc184312122"/>
      <w:bookmarkEnd w:id="303"/>
      <w:bookmarkStart w:id="304" w:name="_Toc184310329"/>
      <w:bookmarkEnd w:id="304"/>
      <w:bookmarkStart w:id="305" w:name="_Toc184308074"/>
      <w:bookmarkEnd w:id="305"/>
      <w:bookmarkStart w:id="306" w:name="_Toc184314425"/>
      <w:bookmarkEnd w:id="306"/>
      <w:bookmarkStart w:id="307" w:name="_Toc184313253"/>
      <w:bookmarkEnd w:id="307"/>
      <w:bookmarkStart w:id="308" w:name="_Toc184312116"/>
      <w:bookmarkEnd w:id="308"/>
      <w:bookmarkStart w:id="309" w:name="_Toc184313288"/>
      <w:bookmarkEnd w:id="309"/>
      <w:bookmarkStart w:id="310" w:name="_Toc184310275"/>
      <w:bookmarkEnd w:id="310"/>
      <w:bookmarkStart w:id="311" w:name="_Toc184314421"/>
      <w:bookmarkEnd w:id="311"/>
      <w:bookmarkStart w:id="312" w:name="_Toc184312070"/>
      <w:bookmarkEnd w:id="312"/>
      <w:bookmarkStart w:id="313" w:name="_Toc184308082"/>
      <w:bookmarkEnd w:id="313"/>
      <w:bookmarkStart w:id="314" w:name="_Toc184314458"/>
      <w:bookmarkEnd w:id="314"/>
      <w:bookmarkStart w:id="315" w:name="_Toc184312103"/>
      <w:bookmarkEnd w:id="315"/>
      <w:bookmarkStart w:id="316" w:name="_Toc184313284"/>
      <w:bookmarkEnd w:id="316"/>
      <w:bookmarkStart w:id="317" w:name="_Toc184308071"/>
      <w:bookmarkEnd w:id="317"/>
      <w:bookmarkStart w:id="318" w:name="_Toc184314430"/>
      <w:bookmarkEnd w:id="318"/>
      <w:bookmarkStart w:id="319" w:name="_Toc184314476"/>
      <w:bookmarkEnd w:id="319"/>
      <w:bookmarkStart w:id="320" w:name="_Toc184313270"/>
      <w:bookmarkEnd w:id="320"/>
      <w:bookmarkStart w:id="321" w:name="_Toc184308067"/>
      <w:bookmarkEnd w:id="321"/>
      <w:bookmarkStart w:id="322" w:name="_Toc184314471"/>
      <w:bookmarkEnd w:id="322"/>
      <w:bookmarkStart w:id="323" w:name="_Toc184312091"/>
      <w:bookmarkEnd w:id="323"/>
      <w:bookmarkStart w:id="324" w:name="_Toc184312128"/>
      <w:bookmarkEnd w:id="324"/>
      <w:bookmarkStart w:id="325" w:name="_Toc184313282"/>
      <w:bookmarkEnd w:id="325"/>
      <w:bookmarkStart w:id="326" w:name="_Toc184310342"/>
      <w:bookmarkEnd w:id="326"/>
      <w:bookmarkStart w:id="327" w:name="_Toc184314414"/>
      <w:bookmarkEnd w:id="327"/>
      <w:bookmarkStart w:id="328" w:name="_Toc184312119"/>
      <w:bookmarkEnd w:id="328"/>
      <w:bookmarkStart w:id="329" w:name="_Toc184308043"/>
      <w:bookmarkEnd w:id="329"/>
      <w:bookmarkStart w:id="330" w:name="_Toc184310298"/>
      <w:bookmarkEnd w:id="330"/>
      <w:bookmarkStart w:id="331" w:name="_Toc184314441"/>
      <w:bookmarkEnd w:id="331"/>
      <w:bookmarkStart w:id="332" w:name="_Toc184310306"/>
      <w:bookmarkEnd w:id="332"/>
      <w:bookmarkStart w:id="333" w:name="_Toc184308037"/>
      <w:bookmarkEnd w:id="333"/>
      <w:bookmarkStart w:id="334" w:name="_Toc184314439"/>
      <w:bookmarkEnd w:id="334"/>
      <w:bookmarkStart w:id="335" w:name="_Toc184310292"/>
      <w:bookmarkEnd w:id="335"/>
      <w:bookmarkStart w:id="336" w:name="_Toc184313242"/>
      <w:bookmarkEnd w:id="336"/>
      <w:bookmarkStart w:id="337" w:name="_Toc184308101"/>
      <w:bookmarkEnd w:id="337"/>
      <w:bookmarkStart w:id="338" w:name="_Toc184312100"/>
      <w:bookmarkEnd w:id="338"/>
      <w:bookmarkStart w:id="339" w:name="_Toc184312130"/>
      <w:bookmarkEnd w:id="339"/>
      <w:bookmarkStart w:id="340" w:name="_Toc184308089"/>
      <w:bookmarkEnd w:id="340"/>
      <w:bookmarkStart w:id="341" w:name="_Toc184313274"/>
      <w:bookmarkEnd w:id="341"/>
      <w:bookmarkStart w:id="342" w:name="_Toc184308086"/>
      <w:bookmarkEnd w:id="342"/>
      <w:bookmarkStart w:id="343" w:name="_Toc184312133"/>
      <w:bookmarkEnd w:id="343"/>
      <w:bookmarkStart w:id="344" w:name="_Toc184314478"/>
      <w:bookmarkEnd w:id="344"/>
      <w:bookmarkStart w:id="345" w:name="_Toc184312077"/>
      <w:bookmarkEnd w:id="345"/>
      <w:bookmarkStart w:id="346" w:name="_Toc184313281"/>
      <w:bookmarkEnd w:id="346"/>
      <w:bookmarkStart w:id="347" w:name="_Toc184313279"/>
      <w:bookmarkEnd w:id="347"/>
      <w:bookmarkStart w:id="348" w:name="_Toc184310327"/>
      <w:bookmarkEnd w:id="348"/>
      <w:bookmarkStart w:id="349" w:name="_Toc184314481"/>
      <w:bookmarkEnd w:id="349"/>
      <w:bookmarkStart w:id="350" w:name="_Toc184313308"/>
      <w:bookmarkEnd w:id="350"/>
      <w:bookmarkStart w:id="351" w:name="_Toc184310295"/>
      <w:bookmarkEnd w:id="351"/>
      <w:bookmarkStart w:id="352" w:name="_Toc184314460"/>
      <w:bookmarkEnd w:id="352"/>
      <w:bookmarkStart w:id="353" w:name="_Toc184310273"/>
      <w:bookmarkEnd w:id="353"/>
      <w:bookmarkStart w:id="354" w:name="_Toc184310277"/>
      <w:bookmarkEnd w:id="354"/>
      <w:bookmarkStart w:id="355" w:name="_Toc184308085"/>
      <w:bookmarkEnd w:id="355"/>
      <w:bookmarkStart w:id="356" w:name="_Toc184313290"/>
      <w:bookmarkEnd w:id="356"/>
      <w:bookmarkStart w:id="357" w:name="_Toc184308036"/>
      <w:bookmarkEnd w:id="357"/>
      <w:bookmarkStart w:id="358" w:name="_Toc184308062"/>
      <w:bookmarkEnd w:id="358"/>
      <w:bookmarkStart w:id="359" w:name="_Toc184312110"/>
      <w:bookmarkEnd w:id="359"/>
      <w:bookmarkStart w:id="360" w:name="_Toc184310324"/>
      <w:bookmarkEnd w:id="360"/>
      <w:bookmarkStart w:id="361" w:name="_Toc184310301"/>
      <w:bookmarkEnd w:id="361"/>
      <w:bookmarkStart w:id="362" w:name="_Toc184310311"/>
      <w:bookmarkEnd w:id="362"/>
      <w:bookmarkStart w:id="363" w:name="_Toc184308098"/>
      <w:bookmarkEnd w:id="363"/>
      <w:bookmarkStart w:id="364" w:name="_Toc184314428"/>
      <w:bookmarkEnd w:id="364"/>
      <w:bookmarkStart w:id="365" w:name="_Toc184310304"/>
      <w:bookmarkEnd w:id="365"/>
      <w:bookmarkStart w:id="366" w:name="_Toc184310319"/>
      <w:bookmarkEnd w:id="366"/>
      <w:bookmarkStart w:id="367" w:name="_Toc184312139"/>
      <w:bookmarkEnd w:id="367"/>
      <w:bookmarkStart w:id="368" w:name="_Toc184310282"/>
      <w:bookmarkEnd w:id="368"/>
      <w:bookmarkStart w:id="369" w:name="_Toc184308080"/>
      <w:bookmarkEnd w:id="369"/>
      <w:bookmarkStart w:id="370" w:name="_Toc184308097"/>
      <w:bookmarkEnd w:id="370"/>
      <w:bookmarkStart w:id="371" w:name="_Toc184312111"/>
      <w:bookmarkEnd w:id="371"/>
      <w:bookmarkStart w:id="372" w:name="_Toc184308070"/>
      <w:bookmarkEnd w:id="372"/>
      <w:bookmarkStart w:id="373" w:name="_Toc184308053"/>
      <w:bookmarkEnd w:id="373"/>
      <w:bookmarkStart w:id="374" w:name="_Toc184314463"/>
      <w:bookmarkEnd w:id="374"/>
      <w:bookmarkStart w:id="375" w:name="_Toc184310281"/>
      <w:bookmarkEnd w:id="375"/>
      <w:bookmarkStart w:id="376" w:name="_Toc184310315"/>
      <w:bookmarkEnd w:id="376"/>
      <w:bookmarkStart w:id="377" w:name="_Toc184310333"/>
      <w:bookmarkEnd w:id="377"/>
      <w:bookmarkStart w:id="378" w:name="_Toc184314440"/>
      <w:bookmarkEnd w:id="378"/>
      <w:bookmarkStart w:id="379" w:name="_Toc184314470"/>
      <w:bookmarkEnd w:id="379"/>
      <w:bookmarkStart w:id="380" w:name="_Toc184308065"/>
      <w:bookmarkEnd w:id="380"/>
      <w:bookmarkStart w:id="381" w:name="_Toc184313277"/>
      <w:bookmarkEnd w:id="381"/>
      <w:bookmarkStart w:id="382" w:name="_Toc184308088"/>
      <w:bookmarkEnd w:id="382"/>
      <w:bookmarkStart w:id="383" w:name="_Toc184314438"/>
      <w:bookmarkEnd w:id="383"/>
      <w:bookmarkStart w:id="384" w:name="_Toc184312093"/>
      <w:bookmarkEnd w:id="384"/>
      <w:bookmarkStart w:id="385" w:name="_Toc184308066"/>
      <w:bookmarkEnd w:id="385"/>
      <w:bookmarkStart w:id="386" w:name="_Toc184314443"/>
      <w:bookmarkEnd w:id="386"/>
      <w:bookmarkStart w:id="387" w:name="_Toc184313251"/>
      <w:bookmarkEnd w:id="387"/>
      <w:bookmarkStart w:id="388" w:name="_Toc184313300"/>
      <w:bookmarkEnd w:id="388"/>
      <w:bookmarkStart w:id="389" w:name="_Toc184310279"/>
      <w:bookmarkEnd w:id="389"/>
      <w:bookmarkStart w:id="390" w:name="_Toc184312088"/>
      <w:bookmarkEnd w:id="390"/>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8"/>
        <w:gridCol w:w="1686"/>
        <w:gridCol w:w="4470"/>
        <w:gridCol w:w="1029"/>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auto"/>
                <w:kern w:val="0"/>
                <w:sz w:val="28"/>
                <w:szCs w:val="28"/>
                <w:highlight w:val="none"/>
                <w:u w:val="none"/>
                <w:lang w:val="en-US" w:eastAsia="zh-CN"/>
              </w:rPr>
            </w:pPr>
            <w:r>
              <w:rPr>
                <w:rFonts w:hint="eastAsia" w:ascii="仿宋" w:hAnsi="仿宋" w:eastAsia="仿宋" w:cs="仿宋"/>
                <w:b/>
                <w:bCs/>
                <w:i w:val="0"/>
                <w:iCs w:val="0"/>
                <w:color w:val="auto"/>
                <w:kern w:val="0"/>
                <w:sz w:val="28"/>
                <w:szCs w:val="28"/>
                <w:highlight w:val="none"/>
                <w:u w:val="none"/>
                <w:lang w:val="en-US" w:eastAsia="zh-CN"/>
              </w:rPr>
              <w:t>技术部分（87分）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序号</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color w:val="auto"/>
                <w:sz w:val="24"/>
                <w:szCs w:val="24"/>
                <w:highlight w:val="none"/>
                <w:lang w:val="en-US"/>
              </w:rPr>
            </w:pPr>
            <w:r>
              <w:rPr>
                <w:rFonts w:hint="eastAsia" w:ascii="仿宋" w:hAnsi="仿宋" w:eastAsia="仿宋" w:cs="仿宋"/>
                <w:b/>
                <w:bCs/>
                <w:i w:val="0"/>
                <w:iCs w:val="0"/>
                <w:color w:val="auto"/>
                <w:kern w:val="0"/>
                <w:sz w:val="24"/>
                <w:szCs w:val="24"/>
                <w:highlight w:val="none"/>
                <w:u w:val="none"/>
                <w:lang w:val="en-US" w:eastAsia="zh-CN"/>
              </w:rPr>
              <w:t>投标文件终评标标准相应的商务技术资料目录</w:t>
            </w:r>
          </w:p>
        </w:tc>
        <w:tc>
          <w:tcPr>
            <w:tcW w:w="24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color w:val="auto"/>
                <w:sz w:val="24"/>
                <w:szCs w:val="24"/>
                <w:highlight w:val="none"/>
                <w:lang w:val="en-US"/>
              </w:rPr>
            </w:pPr>
            <w:r>
              <w:rPr>
                <w:rFonts w:hint="eastAsia" w:ascii="仿宋" w:hAnsi="仿宋" w:eastAsia="仿宋" w:cs="仿宋"/>
                <w:b/>
                <w:bCs/>
                <w:i w:val="0"/>
                <w:iCs w:val="0"/>
                <w:color w:val="auto"/>
                <w:kern w:val="0"/>
                <w:sz w:val="24"/>
                <w:szCs w:val="24"/>
                <w:highlight w:val="none"/>
                <w:u w:val="none"/>
                <w:lang w:val="en-US" w:eastAsia="zh-CN"/>
              </w:rPr>
              <w:t>评标标准</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rPr>
              <w:t>权重(分)</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主观分/客观分属性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w:t>
            </w:r>
          </w:p>
        </w:tc>
        <w:tc>
          <w:tcPr>
            <w:tcW w:w="9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1.项目负责人、管理员素质（7分）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1.项目负责人为本单位社保在缴员工，工作履历中具有3个月及以上数字城管信息采集管理经验的得2分（提供劳动合同、公司出具加盖公章的工作经验证明）</w:t>
            </w:r>
          </w:p>
          <w:p>
            <w:pPr>
              <w:keepNext w:val="0"/>
              <w:keepLines w:val="0"/>
              <w:pageBreakBefore w:val="0"/>
              <w:kinsoku/>
              <w:wordWrap/>
              <w:overflowPunct/>
              <w:topLinePunct w:val="0"/>
              <w:autoSpaceDE/>
              <w:autoSpaceDN/>
              <w:bidi w:val="0"/>
              <w:snapToGri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2.具有大专及以上学历得2分。（提供学历证书复印件）</w:t>
            </w:r>
          </w:p>
        </w:tc>
        <w:tc>
          <w:tcPr>
            <w:tcW w:w="55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0-7</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2"/>
              </w:numPr>
              <w:kinsoku/>
              <w:wordWrap/>
              <w:overflowPunct/>
              <w:topLinePunct w:val="0"/>
              <w:autoSpaceDE/>
              <w:autoSpaceDN/>
              <w:bidi w:val="0"/>
              <w:snapToGri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管理员为本单位社保在缴员工，工作履历中具有3个月及以上数字城管信息采集从业经验且具有大专及以上学历，其中团队人员3人及以上的得3分，少1人扣1分。</w:t>
            </w:r>
          </w:p>
          <w:p>
            <w:pPr>
              <w:keepNext w:val="0"/>
              <w:keepLines w:val="0"/>
              <w:pageBreakBefore w:val="0"/>
              <w:numPr>
                <w:ilvl w:val="0"/>
                <w:numId w:val="0"/>
              </w:numPr>
              <w:kinsoku/>
              <w:wordWrap/>
              <w:overflowPunct/>
              <w:topLinePunct w:val="0"/>
              <w:autoSpaceDE/>
              <w:autoSpaceDN/>
              <w:bidi w:val="0"/>
              <w:snapToGri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【需提供劳动合同复印件及学历证书等证明材料，</w:t>
            </w:r>
            <w:r>
              <w:rPr>
                <w:rFonts w:hint="eastAsia" w:ascii="仿宋" w:hAnsi="仿宋" w:eastAsia="仿宋" w:cs="仿宋"/>
                <w:color w:val="auto"/>
                <w:sz w:val="24"/>
                <w:szCs w:val="24"/>
                <w:highlight w:val="none"/>
              </w:rPr>
              <w:t>管理团队需</w:t>
            </w:r>
            <w:r>
              <w:rPr>
                <w:rFonts w:hint="eastAsia" w:ascii="仿宋" w:hAnsi="仿宋" w:eastAsia="仿宋" w:cs="仿宋"/>
                <w:color w:val="auto"/>
                <w:sz w:val="24"/>
                <w:szCs w:val="24"/>
                <w:highlight w:val="none"/>
                <w:lang w:val="en-US" w:eastAsia="zh-CN"/>
              </w:rPr>
              <w:t>提供工作经验简介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并加盖投标单位公章</w:t>
            </w:r>
            <w:r>
              <w:rPr>
                <w:rFonts w:hint="eastAsia" w:ascii="仿宋" w:hAnsi="仿宋" w:eastAsia="仿宋" w:cs="仿宋"/>
                <w:color w:val="auto"/>
                <w:sz w:val="24"/>
                <w:szCs w:val="24"/>
                <w:highlight w:val="none"/>
                <w:lang w:val="en-US" w:eastAsia="zh-CN"/>
              </w:rPr>
              <w:t>】</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3</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2.项目启动能力(8分)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实施进度表，项目启动措施，项目启动保障方案合理可行（项目实施进度合理的得1分，不合理的得0分；人员招募措施合理的得2分，一般的得1分，不合理的得0分；启动保障方案合理的得2分，一般的得1分，不合理的得0分）。</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2.项目交接方案详细得2分，一般得1分，交接方案不具实际可行性的得0分。</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3.承诺本项目团队不在其他项目内兼职（1分）。</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0-8</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4</w:t>
            </w:r>
          </w:p>
        </w:tc>
        <w:tc>
          <w:tcPr>
            <w:tcW w:w="9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3.内部管理能力（8分）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1.实行层级管理体系，各管理岗位人员配置数量、素质符合招标需求，管理岗位设置科学、分工合理，合理的得2分，一般的得1分，不合理的得0分。</w:t>
            </w:r>
          </w:p>
        </w:tc>
        <w:tc>
          <w:tcPr>
            <w:tcW w:w="55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0-8</w:t>
            </w:r>
          </w:p>
        </w:tc>
        <w:tc>
          <w:tcPr>
            <w:tcW w:w="667" w:type="pc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2.制定管理制度，包括行为规范、行政制度、岗位制度等合理可行，合理的得2分，一般的得1分，不合理的得0分。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3.制定各岗位考核办法，考核办法包括：采集员考核办法、管理员及项目负责人考核办法，考核方案详细得2分，一般得1分，考核办法不具实际可行性的得0分。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4.承诺为本单位员工购买 “五险一金”和交通意外险（1分）。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5.承诺员工工资月均实际收入不低于当年杭州市最低工资标准（1分）。</w:t>
            </w:r>
          </w:p>
        </w:tc>
        <w:tc>
          <w:tcPr>
            <w:tcW w:w="554"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667" w:type="pct"/>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462" w:type="pc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9</w:t>
            </w:r>
          </w:p>
        </w:tc>
        <w:tc>
          <w:tcPr>
            <w:tcW w:w="90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4.业务实施能力（22分）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1.制定有效的信息采集实施方案，采集人员组成结构符合采购需求（0-7分：方案合理详细得5分，一般得3分，不符合需求得0分；</w:t>
            </w:r>
            <w:r>
              <w:rPr>
                <w:rFonts w:hint="eastAsia" w:ascii="仿宋" w:hAnsi="仿宋" w:eastAsia="仿宋" w:cs="仿宋"/>
                <w:color w:val="auto"/>
                <w:sz w:val="24"/>
                <w:szCs w:val="24"/>
                <w:highlight w:val="none"/>
                <w:shd w:val="clear" w:color="auto" w:fill="auto"/>
                <w:lang w:val="en-US" w:eastAsia="zh-CN"/>
              </w:rPr>
              <w:t>承诺聘用具有3个月以上信息采集经验的采集员人数不少于30%的得1分，需提供承诺书；承诺招募的采集员学历、年龄结构符合需求得1分</w:t>
            </w:r>
            <w:r>
              <w:rPr>
                <w:rFonts w:hint="eastAsia" w:ascii="仿宋" w:hAnsi="仿宋" w:eastAsia="仿宋" w:cs="仿宋"/>
                <w:color w:val="auto"/>
                <w:sz w:val="24"/>
                <w:szCs w:val="24"/>
                <w:highlight w:val="none"/>
                <w:lang w:val="en-US" w:eastAsia="zh-CN"/>
              </w:rPr>
              <w:t>）。</w:t>
            </w:r>
          </w:p>
        </w:tc>
        <w:tc>
          <w:tcPr>
            <w:tcW w:w="55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rPr>
              <w:t>0-22</w:t>
            </w:r>
          </w:p>
        </w:tc>
        <w:tc>
          <w:tcPr>
            <w:tcW w:w="667" w:type="pc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908" w:type="pct"/>
            <w:vMerge w:val="continue"/>
            <w:tcBorders>
              <w:left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u w:val="none" w:color="auto"/>
                <w:lang w:val="en-US" w:eastAsia="zh-CN"/>
              </w:rPr>
              <w:t>项目所需的车辆、无人机、设备工具符合采购需求（0-5分：①承诺中标后按项目需求购置或租赁足额配备项目所需的车辆、无人机（含操作手）的得1分；②车辆及无人机巡查方案合理的得3分，一般的得1.5分，不合理的得0分；应急维护工具、井盖开启工具配备符合需求的得1分，不符合的得0分）。</w:t>
            </w:r>
          </w:p>
        </w:tc>
        <w:tc>
          <w:tcPr>
            <w:tcW w:w="554" w:type="pct"/>
            <w:vMerge w:val="continue"/>
            <w:tcBorders>
              <w:left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908" w:type="pct"/>
            <w:vMerge w:val="continue"/>
            <w:tcBorders>
              <w:left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3.根据道路等级、巡查密度要求，合理划分采集员巡查网格（采集区域内道路、绿地、河道巡查频率设置合理的得1分，不合理的得0分；采集区域内各巡查网格划分合理的得2分，一般的得1分，不合理的得0分）。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908" w:type="pct"/>
            <w:vMerge w:val="continue"/>
            <w:tcBorders>
              <w:left w:val="single" w:color="000000" w:sz="4" w:space="0"/>
              <w:right w:val="single" w:color="000000" w:sz="4" w:space="0"/>
            </w:tcBorders>
            <w:vAlign w:val="center"/>
          </w:tcPr>
          <w:p>
            <w:pPr>
              <w:jc w:val="center"/>
              <w:rPr>
                <w:rFonts w:hint="eastAsia" w:ascii="仿宋" w:hAnsi="仿宋" w:eastAsia="仿宋" w:cs="仿宋"/>
                <w:color w:val="auto"/>
                <w:sz w:val="28"/>
                <w:szCs w:val="28"/>
                <w:highlight w:val="none"/>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4.单个采集员、机动车巡查方案；部件设施产权确认方案；应急维护及轻微问题处置方案合理可行（单个采集员、机动车巡查方案合理的得1分，不合理的得0分；单个采集员、机动车巡查信息采集设备</w:t>
            </w:r>
            <w:r>
              <w:rPr>
                <w:rFonts w:hint="eastAsia" w:ascii="仿宋" w:hAnsi="仿宋" w:eastAsia="仿宋" w:cs="仿宋"/>
                <w:color w:val="auto"/>
                <w:sz w:val="24"/>
                <w:szCs w:val="24"/>
                <w:highlight w:val="none"/>
                <w:shd w:val="clear" w:color="auto" w:fill="auto"/>
                <w:lang w:val="en-US" w:eastAsia="zh-CN"/>
              </w:rPr>
              <w:t>符合要求（需提供设备证明材料及使用方案）的得1分，不符合的得0分</w:t>
            </w:r>
            <w:r>
              <w:rPr>
                <w:rFonts w:hint="eastAsia" w:ascii="仿宋" w:hAnsi="仿宋" w:eastAsia="仿宋" w:cs="仿宋"/>
                <w:color w:val="auto"/>
                <w:sz w:val="24"/>
                <w:szCs w:val="24"/>
                <w:highlight w:val="none"/>
                <w:lang w:val="en-US" w:eastAsia="zh-CN"/>
              </w:rPr>
              <w:t>；部件设施产权确认方案合理的得1分，不合理的得0分；应急维护及轻微问题处置方案合理的得1分，不合理的得0分）。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13</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3"/>
              </w:numPr>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u w:val="thick" w:color="FFFF00"/>
                <w:lang w:val="en-US" w:eastAsia="zh-CN"/>
              </w:rPr>
            </w:pPr>
            <w:r>
              <w:rPr>
                <w:rFonts w:hint="eastAsia" w:ascii="仿宋" w:hAnsi="仿宋" w:eastAsia="仿宋" w:cs="仿宋"/>
                <w:color w:val="auto"/>
                <w:sz w:val="24"/>
                <w:szCs w:val="24"/>
                <w:highlight w:val="none"/>
                <w:u w:val="none" w:color="auto"/>
                <w:lang w:val="en-US" w:eastAsia="zh-CN"/>
              </w:rPr>
              <w:t>视频监控巡查方案：监控日常巡查方案、重大活动及应急响应保障方案；（监控日常巡查方案合理的得2分，一般的得1分，不合理的得0分；监控应急保障方案合理可行的得1分，不合理的得0分）。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color w:val="auto"/>
                <w:sz w:val="28"/>
                <w:szCs w:val="28"/>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14</w:t>
            </w:r>
          </w:p>
        </w:tc>
        <w:tc>
          <w:tcPr>
            <w:tcW w:w="90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5.设备管理能力（8分）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1.配置足额信息采集器，数据流量配置方案合理可行（采集器参数、数量配备合理的得2分，一般的得1分，不合理的得0分；采集器流量配置合理的得2分，一般的得1分，不合理的得0分）。</w:t>
            </w:r>
          </w:p>
        </w:tc>
        <w:tc>
          <w:tcPr>
            <w:tcW w:w="55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0-8</w:t>
            </w:r>
          </w:p>
        </w:tc>
        <w:tc>
          <w:tcPr>
            <w:tcW w:w="667" w:type="pc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15</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u w:val="none" w:color="auto"/>
                <w:lang w:val="en-US" w:eastAsia="zh-CN"/>
              </w:rPr>
              <w:t>采集器、无人机及数据网络的故障维护、报修（0-2分：①采集器及无人机的日常维护、替换方案合理的得1分，不合理的得0分；②数据网络报修、替换方案合理的得1分，不合理的得0分）。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16</w:t>
            </w:r>
          </w:p>
        </w:tc>
        <w:tc>
          <w:tcPr>
            <w:tcW w:w="908"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napToGrid/>
              <w:spacing w:line="240" w:lineRule="auto"/>
              <w:ind w:left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3.项目部配备必要的办公设备，落实临时供电、网络保障方案，合理的得2分，一般的得1分，不合理的得0分。</w:t>
            </w:r>
          </w:p>
        </w:tc>
        <w:tc>
          <w:tcPr>
            <w:tcW w:w="554"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17</w:t>
            </w:r>
          </w:p>
        </w:tc>
        <w:tc>
          <w:tcPr>
            <w:tcW w:w="90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6.质量管理能力（12分）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1.控制市民热线投诉漏报量（热线投诉漏报内控方案合理可行得2分，一般的得1分，不合理的得0分；校核方案合理可行的得1分，不合理的得0分）。</w:t>
            </w:r>
          </w:p>
        </w:tc>
        <w:tc>
          <w:tcPr>
            <w:tcW w:w="55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0-12</w:t>
            </w:r>
          </w:p>
        </w:tc>
        <w:tc>
          <w:tcPr>
            <w:tcW w:w="667" w:type="pc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18</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2.控制上级行业部门暗访漏报量（上级行业部门暗访漏报内控方案合理可行得2分，一般的得1分，不合理的得0分；校核方案合理可行的得1分，不合理的得0分）。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19</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3.控制差错件数量（立案、结案内控方案详细得2分，一般得1分，不符合需求得0分；校核方案合理可行的得1分，不合理的得0分）。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20</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4.开展优秀案例、先进事迹宣传（宣传方案合理可行得2分，一般的得1分，不合理的得0分;宣传力量配备合理的得1分，不合理的得0分）。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21</w:t>
            </w:r>
          </w:p>
        </w:tc>
        <w:tc>
          <w:tcPr>
            <w:tcW w:w="908"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7.员工培训能力（7分）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1.培训内容合理，理论学习与实践结合紧密,合理的得2分，一般的得1分，不合理的得0分。</w:t>
            </w:r>
          </w:p>
        </w:tc>
        <w:tc>
          <w:tcPr>
            <w:tcW w:w="554"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0-7</w:t>
            </w: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22</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2.培训时间及培训方式清晰。对员工培训方式、培训时间合理可行的得3分，一般的得1.5分，不合理的得0分。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23</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3.承诺持证上岗。落实员工岗前培训制度，承诺新任职员工培训考核不合格不单独上岗（2分）。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24</w:t>
            </w:r>
          </w:p>
        </w:tc>
        <w:tc>
          <w:tcPr>
            <w:tcW w:w="908"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8.应急保障能力（5分）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1.有数字城管运行服务保障应急预案，路面突发情况的应急维护方案。方案详细得2分，一般得1分，不符合需求的得0分。</w:t>
            </w:r>
          </w:p>
        </w:tc>
        <w:tc>
          <w:tcPr>
            <w:tcW w:w="554"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0-5</w:t>
            </w:r>
          </w:p>
        </w:tc>
        <w:tc>
          <w:tcPr>
            <w:tcW w:w="667"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25</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2.有路面轻微坑洞应急处置方案，处置流程合理可行的得1分，不合理的得0分。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26</w:t>
            </w:r>
          </w:p>
        </w:tc>
        <w:tc>
          <w:tcPr>
            <w:tcW w:w="908"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3.组建极端天气应急保障、重大活动保障力量，整体方案合理可行的得2分，一般的得1分，不合理的得0分。</w:t>
            </w:r>
          </w:p>
        </w:tc>
        <w:tc>
          <w:tcPr>
            <w:tcW w:w="554"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c>
          <w:tcPr>
            <w:tcW w:w="667"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462" w:type="pct"/>
            <w:tcBorders>
              <w:left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27</w:t>
            </w:r>
          </w:p>
        </w:tc>
        <w:tc>
          <w:tcPr>
            <w:tcW w:w="908" w:type="pct"/>
            <w:tcBorders>
              <w:left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9.对所投标项的理解及合理化建议（5分）</w:t>
            </w:r>
          </w:p>
        </w:tc>
        <w:tc>
          <w:tcPr>
            <w:tcW w:w="2407" w:type="pc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1.对所投标项范围内的环境秩序现状开展调研，问题分析透彻解决方案合理的得3分，一般的得1.5分，不合理的得0分；</w:t>
            </w:r>
          </w:p>
          <w:p>
            <w:pPr>
              <w:pStyle w:val="81"/>
              <w:keepNext w:val="0"/>
              <w:keepLines w:val="0"/>
              <w:pageBreakBefore w:val="0"/>
              <w:numPr>
                <w:ilvl w:val="0"/>
                <w:numId w:val="0"/>
              </w:numPr>
              <w:kinsoku/>
              <w:wordWrap/>
              <w:overflowPunct/>
              <w:topLinePunct w:val="0"/>
              <w:autoSpaceDE/>
              <w:autoSpaceDN/>
              <w:bidi w:val="0"/>
              <w:snapToGrid/>
              <w:spacing w:line="240" w:lineRule="auto"/>
              <w:ind w:lef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2.对项目资金安全，确保员工工资按时发放的建议合理得2分，一般的得1分，不合理的得0分。</w:t>
            </w:r>
          </w:p>
        </w:tc>
        <w:tc>
          <w:tcPr>
            <w:tcW w:w="554" w:type="pct"/>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0-5</w:t>
            </w:r>
          </w:p>
        </w:tc>
        <w:tc>
          <w:tcPr>
            <w:tcW w:w="667" w:type="pct"/>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jc w:val="center"/>
        </w:trPr>
        <w:tc>
          <w:tcPr>
            <w:tcW w:w="462" w:type="pct"/>
            <w:tcBorders>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28</w:t>
            </w:r>
          </w:p>
        </w:tc>
        <w:tc>
          <w:tcPr>
            <w:tcW w:w="908" w:type="pc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10.投标人提出的其他优惠条件和承诺（5分）</w:t>
            </w:r>
          </w:p>
        </w:tc>
        <w:tc>
          <w:tcPr>
            <w:tcW w:w="240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1.在人员数量、员工工资待遇，车辆、设备数量性能方面的优惠承诺：（1）人员、车辆配备数量方面的实质性优惠（0-1分）；（2）人员工资待遇，车辆、设备类性能方面的实质性优惠（0-1分）。</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2.在设立项目服务点及服务保障时间的优惠承诺：（1）服务点位置、规模方面的实质性优惠（0-1分）；（2）服务点服务时间方面的实质性优惠（0-1分）。</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u w:val="none" w:color="auto"/>
                <w:lang w:val="en-US" w:eastAsia="zh-CN"/>
              </w:rPr>
              <w:t>.项目所投设备服务时间方面的实质性优惠（0-1分）。</w:t>
            </w:r>
          </w:p>
        </w:tc>
        <w:tc>
          <w:tcPr>
            <w:tcW w:w="55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0-5</w:t>
            </w:r>
          </w:p>
        </w:tc>
        <w:tc>
          <w:tcPr>
            <w:tcW w:w="667"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pPr>
              <w:pStyle w:val="89"/>
              <w:tabs>
                <w:tab w:val="left" w:pos="5851"/>
              </w:tabs>
              <w:spacing w:before="0"/>
              <w:ind w:firstLine="0" w:firstLine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11.投标人认证情况（3分）</w:t>
            </w:r>
          </w:p>
        </w:tc>
        <w:tc>
          <w:tcPr>
            <w:tcW w:w="2407" w:type="pct"/>
            <w:tcBorders>
              <w:top w:val="single" w:color="000000" w:sz="4" w:space="0"/>
              <w:left w:val="single" w:color="000000" w:sz="4" w:space="0"/>
              <w:bottom w:val="single" w:color="000000" w:sz="4" w:space="0"/>
              <w:right w:val="single" w:color="000000" w:sz="4" w:space="0"/>
            </w:tcBorders>
            <w:vAlign w:val="center"/>
          </w:tcPr>
          <w:p>
            <w:pPr>
              <w:pStyle w:val="89"/>
              <w:keepNext w:val="0"/>
              <w:keepLines w:val="0"/>
              <w:pageBreakBefore w:val="0"/>
              <w:tabs>
                <w:tab w:val="left" w:pos="5851"/>
              </w:tabs>
              <w:kinsoku/>
              <w:wordWrap/>
              <w:overflowPunct/>
              <w:topLinePunct w:val="0"/>
              <w:autoSpaceDE/>
              <w:autoSpaceDN/>
              <w:bidi w:val="0"/>
              <w:snapToGrid/>
              <w:spacing w:before="0"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投标人取得ISO9001质量管理体系认证、ISO14001环境管理体系认证、ISO45001职业健康安全管理体系认证，部分具备得1分，全部具备的得3分。</w:t>
            </w:r>
          </w:p>
        </w:tc>
        <w:tc>
          <w:tcPr>
            <w:tcW w:w="554" w:type="pct"/>
            <w:tcBorders>
              <w:top w:val="single" w:color="000000" w:sz="4" w:space="0"/>
              <w:left w:val="single" w:color="000000" w:sz="4" w:space="0"/>
              <w:bottom w:val="single" w:color="000000" w:sz="4" w:space="0"/>
              <w:right w:val="single" w:color="000000" w:sz="4" w:space="0"/>
            </w:tcBorders>
            <w:vAlign w:val="center"/>
          </w:tcPr>
          <w:p>
            <w:pPr>
              <w:pStyle w:val="89"/>
              <w:tabs>
                <w:tab w:val="left" w:pos="5851"/>
              </w:tabs>
              <w:spacing w:before="0"/>
              <w:ind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89"/>
              <w:tabs>
                <w:tab w:val="left" w:pos="5851"/>
              </w:tabs>
              <w:spacing w:before="0"/>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89"/>
              <w:tabs>
                <w:tab w:val="left" w:pos="5851"/>
              </w:tabs>
              <w:spacing w:before="0"/>
              <w:ind w:firstLine="0" w:firstLine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908" w:type="pct"/>
            <w:vAlign w:val="center"/>
          </w:tcPr>
          <w:p>
            <w:pPr>
              <w:widowControl/>
              <w:jc w:val="center"/>
              <w:textAlignment w:val="center"/>
              <w:rPr>
                <w:rFonts w:hint="eastAsia" w:ascii="仿宋" w:hAnsi="仿宋" w:eastAsia="仿宋" w:cs="仿宋"/>
                <w:i w:val="0"/>
                <w:iCs w:val="0"/>
                <w:color w:val="auto"/>
                <w:kern w:val="0"/>
                <w:sz w:val="28"/>
                <w:szCs w:val="28"/>
                <w:highlight w:val="none"/>
                <w:u w:val="none"/>
                <w:lang w:val="en-US" w:eastAsia="zh-CN"/>
              </w:rPr>
            </w:pPr>
            <w:r>
              <w:rPr>
                <w:rFonts w:hint="eastAsia" w:ascii="仿宋" w:hAnsi="仿宋" w:eastAsia="仿宋" w:cs="仿宋"/>
                <w:i w:val="0"/>
                <w:iCs w:val="0"/>
                <w:color w:val="auto"/>
                <w:kern w:val="0"/>
                <w:sz w:val="28"/>
                <w:szCs w:val="28"/>
                <w:highlight w:val="none"/>
                <w:u w:val="none"/>
                <w:lang w:val="en-US" w:eastAsia="zh-CN"/>
              </w:rPr>
              <w:t>价格分</w:t>
            </w:r>
          </w:p>
        </w:tc>
        <w:tc>
          <w:tcPr>
            <w:tcW w:w="2407" w:type="pct"/>
            <w:vAlign w:val="center"/>
          </w:tcPr>
          <w:p>
            <w:pPr>
              <w:keepNext w:val="0"/>
              <w:keepLines w:val="0"/>
              <w:pageBreakBefore w:val="0"/>
              <w:kinsoku/>
              <w:wordWrap/>
              <w:overflowPunct/>
              <w:topLinePunct w:val="0"/>
              <w:autoSpaceDE/>
              <w:autoSpaceDN/>
              <w:bidi w:val="0"/>
              <w:snapToGrid/>
              <w:spacing w:before="0" w:beforeAutospacing="0" w:after="0" w:afterAutospacing="0" w:line="240" w:lineRule="auto"/>
              <w:ind w:left="0" w:right="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24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pStyle w:val="89"/>
              <w:keepNext w:val="0"/>
              <w:keepLines w:val="0"/>
              <w:pageBreakBefore w:val="0"/>
              <w:tabs>
                <w:tab w:val="left" w:pos="5851"/>
              </w:tabs>
              <w:kinsoku/>
              <w:wordWrap/>
              <w:overflowPunct/>
              <w:topLinePunct w:val="0"/>
              <w:autoSpaceDE/>
              <w:autoSpaceDN/>
              <w:bidi w:val="0"/>
              <w:snapToGrid/>
              <w:spacing w:before="0"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554" w:type="pct"/>
            <w:vAlign w:val="center"/>
          </w:tcPr>
          <w:p>
            <w:pPr>
              <w:pStyle w:val="89"/>
              <w:tabs>
                <w:tab w:val="left" w:pos="5851"/>
              </w:tabs>
              <w:spacing w:before="0"/>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667" w:type="pct"/>
            <w:vAlign w:val="center"/>
          </w:tcPr>
          <w:p>
            <w:pPr>
              <w:pStyle w:val="89"/>
              <w:tabs>
                <w:tab w:val="left" w:pos="5851"/>
              </w:tabs>
              <w:spacing w:before="0"/>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rPr>
              <w:t>客观分</w:t>
            </w:r>
          </w:p>
        </w:tc>
      </w:tr>
    </w:tbl>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rPr>
        <w:t> *</w:t>
      </w:r>
      <w:r>
        <w:rPr>
          <w:rFonts w:hint="eastAsia" w:ascii="仿宋" w:hAnsi="仿宋" w:eastAsia="仿宋" w:cs="仿宋"/>
          <w:b/>
          <w:color w:val="auto"/>
          <w:sz w:val="28"/>
          <w:szCs w:val="28"/>
          <w:highlight w:val="none"/>
        </w:rPr>
        <w:t>备注：</w:t>
      </w:r>
      <w:r>
        <w:rPr>
          <w:rFonts w:hint="eastAsia" w:ascii="仿宋" w:hAnsi="仿宋" w:eastAsia="仿宋" w:cs="仿宋"/>
          <w:color w:val="auto"/>
          <w:sz w:val="28"/>
          <w:szCs w:val="28"/>
          <w:highlight w:val="none"/>
        </w:rPr>
        <w:t>投标人编制投标文件（商务技术文件部分）时，建议按此目录（序号和内容）提供评标标准相应的商务技术资料。 </w:t>
      </w:r>
    </w:p>
    <w:p>
      <w:pPr>
        <w:snapToGrid w:val="0"/>
        <w:spacing w:line="360" w:lineRule="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一、评标方法</w:t>
      </w:r>
    </w:p>
    <w:p>
      <w:pPr>
        <w:adjustRightInd/>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1.本项目采用综合评分法。</w:t>
      </w:r>
      <w:r>
        <w:rPr>
          <w:rFonts w:hint="eastAsia" w:ascii="仿宋" w:hAnsi="仿宋" w:eastAsia="仿宋" w:cs="仿宋"/>
          <w:color w:val="auto"/>
          <w:kern w:val="0"/>
          <w:sz w:val="28"/>
          <w:szCs w:val="28"/>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二、评标标准</w:t>
      </w:r>
    </w:p>
    <w:p>
      <w:pPr>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2.评标标准：</w:t>
      </w:r>
      <w:r>
        <w:rPr>
          <w:rFonts w:hint="eastAsia" w:ascii="仿宋" w:hAnsi="仿宋" w:eastAsia="仿宋" w:cs="仿宋"/>
          <w:color w:val="auto"/>
          <w:kern w:val="0"/>
          <w:sz w:val="28"/>
          <w:szCs w:val="28"/>
          <w:highlight w:val="none"/>
        </w:rPr>
        <w:t>见评标办法前附表。</w:t>
      </w:r>
    </w:p>
    <w:p>
      <w:pPr>
        <w:spacing w:line="360" w:lineRule="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pPr>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3.1符合性审查。</w:t>
      </w:r>
      <w:r>
        <w:rPr>
          <w:rFonts w:hint="eastAsia" w:ascii="仿宋" w:hAnsi="仿宋" w:eastAsia="仿宋" w:cs="仿宋"/>
          <w:color w:val="auto"/>
          <w:kern w:val="0"/>
          <w:sz w:val="28"/>
          <w:szCs w:val="28"/>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3.2 比较与评价。</w:t>
      </w:r>
      <w:r>
        <w:rPr>
          <w:rFonts w:hint="eastAsia" w:ascii="仿宋" w:hAnsi="仿宋" w:eastAsia="仿宋" w:cs="仿宋"/>
          <w:color w:val="auto"/>
          <w:kern w:val="0"/>
          <w:sz w:val="28"/>
          <w:szCs w:val="28"/>
          <w:highlight w:val="none"/>
        </w:rPr>
        <w:t>评标委员会应当按照招标文件中规定的评标方法和标准，对符合性审查合格的投标文件进行商务和技术评估，综合比较与评价。</w:t>
      </w:r>
    </w:p>
    <w:p>
      <w:pPr>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3.3汇总商务技术得分。</w:t>
      </w:r>
      <w:r>
        <w:rPr>
          <w:rFonts w:hint="eastAsia" w:ascii="仿宋" w:hAnsi="仿宋" w:eastAsia="仿宋" w:cs="仿宋"/>
          <w:color w:val="auto"/>
          <w:kern w:val="0"/>
          <w:sz w:val="28"/>
          <w:szCs w:val="28"/>
          <w:highlight w:val="none"/>
        </w:rPr>
        <w:t>评标委员会各成员应当独立对每个投标人的商务和技术文件进行评价，并汇总商务技术得分情况</w:t>
      </w:r>
      <w:r>
        <w:rPr>
          <w:rFonts w:hint="eastAsia" w:ascii="仿宋" w:hAnsi="仿宋" w:eastAsia="仿宋" w:cs="仿宋"/>
          <w:b/>
          <w:color w:val="auto"/>
          <w:kern w:val="0"/>
          <w:sz w:val="28"/>
          <w:szCs w:val="28"/>
          <w:highlight w:val="none"/>
        </w:rPr>
        <w:t>（评标委员会各成员评分的算术平均值，保留两位小数，后一位四舍五入）</w:t>
      </w:r>
      <w:r>
        <w:rPr>
          <w:rFonts w:hint="eastAsia" w:ascii="仿宋" w:hAnsi="仿宋" w:eastAsia="仿宋" w:cs="仿宋"/>
          <w:color w:val="auto"/>
          <w:kern w:val="0"/>
          <w:sz w:val="28"/>
          <w:szCs w:val="28"/>
          <w:highlight w:val="none"/>
        </w:rPr>
        <w:t>。</w:t>
      </w:r>
    </w:p>
    <w:p>
      <w:pPr>
        <w:spacing w:line="360" w:lineRule="auto"/>
        <w:ind w:firstLine="551" w:firstLineChars="196"/>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3.4报价评审。</w:t>
      </w:r>
    </w:p>
    <w:p>
      <w:pPr>
        <w:pStyle w:val="89"/>
        <w:spacing w:before="0"/>
        <w:ind w:firstLine="593" w:firstLineChars="21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3.4.1投标文件报价出现前后不一致的，按照下列规定修正：</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3.4.1.2大写金额和小写金额不一致的，以大写金额为准;</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3.4.1.3单价金额小数点或者百分比有明显错位的，以开标一览表的总价为准，并修改单价;</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3.4.1.4总价金额与按单价汇总金额不一致的，以单价金额计算结果为准。</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3.4.2投标文件出现不是唯一的、有选择性投标报价的，投标无效。</w:t>
      </w:r>
    </w:p>
    <w:p>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3.4.3投标报价超过招标文件中规定的预算金额或者最高限价的，投标无效。</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3.5排序与推荐。</w:t>
      </w:r>
      <w:r>
        <w:rPr>
          <w:rFonts w:hint="eastAsia" w:ascii="仿宋" w:hAnsi="仿宋" w:eastAsia="仿宋" w:cs="仿宋"/>
          <w:color w:val="auto"/>
          <w:kern w:val="0"/>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0" w:firstLineChars="200"/>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551" w:firstLineChars="196"/>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3.6编写评标报告。</w:t>
      </w:r>
      <w:r>
        <w:rPr>
          <w:rFonts w:hint="eastAsia" w:ascii="仿宋" w:hAnsi="仿宋" w:eastAsia="仿宋" w:cs="仿宋"/>
          <w:color w:val="auto"/>
          <w:kern w:val="0"/>
          <w:sz w:val="28"/>
          <w:szCs w:val="28"/>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9"/>
        <w:widowControl w:val="0"/>
        <w:wordWrap/>
        <w:adjustRightInd w:val="0"/>
        <w:spacing w:before="0" w:line="360" w:lineRule="auto"/>
        <w:ind w:firstLine="551" w:firstLineChars="196"/>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4.1投标人澄清、说明或者补正。</w:t>
      </w:r>
      <w:r>
        <w:rPr>
          <w:rFonts w:hint="eastAsia" w:ascii="仿宋" w:hAnsi="仿宋" w:eastAsia="仿宋" w:cs="仿宋"/>
          <w:color w:val="auto"/>
          <w:kern w:val="0"/>
          <w:sz w:val="28"/>
          <w:szCs w:val="2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widowControl w:val="0"/>
        <w:wordWrap/>
        <w:adjustRightInd w:val="0"/>
        <w:spacing w:line="360" w:lineRule="auto"/>
        <w:ind w:left="954" w:leftChars="226" w:hanging="479" w:firstLineChars="0"/>
        <w:textAlignment w:val="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4.2投标无效。</w:t>
      </w:r>
      <w:r>
        <w:rPr>
          <w:rFonts w:hint="eastAsia" w:ascii="仿宋" w:hAnsi="仿宋" w:eastAsia="仿宋" w:cs="仿宋"/>
          <w:color w:val="auto"/>
          <w:sz w:val="28"/>
          <w:szCs w:val="28"/>
          <w:highlight w:val="none"/>
        </w:rPr>
        <w:t>有下列情况之一的，投标无效：</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4.2.1投标人不具备招标文件中规定的资格要求的（投标人未提供有效的资格文件的，视为投标人不具备招标文件中规定的资格要求）；</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4.2.2投标文件未按照招标文件要求签署、盖章的；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4.2.3采购人拟采购的产品属于政府强制采购的节能产品品目清单范围的，投标人未按招标文件要求提供国家确定的认证机构出具的、处于有效期之内的节能产品认证证书的；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4.2.4投标文件含有采购人不能接受的附加条件的；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4.2.5投标文件中承诺的投标有效期少于招标文件中载明的投标有效期的；</w:t>
      </w:r>
    </w:p>
    <w:p>
      <w:pPr>
        <w:widowControl w:val="0"/>
        <w:wordWrap/>
        <w:adjustRightInd w:val="0"/>
        <w:snapToGrid/>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4.2.6投标文件出现不是唯一的、有选择性投标报价的;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4.2.7投标报价超过招标文件中规定的预算金额或者最高限价的;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4.2.8报价明显低于其他通过符合性审查投标人的报价，有可能影响产品质量或者不能诚信履约的，未能按要求提供书面说明或者提交相关证明材料，不能证明其报价合理性的;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4.2.9投标人对根据修正原则修正后的报价不确认的；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4.2.10投标人提供虚假材料投标的；</w:t>
      </w:r>
    </w:p>
    <w:p>
      <w:pPr>
        <w:widowControl w:val="0"/>
        <w:wordWrap/>
        <w:adjustRightInd w:val="0"/>
        <w:spacing w:line="360" w:lineRule="auto"/>
        <w:ind w:firstLine="280" w:firstLineChars="1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4.2.11投标人有恶意串通、妨碍其他投标人的竞争行为、损害采购人或者其他投标人的合法权益情形的；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4.2.12投标人仅提交备份投标文件，没有在电子交易平台传输递交投标文件的，投标无效；</w:t>
      </w:r>
    </w:p>
    <w:p>
      <w:pPr>
        <w:widowControl w:val="0"/>
        <w:tabs>
          <w:tab w:val="left" w:pos="432"/>
        </w:tabs>
        <w:wordWrap/>
        <w:adjustRightInd w:val="0"/>
        <w:spacing w:line="360" w:lineRule="auto"/>
        <w:ind w:firstLine="560" w:firstLineChars="200"/>
        <w:textAlignment w:val="auto"/>
        <w:outlineLvl w:val="9"/>
        <w:rPr>
          <w:rFonts w:hint="eastAsia" w:ascii="仿宋" w:hAnsi="仿宋" w:eastAsia="仿宋" w:cs="仿宋"/>
          <w:b w:val="0"/>
          <w:bCs w:val="0"/>
          <w:color w:val="auto"/>
          <w:kern w:val="0"/>
          <w:sz w:val="28"/>
          <w:szCs w:val="28"/>
          <w:highlight w:val="none"/>
          <w:lang w:val="en-US"/>
        </w:rPr>
      </w:pPr>
      <w:r>
        <w:rPr>
          <w:rFonts w:hint="eastAsia" w:ascii="仿宋" w:hAnsi="仿宋" w:eastAsia="仿宋" w:cs="仿宋"/>
          <w:b w:val="0"/>
          <w:bCs w:val="0"/>
          <w:color w:val="auto"/>
          <w:kern w:val="0"/>
          <w:sz w:val="28"/>
          <w:szCs w:val="28"/>
          <w:highlight w:val="none"/>
          <w:lang w:val="en-US"/>
        </w:rPr>
        <w:t>4.2.13 投标文件不满足招标文件的其它实质性要求的；</w:t>
      </w:r>
    </w:p>
    <w:p>
      <w:pPr>
        <w:widowControl w:val="0"/>
        <w:wordWrap/>
        <w:adjustRightIn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4.2.14法律、法规、规章（适用本市的）及省级以上规范性文件（适用本市的）规定的其他无效情形。</w:t>
      </w:r>
    </w:p>
    <w:p>
      <w:pPr>
        <w:pStyle w:val="25"/>
        <w:widowControl w:val="0"/>
        <w:wordWrap/>
        <w:adjustRightInd w:val="0"/>
        <w:snapToGrid w:val="0"/>
        <w:spacing w:line="360" w:lineRule="auto"/>
        <w:ind w:firstLine="551" w:firstLineChars="196"/>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4.3</w:t>
      </w:r>
      <w:r>
        <w:rPr>
          <w:rFonts w:hint="eastAsia" w:ascii="仿宋" w:hAnsi="仿宋" w:eastAsia="仿宋" w:cs="仿宋"/>
          <w:b/>
          <w:color w:val="auto"/>
          <w:sz w:val="28"/>
          <w:szCs w:val="28"/>
          <w:highlight w:val="none"/>
        </w:rPr>
        <w:t>废标。</w:t>
      </w:r>
      <w:r>
        <w:rPr>
          <w:rFonts w:hint="eastAsia" w:ascii="仿宋" w:hAnsi="仿宋" w:eastAsia="仿宋" w:cs="仿宋"/>
          <w:color w:val="auto"/>
          <w:sz w:val="28"/>
          <w:szCs w:val="28"/>
          <w:highlight w:val="none"/>
        </w:rPr>
        <w:t>根据《中华人民共和国政府采购法》第三十六条之规定，在采购中，出现下列情形之一的，应予废标：</w:t>
      </w:r>
    </w:p>
    <w:p>
      <w:pPr>
        <w:pStyle w:val="25"/>
        <w:widowControl w:val="0"/>
        <w:wordWrap/>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.1符合专业条件的供应商或者对招标文件作实质响应的供应商不足3家的；</w:t>
      </w:r>
    </w:p>
    <w:p>
      <w:pPr>
        <w:pStyle w:val="25"/>
        <w:widowControl w:val="0"/>
        <w:wordWrap/>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.2出现影响采购公正的违法、违规行为的；</w:t>
      </w:r>
    </w:p>
    <w:p>
      <w:pPr>
        <w:pStyle w:val="25"/>
        <w:widowControl w:val="0"/>
        <w:wordWrap/>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.3投标人的报价均超过了采购预算，采购人不能支付的；</w:t>
      </w:r>
    </w:p>
    <w:p>
      <w:pPr>
        <w:pStyle w:val="25"/>
        <w:widowControl w:val="0"/>
        <w:wordWrap/>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.4因重大变故，采购任务取消的。</w:t>
      </w:r>
    </w:p>
    <w:p>
      <w:pPr>
        <w:pStyle w:val="25"/>
        <w:widowControl w:val="0"/>
        <w:wordWrap/>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废标后，采购机构应当将废标理由通知所有投标人。</w:t>
      </w:r>
    </w:p>
    <w:p>
      <w:pPr>
        <w:pStyle w:val="25"/>
        <w:widowControl w:val="0"/>
        <w:wordWrap/>
        <w:adjustRightInd w:val="0"/>
        <w:snapToGrid w:val="0"/>
        <w:spacing w:line="360" w:lineRule="auto"/>
        <w:ind w:firstLine="689" w:firstLineChars="245"/>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4.4</w:t>
      </w:r>
      <w:r>
        <w:rPr>
          <w:rFonts w:hint="eastAsia" w:ascii="仿宋" w:hAnsi="仿宋" w:eastAsia="仿宋" w:cs="仿宋"/>
          <w:b/>
          <w:color w:val="auto"/>
          <w:sz w:val="28"/>
          <w:szCs w:val="28"/>
          <w:highlight w:val="none"/>
        </w:rPr>
        <w:t>修改招标文件，重新组织采购活动。</w:t>
      </w:r>
      <w:r>
        <w:rPr>
          <w:rFonts w:hint="eastAsia" w:ascii="仿宋" w:hAnsi="仿宋" w:eastAsia="仿宋" w:cs="仿宋"/>
          <w:color w:val="auto"/>
          <w:sz w:val="28"/>
          <w:szCs w:val="28"/>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widowControl w:val="0"/>
        <w:wordWrap/>
        <w:adjustRightInd w:val="0"/>
        <w:snapToGrid w:val="0"/>
        <w:spacing w:line="360" w:lineRule="auto"/>
        <w:ind w:firstLine="689" w:firstLineChars="245"/>
        <w:textAlignment w:val="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val="en-US" w:eastAsia="zh-CN"/>
        </w:rPr>
        <w:t>4.5</w:t>
      </w:r>
      <w:r>
        <w:rPr>
          <w:rFonts w:hint="eastAsia" w:ascii="仿宋" w:hAnsi="仿宋" w:eastAsia="仿宋" w:cs="仿宋"/>
          <w:b/>
          <w:color w:val="auto"/>
          <w:kern w:val="0"/>
          <w:sz w:val="28"/>
          <w:szCs w:val="28"/>
          <w:highlight w:val="none"/>
        </w:rPr>
        <w:t>重新开展采购。</w:t>
      </w:r>
      <w:r>
        <w:rPr>
          <w:rFonts w:hint="eastAsia" w:ascii="仿宋" w:hAnsi="仿宋" w:eastAsia="仿宋" w:cs="仿宋"/>
          <w:color w:val="auto"/>
          <w:sz w:val="28"/>
          <w:szCs w:val="28"/>
          <w:highlight w:val="none"/>
        </w:rPr>
        <w:t>有政府采购法第七十一条、第七十二条规定的违法行为之一，影响或者可能影响中标、成交结果的，依照下列规定处理：</w:t>
      </w:r>
    </w:p>
    <w:p>
      <w:pPr>
        <w:pStyle w:val="25"/>
        <w:widowControl w:val="0"/>
        <w:wordWrap/>
        <w:adjustRightInd w:val="0"/>
        <w:snapToGri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.1未确定中标或者中标人的，终止本次政府采购活动，重新开展政府采购活动。</w:t>
      </w:r>
    </w:p>
    <w:p>
      <w:pPr>
        <w:pStyle w:val="25"/>
        <w:widowControl w:val="0"/>
        <w:wordWrap/>
        <w:adjustRightInd w:val="0"/>
        <w:snapToGri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widowControl w:val="0"/>
        <w:wordWrap/>
        <w:adjustRightInd w:val="0"/>
        <w:snapToGri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.3政府采购合同已签订但尚未履行的，撤销合同，从合格的中标或者成交候选人中另行确定中标或者中标人；没有合格的中标或者成交候选人的，重新开展政府采购活动。</w:t>
      </w:r>
    </w:p>
    <w:p>
      <w:pPr>
        <w:pStyle w:val="25"/>
        <w:widowControl w:val="0"/>
        <w:wordWrap/>
        <w:adjustRightInd w:val="0"/>
        <w:snapToGrid w:val="0"/>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.4政府采购合同已经履行，给采购人、供应商造成损失的，由责任人承担赔偿责任。</w:t>
      </w:r>
    </w:p>
    <w:p>
      <w:pPr>
        <w:pStyle w:val="25"/>
        <w:widowControl w:val="0"/>
        <w:wordWrap/>
        <w:adjustRightInd w:val="0"/>
        <w:snapToGrid w:val="0"/>
        <w:spacing w:line="360" w:lineRule="auto"/>
        <w:ind w:firstLine="700" w:firstLineChars="250"/>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.5政府采购当事人有其他违反政府采购法</w:t>
      </w:r>
      <w:r>
        <w:rPr>
          <w:rFonts w:hint="eastAsia" w:ascii="仿宋" w:hAnsi="仿宋" w:eastAsia="仿宋" w:cs="仿宋"/>
          <w:color w:val="auto"/>
          <w:kern w:val="0"/>
          <w:sz w:val="28"/>
          <w:szCs w:val="28"/>
          <w:highlight w:val="none"/>
        </w:rPr>
        <w:t>或者政府采购法实施条例等法律法规规定</w:t>
      </w:r>
      <w:r>
        <w:rPr>
          <w:rFonts w:hint="eastAsia" w:ascii="仿宋" w:hAnsi="仿宋" w:eastAsia="仿宋" w:cs="仿宋"/>
          <w:color w:val="auto"/>
          <w:sz w:val="28"/>
          <w:szCs w:val="28"/>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4"/>
    <w:p>
      <w:pPr>
        <w:spacing w:line="360" w:lineRule="auto"/>
        <w:ind w:left="720" w:leftChars="343" w:firstLine="1084" w:firstLineChars="300"/>
        <w:outlineLvl w:val="0"/>
        <w:rPr>
          <w:rFonts w:hint="eastAsia" w:ascii="仿宋" w:hAnsi="仿宋" w:eastAsia="仿宋" w:cs="仿宋"/>
          <w:b/>
          <w:color w:val="auto"/>
          <w:sz w:val="36"/>
          <w:szCs w:val="36"/>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bookmarkStart w:id="391" w:name="_Toc86217003"/>
      <w:bookmarkStart w:id="392" w:name="第五部分"/>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第五部分拟签订的合同文本</w:t>
      </w:r>
    </w:p>
    <w:p>
      <w:pPr>
        <w:pStyle w:val="33"/>
        <w:snapToGrid w:val="0"/>
        <w:spacing w:line="400" w:lineRule="atLeast"/>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合同编号：            </w:t>
      </w:r>
    </w:p>
    <w:p>
      <w:pPr>
        <w:pStyle w:val="33"/>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甲方：（买方）</w:t>
      </w:r>
    </w:p>
    <w:p>
      <w:pPr>
        <w:pStyle w:val="33"/>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乙方：（卖方）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甲、乙双方基于               项目（项目编号：         ）的采购结果，根据《中国人民共和国合同法》等有关法律法规，经友好协商，在平等自愿的基础上签署本合同。</w:t>
      </w:r>
    </w:p>
    <w:p>
      <w:pPr>
        <w:adjustRightInd w:val="0"/>
        <w:snapToGrid w:val="0"/>
        <w:spacing w:line="360" w:lineRule="auto"/>
        <w:ind w:firstLine="420" w:firstLineChars="150"/>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第一条：采购合同价</w:t>
      </w:r>
      <w:r>
        <w:rPr>
          <w:rFonts w:hint="eastAsia" w:ascii="仿宋" w:hAnsi="仿宋" w:eastAsia="仿宋" w:cs="仿宋"/>
          <w:color w:val="auto"/>
          <w:sz w:val="28"/>
          <w:szCs w:val="28"/>
          <w:highlight w:val="none"/>
        </w:rPr>
        <w:t xml:space="preserve">：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本合同金额为</w:t>
      </w:r>
      <w:r>
        <w:rPr>
          <w:rFonts w:hint="eastAsia" w:ascii="仿宋" w:hAnsi="仿宋" w:eastAsia="仿宋" w:cs="仿宋"/>
          <w:color w:val="auto"/>
          <w:sz w:val="28"/>
          <w:szCs w:val="28"/>
          <w:highlight w:val="none"/>
          <w:u w:val="single"/>
        </w:rPr>
        <w:t>（大写）       元（￥     元）</w:t>
      </w:r>
      <w:r>
        <w:rPr>
          <w:rFonts w:hint="eastAsia" w:ascii="仿宋" w:hAnsi="仿宋" w:eastAsia="仿宋" w:cs="仿宋"/>
          <w:color w:val="auto"/>
          <w:sz w:val="28"/>
          <w:szCs w:val="28"/>
          <w:highlight w:val="none"/>
        </w:rPr>
        <w:t>人民币。</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第二条：</w:t>
      </w:r>
      <w:r>
        <w:rPr>
          <w:rFonts w:hint="eastAsia" w:ascii="仿宋" w:hAnsi="仿宋" w:eastAsia="仿宋" w:cs="仿宋"/>
          <w:b/>
          <w:bCs/>
          <w:color w:val="auto"/>
          <w:sz w:val="28"/>
          <w:szCs w:val="28"/>
          <w:highlight w:val="none"/>
        </w:rPr>
        <w:t>服务范围及工作要求：</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第三条：履约保证金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乙方应向甲方缴纳合同金额</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%的履约保证金，如乙方不按合同履约，则履约保证金作为违约金不予退还。履约保证金不足以赔偿实际损失的，按实际损失赔偿。履约保证金在项目全部完成并验收合格后，全额无息退还。</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第四条：转包或分包</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1、本合同范围的服务，应由乙方直接实施，不得转让他人实施。</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2、如有转让和未经甲方同意的分包行为，甲方有权解除合同，履约保证金不予退还并追究乙方的违约责任。</w:t>
      </w:r>
    </w:p>
    <w:p>
      <w:pPr>
        <w:pStyle w:val="170"/>
        <w:adjustRightInd w:val="0"/>
        <w:snapToGrid w:val="0"/>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2"/>
          <w:sz w:val="28"/>
          <w:szCs w:val="28"/>
          <w:highlight w:val="none"/>
          <w:lang w:eastAsia="zh-CN"/>
        </w:rPr>
        <w:t>第五条：服务期</w:t>
      </w:r>
    </w:p>
    <w:p>
      <w:pPr>
        <w:pStyle w:val="170"/>
        <w:adjustRightInd w:val="0"/>
        <w:snapToGrid w:val="0"/>
        <w:spacing w:line="360" w:lineRule="auto"/>
        <w:ind w:left="-134" w:leftChars="-64" w:firstLine="560" w:firstLineChars="200"/>
        <w:rPr>
          <w:rFonts w:hint="default" w:ascii="仿宋" w:hAnsi="仿宋" w:eastAsia="仿宋" w:cs="仿宋"/>
          <w:color w:val="auto"/>
          <w:kern w:val="2"/>
          <w:sz w:val="28"/>
          <w:szCs w:val="28"/>
          <w:highlight w:val="none"/>
          <w:lang w:val="en-US" w:eastAsia="zh-CN"/>
        </w:rPr>
      </w:pPr>
      <w:bookmarkStart w:id="393" w:name="_Toc482341668"/>
      <w:r>
        <w:rPr>
          <w:rFonts w:hint="eastAsia" w:ascii="仿宋" w:hAnsi="仿宋" w:eastAsia="仿宋" w:cs="仿宋"/>
          <w:color w:val="auto"/>
          <w:kern w:val="2"/>
          <w:sz w:val="28"/>
          <w:szCs w:val="28"/>
          <w:highlight w:val="none"/>
          <w:lang w:val="en-US" w:eastAsia="zh-CN"/>
        </w:rPr>
        <w:t>2023年4月1日-2023年11月30日</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第六条：合同履行时间及履行地点</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1、履行时间：20</w:t>
      </w:r>
      <w:r>
        <w:rPr>
          <w:rFonts w:hint="eastAsia" w:ascii="仿宋" w:hAnsi="仿宋" w:eastAsia="仿宋" w:cs="仿宋"/>
          <w:color w:val="auto"/>
          <w:kern w:val="2"/>
          <w:sz w:val="28"/>
          <w:szCs w:val="28"/>
          <w:highlight w:val="none"/>
          <w:lang w:val="en-US" w:eastAsia="zh-CN"/>
        </w:rPr>
        <w:t>23</w:t>
      </w:r>
      <w:r>
        <w:rPr>
          <w:rFonts w:hint="eastAsia" w:ascii="仿宋" w:hAnsi="仿宋" w:eastAsia="仿宋" w:cs="仿宋"/>
          <w:color w:val="auto"/>
          <w:kern w:val="2"/>
          <w:sz w:val="28"/>
          <w:szCs w:val="28"/>
          <w:highlight w:val="none"/>
          <w:lang w:eastAsia="zh-CN"/>
        </w:rPr>
        <w:t>年</w:t>
      </w:r>
      <w:r>
        <w:rPr>
          <w:rFonts w:hint="eastAsia" w:ascii="仿宋" w:hAnsi="仿宋" w:eastAsia="仿宋" w:cs="仿宋"/>
          <w:color w:val="auto"/>
          <w:kern w:val="2"/>
          <w:sz w:val="28"/>
          <w:szCs w:val="28"/>
          <w:highlight w:val="none"/>
          <w:lang w:val="en-US" w:eastAsia="zh-CN"/>
        </w:rPr>
        <w:t xml:space="preserve"> 4 </w:t>
      </w:r>
      <w:r>
        <w:rPr>
          <w:rFonts w:hint="eastAsia" w:ascii="仿宋" w:hAnsi="仿宋" w:eastAsia="仿宋" w:cs="仿宋"/>
          <w:color w:val="auto"/>
          <w:kern w:val="2"/>
          <w:sz w:val="28"/>
          <w:szCs w:val="28"/>
          <w:highlight w:val="none"/>
          <w:lang w:eastAsia="zh-CN"/>
        </w:rPr>
        <w:t>月</w:t>
      </w:r>
      <w:r>
        <w:rPr>
          <w:rFonts w:hint="eastAsia" w:ascii="仿宋" w:hAnsi="仿宋" w:eastAsia="仿宋" w:cs="仿宋"/>
          <w:color w:val="auto"/>
          <w:kern w:val="2"/>
          <w:sz w:val="28"/>
          <w:szCs w:val="28"/>
          <w:highlight w:val="none"/>
          <w:lang w:val="en-US" w:eastAsia="zh-CN"/>
        </w:rPr>
        <w:t xml:space="preserve"> 1 </w:t>
      </w:r>
      <w:r>
        <w:rPr>
          <w:rFonts w:hint="eastAsia" w:ascii="仿宋" w:hAnsi="仿宋" w:eastAsia="仿宋" w:cs="仿宋"/>
          <w:color w:val="auto"/>
          <w:kern w:val="2"/>
          <w:sz w:val="28"/>
          <w:szCs w:val="28"/>
          <w:highlight w:val="none"/>
          <w:lang w:eastAsia="zh-CN"/>
        </w:rPr>
        <w:t>日起至20</w:t>
      </w:r>
      <w:r>
        <w:rPr>
          <w:rFonts w:hint="eastAsia" w:ascii="仿宋" w:hAnsi="仿宋" w:eastAsia="仿宋" w:cs="仿宋"/>
          <w:color w:val="auto"/>
          <w:kern w:val="2"/>
          <w:sz w:val="28"/>
          <w:szCs w:val="28"/>
          <w:highlight w:val="none"/>
          <w:lang w:val="en-US" w:eastAsia="zh-CN"/>
        </w:rPr>
        <w:t>23</w:t>
      </w:r>
      <w:r>
        <w:rPr>
          <w:rFonts w:hint="eastAsia" w:ascii="仿宋" w:hAnsi="仿宋" w:eastAsia="仿宋" w:cs="仿宋"/>
          <w:color w:val="auto"/>
          <w:kern w:val="2"/>
          <w:sz w:val="28"/>
          <w:szCs w:val="28"/>
          <w:highlight w:val="none"/>
          <w:lang w:eastAsia="zh-CN"/>
        </w:rPr>
        <w:t>年</w:t>
      </w:r>
      <w:r>
        <w:rPr>
          <w:rFonts w:hint="eastAsia" w:ascii="仿宋" w:hAnsi="仿宋" w:eastAsia="仿宋" w:cs="仿宋"/>
          <w:color w:val="auto"/>
          <w:kern w:val="2"/>
          <w:sz w:val="28"/>
          <w:szCs w:val="28"/>
          <w:highlight w:val="none"/>
          <w:lang w:val="en-US" w:eastAsia="zh-CN"/>
        </w:rPr>
        <w:t xml:space="preserve"> 11 </w:t>
      </w:r>
      <w:r>
        <w:rPr>
          <w:rFonts w:hint="eastAsia" w:ascii="仿宋" w:hAnsi="仿宋" w:eastAsia="仿宋" w:cs="仿宋"/>
          <w:color w:val="auto"/>
          <w:kern w:val="2"/>
          <w:sz w:val="28"/>
          <w:szCs w:val="28"/>
          <w:highlight w:val="none"/>
          <w:lang w:eastAsia="zh-CN"/>
        </w:rPr>
        <w:t>月</w:t>
      </w:r>
      <w:r>
        <w:rPr>
          <w:rFonts w:hint="eastAsia" w:ascii="仿宋" w:hAnsi="仿宋" w:eastAsia="仿宋" w:cs="仿宋"/>
          <w:color w:val="auto"/>
          <w:kern w:val="2"/>
          <w:sz w:val="28"/>
          <w:szCs w:val="28"/>
          <w:highlight w:val="none"/>
          <w:lang w:val="en-US" w:eastAsia="zh-CN"/>
        </w:rPr>
        <w:t xml:space="preserve"> 30 </w:t>
      </w:r>
      <w:r>
        <w:rPr>
          <w:rFonts w:hint="eastAsia" w:ascii="仿宋" w:hAnsi="仿宋" w:eastAsia="仿宋" w:cs="仿宋"/>
          <w:color w:val="auto"/>
          <w:kern w:val="2"/>
          <w:sz w:val="28"/>
          <w:szCs w:val="28"/>
          <w:highlight w:val="none"/>
          <w:lang w:eastAsia="zh-CN"/>
        </w:rPr>
        <w:t>日，完成全部服务内容。</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2、履行地点：甲方指定地点。</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第七条：款项支付</w:t>
      </w:r>
    </w:p>
    <w:p>
      <w:pPr>
        <w:pStyle w:val="170"/>
        <w:adjustRightInd w:val="0"/>
        <w:snapToGrid w:val="0"/>
        <w:spacing w:line="360" w:lineRule="auto"/>
        <w:ind w:firstLine="281" w:firstLineChars="100"/>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第八条：税费</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本合同执行中相关的一切税费均由乙方负担。</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第九条：服务保证及后续服务</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1、乙方应按采购文件规定向甲方提供服务。</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2、乙方提供的服务成果在服务质量保证期内发生差错，乙方应负责免费更正并提供后续服务。对达不到要求者，根据实际情况，经双方协商，可按以下办法处理：</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（1）重做：由乙方承担所发生的全部费用。</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（2）贬值处理：由甲、乙双方合议定价。</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（3）解除合同。</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3、如在实施过程中发生问题，乙方在接到甲方通知后</w:t>
      </w:r>
      <w:r>
        <w:rPr>
          <w:rFonts w:hint="eastAsia" w:ascii="仿宋" w:hAnsi="仿宋" w:eastAsia="仿宋" w:cs="仿宋"/>
          <w:color w:val="auto"/>
          <w:kern w:val="2"/>
          <w:sz w:val="28"/>
          <w:szCs w:val="28"/>
          <w:highlight w:val="none"/>
          <w:u w:val="single"/>
          <w:lang w:eastAsia="zh-CN"/>
        </w:rPr>
        <w:t xml:space="preserve">   </w:t>
      </w:r>
      <w:r>
        <w:rPr>
          <w:rFonts w:hint="eastAsia" w:ascii="仿宋" w:hAnsi="仿宋" w:eastAsia="仿宋" w:cs="仿宋"/>
          <w:color w:val="auto"/>
          <w:kern w:val="2"/>
          <w:sz w:val="28"/>
          <w:szCs w:val="28"/>
          <w:highlight w:val="none"/>
          <w:lang w:eastAsia="zh-CN"/>
        </w:rPr>
        <w:t>小时内到达甲方指定现场处理。</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4、在服务质量保证期内，乙方应对出现的全部问题负责处理解决并承担一切费用。</w:t>
      </w:r>
    </w:p>
    <w:p>
      <w:pPr>
        <w:pStyle w:val="170"/>
        <w:adjustRightInd w:val="0"/>
        <w:snapToGrid w:val="0"/>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2"/>
          <w:sz w:val="28"/>
          <w:szCs w:val="28"/>
          <w:highlight w:val="none"/>
          <w:lang w:eastAsia="zh-CN"/>
        </w:rPr>
        <w:t>第十条：违约责任</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1、甲方无正当理由拒绝接受服务的，甲方向乙方偿付合同款项百分之五作为违约金。</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2、甲方无故逾期验收和办理款项支付手续的，甲方应按逾期付款总额每日万分之五向乙方支付违约金。</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3、乙方未能如期提供服务的，甲方可相应扣除质量保证金直至全部扣除，如多次发生服务质量问题，甲方有权利解除合同。造成甲方损失超过违约金的，超出部分由乙方继续承担赔偿责任。</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第十一条：不可抗力事件处理</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1、在合同有效期内，任何一方因不可抗力事件导致不能履行合同，则合同履行期可延长，其延长期与不可抗力影响期相同。</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2、不可抗力事件发生后，应立即通知对方，并寄送有关权威机构出具的证明。</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3、不可抗力事件延续120天以上，双方应通过友好协商，确定是否继续履行合同。</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第十二条：仲裁</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 合同在履行过程中发生争议时，甲方与乙方及时协商解决。协商不成时，提请杭州市仲裁委员会根据仲裁规则仲裁。</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 对于因违反或终止合同而引起的损失、损害的赔偿，由甲方与乙方友好协商解决，经协商仍未能达成一致的，提交杭州市仲裁委员会仲裁。</w:t>
      </w:r>
    </w:p>
    <w:p>
      <w:pPr>
        <w:pStyle w:val="170"/>
        <w:adjustRightInd w:val="0"/>
        <w:snapToGrid w:val="0"/>
        <w:spacing w:line="360" w:lineRule="auto"/>
        <w:rPr>
          <w:rFonts w:hint="eastAsia" w:ascii="仿宋" w:hAnsi="仿宋" w:eastAsia="仿宋" w:cs="仿宋"/>
          <w:b/>
          <w:color w:val="auto"/>
          <w:kern w:val="2"/>
          <w:sz w:val="28"/>
          <w:szCs w:val="28"/>
          <w:highlight w:val="none"/>
          <w:lang w:eastAsia="zh-CN"/>
        </w:rPr>
      </w:pPr>
      <w:r>
        <w:rPr>
          <w:rFonts w:hint="eastAsia" w:ascii="仿宋" w:hAnsi="仿宋" w:eastAsia="仿宋" w:cs="仿宋"/>
          <w:b/>
          <w:color w:val="auto"/>
          <w:kern w:val="2"/>
          <w:sz w:val="28"/>
          <w:szCs w:val="28"/>
          <w:highlight w:val="none"/>
          <w:lang w:eastAsia="zh-CN"/>
        </w:rPr>
        <w:t>第十三条：合同生效及其它</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1、合同经双方法定代表人或授权代表签字并加盖单位公章后生效。</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2、本合同未尽事宜，遵照《合同法》有关条文执行。</w:t>
      </w:r>
    </w:p>
    <w:p>
      <w:pPr>
        <w:pStyle w:val="170"/>
        <w:adjustRightInd w:val="0"/>
        <w:snapToGrid w:val="0"/>
        <w:spacing w:line="360" w:lineRule="auto"/>
        <w:ind w:left="-134" w:leftChars="-64"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3、本合同正本一式肆份，具有同等法律效力，甲、乙双方各执贰份。</w:t>
      </w: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甲方（盖章）：                          乙方（盖章）：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                           法定代表人：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或授权代表（签字）：                   或授权代表（签字）：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地址：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邮编：                                 邮编：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                                 电话：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传真：                                 传真：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开户银行：                             开户银行：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帐号：                                 帐号：     </w:t>
      </w: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pPr>
        <w:spacing w:line="360" w:lineRule="auto"/>
        <w:ind w:right="480"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签约地点：       </w:t>
      </w:r>
    </w:p>
    <w:p>
      <w:pPr>
        <w:spacing w:line="360" w:lineRule="auto"/>
        <w:rPr>
          <w:rFonts w:hint="eastAsia" w:ascii="仿宋" w:hAnsi="仿宋" w:eastAsia="仿宋" w:cs="仿宋"/>
          <w:color w:val="auto"/>
          <w:sz w:val="28"/>
          <w:szCs w:val="28"/>
          <w:highlight w:val="none"/>
        </w:rPr>
      </w:pPr>
      <w:bookmarkStart w:id="394" w:name="_Toc326765771"/>
      <w:bookmarkStart w:id="395" w:name="_Toc349721554"/>
      <w:bookmarkStart w:id="396" w:name="_Toc339872468"/>
      <w:bookmarkStart w:id="397" w:name="_Toc328381300"/>
      <w:bookmarkStart w:id="398" w:name="_Toc350327365"/>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 此仅为合同书样本，</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需根据实际情况和采购人签订相应的合同！</w:t>
      </w:r>
      <w:bookmarkEnd w:id="393"/>
      <w:bookmarkEnd w:id="394"/>
      <w:bookmarkEnd w:id="395"/>
      <w:bookmarkEnd w:id="396"/>
      <w:bookmarkEnd w:id="397"/>
      <w:bookmarkEnd w:id="398"/>
    </w:p>
    <w:p>
      <w:pPr>
        <w:spacing w:line="360" w:lineRule="auto"/>
        <w:ind w:left="-420" w:leftChars="-200" w:right="-420" w:rightChars="-200" w:firstLine="480" w:firstLineChars="200"/>
        <w:jc w:val="center"/>
        <w:outlineLvl w:val="9"/>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9"/>
        <w:rPr>
          <w:rFonts w:hint="eastAsia" w:ascii="仿宋" w:hAnsi="仿宋" w:eastAsia="仿宋" w:cs="仿宋"/>
          <w:color w:val="auto"/>
          <w:sz w:val="24"/>
          <w:highlight w:val="none"/>
        </w:rPr>
      </w:pPr>
    </w:p>
    <w:p>
      <w:pPr>
        <w:spacing w:line="360" w:lineRule="auto"/>
        <w:ind w:left="720" w:firstLine="723" w:firstLineChars="200"/>
        <w:outlineLvl w:val="9"/>
        <w:rPr>
          <w:rFonts w:hint="eastAsia"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bookmarkEnd w:id="392"/>
      <w:r>
        <w:rPr>
          <w:rFonts w:hint="eastAsia" w:ascii="仿宋" w:hAnsi="仿宋" w:eastAsia="仿宋" w:cs="仿宋"/>
          <w:b/>
          <w:color w:val="auto"/>
          <w:sz w:val="36"/>
          <w:szCs w:val="20"/>
          <w:highlight w:val="none"/>
        </w:rPr>
        <w:t>应提交的有关格式范例</w:t>
      </w:r>
    </w:p>
    <w:p>
      <w:pPr>
        <w:spacing w:line="360" w:lineRule="auto"/>
        <w:jc w:val="center"/>
        <w:outlineLvl w:val="9"/>
        <w:rPr>
          <w:rFonts w:hint="eastAsia" w:ascii="仿宋" w:hAnsi="仿宋" w:eastAsia="仿宋" w:cs="仿宋"/>
          <w:b/>
          <w:color w:val="auto"/>
          <w:kern w:val="0"/>
          <w:sz w:val="36"/>
          <w:szCs w:val="36"/>
          <w:highlight w:val="none"/>
        </w:rPr>
      </w:pP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9"/>
        <w:rPr>
          <w:rFonts w:hint="eastAsia" w:ascii="仿宋" w:hAnsi="仿宋" w:eastAsia="仿宋" w:cs="仿宋"/>
          <w:b/>
          <w:color w:val="auto"/>
          <w:kern w:val="0"/>
          <w:sz w:val="28"/>
          <w:szCs w:val="28"/>
          <w:highlight w:val="none"/>
        </w:rPr>
      </w:pP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（1）符合参加政府采购活动应当具备的一般条件的承诺函…………（页码）</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（2）落实政府采购政策需满足的资格要求……………………………（页码）</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我方参与（项目名称）【招标编号：（采购编号）】政府采购活动，郑重承诺：</w:t>
      </w:r>
    </w:p>
    <w:p>
      <w:pPr>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（一）具备《中华人民共和国政府采购法》第二十二条第一款规定的条件：</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2、具有良好的商业信誉和健全的财务会计制度； </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6、具有法律、行政法规规定的其他条件。</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（三）不存在以下情况：</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1、单位负责人为同一人或者存在直接控股、管理关系的不同供应商参加同一合同项下的政府采购活动的；</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2、为采购项目提供整体设计、规范编制或者项目管理、监理、检测等服务后再参加该采购项目的其他采购活动的。</w:t>
      </w:r>
    </w:p>
    <w:p>
      <w:pPr>
        <w:snapToGrid w:val="0"/>
        <w:spacing w:line="360" w:lineRule="auto"/>
        <w:ind w:firstLine="6440" w:firstLineChars="2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投标人名称(电子签名)：</w:t>
      </w:r>
    </w:p>
    <w:p>
      <w:pPr>
        <w:snapToGri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val="zh-CN"/>
        </w:rPr>
        <w:t>日期</w:t>
      </w:r>
      <w:r>
        <w:rPr>
          <w:rFonts w:hint="eastAsia" w:ascii="仿宋" w:hAnsi="仿宋" w:eastAsia="仿宋" w:cs="仿宋"/>
          <w:color w:val="auto"/>
          <w:kern w:val="0"/>
          <w:sz w:val="28"/>
          <w:szCs w:val="28"/>
          <w:highlight w:val="none"/>
        </w:rPr>
        <w:t xml:space="preserve">：  年  </w:t>
      </w:r>
      <w:r>
        <w:rPr>
          <w:rFonts w:hint="eastAsia" w:ascii="仿宋" w:hAnsi="仿宋" w:eastAsia="仿宋" w:cs="仿宋"/>
          <w:color w:val="auto"/>
          <w:kern w:val="0"/>
          <w:sz w:val="28"/>
          <w:szCs w:val="28"/>
          <w:highlight w:val="none"/>
          <w:lang w:val="zh-CN"/>
        </w:rPr>
        <w:t>月</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val="zh-CN"/>
        </w:rPr>
        <w:t>日</w:t>
      </w:r>
    </w:p>
    <w:p>
      <w:pPr>
        <w:snapToGrid w:val="0"/>
        <w:spacing w:line="360" w:lineRule="auto"/>
        <w:ind w:right="480"/>
        <w:jc w:val="both"/>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（根据招标公告落实政府采购政策需满足的资格要求选择提供相应的材料；未要求的，无需提供）</w:t>
      </w:r>
    </w:p>
    <w:p>
      <w:pPr>
        <w:snapToGrid w:val="0"/>
        <w:spacing w:before="50" w:after="50" w:line="360" w:lineRule="auto"/>
        <w:ind w:firstLine="551" w:firstLineChars="196"/>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A</w:t>
      </w:r>
      <w:r>
        <w:rPr>
          <w:rFonts w:hint="eastAsia" w:ascii="仿宋" w:hAnsi="仿宋" w:eastAsia="仿宋" w:cs="仿宋"/>
          <w:color w:val="auto"/>
          <w:sz w:val="28"/>
          <w:szCs w:val="28"/>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8"/>
          <w:szCs w:val="28"/>
          <w:highlight w:val="none"/>
        </w:rPr>
      </w:pPr>
    </w:p>
    <w:p>
      <w:pPr>
        <w:widowControl/>
        <w:spacing w:line="360" w:lineRule="auto"/>
        <w:ind w:firstLine="551" w:firstLineChars="196"/>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B.</w:t>
      </w:r>
      <w:r>
        <w:rPr>
          <w:rFonts w:hint="eastAsia" w:ascii="仿宋" w:hAnsi="仿宋" w:eastAsia="仿宋" w:cs="仿宋"/>
          <w:color w:val="auto"/>
          <w:sz w:val="28"/>
          <w:szCs w:val="28"/>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p>
    <w:p>
      <w:pPr>
        <w:snapToGrid w:val="0"/>
        <w:spacing w:before="50" w:after="50" w:line="360" w:lineRule="auto"/>
        <w:jc w:val="both"/>
        <w:rPr>
          <w:rFonts w:hint="eastAsia" w:ascii="仿宋" w:hAnsi="仿宋" w:eastAsia="仿宋" w:cs="仿宋"/>
          <w:b/>
          <w:color w:val="auto"/>
          <w:kern w:val="0"/>
          <w:sz w:val="32"/>
          <w:szCs w:val="32"/>
          <w:highlight w:val="none"/>
          <w:lang w:val="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（联合体所有成员名称）</w:t>
      </w:r>
      <w:r>
        <w:rPr>
          <w:rFonts w:hint="eastAsia" w:ascii="仿宋" w:hAnsi="仿宋" w:eastAsia="仿宋" w:cs="仿宋"/>
          <w:color w:val="auto"/>
          <w:kern w:val="0"/>
          <w:sz w:val="28"/>
          <w:szCs w:val="28"/>
          <w:highlight w:val="none"/>
        </w:rPr>
        <w:t>自愿</w:t>
      </w:r>
      <w:r>
        <w:rPr>
          <w:rFonts w:hint="eastAsia" w:ascii="仿宋" w:hAnsi="仿宋" w:eastAsia="仿宋" w:cs="仿宋"/>
          <w:color w:val="auto"/>
          <w:kern w:val="0"/>
          <w:sz w:val="28"/>
          <w:szCs w:val="28"/>
          <w:highlight w:val="none"/>
          <w:lang w:val="zh-CN"/>
        </w:rPr>
        <w:t>组成一个联合体，以一个投标人的身份</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投标。</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一、各方一致决定，</w:t>
      </w:r>
      <w:r>
        <w:rPr>
          <w:rFonts w:hint="eastAsia" w:ascii="仿宋" w:hAnsi="仿宋" w:eastAsia="仿宋" w:cs="仿宋"/>
          <w:color w:val="auto"/>
          <w:kern w:val="0"/>
          <w:sz w:val="28"/>
          <w:szCs w:val="28"/>
          <w:highlight w:val="none"/>
          <w:u w:val="single"/>
        </w:rPr>
        <w:t>（某联合体成员名称）</w:t>
      </w:r>
      <w:r>
        <w:rPr>
          <w:rFonts w:hint="eastAsia" w:ascii="仿宋" w:hAnsi="仿宋" w:eastAsia="仿宋" w:cs="仿宋"/>
          <w:color w:val="auto"/>
          <w:kern w:val="0"/>
          <w:sz w:val="28"/>
          <w:szCs w:val="28"/>
          <w:highlight w:val="none"/>
        </w:rPr>
        <w:t>为联合体</w:t>
      </w:r>
      <w:r>
        <w:rPr>
          <w:rFonts w:hint="eastAsia" w:ascii="仿宋" w:hAnsi="仿宋" w:eastAsia="仿宋" w:cs="仿宋"/>
          <w:color w:val="auto"/>
          <w:kern w:val="0"/>
          <w:sz w:val="28"/>
          <w:szCs w:val="28"/>
          <w:highlight w:val="none"/>
          <w:lang w:val="zh-CN"/>
        </w:rPr>
        <w:t>牵头人</w:t>
      </w:r>
      <w:r>
        <w:rPr>
          <w:rFonts w:hint="eastAsia" w:ascii="仿宋" w:hAnsi="仿宋" w:eastAsia="仿宋" w:cs="仿宋"/>
          <w:color w:val="auto"/>
          <w:sz w:val="28"/>
          <w:szCs w:val="28"/>
          <w:highlight w:val="none"/>
        </w:rPr>
        <w:t>，代表所有联合体成员负责投标和合同实施阶段的主办、协调工作</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w:t>
      </w:r>
      <w:r>
        <w:rPr>
          <w:rFonts w:hint="eastAsia" w:ascii="仿宋" w:hAnsi="仿宋" w:eastAsia="仿宋" w:cs="仿宋"/>
          <w:color w:val="auto"/>
          <w:sz w:val="28"/>
          <w:szCs w:val="28"/>
          <w:highlight w:val="none"/>
        </w:rPr>
        <w:t>所有联合体成员各方签署授权书，授权书载明的</w:t>
      </w:r>
      <w:r>
        <w:rPr>
          <w:rFonts w:hint="eastAsia" w:ascii="仿宋" w:hAnsi="仿宋" w:eastAsia="仿宋" w:cs="仿宋"/>
          <w:color w:val="auto"/>
          <w:kern w:val="0"/>
          <w:sz w:val="28"/>
          <w:szCs w:val="28"/>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三、本次联合投标中，分工如下：</w:t>
      </w:r>
      <w:r>
        <w:rPr>
          <w:rFonts w:hint="eastAsia" w:ascii="仿宋" w:hAnsi="仿宋" w:eastAsia="仿宋" w:cs="仿宋"/>
          <w:color w:val="auto"/>
          <w:kern w:val="0"/>
          <w:sz w:val="28"/>
          <w:szCs w:val="28"/>
          <w:highlight w:val="none"/>
          <w:u w:val="single"/>
        </w:rPr>
        <w:t>（联合体其中一方成员名称）</w:t>
      </w:r>
      <w:r>
        <w:rPr>
          <w:rFonts w:hint="eastAsia" w:ascii="仿宋" w:hAnsi="仿宋" w:eastAsia="仿宋" w:cs="仿宋"/>
          <w:color w:val="auto"/>
          <w:kern w:val="0"/>
          <w:sz w:val="28"/>
          <w:szCs w:val="28"/>
          <w:highlight w:val="none"/>
          <w:lang w:val="zh-CN"/>
        </w:rPr>
        <w:t>承担的工作和义务为：；</w:t>
      </w:r>
      <w:r>
        <w:rPr>
          <w:rFonts w:hint="eastAsia" w:ascii="仿宋" w:hAnsi="仿宋" w:eastAsia="仿宋" w:cs="仿宋"/>
          <w:color w:val="auto"/>
          <w:kern w:val="0"/>
          <w:sz w:val="28"/>
          <w:szCs w:val="28"/>
          <w:highlight w:val="none"/>
          <w:u w:val="single"/>
        </w:rPr>
        <w:t>（联合体其中一方成员名称）</w:t>
      </w:r>
      <w:r>
        <w:rPr>
          <w:rFonts w:hint="eastAsia" w:ascii="仿宋" w:hAnsi="仿宋" w:eastAsia="仿宋" w:cs="仿宋"/>
          <w:color w:val="auto"/>
          <w:kern w:val="0"/>
          <w:sz w:val="28"/>
          <w:szCs w:val="28"/>
          <w:highlight w:val="none"/>
          <w:lang w:val="zh-CN"/>
        </w:rPr>
        <w:t>承担的工作和义务为： ；……。</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w:t>
      </w:r>
      <w:r>
        <w:rPr>
          <w:rFonts w:hint="eastAsia" w:ascii="仿宋" w:hAnsi="仿宋" w:eastAsia="仿宋" w:cs="仿宋"/>
          <w:color w:val="auto"/>
          <w:sz w:val="28"/>
          <w:szCs w:val="28"/>
          <w:highlight w:val="none"/>
        </w:rPr>
        <w:t>中小企业合同金额达到%，小微企业合同金额达到%</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五、如果中标，</w:t>
      </w:r>
      <w:r>
        <w:rPr>
          <w:rFonts w:hint="eastAsia" w:ascii="仿宋" w:hAnsi="仿宋" w:eastAsia="仿宋" w:cs="仿宋"/>
          <w:color w:val="auto"/>
          <w:sz w:val="28"/>
          <w:szCs w:val="28"/>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3、本协议提交采购人、采购机构后，联合体各方不得以任何形式对上述内容进行修改或撤销。</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联合体成员名称(电子签名/公章)：</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联合体成员名称(电子签名/公章)：</w:t>
      </w:r>
    </w:p>
    <w:p>
      <w:pPr>
        <w:snapToGrid w:val="0"/>
        <w:spacing w:line="360" w:lineRule="auto"/>
        <w:ind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日期：  年  月   日</w:t>
      </w:r>
    </w:p>
    <w:p>
      <w:pPr>
        <w:spacing w:line="360" w:lineRule="auto"/>
        <w:ind w:firstLine="560" w:firstLineChars="200"/>
        <w:rPr>
          <w:rFonts w:hint="eastAsia" w:ascii="仿宋" w:hAnsi="仿宋" w:eastAsia="仿宋" w:cs="仿宋"/>
          <w:color w:val="auto"/>
          <w:sz w:val="28"/>
          <w:szCs w:val="28"/>
          <w:highlight w:val="none"/>
        </w:rPr>
      </w:pPr>
    </w:p>
    <w:p>
      <w:pPr>
        <w:widowControl w:val="0"/>
        <w:numPr>
          <w:ilvl w:val="0"/>
          <w:numId w:val="0"/>
        </w:numPr>
        <w:wordWrap/>
        <w:adjustRightInd w:val="0"/>
        <w:snapToGrid/>
        <w:spacing w:line="360" w:lineRule="auto"/>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C.</w:t>
      </w:r>
      <w:r>
        <w:rPr>
          <w:rFonts w:hint="eastAsia" w:ascii="仿宋" w:hAnsi="仿宋" w:eastAsia="仿宋" w:cs="仿宋"/>
          <w:color w:val="auto"/>
          <w:sz w:val="28"/>
          <w:szCs w:val="28"/>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rPr>
          <w:rFonts w:hint="eastAsia"/>
          <w:color w:val="auto"/>
          <w:highlight w:val="none"/>
        </w:rPr>
      </w:pPr>
      <w:r>
        <w:rPr>
          <w:rFonts w:hint="eastAsia"/>
          <w:color w:val="auto"/>
          <w:highlight w:val="none"/>
        </w:rPr>
        <w:br w:type="page"/>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40" w:firstLineChars="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8"/>
          <w:szCs w:val="28"/>
          <w:highlight w:val="none"/>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lang w:val="zh-CN"/>
        </w:rPr>
        <w:t>若成为</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的中标供应商，将依法采取分包方式履行合同。</w:t>
      </w: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rPr>
        <w:t>与</w:t>
      </w:r>
      <w:r>
        <w:rPr>
          <w:rFonts w:hint="eastAsia" w:ascii="仿宋" w:hAnsi="仿宋" w:eastAsia="仿宋" w:cs="仿宋"/>
          <w:color w:val="auto"/>
          <w:kern w:val="0"/>
          <w:sz w:val="28"/>
          <w:szCs w:val="28"/>
          <w:highlight w:val="none"/>
          <w:u w:val="single"/>
        </w:rPr>
        <w:t>（所有分包供应商名称）</w:t>
      </w:r>
      <w:r>
        <w:rPr>
          <w:rFonts w:hint="eastAsia" w:ascii="仿宋" w:hAnsi="仿宋" w:eastAsia="仿宋" w:cs="仿宋"/>
          <w:color w:val="auto"/>
          <w:kern w:val="0"/>
          <w:sz w:val="28"/>
          <w:szCs w:val="28"/>
          <w:highlight w:val="none"/>
        </w:rPr>
        <w:t>达成分包意向协议</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一、分包标的及数量</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lang w:val="zh-CN"/>
        </w:rPr>
        <w:t>将</w:t>
      </w:r>
      <w:r>
        <w:rPr>
          <w:rFonts w:hint="eastAsia" w:ascii="仿宋" w:hAnsi="仿宋" w:eastAsia="仿宋" w:cs="仿宋"/>
          <w:color w:val="auto"/>
          <w:sz w:val="28"/>
          <w:szCs w:val="28"/>
          <w:highlight w:val="none"/>
          <w:u w:val="single"/>
        </w:rPr>
        <w:t xml:space="preserve">   XX工作内容   </w:t>
      </w:r>
      <w:r>
        <w:rPr>
          <w:rFonts w:hint="eastAsia" w:ascii="仿宋" w:hAnsi="仿宋" w:eastAsia="仿宋" w:cs="仿宋"/>
          <w:color w:val="auto"/>
          <w:sz w:val="28"/>
          <w:szCs w:val="28"/>
          <w:highlight w:val="none"/>
        </w:rPr>
        <w:t>分包给</w:t>
      </w:r>
      <w:r>
        <w:rPr>
          <w:rFonts w:hint="eastAsia" w:ascii="仿宋" w:hAnsi="仿宋" w:eastAsia="仿宋" w:cs="仿宋"/>
          <w:color w:val="auto"/>
          <w:kern w:val="0"/>
          <w:sz w:val="28"/>
          <w:szCs w:val="28"/>
          <w:highlight w:val="none"/>
          <w:u w:val="single"/>
        </w:rPr>
        <w:t>（某分包供应商名称）</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u w:val="single"/>
        </w:rPr>
        <w:t>（某分包供应商名称），</w:t>
      </w:r>
      <w:r>
        <w:rPr>
          <w:rFonts w:hint="eastAsia" w:ascii="仿宋" w:hAnsi="仿宋" w:eastAsia="仿宋" w:cs="仿宋"/>
          <w:color w:val="auto"/>
          <w:kern w:val="0"/>
          <w:sz w:val="28"/>
          <w:szCs w:val="28"/>
          <w:highlight w:val="none"/>
          <w:lang w:val="zh-CN"/>
        </w:rPr>
        <w:t>具备承</w:t>
      </w:r>
      <w:r>
        <w:rPr>
          <w:rFonts w:hint="eastAsia" w:ascii="仿宋" w:hAnsi="仿宋" w:eastAsia="仿宋" w:cs="仿宋"/>
          <w:color w:val="auto"/>
          <w:kern w:val="0"/>
          <w:sz w:val="28"/>
          <w:szCs w:val="28"/>
          <w:highlight w:val="none"/>
        </w:rPr>
        <w:t>担</w:t>
      </w:r>
      <w:r>
        <w:rPr>
          <w:rFonts w:hint="eastAsia" w:ascii="仿宋" w:hAnsi="仿宋" w:eastAsia="仿宋" w:cs="仿宋"/>
          <w:color w:val="auto"/>
          <w:kern w:val="0"/>
          <w:sz w:val="28"/>
          <w:szCs w:val="28"/>
          <w:highlight w:val="none"/>
          <w:u w:val="single"/>
          <w:lang w:val="zh-CN"/>
        </w:rPr>
        <w:t>XX工作内容</w:t>
      </w:r>
      <w:r>
        <w:rPr>
          <w:rFonts w:hint="eastAsia" w:ascii="仿宋" w:hAnsi="仿宋" w:eastAsia="仿宋" w:cs="仿宋"/>
          <w:color w:val="auto"/>
          <w:kern w:val="0"/>
          <w:sz w:val="28"/>
          <w:szCs w:val="28"/>
          <w:highlight w:val="none"/>
          <w:lang w:val="zh-CN"/>
        </w:rPr>
        <w:t>相应资质条件且不得再次分包；</w:t>
      </w:r>
    </w:p>
    <w:p>
      <w:pPr>
        <w:tabs>
          <w:tab w:val="left" w:pos="432"/>
        </w:tabs>
        <w:ind w:left="664" w:leftChars="316" w:firstLine="266" w:firstLineChars="95"/>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w:t>
      </w: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二、分包工作履行期限、地点、方式</w:t>
      </w:r>
    </w:p>
    <w:p>
      <w:pPr>
        <w:pStyle w:val="81"/>
        <w:widowControl w:val="0"/>
        <w:wordWrap/>
        <w:adjustRightInd w:val="0"/>
        <w:spacing w:line="440" w:lineRule="exact"/>
        <w:textAlignment w:val="auto"/>
        <w:rPr>
          <w:rFonts w:hint="eastAsia"/>
          <w:color w:val="auto"/>
          <w:highlight w:val="none"/>
        </w:rPr>
      </w:pPr>
    </w:p>
    <w:p>
      <w:pPr>
        <w:widowControl w:val="0"/>
        <w:numPr>
          <w:ilvl w:val="0"/>
          <w:numId w:val="4"/>
        </w:numPr>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质量</w:t>
      </w:r>
    </w:p>
    <w:p>
      <w:pPr>
        <w:pStyle w:val="81"/>
        <w:widowControl w:val="0"/>
        <w:numPr>
          <w:ilvl w:val="0"/>
          <w:numId w:val="0"/>
        </w:numPr>
        <w:wordWrap/>
        <w:adjustRightInd w:val="0"/>
        <w:spacing w:line="440" w:lineRule="exact"/>
        <w:textAlignment w:val="auto"/>
        <w:rPr>
          <w:rFonts w:hint="eastAsia"/>
          <w:color w:val="auto"/>
          <w:highlight w:val="none"/>
          <w:lang w:val="zh-CN"/>
        </w:rPr>
      </w:pPr>
    </w:p>
    <w:p>
      <w:pPr>
        <w:widowControl w:val="0"/>
        <w:numPr>
          <w:ilvl w:val="0"/>
          <w:numId w:val="4"/>
        </w:numPr>
        <w:wordWrap/>
        <w:adjustRightInd w:val="0"/>
        <w:snapToGrid w:val="0"/>
        <w:spacing w:line="440" w:lineRule="exact"/>
        <w:ind w:left="0" w:leftChars="0" w:firstLine="576"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价款或者报酬</w:t>
      </w:r>
    </w:p>
    <w:p>
      <w:pPr>
        <w:pStyle w:val="81"/>
        <w:widowControl w:val="0"/>
        <w:numPr>
          <w:ilvl w:val="0"/>
          <w:numId w:val="0"/>
        </w:numPr>
        <w:wordWrap/>
        <w:adjustRightInd w:val="0"/>
        <w:spacing w:line="440" w:lineRule="exact"/>
        <w:ind w:left="576" w:leftChars="0"/>
        <w:textAlignment w:val="auto"/>
        <w:rPr>
          <w:rFonts w:hint="eastAsia"/>
          <w:color w:val="auto"/>
          <w:highlight w:val="none"/>
          <w:lang w:val="zh-CN"/>
        </w:rPr>
      </w:pPr>
    </w:p>
    <w:p>
      <w:pPr>
        <w:widowControl w:val="0"/>
        <w:numPr>
          <w:ilvl w:val="0"/>
          <w:numId w:val="4"/>
        </w:numPr>
        <w:wordWrap/>
        <w:adjustRightInd w:val="0"/>
        <w:snapToGrid w:val="0"/>
        <w:spacing w:line="440" w:lineRule="exact"/>
        <w:ind w:left="0" w:leftChars="0" w:firstLine="576"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违约责任</w:t>
      </w:r>
    </w:p>
    <w:p>
      <w:pPr>
        <w:pStyle w:val="81"/>
        <w:widowControl w:val="0"/>
        <w:numPr>
          <w:ilvl w:val="0"/>
          <w:numId w:val="0"/>
        </w:numPr>
        <w:wordWrap/>
        <w:adjustRightInd w:val="0"/>
        <w:spacing w:line="440" w:lineRule="exact"/>
        <w:ind w:left="576" w:leftChars="0"/>
        <w:textAlignment w:val="auto"/>
        <w:rPr>
          <w:rFonts w:hint="eastAsia"/>
          <w:color w:val="auto"/>
          <w:highlight w:val="none"/>
          <w:lang w:val="zh-CN"/>
        </w:rPr>
      </w:pPr>
    </w:p>
    <w:p>
      <w:pPr>
        <w:widowControl w:val="0"/>
        <w:numPr>
          <w:ilvl w:val="0"/>
          <w:numId w:val="4"/>
        </w:numPr>
        <w:wordWrap/>
        <w:adjustRightInd w:val="0"/>
        <w:snapToGrid w:val="0"/>
        <w:spacing w:line="440" w:lineRule="exact"/>
        <w:ind w:left="0" w:leftChars="0" w:firstLine="576"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争议解决的办法</w:t>
      </w:r>
    </w:p>
    <w:p>
      <w:pPr>
        <w:pStyle w:val="81"/>
        <w:widowControl w:val="0"/>
        <w:numPr>
          <w:ilvl w:val="0"/>
          <w:numId w:val="0"/>
        </w:numPr>
        <w:wordWrap/>
        <w:adjustRightInd w:val="0"/>
        <w:spacing w:line="440" w:lineRule="exact"/>
        <w:ind w:left="576" w:leftChars="0"/>
        <w:textAlignment w:val="auto"/>
        <w:rPr>
          <w:rFonts w:hint="eastAsia"/>
          <w:color w:val="auto"/>
          <w:highlight w:val="none"/>
          <w:lang w:val="zh-CN"/>
        </w:rPr>
      </w:pP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七、其他</w:t>
      </w:r>
    </w:p>
    <w:p>
      <w:pPr>
        <w:snapToGrid w:val="0"/>
        <w:spacing w:line="360" w:lineRule="auto"/>
        <w:ind w:left="6598" w:leftChars="342" w:hanging="5880" w:hangingChars="2100"/>
        <w:jc w:val="both"/>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中小企业合同金额达到%，小微企业合同金额达到%</w:t>
      </w:r>
      <w:r>
        <w:rPr>
          <w:rFonts w:hint="eastAsia" w:ascii="仿宋" w:hAnsi="仿宋" w:eastAsia="仿宋" w:cs="仿宋"/>
          <w:color w:val="auto"/>
          <w:kern w:val="0"/>
          <w:sz w:val="28"/>
          <w:szCs w:val="28"/>
          <w:highlight w:val="none"/>
          <w:lang w:val="zh-CN"/>
        </w:rPr>
        <w:t xml:space="preserve">  。          </w:t>
      </w:r>
    </w:p>
    <w:p>
      <w:pPr>
        <w:snapToGrid w:val="0"/>
        <w:spacing w:line="360" w:lineRule="auto"/>
        <w:ind w:left="6598" w:leftChars="342" w:hanging="5880" w:hangingChars="2100"/>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投标人名称(</w:t>
      </w:r>
      <w:r>
        <w:rPr>
          <w:rFonts w:hint="eastAsia" w:ascii="仿宋" w:hAnsi="仿宋" w:eastAsia="仿宋" w:cs="仿宋"/>
          <w:color w:val="auto"/>
          <w:kern w:val="0"/>
          <w:sz w:val="28"/>
          <w:szCs w:val="28"/>
          <w:highlight w:val="none"/>
          <w:lang w:val="en-US" w:eastAsia="zh-CN"/>
        </w:rPr>
        <w:t>电子签名</w:t>
      </w:r>
      <w:r>
        <w:rPr>
          <w:rFonts w:hint="eastAsia" w:ascii="仿宋" w:hAnsi="仿宋" w:eastAsia="仿宋" w:cs="仿宋"/>
          <w:color w:val="auto"/>
          <w:kern w:val="0"/>
          <w:sz w:val="28"/>
          <w:szCs w:val="28"/>
          <w:highlight w:val="none"/>
          <w:lang w:val="zh-CN"/>
        </w:rPr>
        <w:t>)：</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分包供应商名称：</w:t>
      </w:r>
    </w:p>
    <w:p>
      <w:pPr>
        <w:snapToGrid w:val="0"/>
        <w:spacing w:line="360" w:lineRule="auto"/>
        <w:ind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w:t>
      </w: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8"/>
          <w:szCs w:val="28"/>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9"/>
        <w:rPr>
          <w:rFonts w:hint="eastAsia" w:ascii="仿宋" w:hAnsi="仿宋" w:eastAsia="仿宋" w:cs="仿宋"/>
          <w:b/>
          <w:color w:val="auto"/>
          <w:kern w:val="0"/>
          <w:sz w:val="24"/>
          <w:highlight w:val="none"/>
        </w:rPr>
      </w:pPr>
    </w:p>
    <w:p>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0"/>
        </w:num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投标函………………………………………………………………（页码）</w:t>
      </w:r>
    </w:p>
    <w:p>
      <w:pPr>
        <w:numPr>
          <w:ilvl w:val="0"/>
          <w:numId w:val="0"/>
        </w:num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（2）授权委托书或法定代表人（单位负责人、自然人本人）身份证明（页码）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（3）联合协议……………………………………………………………（页码）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（4）分包意向协议………………………………………………………（页码）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（5）符合性审查资料……………………………………………………（页码）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（6）评标标准相应的商务技术资料……………………………………（页码）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（7）商务技术偏离表……………………………………………………（页码）</w:t>
      </w:r>
    </w:p>
    <w:p>
      <w:pPr>
        <w:snapToGrid w:val="0"/>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zh-CN"/>
        </w:rPr>
        <w:t>）政府采购供应商廉洁自律承诺书</w:t>
      </w:r>
      <w:r>
        <w:rPr>
          <w:rFonts w:hint="eastAsia" w:ascii="仿宋" w:hAnsi="仿宋" w:eastAsia="仿宋" w:cs="仿宋"/>
          <w:color w:val="auto"/>
          <w:sz w:val="28"/>
          <w:szCs w:val="28"/>
          <w:highlight w:val="none"/>
        </w:rPr>
        <w:t>…………………………………（页码）</w:t>
      </w:r>
    </w:p>
    <w:p>
      <w:pPr>
        <w:snapToGrid w:val="0"/>
        <w:spacing w:line="360" w:lineRule="auto"/>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rPr>
        <w:t>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val="zh-CN"/>
        </w:rPr>
        <w:t>认为需要的其他文件资料</w:t>
      </w:r>
      <w:r>
        <w:rPr>
          <w:rFonts w:hint="eastAsia" w:ascii="仿宋" w:hAnsi="仿宋" w:eastAsia="仿宋" w:cs="仿宋"/>
          <w:color w:val="auto"/>
          <w:sz w:val="28"/>
          <w:szCs w:val="28"/>
          <w:highlight w:val="none"/>
          <w:lang w:val="zh-CN" w:eastAsia="zh-CN"/>
        </w:rPr>
        <w:t>（如有）</w:t>
      </w:r>
      <w:r>
        <w:rPr>
          <w:rFonts w:hint="eastAsia" w:ascii="仿宋" w:hAnsi="仿宋" w:eastAsia="仿宋" w:cs="仿宋"/>
          <w:color w:val="auto"/>
          <w:sz w:val="28"/>
          <w:szCs w:val="28"/>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9"/>
        <w:rPr>
          <w:rFonts w:hint="eastAsia" w:ascii="仿宋" w:hAnsi="仿宋" w:eastAsia="仿宋" w:cs="仿宋"/>
          <w:b/>
          <w:color w:val="auto"/>
          <w:kern w:val="0"/>
          <w:sz w:val="32"/>
          <w:szCs w:val="32"/>
          <w:highlight w:val="none"/>
          <w:lang w:val="zh-CN"/>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outlineLvl w:val="9"/>
        <w:rPr>
          <w:rFonts w:hint="eastAsia" w:ascii="仿宋" w:hAnsi="仿宋" w:eastAsia="仿宋" w:cs="仿宋"/>
          <w:color w:val="auto"/>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both"/>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我方参加你方组织的（项目名称）【招标编号：（采购编号）】招标的有关活动，并对此项目进行投标。为此：</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1、我方承诺投标有效期从提交投标文件的截止之日起天（不少于90天），本投标文件在投标有效期满之前均具有约束力。</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2、我方的投标文件包括以下内容：</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2.1资格文件：</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2.1.1承诺函；</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2.1.2落实政府采购政策需满足的资格要求（如果有）；</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2.1.3本项目的特定资格要求（如果有）。</w:t>
      </w:r>
    </w:p>
    <w:p>
      <w:pPr>
        <w:snapToGrid w:val="0"/>
        <w:spacing w:line="360" w:lineRule="auto"/>
        <w:ind w:left="210" w:leftChars="10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2商务技术</w:t>
      </w:r>
      <w:r>
        <w:rPr>
          <w:rFonts w:hint="eastAsia" w:ascii="仿宋" w:hAnsi="仿宋" w:eastAsia="仿宋" w:cs="仿宋"/>
          <w:color w:val="auto"/>
          <w:sz w:val="28"/>
          <w:szCs w:val="28"/>
          <w:highlight w:val="none"/>
          <w:lang w:val="zh-CN"/>
        </w:rPr>
        <w:t>文件：</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2.2.1投标函；</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2.2.2授权委托书或法定代表人（单位负责人）身份证明；</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2.2.3联合协议（如果有）；</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2.2.4分包意向协议（如果有）；</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2.2.5符合性审查资料；</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2.2.6评标标准相应的商务技术资料；</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2.2.7商务技术偏离表；</w:t>
      </w:r>
    </w:p>
    <w:p>
      <w:pPr>
        <w:snapToGrid w:val="0"/>
        <w:spacing w:line="360" w:lineRule="auto"/>
        <w:ind w:left="420" w:leftChars="20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zh-CN"/>
        </w:rPr>
        <w:t>政府采购供应商廉洁自律承诺书；</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3报价文件</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2.3.1开标一览表（报价表）；</w:t>
      </w:r>
    </w:p>
    <w:p>
      <w:pPr>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2.3.2中小企业声明函（如果有）。</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3、我方承诺除商务技术偏离表列出的偏离外，我方响应招标文件的全部要求。</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4、如我方中标，我方承诺：</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4.1在收到中标通知书后，在中标通知书规定的期限内与你方签订合同； </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4.2在签订合同时不向你方提出附加条件； </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4.3按照招标文件要求提交履约保证金； </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4.4在合同约定的期限内完成合同规定的全部义务。 </w:t>
      </w:r>
    </w:p>
    <w:p>
      <w:pPr>
        <w:snapToGrid w:val="0"/>
        <w:spacing w:line="360" w:lineRule="auto"/>
        <w:ind w:left="210" w:leftChars="1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5、其他补充说明:。</w:t>
      </w:r>
    </w:p>
    <w:p>
      <w:pPr>
        <w:spacing w:line="360" w:lineRule="auto"/>
        <w:ind w:firstLine="4200" w:firstLineChars="1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投标人名称（电子签名）：</w:t>
      </w:r>
    </w:p>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both"/>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（采购人）、（采购代理机构）</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现</w:t>
      </w:r>
      <w:r>
        <w:rPr>
          <w:rFonts w:hint="eastAsia" w:ascii="仿宋" w:hAnsi="仿宋" w:eastAsia="仿宋" w:cs="仿宋"/>
          <w:color w:val="auto"/>
          <w:kern w:val="0"/>
          <w:sz w:val="28"/>
          <w:szCs w:val="28"/>
          <w:highlight w:val="none"/>
          <w:lang w:val="zh-CN"/>
        </w:rPr>
        <w:t>委托（姓名）为我方代理人（身份证号码：，手机：），以我方名义处理</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委托期限</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zh-CN"/>
        </w:rPr>
        <w:t>自年月日起至年月日止。</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特此告知。</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 xml:space="preserve">                                            投标人名称(电子签名)：</w:t>
      </w:r>
    </w:p>
    <w:p>
      <w:pPr>
        <w:snapToGrid w:val="0"/>
        <w:spacing w:line="360" w:lineRule="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（采购人）、（采购代理机构）</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现</w:t>
      </w:r>
      <w:r>
        <w:rPr>
          <w:rFonts w:hint="eastAsia" w:ascii="仿宋" w:hAnsi="仿宋" w:eastAsia="仿宋" w:cs="仿宋"/>
          <w:color w:val="auto"/>
          <w:kern w:val="0"/>
          <w:sz w:val="28"/>
          <w:szCs w:val="28"/>
          <w:highlight w:val="none"/>
          <w:lang w:val="zh-CN"/>
        </w:rPr>
        <w:t>委托（姓名）为我方代理人（身份证号码：，手机：），以我方名义处理</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委托期限</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zh-CN"/>
        </w:rPr>
        <w:t>自年月日起至年月日止。</w:t>
      </w: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特此告知。</w:t>
      </w:r>
    </w:p>
    <w:p>
      <w:pPr>
        <w:rPr>
          <w:rFonts w:hint="eastAsia" w:ascii="仿宋" w:hAnsi="仿宋" w:eastAsia="仿宋" w:cs="仿宋"/>
          <w:color w:val="auto"/>
          <w:sz w:val="28"/>
          <w:szCs w:val="28"/>
          <w:highlight w:val="none"/>
        </w:rPr>
      </w:pP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联合体成员名称(电子签名/公章)：</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联合体成员名称(电子签名/公章)：</w:t>
      </w:r>
    </w:p>
    <w:p>
      <w:pPr>
        <w:snapToGrid w:val="0"/>
        <w:spacing w:line="360" w:lineRule="auto"/>
        <w:ind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8"/>
          <w:szCs w:val="28"/>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1"/>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正面：反面：</w:t>
            </w:r>
          </w:p>
          <w:p>
            <w:pPr>
              <w:pStyle w:val="91"/>
              <w:adjustRightInd w:val="0"/>
              <w:spacing w:line="360" w:lineRule="auto"/>
              <w:rPr>
                <w:rFonts w:hint="eastAsia" w:ascii="仿宋" w:hAnsi="仿宋" w:eastAsia="仿宋" w:cs="仿宋"/>
                <w:bCs/>
                <w:color w:val="auto"/>
                <w:sz w:val="28"/>
                <w:szCs w:val="28"/>
                <w:highlight w:val="none"/>
              </w:rPr>
            </w:pPr>
          </w:p>
        </w:tc>
      </w:tr>
    </w:tbl>
    <w:p>
      <w:pPr>
        <w:snapToGrid w:val="0"/>
        <w:spacing w:line="360" w:lineRule="auto"/>
        <w:ind w:firstLine="576"/>
        <w:jc w:val="center"/>
        <w:rPr>
          <w:rFonts w:hint="eastAsia" w:ascii="仿宋" w:hAnsi="仿宋" w:eastAsia="仿宋" w:cs="仿宋"/>
          <w:color w:val="auto"/>
          <w:kern w:val="0"/>
          <w:sz w:val="28"/>
          <w:szCs w:val="28"/>
          <w:highlight w:val="none"/>
          <w:lang w:val="zh-CN"/>
        </w:rPr>
      </w:pPr>
    </w:p>
    <w:p>
      <w:pPr>
        <w:snapToGrid w:val="0"/>
        <w:spacing w:line="360" w:lineRule="auto"/>
        <w:ind w:firstLine="576"/>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投标人名称(电子签名)：                              </w:t>
      </w:r>
    </w:p>
    <w:p>
      <w:pPr>
        <w:spacing w:line="360" w:lineRule="auto"/>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（联合体所有成员名称）</w:t>
      </w:r>
      <w:r>
        <w:rPr>
          <w:rFonts w:hint="eastAsia" w:ascii="仿宋" w:hAnsi="仿宋" w:eastAsia="仿宋" w:cs="仿宋"/>
          <w:color w:val="auto"/>
          <w:kern w:val="0"/>
          <w:sz w:val="28"/>
          <w:szCs w:val="28"/>
          <w:highlight w:val="none"/>
        </w:rPr>
        <w:t>自愿</w:t>
      </w:r>
      <w:r>
        <w:rPr>
          <w:rFonts w:hint="eastAsia" w:ascii="仿宋" w:hAnsi="仿宋" w:eastAsia="仿宋" w:cs="仿宋"/>
          <w:color w:val="auto"/>
          <w:kern w:val="0"/>
          <w:sz w:val="28"/>
          <w:szCs w:val="28"/>
          <w:highlight w:val="none"/>
          <w:lang w:val="zh-CN"/>
        </w:rPr>
        <w:t>组成一个联合体，以一个投标人的身份</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投标。</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一、各方一致决定，</w:t>
      </w:r>
      <w:r>
        <w:rPr>
          <w:rFonts w:hint="eastAsia" w:ascii="仿宋" w:hAnsi="仿宋" w:eastAsia="仿宋" w:cs="仿宋"/>
          <w:color w:val="auto"/>
          <w:kern w:val="0"/>
          <w:sz w:val="28"/>
          <w:szCs w:val="28"/>
          <w:highlight w:val="none"/>
          <w:u w:val="single"/>
        </w:rPr>
        <w:t>（某联合体成员名称）</w:t>
      </w:r>
      <w:r>
        <w:rPr>
          <w:rFonts w:hint="eastAsia" w:ascii="仿宋" w:hAnsi="仿宋" w:eastAsia="仿宋" w:cs="仿宋"/>
          <w:color w:val="auto"/>
          <w:kern w:val="0"/>
          <w:sz w:val="28"/>
          <w:szCs w:val="28"/>
          <w:highlight w:val="none"/>
        </w:rPr>
        <w:t>为联合体</w:t>
      </w:r>
      <w:r>
        <w:rPr>
          <w:rFonts w:hint="eastAsia" w:ascii="仿宋" w:hAnsi="仿宋" w:eastAsia="仿宋" w:cs="仿宋"/>
          <w:color w:val="auto"/>
          <w:kern w:val="0"/>
          <w:sz w:val="28"/>
          <w:szCs w:val="28"/>
          <w:highlight w:val="none"/>
          <w:lang w:val="zh-CN"/>
        </w:rPr>
        <w:t>牵头人</w:t>
      </w:r>
      <w:r>
        <w:rPr>
          <w:rFonts w:hint="eastAsia" w:ascii="仿宋" w:hAnsi="仿宋" w:eastAsia="仿宋" w:cs="仿宋"/>
          <w:color w:val="auto"/>
          <w:sz w:val="28"/>
          <w:szCs w:val="28"/>
          <w:highlight w:val="none"/>
        </w:rPr>
        <w:t>，代表所有联合体成员负责投标和合同实施阶段的主办、协调工作</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w:t>
      </w:r>
      <w:r>
        <w:rPr>
          <w:rFonts w:hint="eastAsia" w:ascii="仿宋" w:hAnsi="仿宋" w:eastAsia="仿宋" w:cs="仿宋"/>
          <w:color w:val="auto"/>
          <w:sz w:val="28"/>
          <w:szCs w:val="28"/>
          <w:highlight w:val="none"/>
        </w:rPr>
        <w:t>所有联合体成员各方签署授权书，授权书载明的</w:t>
      </w:r>
      <w:r>
        <w:rPr>
          <w:rFonts w:hint="eastAsia" w:ascii="仿宋" w:hAnsi="仿宋" w:eastAsia="仿宋" w:cs="仿宋"/>
          <w:color w:val="auto"/>
          <w:kern w:val="0"/>
          <w:sz w:val="28"/>
          <w:szCs w:val="28"/>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三、本次联合投标中，分工如下：</w:t>
      </w:r>
      <w:r>
        <w:rPr>
          <w:rFonts w:hint="eastAsia" w:ascii="仿宋" w:hAnsi="仿宋" w:eastAsia="仿宋" w:cs="仿宋"/>
          <w:color w:val="auto"/>
          <w:kern w:val="0"/>
          <w:sz w:val="28"/>
          <w:szCs w:val="28"/>
          <w:highlight w:val="none"/>
          <w:u w:val="single"/>
        </w:rPr>
        <w:t>（联合体其中一方成员名称）</w:t>
      </w:r>
      <w:r>
        <w:rPr>
          <w:rFonts w:hint="eastAsia" w:ascii="仿宋" w:hAnsi="仿宋" w:eastAsia="仿宋" w:cs="仿宋"/>
          <w:color w:val="auto"/>
          <w:kern w:val="0"/>
          <w:sz w:val="28"/>
          <w:szCs w:val="28"/>
          <w:highlight w:val="none"/>
          <w:lang w:val="zh-CN"/>
        </w:rPr>
        <w:t>承担的工作和义务为：；……。</w:t>
      </w:r>
    </w:p>
    <w:p>
      <w:pPr>
        <w:snapToGrid w:val="0"/>
        <w:spacing w:line="360" w:lineRule="auto"/>
        <w:ind w:firstLine="576"/>
        <w:rPr>
          <w:rFonts w:hint="eastAsia" w:ascii="仿宋" w:hAnsi="仿宋" w:eastAsia="仿宋" w:cs="仿宋"/>
          <w:b/>
          <w:color w:val="auto"/>
          <w:kern w:val="0"/>
          <w:sz w:val="28"/>
          <w:szCs w:val="28"/>
          <w:highlight w:val="none"/>
          <w:lang w:val="zh-CN"/>
        </w:rPr>
      </w:pPr>
      <w:r>
        <w:rPr>
          <w:rFonts w:hint="eastAsia" w:ascii="仿宋" w:hAnsi="仿宋" w:eastAsia="仿宋" w:cs="仿宋"/>
          <w:color w:val="auto"/>
          <w:kern w:val="0"/>
          <w:sz w:val="28"/>
          <w:szCs w:val="28"/>
          <w:highlight w:val="none"/>
          <w:lang w:val="zh-CN"/>
        </w:rPr>
        <w:t>四、</w:t>
      </w:r>
      <w:r>
        <w:rPr>
          <w:rFonts w:hint="eastAsia" w:ascii="仿宋" w:hAnsi="仿宋" w:eastAsia="仿宋" w:cs="仿宋"/>
          <w:color w:val="auto"/>
          <w:kern w:val="0"/>
          <w:sz w:val="28"/>
          <w:szCs w:val="28"/>
          <w:highlight w:val="none"/>
          <w:u w:val="single"/>
        </w:rPr>
        <w:t>（联合体其中一方成员名称）</w:t>
      </w:r>
      <w:r>
        <w:rPr>
          <w:rFonts w:hint="eastAsia" w:ascii="仿宋" w:hAnsi="仿宋" w:eastAsia="仿宋" w:cs="仿宋"/>
          <w:color w:val="auto"/>
          <w:kern w:val="0"/>
          <w:sz w:val="28"/>
          <w:szCs w:val="28"/>
          <w:highlight w:val="none"/>
        </w:rPr>
        <w:t>提供的全部货物由小微企业制造，其合同份额占到合同总金额%以上；</w:t>
      </w:r>
      <w:r>
        <w:rPr>
          <w:rFonts w:hint="eastAsia" w:ascii="仿宋" w:hAnsi="仿宋" w:eastAsia="仿宋" w:cs="仿宋"/>
          <w:color w:val="auto"/>
          <w:kern w:val="0"/>
          <w:sz w:val="28"/>
          <w:szCs w:val="28"/>
          <w:highlight w:val="none"/>
          <w:lang w:val="zh-CN"/>
        </w:rPr>
        <w:t>……。</w:t>
      </w:r>
      <w:r>
        <w:rPr>
          <w:rFonts w:hint="eastAsia" w:ascii="仿宋" w:hAnsi="仿宋" w:eastAsia="仿宋" w:cs="仿宋"/>
          <w:b/>
          <w:color w:val="auto"/>
          <w:kern w:val="0"/>
          <w:sz w:val="28"/>
          <w:szCs w:val="28"/>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8"/>
          <w:szCs w:val="28"/>
          <w:highlight w:val="none"/>
          <w:lang w:val="en-US" w:eastAsia="zh-CN"/>
        </w:rPr>
        <w:t>6</w:t>
      </w:r>
      <w:r>
        <w:rPr>
          <w:rFonts w:hint="eastAsia" w:ascii="仿宋" w:hAnsi="仿宋" w:eastAsia="仿宋" w:cs="仿宋"/>
          <w:b/>
          <w:color w:val="auto"/>
          <w:kern w:val="0"/>
          <w:sz w:val="28"/>
          <w:szCs w:val="28"/>
          <w:highlight w:val="none"/>
          <w:lang w:val="zh-CN"/>
        </w:rPr>
        <w:t>%的扣除）</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五、如果中标，</w:t>
      </w:r>
      <w:r>
        <w:rPr>
          <w:rFonts w:hint="eastAsia" w:ascii="仿宋" w:hAnsi="仿宋" w:eastAsia="仿宋" w:cs="仿宋"/>
          <w:color w:val="auto"/>
          <w:sz w:val="28"/>
          <w:szCs w:val="28"/>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3、本协议提交采购人、采购机构后，联合体各方不得以任何形式对上述内容进行修改或撤销。</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联合体成员名称(电子签名/公章)：</w:t>
      </w:r>
    </w:p>
    <w:p>
      <w:pPr>
        <w:snapToGrid w:val="0"/>
        <w:spacing w:line="360" w:lineRule="auto"/>
        <w:ind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8"/>
          <w:szCs w:val="28"/>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40" w:firstLineChars="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8"/>
          <w:szCs w:val="28"/>
          <w:highlight w:val="none"/>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lang w:val="zh-CN"/>
        </w:rPr>
        <w:t>若成为</w:t>
      </w:r>
      <w:r>
        <w:rPr>
          <w:rFonts w:hint="eastAsia" w:ascii="仿宋" w:hAnsi="仿宋" w:eastAsia="仿宋" w:cs="仿宋"/>
          <w:color w:val="auto"/>
          <w:sz w:val="28"/>
          <w:szCs w:val="28"/>
          <w:highlight w:val="none"/>
        </w:rPr>
        <w:t>（项目名称）【招标编号：（采购编号）】</w:t>
      </w:r>
      <w:r>
        <w:rPr>
          <w:rFonts w:hint="eastAsia" w:ascii="仿宋" w:hAnsi="仿宋" w:eastAsia="仿宋" w:cs="仿宋"/>
          <w:color w:val="auto"/>
          <w:kern w:val="0"/>
          <w:sz w:val="28"/>
          <w:szCs w:val="28"/>
          <w:highlight w:val="none"/>
          <w:lang w:val="zh-CN"/>
        </w:rPr>
        <w:t>的中标供应商，将依法采取分包方式履行合同。</w:t>
      </w: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rPr>
        <w:t>与</w:t>
      </w:r>
      <w:r>
        <w:rPr>
          <w:rFonts w:hint="eastAsia" w:ascii="仿宋" w:hAnsi="仿宋" w:eastAsia="仿宋" w:cs="仿宋"/>
          <w:color w:val="auto"/>
          <w:kern w:val="0"/>
          <w:sz w:val="28"/>
          <w:szCs w:val="28"/>
          <w:highlight w:val="none"/>
          <w:u w:val="single"/>
        </w:rPr>
        <w:t>（所有分包供应商名称）</w:t>
      </w:r>
      <w:r>
        <w:rPr>
          <w:rFonts w:hint="eastAsia" w:ascii="仿宋" w:hAnsi="仿宋" w:eastAsia="仿宋" w:cs="仿宋"/>
          <w:color w:val="auto"/>
          <w:kern w:val="0"/>
          <w:sz w:val="28"/>
          <w:szCs w:val="28"/>
          <w:highlight w:val="none"/>
        </w:rPr>
        <w:t>达成分包意向协议</w:t>
      </w:r>
      <w:r>
        <w:rPr>
          <w:rFonts w:hint="eastAsia" w:ascii="仿宋" w:hAnsi="仿宋" w:eastAsia="仿宋" w:cs="仿宋"/>
          <w:color w:val="auto"/>
          <w:kern w:val="0"/>
          <w:sz w:val="28"/>
          <w:szCs w:val="28"/>
          <w:highlight w:val="none"/>
          <w:lang w:val="zh-CN"/>
        </w:rPr>
        <w:t>。</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一、分包标的及数量</w:t>
      </w:r>
    </w:p>
    <w:p>
      <w:pPr>
        <w:snapToGrid w:val="0"/>
        <w:spacing w:line="360" w:lineRule="auto"/>
        <w:ind w:firstLine="576"/>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u w:val="single"/>
        </w:rPr>
        <w:t>（投标人名称）</w:t>
      </w:r>
      <w:r>
        <w:rPr>
          <w:rFonts w:hint="eastAsia" w:ascii="仿宋" w:hAnsi="仿宋" w:eastAsia="仿宋" w:cs="仿宋"/>
          <w:color w:val="auto"/>
          <w:kern w:val="0"/>
          <w:sz w:val="28"/>
          <w:szCs w:val="28"/>
          <w:highlight w:val="none"/>
          <w:lang w:val="zh-CN"/>
        </w:rPr>
        <w:t>将</w:t>
      </w:r>
      <w:r>
        <w:rPr>
          <w:rFonts w:hint="eastAsia" w:ascii="仿宋" w:hAnsi="仿宋" w:eastAsia="仿宋" w:cs="仿宋"/>
          <w:color w:val="auto"/>
          <w:sz w:val="28"/>
          <w:szCs w:val="28"/>
          <w:highlight w:val="none"/>
          <w:u w:val="single"/>
        </w:rPr>
        <w:t xml:space="preserve">   XX工作内容   </w:t>
      </w:r>
      <w:r>
        <w:rPr>
          <w:rFonts w:hint="eastAsia" w:ascii="仿宋" w:hAnsi="仿宋" w:eastAsia="仿宋" w:cs="仿宋"/>
          <w:color w:val="auto"/>
          <w:sz w:val="28"/>
          <w:szCs w:val="28"/>
          <w:highlight w:val="none"/>
        </w:rPr>
        <w:t>分包给</w:t>
      </w:r>
      <w:r>
        <w:rPr>
          <w:rFonts w:hint="eastAsia" w:ascii="仿宋" w:hAnsi="仿宋" w:eastAsia="仿宋" w:cs="仿宋"/>
          <w:color w:val="auto"/>
          <w:kern w:val="0"/>
          <w:sz w:val="28"/>
          <w:szCs w:val="28"/>
          <w:highlight w:val="none"/>
          <w:u w:val="single"/>
        </w:rPr>
        <w:t>（某分包供应商名称）</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u w:val="single"/>
        </w:rPr>
        <w:t>（某分包供应商名称），</w:t>
      </w:r>
      <w:r>
        <w:rPr>
          <w:rFonts w:hint="eastAsia" w:ascii="仿宋" w:hAnsi="仿宋" w:eastAsia="仿宋" w:cs="仿宋"/>
          <w:color w:val="auto"/>
          <w:kern w:val="0"/>
          <w:sz w:val="28"/>
          <w:szCs w:val="28"/>
          <w:highlight w:val="none"/>
          <w:lang w:val="zh-CN"/>
        </w:rPr>
        <w:t>具备承</w:t>
      </w:r>
      <w:r>
        <w:rPr>
          <w:rFonts w:hint="eastAsia" w:ascii="仿宋" w:hAnsi="仿宋" w:eastAsia="仿宋" w:cs="仿宋"/>
          <w:color w:val="auto"/>
          <w:kern w:val="0"/>
          <w:sz w:val="28"/>
          <w:szCs w:val="28"/>
          <w:highlight w:val="none"/>
        </w:rPr>
        <w:t>担</w:t>
      </w:r>
      <w:r>
        <w:rPr>
          <w:rFonts w:hint="eastAsia" w:ascii="仿宋" w:hAnsi="仿宋" w:eastAsia="仿宋" w:cs="仿宋"/>
          <w:color w:val="auto"/>
          <w:kern w:val="0"/>
          <w:sz w:val="28"/>
          <w:szCs w:val="28"/>
          <w:highlight w:val="none"/>
          <w:u w:val="single"/>
          <w:lang w:val="zh-CN"/>
        </w:rPr>
        <w:t>XX工作内容</w:t>
      </w:r>
      <w:r>
        <w:rPr>
          <w:rFonts w:hint="eastAsia" w:ascii="仿宋" w:hAnsi="仿宋" w:eastAsia="仿宋" w:cs="仿宋"/>
          <w:color w:val="auto"/>
          <w:kern w:val="0"/>
          <w:sz w:val="28"/>
          <w:szCs w:val="28"/>
          <w:highlight w:val="none"/>
          <w:lang w:val="zh-CN"/>
        </w:rPr>
        <w:t>相应资质条件且不得再次分包；</w:t>
      </w:r>
    </w:p>
    <w:p>
      <w:pPr>
        <w:tabs>
          <w:tab w:val="left" w:pos="432"/>
        </w:tabs>
        <w:ind w:left="664" w:leftChars="316" w:firstLine="266" w:firstLineChars="95"/>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w:t>
      </w: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二、分包工作履行期限、地点、方式</w:t>
      </w:r>
    </w:p>
    <w:p>
      <w:pPr>
        <w:widowControl w:val="0"/>
        <w:wordWrap/>
        <w:adjustRightInd w:val="0"/>
        <w:snapToGrid w:val="0"/>
        <w:spacing w:line="440" w:lineRule="exact"/>
        <w:ind w:firstLine="576"/>
        <w:textAlignment w:val="auto"/>
        <w:rPr>
          <w:rFonts w:hint="eastAsia" w:ascii="仿宋" w:hAnsi="仿宋" w:eastAsia="仿宋" w:cs="仿宋"/>
          <w:color w:val="auto"/>
          <w:sz w:val="28"/>
          <w:szCs w:val="28"/>
          <w:highlight w:val="none"/>
          <w:u w:val="single"/>
        </w:rPr>
      </w:pP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三、质量</w:t>
      </w: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四、价款或者报酬</w:t>
      </w:r>
    </w:p>
    <w:p>
      <w:pPr>
        <w:widowControl w:val="0"/>
        <w:wordWrap/>
        <w:adjustRightInd w:val="0"/>
        <w:snapToGrid w:val="0"/>
        <w:spacing w:line="440" w:lineRule="exact"/>
        <w:ind w:left="573" w:leftChars="273"/>
        <w:textAlignment w:val="auto"/>
        <w:rPr>
          <w:rFonts w:hint="eastAsia" w:ascii="仿宋" w:hAnsi="仿宋" w:eastAsia="仿宋" w:cs="仿宋"/>
          <w:color w:val="auto"/>
          <w:kern w:val="0"/>
          <w:sz w:val="28"/>
          <w:szCs w:val="28"/>
          <w:highlight w:val="none"/>
          <w:lang w:val="zh-CN"/>
        </w:rPr>
      </w:pPr>
    </w:p>
    <w:p>
      <w:pPr>
        <w:widowControl w:val="0"/>
        <w:wordWrap/>
        <w:adjustRightInd w:val="0"/>
        <w:snapToGrid w:val="0"/>
        <w:spacing w:line="440" w:lineRule="exact"/>
        <w:ind w:left="573" w:leftChars="273"/>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五、违约责任</w:t>
      </w: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六、争议解决的办法</w:t>
      </w: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p>
    <w:p>
      <w:pPr>
        <w:widowControl w:val="0"/>
        <w:wordWrap/>
        <w:adjustRightInd w:val="0"/>
        <w:snapToGrid w:val="0"/>
        <w:spacing w:line="440" w:lineRule="exact"/>
        <w:ind w:firstLine="576"/>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七、其他</w:t>
      </w:r>
    </w:p>
    <w:p>
      <w:pPr>
        <w:snapToGrid w:val="0"/>
        <w:spacing w:line="360" w:lineRule="auto"/>
        <w:ind w:firstLine="576"/>
        <w:rPr>
          <w:rFonts w:hint="eastAsia" w:ascii="仿宋" w:hAnsi="仿宋" w:eastAsia="仿宋" w:cs="仿宋"/>
          <w:b/>
          <w:color w:val="auto"/>
          <w:kern w:val="0"/>
          <w:sz w:val="28"/>
          <w:szCs w:val="28"/>
          <w:highlight w:val="none"/>
          <w:lang w:val="zh-CN"/>
        </w:rPr>
      </w:pPr>
      <w:r>
        <w:rPr>
          <w:rFonts w:hint="eastAsia" w:ascii="仿宋" w:hAnsi="仿宋" w:eastAsia="仿宋" w:cs="仿宋"/>
          <w:color w:val="auto"/>
          <w:kern w:val="0"/>
          <w:sz w:val="28"/>
          <w:szCs w:val="28"/>
          <w:highlight w:val="none"/>
          <w:u w:val="single"/>
        </w:rPr>
        <w:t>（分包供应商名称）提供的货物全部由小微企业制造，</w:t>
      </w:r>
      <w:r>
        <w:rPr>
          <w:rFonts w:hint="eastAsia" w:ascii="仿宋" w:hAnsi="仿宋" w:eastAsia="仿宋" w:cs="仿宋"/>
          <w:color w:val="auto"/>
          <w:kern w:val="0"/>
          <w:sz w:val="28"/>
          <w:szCs w:val="28"/>
          <w:highlight w:val="none"/>
        </w:rPr>
        <w:t>其合同份额占到合同总金额%以上</w:t>
      </w:r>
      <w:r>
        <w:rPr>
          <w:rFonts w:hint="eastAsia" w:ascii="仿宋" w:hAnsi="仿宋" w:eastAsia="仿宋" w:cs="仿宋"/>
          <w:color w:val="auto"/>
          <w:sz w:val="28"/>
          <w:szCs w:val="28"/>
          <w:highlight w:val="none"/>
        </w:rPr>
        <w:t>。</w:t>
      </w:r>
      <w:r>
        <w:rPr>
          <w:rFonts w:hint="eastAsia" w:ascii="仿宋" w:hAnsi="仿宋" w:eastAsia="仿宋" w:cs="仿宋"/>
          <w:b/>
          <w:color w:val="auto"/>
          <w:kern w:val="0"/>
          <w:sz w:val="28"/>
          <w:szCs w:val="28"/>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8"/>
          <w:szCs w:val="28"/>
          <w:highlight w:val="none"/>
          <w:lang w:val="en-US" w:eastAsia="zh-CN"/>
        </w:rPr>
        <w:t>6</w:t>
      </w:r>
      <w:r>
        <w:rPr>
          <w:rFonts w:hint="eastAsia" w:ascii="仿宋" w:hAnsi="仿宋" w:eastAsia="仿宋" w:cs="仿宋"/>
          <w:b/>
          <w:color w:val="auto"/>
          <w:kern w:val="0"/>
          <w:sz w:val="28"/>
          <w:szCs w:val="28"/>
          <w:highlight w:val="none"/>
          <w:lang w:val="zh-CN"/>
        </w:rPr>
        <w:t>%的扣除）</w:t>
      </w:r>
    </w:p>
    <w:p>
      <w:pPr>
        <w:snapToGrid w:val="0"/>
        <w:spacing w:line="360" w:lineRule="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分包供应商名称：</w:t>
      </w:r>
    </w:p>
    <w:p>
      <w:pPr>
        <w:snapToGrid w:val="0"/>
        <w:spacing w:line="360" w:lineRule="auto"/>
        <w:ind w:firstLine="6720" w:firstLineChars="24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w:t>
      </w:r>
    </w:p>
    <w:p>
      <w:pPr>
        <w:snapToGrid w:val="0"/>
        <w:spacing w:line="360" w:lineRule="auto"/>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日期：  年  月   日</w:t>
      </w:r>
    </w:p>
    <w:p>
      <w:pPr>
        <w:rPr>
          <w:rFonts w:hint="eastAsia"/>
          <w:color w:val="auto"/>
          <w:highlight w:val="none"/>
          <w:lang w:val="zh-CN"/>
        </w:rPr>
      </w:pPr>
      <w:r>
        <w:rPr>
          <w:rFonts w:hint="eastAsia"/>
          <w:color w:val="auto"/>
          <w:highlight w:val="none"/>
          <w:lang w:val="zh-CN"/>
        </w:rPr>
        <w:br w:type="page"/>
      </w:r>
    </w:p>
    <w:p>
      <w:pPr>
        <w:pStyle w:val="81"/>
        <w:rPr>
          <w:rFonts w:hint="eastAsia"/>
          <w:color w:val="auto"/>
          <w:highlight w:val="none"/>
          <w:lang w:val="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需要提供的符合性审查资料</w:t>
            </w:r>
          </w:p>
        </w:tc>
        <w:tc>
          <w:tcPr>
            <w:tcW w:w="2013" w:type="dxa"/>
            <w:vAlign w:val="center"/>
          </w:tcPr>
          <w:p>
            <w:pPr>
              <w:snapToGrid w:val="0"/>
              <w:spacing w:line="2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投标文件中的</w:t>
            </w:r>
          </w:p>
          <w:p>
            <w:pPr>
              <w:snapToGrid w:val="0"/>
              <w:spacing w:line="2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4991" w:type="dxa"/>
            <w:vAlign w:val="top"/>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投标文件按照招标文件要求签署、盖章。</w:t>
            </w:r>
          </w:p>
        </w:tc>
        <w:tc>
          <w:tcPr>
            <w:tcW w:w="2551"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需要使用电子签名或者签字盖章的投标文件的组成部分</w:t>
            </w:r>
          </w:p>
        </w:tc>
        <w:tc>
          <w:tcPr>
            <w:tcW w:w="2013" w:type="dxa"/>
            <w:vAlign w:val="top"/>
          </w:tcPr>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见投标文件</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4991" w:type="dxa"/>
            <w:vAlign w:val="top"/>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节能产品认证证书（本项目拟采购的产品不属于政府强制采购的节能产品品目清单范围的，无需提供）</w:t>
            </w:r>
          </w:p>
        </w:tc>
        <w:tc>
          <w:tcPr>
            <w:tcW w:w="2013" w:type="dxa"/>
            <w:vAlign w:val="top"/>
          </w:tcPr>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见投标文件</w:t>
            </w:r>
          </w:p>
          <w:p>
            <w:pPr>
              <w:pStyle w:val="3"/>
              <w:rPr>
                <w:rFonts w:hint="eastAsia"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lang w:val="en-US"/>
              </w:rPr>
              <w:t>第</w:t>
            </w:r>
            <w:r>
              <w:rPr>
                <w:rFonts w:hint="eastAsia" w:asci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4991" w:type="dxa"/>
            <w:vAlign w:val="top"/>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投标函</w:t>
            </w:r>
          </w:p>
        </w:tc>
        <w:tc>
          <w:tcPr>
            <w:tcW w:w="2013" w:type="dxa"/>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4991" w:type="dxa"/>
            <w:vAlign w:val="top"/>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投标文件满足招标文件的其它实质性要求。</w:t>
            </w:r>
          </w:p>
        </w:tc>
        <w:tc>
          <w:tcPr>
            <w:tcW w:w="2551"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招标文件其它实质性要求相应的材料（“▲”系指实质性要求条款，招标文件无其它实质性要求的，无需提供）</w:t>
            </w:r>
          </w:p>
        </w:tc>
        <w:tc>
          <w:tcPr>
            <w:tcW w:w="2013" w:type="dxa"/>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见投标文件第页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3683" w:type="dxa"/>
            <w:vAlign w:val="top"/>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招标文件章节及具体内容</w:t>
            </w:r>
          </w:p>
        </w:tc>
        <w:tc>
          <w:tcPr>
            <w:tcW w:w="3546" w:type="dxa"/>
            <w:vAlign w:val="top"/>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投标文件章节及具体内容</w:t>
            </w:r>
          </w:p>
        </w:tc>
        <w:tc>
          <w:tcPr>
            <w:tcW w:w="1276" w:type="dxa"/>
            <w:vAlign w:val="top"/>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3683" w:type="dxa"/>
            <w:vAlign w:val="top"/>
          </w:tcPr>
          <w:p>
            <w:pPr>
              <w:jc w:val="center"/>
              <w:rPr>
                <w:rFonts w:hint="eastAsia" w:ascii="仿宋" w:hAnsi="仿宋" w:eastAsia="仿宋" w:cs="仿宋"/>
                <w:b/>
                <w:color w:val="auto"/>
                <w:kern w:val="0"/>
                <w:sz w:val="28"/>
                <w:szCs w:val="28"/>
                <w:highlight w:val="none"/>
              </w:rPr>
            </w:pPr>
          </w:p>
        </w:tc>
        <w:tc>
          <w:tcPr>
            <w:tcW w:w="3546" w:type="dxa"/>
            <w:vAlign w:val="top"/>
          </w:tcPr>
          <w:p>
            <w:pPr>
              <w:jc w:val="center"/>
              <w:rPr>
                <w:rFonts w:hint="eastAsia" w:ascii="仿宋" w:hAnsi="仿宋" w:eastAsia="仿宋" w:cs="仿宋"/>
                <w:b/>
                <w:color w:val="auto"/>
                <w:kern w:val="0"/>
                <w:sz w:val="28"/>
                <w:szCs w:val="28"/>
                <w:highlight w:val="none"/>
              </w:rPr>
            </w:pPr>
          </w:p>
        </w:tc>
        <w:tc>
          <w:tcPr>
            <w:tcW w:w="1276" w:type="dxa"/>
            <w:vAlign w:val="top"/>
          </w:tcPr>
          <w:p>
            <w:pPr>
              <w:jc w:val="center"/>
              <w:rPr>
                <w:rFonts w:hint="eastAsia" w:ascii="仿宋" w:hAnsi="仿宋" w:eastAsia="仿宋" w:cs="仿宋"/>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3683" w:type="dxa"/>
            <w:vAlign w:val="top"/>
          </w:tcPr>
          <w:p>
            <w:pPr>
              <w:jc w:val="center"/>
              <w:rPr>
                <w:rFonts w:hint="eastAsia" w:ascii="仿宋" w:hAnsi="仿宋" w:eastAsia="仿宋" w:cs="仿宋"/>
                <w:b/>
                <w:color w:val="auto"/>
                <w:kern w:val="0"/>
                <w:sz w:val="28"/>
                <w:szCs w:val="28"/>
                <w:highlight w:val="none"/>
              </w:rPr>
            </w:pPr>
          </w:p>
        </w:tc>
        <w:tc>
          <w:tcPr>
            <w:tcW w:w="3546" w:type="dxa"/>
            <w:vAlign w:val="top"/>
          </w:tcPr>
          <w:p>
            <w:pPr>
              <w:jc w:val="center"/>
              <w:rPr>
                <w:rFonts w:hint="eastAsia" w:ascii="仿宋" w:hAnsi="仿宋" w:eastAsia="仿宋" w:cs="仿宋"/>
                <w:b/>
                <w:color w:val="auto"/>
                <w:kern w:val="0"/>
                <w:sz w:val="28"/>
                <w:szCs w:val="28"/>
                <w:highlight w:val="none"/>
              </w:rPr>
            </w:pPr>
          </w:p>
        </w:tc>
        <w:tc>
          <w:tcPr>
            <w:tcW w:w="1276" w:type="dxa"/>
            <w:vAlign w:val="top"/>
          </w:tcPr>
          <w:p>
            <w:pPr>
              <w:jc w:val="center"/>
              <w:rPr>
                <w:rFonts w:hint="eastAsia" w:ascii="仿宋" w:hAnsi="仿宋" w:eastAsia="仿宋" w:cs="仿宋"/>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3683" w:type="dxa"/>
            <w:vAlign w:val="top"/>
          </w:tcPr>
          <w:p>
            <w:pPr>
              <w:jc w:val="center"/>
              <w:rPr>
                <w:rFonts w:hint="eastAsia" w:ascii="仿宋" w:hAnsi="仿宋" w:eastAsia="仿宋" w:cs="仿宋"/>
                <w:b/>
                <w:color w:val="auto"/>
                <w:kern w:val="0"/>
                <w:sz w:val="28"/>
                <w:szCs w:val="28"/>
                <w:highlight w:val="none"/>
              </w:rPr>
            </w:pPr>
          </w:p>
        </w:tc>
        <w:tc>
          <w:tcPr>
            <w:tcW w:w="3546" w:type="dxa"/>
            <w:vAlign w:val="top"/>
          </w:tcPr>
          <w:p>
            <w:pPr>
              <w:jc w:val="center"/>
              <w:rPr>
                <w:rFonts w:hint="eastAsia" w:ascii="仿宋" w:hAnsi="仿宋" w:eastAsia="仿宋" w:cs="仿宋"/>
                <w:b/>
                <w:color w:val="auto"/>
                <w:kern w:val="0"/>
                <w:sz w:val="28"/>
                <w:szCs w:val="28"/>
                <w:highlight w:val="none"/>
              </w:rPr>
            </w:pPr>
          </w:p>
        </w:tc>
        <w:tc>
          <w:tcPr>
            <w:tcW w:w="1276" w:type="dxa"/>
            <w:vAlign w:val="top"/>
          </w:tcPr>
          <w:p>
            <w:pPr>
              <w:jc w:val="center"/>
              <w:rPr>
                <w:rFonts w:hint="eastAsia" w:ascii="仿宋" w:hAnsi="仿宋" w:eastAsia="仿宋" w:cs="仿宋"/>
                <w:b/>
                <w:color w:val="auto"/>
                <w:kern w:val="0"/>
                <w:sz w:val="28"/>
                <w:szCs w:val="28"/>
                <w:highlight w:val="none"/>
              </w:rPr>
            </w:pPr>
          </w:p>
        </w:tc>
      </w:tr>
    </w:tbl>
    <w:p>
      <w:pPr>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（采购人）、（采购代理机构）</w:t>
      </w:r>
      <w:r>
        <w:rPr>
          <w:rFonts w:hint="eastAsia" w:ascii="仿宋" w:hAnsi="仿宋" w:eastAsia="仿宋" w:cs="仿宋"/>
          <w:color w:val="auto"/>
          <w:kern w:val="0"/>
          <w:sz w:val="28"/>
          <w:szCs w:val="28"/>
          <w:highlight w:val="none"/>
          <w:lang w:val="zh-CN"/>
        </w:rPr>
        <w:t>：</w:t>
      </w:r>
    </w:p>
    <w:p>
      <w:pPr>
        <w:autoSpaceDE w:val="0"/>
        <w:autoSpaceDN w:val="0"/>
        <w:spacing w:line="360" w:lineRule="auto"/>
        <w:ind w:left="2" w:leftChars="1"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我单位响应你</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二、不为项目有关人员及部门报销应由你方单位或个人支付的费用；</w:t>
      </w:r>
    </w:p>
    <w:p>
      <w:pPr>
        <w:autoSpaceDE w:val="0"/>
        <w:autoSpaceDN w:val="0"/>
        <w:spacing w:line="360" w:lineRule="auto"/>
        <w:ind w:left="2" w:leftChars="1"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三、不向项目有关人员及部门提供有可能影响公正的宴请和健身娱乐等活动；</w:t>
      </w:r>
    </w:p>
    <w:p>
      <w:pPr>
        <w:autoSpaceDE w:val="0"/>
        <w:autoSpaceDN w:val="0"/>
        <w:spacing w:line="360" w:lineRule="auto"/>
        <w:ind w:left="2" w:leftChars="1"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六、严格遵守《</w:t>
      </w:r>
      <w:r>
        <w:rPr>
          <w:rFonts w:hint="eastAsia" w:ascii="仿宋" w:hAnsi="仿宋" w:eastAsia="仿宋" w:cs="仿宋"/>
          <w:color w:val="auto"/>
          <w:sz w:val="28"/>
          <w:szCs w:val="28"/>
          <w:highlight w:val="none"/>
          <w:lang w:val="zh-CN"/>
        </w:rPr>
        <w:t>中华人民共和国</w:t>
      </w:r>
      <w:r>
        <w:rPr>
          <w:rFonts w:hint="eastAsia" w:ascii="仿宋" w:hAnsi="仿宋" w:eastAsia="仿宋" w:cs="仿宋"/>
          <w:color w:val="auto"/>
          <w:kern w:val="0"/>
          <w:sz w:val="28"/>
          <w:szCs w:val="28"/>
          <w:highlight w:val="none"/>
          <w:lang w:val="zh-CN"/>
        </w:rPr>
        <w:t>政府采购法》《</w:t>
      </w:r>
      <w:r>
        <w:rPr>
          <w:rFonts w:hint="eastAsia" w:ascii="仿宋" w:hAnsi="仿宋" w:eastAsia="仿宋" w:cs="仿宋"/>
          <w:color w:val="auto"/>
          <w:sz w:val="28"/>
          <w:szCs w:val="28"/>
          <w:highlight w:val="none"/>
          <w:lang w:val="zh-CN"/>
        </w:rPr>
        <w:t>中华人民共和国</w:t>
      </w:r>
      <w:r>
        <w:rPr>
          <w:rFonts w:hint="eastAsia" w:ascii="仿宋" w:hAnsi="仿宋" w:eastAsia="仿宋" w:cs="仿宋"/>
          <w:color w:val="auto"/>
          <w:kern w:val="0"/>
          <w:sz w:val="28"/>
          <w:szCs w:val="28"/>
          <w:highlight w:val="none"/>
          <w:lang w:val="zh-CN"/>
        </w:rPr>
        <w:t>招标投标</w:t>
      </w:r>
    </w:p>
    <w:p>
      <w:pPr>
        <w:autoSpaceDE w:val="0"/>
        <w:autoSpaceDN w:val="0"/>
        <w:spacing w:line="360" w:lineRule="auto"/>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法》</w:t>
      </w:r>
      <w:r>
        <w:rPr>
          <w:rFonts w:hint="eastAsia" w:ascii="仿宋" w:hAnsi="仿宋" w:eastAsia="仿宋" w:cs="仿宋"/>
          <w:color w:val="auto"/>
          <w:sz w:val="28"/>
          <w:szCs w:val="28"/>
          <w:highlight w:val="none"/>
          <w:lang w:val="zh-CN"/>
        </w:rPr>
        <w:t>《中华人民共和国民法典》</w:t>
      </w:r>
      <w:r>
        <w:rPr>
          <w:rFonts w:hint="eastAsia" w:ascii="仿宋" w:hAnsi="仿宋" w:eastAsia="仿宋" w:cs="仿宋"/>
          <w:color w:val="auto"/>
          <w:kern w:val="0"/>
          <w:sz w:val="28"/>
          <w:szCs w:val="28"/>
          <w:highlight w:val="none"/>
          <w:lang w:val="zh-CN"/>
        </w:rPr>
        <w:t>等法律法规，诚实守信，合法经营，坚决抵制各种违法违纪行为。</w:t>
      </w:r>
    </w:p>
    <w:p>
      <w:pPr>
        <w:autoSpaceDE w:val="0"/>
        <w:autoSpaceDN w:val="0"/>
        <w:spacing w:line="360" w:lineRule="auto"/>
        <w:ind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如违反上述承诺，你</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lang w:val="zh-CN"/>
        </w:rPr>
        <w:t>有权立即取消我单位投标、中标或在建项目的建设资格，有权拒绝我单位在一定时期内进入你</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right="1120"/>
        <w:jc w:val="righ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投标人名称（</w:t>
      </w:r>
      <w:r>
        <w:rPr>
          <w:rFonts w:hint="eastAsia" w:ascii="仿宋" w:hAnsi="仿宋" w:eastAsia="仿宋" w:cs="仿宋"/>
          <w:color w:val="auto"/>
          <w:sz w:val="28"/>
          <w:szCs w:val="28"/>
          <w:highlight w:val="none"/>
        </w:rPr>
        <w:t>电子签名</w:t>
      </w:r>
      <w:r>
        <w:rPr>
          <w:rFonts w:hint="eastAsia" w:ascii="仿宋" w:hAnsi="仿宋" w:eastAsia="仿宋" w:cs="仿宋"/>
          <w:color w:val="auto"/>
          <w:kern w:val="0"/>
          <w:sz w:val="28"/>
          <w:szCs w:val="28"/>
          <w:highlight w:val="none"/>
          <w:lang w:val="zh-CN"/>
        </w:rPr>
        <w:t>）：</w:t>
      </w:r>
    </w:p>
    <w:p>
      <w:pPr>
        <w:spacing w:line="360" w:lineRule="auto"/>
        <w:ind w:left="4620" w:leftChars="2200"/>
        <w:rPr>
          <w:rFonts w:hint="eastAsia" w:ascii="仿宋" w:hAnsi="仿宋" w:eastAsia="仿宋" w:cs="仿宋"/>
          <w:b/>
          <w:bCs/>
          <w:color w:val="auto"/>
          <w:sz w:val="24"/>
          <w:highlight w:val="none"/>
        </w:rPr>
      </w:pPr>
      <w:r>
        <w:rPr>
          <w:rFonts w:hint="eastAsia" w:ascii="仿宋" w:hAnsi="仿宋" w:eastAsia="仿宋" w:cs="仿宋"/>
          <w:color w:val="auto"/>
          <w:kern w:val="0"/>
          <w:sz w:val="28"/>
          <w:szCs w:val="28"/>
          <w:highlight w:val="none"/>
          <w:lang w:val="zh-CN"/>
        </w:rPr>
        <w:t>日期</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zh-CN"/>
        </w:rPr>
        <w:t xml:space="preserve">   年   月   日</w:t>
      </w:r>
    </w:p>
    <w:p>
      <w:pPr>
        <w:spacing w:line="360" w:lineRule="auto"/>
        <w:jc w:val="center"/>
        <w:rPr>
          <w:rFonts w:hint="eastAsia" w:ascii="仿宋" w:hAnsi="仿宋" w:eastAsia="仿宋" w:cs="仿宋"/>
          <w:b/>
          <w:bCs/>
          <w:color w:val="auto"/>
          <w:sz w:val="24"/>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numPr>
          <w:ilvl w:val="0"/>
          <w:numId w:val="0"/>
        </w:num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开标一览表（报价表）……………………………………………（页码）</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中小企业声明函……………………………………………………（页码）</w:t>
      </w:r>
    </w:p>
    <w:p>
      <w:pPr>
        <w:snapToGrid w:val="0"/>
        <w:spacing w:line="360" w:lineRule="auto"/>
        <w:ind w:right="480"/>
        <w:jc w:val="both"/>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投标人针对报价需要说明的其他文件和说明</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8"/>
          <w:szCs w:val="28"/>
          <w:highlight w:val="none"/>
        </w:rPr>
      </w:pPr>
      <w:bookmarkStart w:id="399" w:name="_Toc233618992"/>
      <w:r>
        <w:rPr>
          <w:rFonts w:hint="eastAsia" w:ascii="仿宋" w:hAnsi="仿宋" w:eastAsia="仿宋" w:cs="仿宋"/>
          <w:color w:val="auto"/>
          <w:sz w:val="28"/>
          <w:szCs w:val="28"/>
          <w:highlight w:val="none"/>
        </w:rPr>
        <w:t>（采购人）、（采购代理机构）</w:t>
      </w:r>
      <w:r>
        <w:rPr>
          <w:rFonts w:hint="eastAsia" w:ascii="仿宋" w:hAnsi="仿宋" w:eastAsia="仿宋" w:cs="仿宋"/>
          <w:color w:val="auto"/>
          <w:kern w:val="0"/>
          <w:sz w:val="28"/>
          <w:szCs w:val="28"/>
          <w:highlight w:val="none"/>
          <w:lang w:val="zh-CN"/>
        </w:rPr>
        <w:t>：</w:t>
      </w:r>
    </w:p>
    <w:p>
      <w:pPr>
        <w:snapToGrid w:val="0"/>
        <w:spacing w:line="360" w:lineRule="auto"/>
        <w:ind w:firstLine="482"/>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8"/>
          <w:szCs w:val="28"/>
          <w:highlight w:val="none"/>
          <w:lang w:eastAsia="zh-CN"/>
        </w:rPr>
        <w:t>数字城管信息采集服务外包项目</w:t>
      </w:r>
      <w:r>
        <w:rPr>
          <w:rFonts w:hint="eastAsia" w:ascii="仿宋" w:hAnsi="仿宋" w:eastAsia="仿宋" w:cs="仿宋"/>
          <w:color w:val="auto"/>
          <w:sz w:val="28"/>
          <w:szCs w:val="28"/>
          <w:highlight w:val="none"/>
        </w:rPr>
        <w:t xml:space="preserve">   </w:t>
      </w:r>
      <w:r>
        <w:rPr>
          <w:rFonts w:hint="eastAsia" w:ascii="仿宋" w:hAnsi="仿宋" w:eastAsia="仿宋" w:cs="仿宋"/>
          <w:color w:val="auto"/>
          <w:kern w:val="0"/>
          <w:sz w:val="28"/>
          <w:szCs w:val="28"/>
          <w:highlight w:val="none"/>
          <w:lang w:val="zh-CN"/>
        </w:rPr>
        <w:t>【招标编号：</w:t>
      </w:r>
      <w:r>
        <w:rPr>
          <w:rFonts w:hint="eastAsia" w:ascii="仿宋" w:hAnsi="仿宋" w:eastAsia="仿宋" w:cs="仿宋"/>
          <w:color w:val="auto"/>
          <w:sz w:val="28"/>
          <w:szCs w:val="28"/>
          <w:highlight w:val="none"/>
        </w:rPr>
        <w:t>（采购编号）】的实施</w:t>
      </w:r>
      <w:r>
        <w:rPr>
          <w:rFonts w:hint="eastAsia" w:ascii="仿宋" w:hAnsi="仿宋" w:eastAsia="仿宋" w:cs="仿宋"/>
          <w:color w:val="auto"/>
          <w:kern w:val="0"/>
          <w:sz w:val="28"/>
          <w:szCs w:val="28"/>
          <w:highlight w:val="none"/>
          <w:lang w:val="zh-CN"/>
        </w:rPr>
        <w:t>。</w:t>
      </w:r>
    </w:p>
    <w:p>
      <w:pPr>
        <w:spacing w:line="36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3260" w:type="dxa"/>
            <w:vAlign w:val="center"/>
          </w:tcPr>
          <w:p>
            <w:pPr>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采购内容</w:t>
            </w:r>
          </w:p>
        </w:tc>
        <w:tc>
          <w:tcPr>
            <w:tcW w:w="2728" w:type="dxa"/>
            <w:vAlign w:val="center"/>
          </w:tcPr>
          <w:p>
            <w:pPr>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单位</w:t>
            </w:r>
          </w:p>
        </w:tc>
        <w:tc>
          <w:tcPr>
            <w:tcW w:w="1579" w:type="dxa"/>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数量</w:t>
            </w:r>
          </w:p>
        </w:tc>
        <w:tc>
          <w:tcPr>
            <w:tcW w:w="2106" w:type="dxa"/>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单价</w:t>
            </w:r>
          </w:p>
        </w:tc>
        <w:tc>
          <w:tcPr>
            <w:tcW w:w="4360" w:type="dxa"/>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260"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728"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1579"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106" w:type="dxa"/>
            <w:vAlign w:val="center"/>
          </w:tcPr>
          <w:p>
            <w:pPr>
              <w:spacing w:line="360" w:lineRule="auto"/>
              <w:jc w:val="center"/>
              <w:rPr>
                <w:rFonts w:hint="eastAsia" w:ascii="仿宋" w:hAnsi="仿宋" w:eastAsia="仿宋" w:cs="仿宋"/>
                <w:color w:val="auto"/>
                <w:sz w:val="28"/>
                <w:szCs w:val="28"/>
                <w:highlight w:val="none"/>
              </w:rPr>
            </w:pPr>
          </w:p>
        </w:tc>
        <w:tc>
          <w:tcPr>
            <w:tcW w:w="4360" w:type="dxa"/>
            <w:vAlign w:val="center"/>
          </w:tcPr>
          <w:p>
            <w:pPr>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3260"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728"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1579"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106" w:type="dxa"/>
            <w:vAlign w:val="center"/>
          </w:tcPr>
          <w:p>
            <w:pPr>
              <w:spacing w:line="360" w:lineRule="auto"/>
              <w:jc w:val="center"/>
              <w:rPr>
                <w:rFonts w:hint="eastAsia" w:ascii="仿宋" w:hAnsi="仿宋" w:eastAsia="仿宋" w:cs="仿宋"/>
                <w:color w:val="auto"/>
                <w:sz w:val="28"/>
                <w:szCs w:val="28"/>
                <w:highlight w:val="none"/>
              </w:rPr>
            </w:pPr>
          </w:p>
        </w:tc>
        <w:tc>
          <w:tcPr>
            <w:tcW w:w="4360" w:type="dxa"/>
            <w:vAlign w:val="center"/>
          </w:tcPr>
          <w:p>
            <w:pPr>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260"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728"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1579"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106" w:type="dxa"/>
            <w:vAlign w:val="center"/>
          </w:tcPr>
          <w:p>
            <w:pPr>
              <w:spacing w:line="360" w:lineRule="auto"/>
              <w:jc w:val="center"/>
              <w:rPr>
                <w:rFonts w:hint="eastAsia" w:ascii="仿宋" w:hAnsi="仿宋" w:eastAsia="仿宋" w:cs="仿宋"/>
                <w:color w:val="auto"/>
                <w:sz w:val="28"/>
                <w:szCs w:val="28"/>
                <w:highlight w:val="none"/>
              </w:rPr>
            </w:pPr>
          </w:p>
        </w:tc>
        <w:tc>
          <w:tcPr>
            <w:tcW w:w="4360" w:type="dxa"/>
            <w:vAlign w:val="center"/>
          </w:tcPr>
          <w:p>
            <w:pPr>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8"/>
                <w:szCs w:val="28"/>
                <w:highlight w:val="none"/>
              </w:rPr>
            </w:pPr>
          </w:p>
        </w:tc>
        <w:tc>
          <w:tcPr>
            <w:tcW w:w="3260"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728"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1579"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106" w:type="dxa"/>
            <w:vAlign w:val="center"/>
          </w:tcPr>
          <w:p>
            <w:pPr>
              <w:spacing w:line="360" w:lineRule="auto"/>
              <w:jc w:val="center"/>
              <w:rPr>
                <w:rFonts w:hint="eastAsia" w:ascii="仿宋" w:hAnsi="仿宋" w:eastAsia="仿宋" w:cs="仿宋"/>
                <w:color w:val="auto"/>
                <w:sz w:val="28"/>
                <w:szCs w:val="28"/>
                <w:highlight w:val="none"/>
              </w:rPr>
            </w:pPr>
          </w:p>
        </w:tc>
        <w:tc>
          <w:tcPr>
            <w:tcW w:w="4360" w:type="dxa"/>
            <w:vAlign w:val="center"/>
          </w:tcPr>
          <w:p>
            <w:pPr>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8"/>
                <w:szCs w:val="28"/>
                <w:highlight w:val="none"/>
              </w:rPr>
            </w:pPr>
          </w:p>
        </w:tc>
        <w:tc>
          <w:tcPr>
            <w:tcW w:w="3260"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728"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1579" w:type="dxa"/>
            <w:vAlign w:val="center"/>
          </w:tcPr>
          <w:p>
            <w:pPr>
              <w:snapToGrid w:val="0"/>
              <w:spacing w:line="360" w:lineRule="auto"/>
              <w:jc w:val="center"/>
              <w:rPr>
                <w:rFonts w:hint="eastAsia" w:ascii="仿宋" w:hAnsi="仿宋" w:eastAsia="仿宋" w:cs="仿宋"/>
                <w:color w:val="auto"/>
                <w:sz w:val="28"/>
                <w:szCs w:val="28"/>
                <w:highlight w:val="none"/>
              </w:rPr>
            </w:pPr>
          </w:p>
        </w:tc>
        <w:tc>
          <w:tcPr>
            <w:tcW w:w="2106" w:type="dxa"/>
            <w:vAlign w:val="center"/>
          </w:tcPr>
          <w:p>
            <w:pPr>
              <w:spacing w:line="360" w:lineRule="auto"/>
              <w:jc w:val="center"/>
              <w:rPr>
                <w:rFonts w:hint="eastAsia" w:ascii="仿宋" w:hAnsi="仿宋" w:eastAsia="仿宋" w:cs="仿宋"/>
                <w:color w:val="auto"/>
                <w:sz w:val="28"/>
                <w:szCs w:val="28"/>
                <w:highlight w:val="none"/>
              </w:rPr>
            </w:pPr>
          </w:p>
        </w:tc>
        <w:tc>
          <w:tcPr>
            <w:tcW w:w="4360" w:type="dxa"/>
            <w:vAlign w:val="center"/>
          </w:tcPr>
          <w:p>
            <w:pPr>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投标报价（小写）</w:t>
            </w:r>
          </w:p>
        </w:tc>
        <w:tc>
          <w:tcPr>
            <w:tcW w:w="8045" w:type="dxa"/>
            <w:gridSpan w:val="3"/>
            <w:vAlign w:val="center"/>
          </w:tcPr>
          <w:p>
            <w:pPr>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w:t>
            </w:r>
            <w:r>
              <w:rPr>
                <w:rFonts w:hint="eastAsia" w:ascii="仿宋" w:hAnsi="仿宋" w:eastAsia="仿宋" w:cs="仿宋"/>
                <w:b/>
                <w:color w:val="auto"/>
                <w:sz w:val="28"/>
                <w:szCs w:val="28"/>
                <w:highlight w:val="none"/>
                <w:lang w:eastAsia="zh-CN"/>
              </w:rPr>
              <w:t>大</w:t>
            </w:r>
            <w:r>
              <w:rPr>
                <w:rFonts w:hint="eastAsia" w:ascii="仿宋" w:hAnsi="仿宋" w:eastAsia="仿宋" w:cs="仿宋"/>
                <w:b/>
                <w:color w:val="auto"/>
                <w:sz w:val="28"/>
                <w:szCs w:val="28"/>
                <w:highlight w:val="none"/>
              </w:rPr>
              <w:t>写）</w:t>
            </w:r>
          </w:p>
        </w:tc>
        <w:tc>
          <w:tcPr>
            <w:tcW w:w="8045" w:type="dxa"/>
            <w:gridSpan w:val="3"/>
            <w:vAlign w:val="center"/>
          </w:tcPr>
          <w:p>
            <w:pPr>
              <w:spacing w:line="360" w:lineRule="auto"/>
              <w:jc w:val="center"/>
              <w:rPr>
                <w:rFonts w:hint="eastAsia" w:ascii="仿宋" w:hAnsi="仿宋" w:eastAsia="仿宋" w:cs="仿宋"/>
                <w:color w:val="auto"/>
                <w:sz w:val="28"/>
                <w:szCs w:val="28"/>
                <w:highlight w:val="none"/>
              </w:rPr>
            </w:pPr>
          </w:p>
        </w:tc>
      </w:tr>
    </w:tbl>
    <w:p>
      <w:pPr>
        <w:spacing w:line="360" w:lineRule="auto"/>
        <w:ind w:left="-2"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1、投标人需按本表格式填写，不得自行更改。</w:t>
      </w:r>
    </w:p>
    <w:p>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2、有关本项目实施所涉及的一切费用均计入报价。</w:t>
      </w:r>
      <w:r>
        <w:rPr>
          <w:rFonts w:hint="eastAsia" w:ascii="仿宋" w:hAnsi="仿宋" w:eastAsia="仿宋" w:cs="仿宋"/>
          <w:b/>
          <w:color w:val="auto"/>
          <w:kern w:val="0"/>
          <w:sz w:val="28"/>
          <w:szCs w:val="28"/>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8"/>
          <w:szCs w:val="28"/>
          <w:highlight w:val="none"/>
          <w:lang w:val="zh-CN"/>
        </w:rPr>
        <w:t>，</w:t>
      </w:r>
      <w:r>
        <w:rPr>
          <w:rFonts w:hint="eastAsia" w:ascii="仿宋" w:hAnsi="仿宋" w:eastAsia="仿宋" w:cs="仿宋"/>
          <w:b/>
          <w:color w:val="auto"/>
          <w:kern w:val="0"/>
          <w:sz w:val="28"/>
          <w:szCs w:val="28"/>
          <w:highlight w:val="none"/>
          <w:lang w:val="zh-CN"/>
        </w:rPr>
        <w:t>不得出现“0元”“免费赠送”等形式的无偿报价，</w:t>
      </w:r>
      <w:r>
        <w:rPr>
          <w:rFonts w:hint="eastAsia" w:ascii="仿宋" w:hAnsi="仿宋" w:eastAsia="仿宋" w:cs="仿宋"/>
          <w:b/>
          <w:color w:val="auto"/>
          <w:kern w:val="0"/>
          <w:sz w:val="28"/>
          <w:szCs w:val="28"/>
          <w:highlight w:val="none"/>
        </w:rPr>
        <w:t>否则视为</w:t>
      </w:r>
      <w:r>
        <w:rPr>
          <w:rFonts w:hint="eastAsia" w:ascii="仿宋" w:hAnsi="仿宋" w:eastAsia="仿宋" w:cs="仿宋"/>
          <w:b/>
          <w:color w:val="auto"/>
          <w:sz w:val="28"/>
          <w:szCs w:val="28"/>
          <w:highlight w:val="none"/>
        </w:rPr>
        <w:t>投标文件含有采购人不能接受的附加条件的，投标无效</w:t>
      </w:r>
      <w:r>
        <w:rPr>
          <w:rFonts w:hint="eastAsia" w:ascii="仿宋" w:hAnsi="仿宋" w:eastAsia="仿宋" w:cs="仿宋"/>
          <w:b/>
          <w:color w:val="auto"/>
          <w:kern w:val="0"/>
          <w:sz w:val="28"/>
          <w:szCs w:val="28"/>
          <w:highlight w:val="none"/>
          <w:lang w:val="zh-CN"/>
        </w:rPr>
        <w:t>。</w:t>
      </w:r>
    </w:p>
    <w:p>
      <w:pPr>
        <w:snapToGrid w:val="0"/>
        <w:spacing w:line="360" w:lineRule="auto"/>
        <w:ind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3、以上表格要求细分项目及报价，在“具体服务”一栏中，服务类项目填写具体服务。</w:t>
      </w:r>
    </w:p>
    <w:p>
      <w:pPr>
        <w:snapToGrid w:val="0"/>
        <w:spacing w:line="360" w:lineRule="auto"/>
        <w:ind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9"/>
        <w:tabs>
          <w:tab w:val="clear" w:pos="720"/>
        </w:tabs>
        <w:snapToGrid w:val="0"/>
        <w:spacing w:before="120" w:after="120"/>
        <w:ind w:firstLine="643"/>
        <w:outlineLvl w:val="9"/>
        <w:rPr>
          <w:rFonts w:hint="eastAsia" w:ascii="仿宋" w:hAnsi="仿宋" w:eastAsia="仿宋" w:cs="仿宋"/>
          <w:color w:val="auto"/>
          <w:kern w:val="2"/>
          <w:sz w:val="28"/>
          <w:szCs w:val="28"/>
          <w:highlight w:val="none"/>
        </w:rPr>
        <w:sectPr>
          <w:pgSz w:w="16838" w:h="11906" w:orient="landscape"/>
          <w:pgMar w:top="1418" w:right="1247" w:bottom="1418" w:left="1276" w:header="851" w:footer="992" w:gutter="0"/>
          <w:cols w:space="720" w:num="1"/>
          <w:titlePg/>
          <w:docGrid w:linePitch="312" w:charSpace="0"/>
        </w:sectPr>
      </w:pPr>
    </w:p>
    <w:bookmarkEnd w:id="399"/>
    <w:p>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41" w:firstLineChars="5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2811" w:firstLineChars="1000"/>
        <w:rPr>
          <w:rFonts w:hint="eastAsia" w:ascii="仿宋" w:hAnsi="仿宋" w:eastAsia="仿宋" w:cs="仿宋"/>
          <w:b/>
          <w:color w:val="auto"/>
          <w:kern w:val="0"/>
          <w:sz w:val="28"/>
          <w:szCs w:val="28"/>
          <w:highlight w:val="none"/>
        </w:rPr>
      </w:pPr>
    </w:p>
    <w:p>
      <w:pPr>
        <w:spacing w:line="360" w:lineRule="auto"/>
        <w:ind w:right="420" w:firstLine="2811" w:firstLineChars="1000"/>
        <w:rPr>
          <w:rFonts w:hint="eastAsia" w:ascii="仿宋" w:hAnsi="仿宋" w:eastAsia="仿宋" w:cs="仿宋"/>
          <w:b/>
          <w:color w:val="auto"/>
          <w:kern w:val="0"/>
          <w:sz w:val="28"/>
          <w:szCs w:val="28"/>
          <w:highlight w:val="none"/>
        </w:rPr>
      </w:pPr>
    </w:p>
    <w:p>
      <w:pPr>
        <w:tabs>
          <w:tab w:val="left" w:pos="8085"/>
        </w:tabs>
        <w:spacing w:line="360" w:lineRule="auto"/>
        <w:ind w:firstLine="1124" w:firstLineChars="4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政府采购支持中小企业信用融资相关事项通知</w:t>
      </w:r>
    </w:p>
    <w:p>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一、适用对象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凡已在浙江政府采购网上注册入库，并取得杭州市政府采购合同的中小企业供应商（以下简称“供应商”），均可申请政府采购信用融资。</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二、相关信息获取方式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　政府采购信用融资操作流程：</w:t>
      </w:r>
    </w:p>
    <w:p>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（一）线上融资模式：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1.供应商根据合作银行提供的方案，自行选择金融产品，并办理开户等手续；</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2.供应商中标后，可通过杭州市政府采购网或“浙里办”测算授信额度；</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3.采购合同签订后，供应商在杭州市政府采购网或“浙里办”向合作银行发出融资申请；</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4.审批通过后，在线办理放贷手续。</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（二）线下融资模式：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1.供应商根据合作银行提供的方案，自行选择金融产品，向合作银行提出信用资格预审，并办理开户等手续；</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2.采购合同签订后，供应商在杭州市政府采购网或“浙里办”向合作银行发出融资申请；</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3.合作银行在信用融资模块受理申请后，供应商提供审批材料。合作银行应对申请信用融资的供应商及备案的政府采购合同信息进行核对和审查；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4.审批通过后，合作银行应按照合作备忘录中约定的审批放款期限和优惠利率及时予以放款。</w:t>
      </w:r>
    </w:p>
    <w:p>
      <w:pPr>
        <w:numPr>
          <w:ilvl w:val="0"/>
          <w:numId w:val="0"/>
        </w:numPr>
        <w:tabs>
          <w:tab w:val="left" w:pos="432"/>
        </w:tabs>
        <w:ind w:firstLine="1120" w:firstLineChars="400"/>
        <w:outlineLvl w:val="9"/>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rPr>
        <w:t>（三）杭州e融平台申请融资</w:t>
      </w:r>
    </w:p>
    <w:p>
      <w:pPr>
        <w:numPr>
          <w:ilvl w:val="0"/>
          <w:numId w:val="0"/>
        </w:numPr>
        <w:tabs>
          <w:tab w:val="left" w:pos="432"/>
        </w:tabs>
        <w:ind w:firstLine="1120" w:firstLineChars="400"/>
        <w:outlineLvl w:val="9"/>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rPr>
        <w:t>供应商通过杭州e融平台政采贷专区，自行选择金融产品，按规定手续办理贷款流程。</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四、注意事项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1、对拟用于信用融资的政府采购合同，供应商在签订合同时应当在合同中注明融资银行名称及账号，作为在该银行的唯一收款账号。</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903" w:hangingChars="2100"/>
        <w:rPr>
          <w:rFonts w:hint="eastAsia" w:ascii="仿宋" w:hAnsi="仿宋" w:eastAsia="仿宋" w:cs="仿宋"/>
          <w:b/>
          <w:bCs/>
          <w:color w:val="auto"/>
          <w:kern w:val="0"/>
          <w:sz w:val="28"/>
          <w:szCs w:val="28"/>
          <w:highlight w:val="none"/>
        </w:rPr>
      </w:pPr>
    </w:p>
    <w:p>
      <w:pPr>
        <w:pStyle w:val="3"/>
        <w:pageBreakBefore/>
        <w:widowControl/>
        <w:spacing w:before="100" w:beforeAutospacing="1" w:after="100" w:afterAutospacing="1" w:line="360" w:lineRule="auto"/>
        <w:ind w:left="1290" w:firstLine="2249" w:firstLineChars="700"/>
        <w:outlineLvl w:val="1"/>
        <w:rPr>
          <w:rFonts w:hint="eastAsia" w:ascii="仿宋" w:hAnsi="仿宋" w:eastAsia="仿宋" w:cs="仿宋"/>
          <w:color w:val="auto"/>
          <w:highlight w:val="none"/>
        </w:rPr>
      </w:pPr>
      <w:bookmarkStart w:id="400" w:name="_Toc465665161"/>
      <w:r>
        <w:rPr>
          <w:rFonts w:hint="eastAsia" w:ascii="仿宋" w:hAnsi="仿宋" w:eastAsia="仿宋" w:cs="仿宋"/>
          <w:color w:val="auto"/>
          <w:highlight w:val="none"/>
        </w:rPr>
        <w:t>附件</w:t>
      </w:r>
      <w:bookmarkEnd w:id="400"/>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1" w:name="OLE_LINK14"/>
      <w:bookmarkStart w:id="402" w:name="OLE_LINK13"/>
      <w:r>
        <w:rPr>
          <w:rFonts w:hint="eastAsia" w:ascii="仿宋" w:hAnsi="仿宋" w:eastAsia="仿宋" w:cs="仿宋"/>
          <w:b/>
          <w:color w:val="auto"/>
          <w:spacing w:val="6"/>
          <w:sz w:val="32"/>
          <w:szCs w:val="32"/>
          <w:highlight w:val="none"/>
        </w:rPr>
        <w:t>残疾人福利性单位声明函</w:t>
      </w:r>
    </w:p>
    <w:bookmarkEnd w:id="401"/>
    <w:bookmarkEnd w:id="402"/>
    <w:p>
      <w:pPr>
        <w:spacing w:line="360" w:lineRule="auto"/>
        <w:rPr>
          <w:rFonts w:hint="eastAsia" w:ascii="仿宋" w:hAnsi="仿宋" w:eastAsia="仿宋" w:cs="仿宋"/>
          <w:b/>
          <w:color w:val="auto"/>
          <w:spacing w:val="6"/>
          <w:sz w:val="30"/>
          <w:szCs w:val="30"/>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tabs>
          <w:tab w:val="left" w:pos="4860"/>
        </w:tabs>
        <w:spacing w:line="360" w:lineRule="auto"/>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投标人名称（电子签名）</w:t>
      </w:r>
      <w:r>
        <w:rPr>
          <w:rFonts w:hint="eastAsia" w:ascii="仿宋" w:hAnsi="仿宋" w:eastAsia="仿宋" w:cs="仿宋"/>
          <w:color w:val="auto"/>
          <w:sz w:val="28"/>
          <w:szCs w:val="28"/>
          <w:highlight w:val="none"/>
        </w:rPr>
        <w:t>：</w:t>
      </w:r>
    </w:p>
    <w:p>
      <w:pPr>
        <w:tabs>
          <w:tab w:val="left" w:pos="4860"/>
        </w:tabs>
        <w:spacing w:line="360" w:lineRule="auto"/>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widowControl w:val="0"/>
        <w:wordWrap/>
        <w:adjustRightInd w:val="0"/>
        <w:snapToGrid w:val="0"/>
        <w:spacing w:line="44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widowControl w:val="0"/>
        <w:wordWrap/>
        <w:adjustRightInd w:val="0"/>
        <w:snapToGrid w:val="0"/>
        <w:spacing w:line="440" w:lineRule="exact"/>
        <w:textAlignment w:val="auto"/>
        <w:rPr>
          <w:rFonts w:hint="eastAsia" w:ascii="仿宋" w:hAnsi="仿宋" w:eastAsia="仿宋" w:cs="仿宋"/>
          <w:color w:val="auto"/>
          <w:sz w:val="28"/>
          <w:szCs w:val="28"/>
          <w:highlight w:val="none"/>
        </w:rPr>
      </w:pPr>
    </w:p>
    <w:p>
      <w:pPr>
        <w:widowControl w:val="0"/>
        <w:wordWrap/>
        <w:adjustRightInd w:val="0"/>
        <w:snapToGrid w:val="0"/>
        <w:spacing w:line="44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widowControl w:val="0"/>
        <w:wordWrap/>
        <w:adjustRightInd w:val="0"/>
        <w:snapToGrid w:val="0"/>
        <w:spacing w:line="440" w:lineRule="exact"/>
        <w:textAlignment w:val="auto"/>
        <w:rPr>
          <w:rFonts w:hint="eastAsia" w:ascii="仿宋" w:hAnsi="仿宋" w:eastAsia="仿宋" w:cs="仿宋"/>
          <w:color w:val="auto"/>
          <w:sz w:val="28"/>
          <w:szCs w:val="28"/>
          <w:highlight w:val="none"/>
          <w:u w:val="dotted"/>
        </w:rPr>
      </w:pPr>
    </w:p>
    <w:p>
      <w:pPr>
        <w:widowControl w:val="0"/>
        <w:wordWrap/>
        <w:adjustRightInd w:val="0"/>
        <w:snapToGrid w:val="0"/>
        <w:spacing w:line="44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81"/>
        <w:rPr>
          <w:rFonts w:hint="eastAsia"/>
          <w:color w:val="auto"/>
          <w:highlight w:val="none"/>
        </w:rPr>
      </w:pP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pStyle w:val="81"/>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一、投诉相关主体基本情况</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投诉人：</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地址：邮编：</w:t>
      </w:r>
    </w:p>
    <w:p>
      <w:pPr>
        <w:tabs>
          <w:tab w:val="left" w:pos="6510"/>
        </w:tabs>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法定代表人/主要负责人：</w:t>
      </w:r>
    </w:p>
    <w:p>
      <w:pPr>
        <w:tabs>
          <w:tab w:val="left" w:pos="6510"/>
        </w:tabs>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联系电话：</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授权代表：联系电话</w:t>
      </w:r>
      <w:r>
        <w:rPr>
          <w:rFonts w:hint="eastAsia" w:ascii="仿宋" w:hAnsi="仿宋" w:eastAsia="仿宋" w:cs="仿宋"/>
          <w:color w:val="auto"/>
          <w:sz w:val="28"/>
          <w:szCs w:val="28"/>
          <w:highlight w:val="none"/>
          <w:u w:val="dotted"/>
        </w:rPr>
        <w:t>：</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地址：邮编：</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被投诉人1：</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地址：邮编：</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联系人：联系电话：</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被投诉人2</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相关供应商：</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地址：邮编：</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联系人：联系电话：</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二、投诉项目基本情况</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采购项目名称：</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采购项目编号：包号：</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采购人名称：</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代理机构名称：</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采购文件公告:</w:t>
      </w:r>
      <w:r>
        <w:rPr>
          <w:rFonts w:hint="eastAsia" w:ascii="仿宋" w:hAnsi="仿宋" w:eastAsia="仿宋" w:cs="仿宋"/>
          <w:color w:val="auto"/>
          <w:sz w:val="28"/>
          <w:szCs w:val="28"/>
          <w:highlight w:val="none"/>
          <w:u w:val="dotted"/>
        </w:rPr>
        <w:t xml:space="preserve">是/否 </w:t>
      </w:r>
      <w:r>
        <w:rPr>
          <w:rFonts w:hint="eastAsia" w:ascii="仿宋" w:hAnsi="仿宋" w:eastAsia="仿宋" w:cs="仿宋"/>
          <w:color w:val="auto"/>
          <w:sz w:val="28"/>
          <w:szCs w:val="28"/>
          <w:highlight w:val="none"/>
        </w:rPr>
        <w:t>公告期限：</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采购结果公告:</w:t>
      </w:r>
      <w:r>
        <w:rPr>
          <w:rFonts w:hint="eastAsia" w:ascii="仿宋" w:hAnsi="仿宋" w:eastAsia="仿宋" w:cs="仿宋"/>
          <w:color w:val="auto"/>
          <w:sz w:val="28"/>
          <w:szCs w:val="28"/>
          <w:highlight w:val="none"/>
          <w:u w:val="dotted"/>
        </w:rPr>
        <w:t xml:space="preserve">是/否 </w:t>
      </w:r>
      <w:r>
        <w:rPr>
          <w:rFonts w:hint="eastAsia" w:ascii="仿宋" w:hAnsi="仿宋" w:eastAsia="仿宋" w:cs="仿宋"/>
          <w:color w:val="auto"/>
          <w:sz w:val="28"/>
          <w:szCs w:val="28"/>
          <w:highlight w:val="none"/>
        </w:rPr>
        <w:t>公告期限：</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三、质疑基本情况</w:t>
      </w:r>
    </w:p>
    <w:p>
      <w:pPr>
        <w:spacing w:line="360" w:lineRule="auto"/>
        <w:ind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投诉人于年月日,向提出质疑，质疑事项为：</w:t>
      </w:r>
    </w:p>
    <w:p>
      <w:pPr>
        <w:spacing w:line="360" w:lineRule="auto"/>
        <w:rPr>
          <w:rFonts w:hint="eastAsia" w:ascii="仿宋" w:hAnsi="仿宋" w:eastAsia="仿宋" w:cs="仿宋"/>
          <w:color w:val="auto"/>
          <w:sz w:val="28"/>
          <w:szCs w:val="28"/>
          <w:highlight w:val="none"/>
          <w:u w:val="dotted"/>
        </w:rPr>
      </w:pPr>
    </w:p>
    <w:p>
      <w:pPr>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采购人/代理机构</w:t>
      </w:r>
      <w:r>
        <w:rPr>
          <w:rFonts w:hint="eastAsia" w:ascii="仿宋" w:hAnsi="仿宋" w:eastAsia="仿宋" w:cs="仿宋"/>
          <w:color w:val="auto"/>
          <w:sz w:val="28"/>
          <w:szCs w:val="28"/>
          <w:highlight w:val="none"/>
        </w:rPr>
        <w:t>于年月日,就质疑事项作出了答复/没有在法定期限内作出答复。</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四、投诉事项具体内容</w:t>
      </w: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投诉事项 1：</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事实依据：</w:t>
      </w:r>
    </w:p>
    <w:p>
      <w:pPr>
        <w:spacing w:line="360" w:lineRule="auto"/>
        <w:rPr>
          <w:rFonts w:hint="eastAsia" w:ascii="仿宋" w:hAnsi="仿宋" w:eastAsia="仿宋" w:cs="仿宋"/>
          <w:color w:val="auto"/>
          <w:sz w:val="28"/>
          <w:szCs w:val="28"/>
          <w:highlight w:val="none"/>
          <w:u w:val="dotted"/>
        </w:rPr>
      </w:pPr>
    </w:p>
    <w:p>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法律依据：</w:t>
      </w:r>
    </w:p>
    <w:p>
      <w:pPr>
        <w:spacing w:line="360" w:lineRule="auto"/>
        <w:rPr>
          <w:rFonts w:hint="eastAsia" w:ascii="仿宋" w:hAnsi="仿宋" w:eastAsia="仿宋" w:cs="仿宋"/>
          <w:color w:val="auto"/>
          <w:sz w:val="28"/>
          <w:szCs w:val="28"/>
          <w:highlight w:val="none"/>
          <w:u w:val="dotted"/>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投诉事项2</w:t>
      </w:r>
    </w:p>
    <w:p>
      <w:pPr>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五、与投诉事项相关的投诉请求</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请求：</w:t>
      </w:r>
    </w:p>
    <w:p>
      <w:pPr>
        <w:spacing w:line="360" w:lineRule="auto"/>
        <w:rPr>
          <w:rFonts w:hint="eastAsia" w:ascii="仿宋" w:hAnsi="仿宋" w:eastAsia="仿宋" w:cs="仿宋"/>
          <w:color w:val="auto"/>
          <w:sz w:val="28"/>
          <w:szCs w:val="28"/>
          <w:highlight w:val="none"/>
          <w:u w:val="singl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spacing w:line="360" w:lineRule="auto"/>
        <w:rPr>
          <w:rFonts w:hint="eastAsia" w:ascii="仿宋" w:hAnsi="仿宋" w:eastAsia="仿宋" w:cs="仿宋"/>
          <w:b/>
          <w:color w:val="auto"/>
          <w:sz w:val="28"/>
          <w:szCs w:val="28"/>
          <w:highlight w:val="none"/>
        </w:rPr>
      </w:pPr>
    </w:p>
    <w:p>
      <w:pPr>
        <w:rPr>
          <w:rFonts w:hint="eastAsia"/>
          <w:color w:val="auto"/>
          <w:highlight w:val="none"/>
        </w:rPr>
      </w:pPr>
      <w:r>
        <w:rPr>
          <w:rFonts w:hint="eastAsia" w:ascii="仿宋" w:hAnsi="仿宋" w:eastAsia="仿宋" w:cs="仿宋"/>
          <w:b/>
          <w:color w:val="auto"/>
          <w:sz w:val="28"/>
          <w:szCs w:val="28"/>
          <w:highlight w:val="none"/>
        </w:rPr>
        <w:br w:type="page"/>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投诉书制作说明：</w:t>
      </w:r>
    </w:p>
    <w:p>
      <w:pPr>
        <w:widowControl/>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1.投诉人提起投诉时，应当提交投诉书和必要的证明材料，并按照被投诉人和与投诉事项有关的供应商数量提供投诉书副本。</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2.投诉人若委托代理人进行投诉的，投诉书应按照要求列明“授权代表”的有关内容，并在附件中提交由</w:t>
      </w:r>
      <w:r>
        <w:rPr>
          <w:rFonts w:hint="eastAsia" w:ascii="仿宋" w:hAnsi="仿宋" w:eastAsia="仿宋" w:cs="仿宋"/>
          <w:color w:val="auto"/>
          <w:kern w:val="0"/>
          <w:sz w:val="28"/>
          <w:szCs w:val="28"/>
          <w:highlight w:val="none"/>
        </w:rPr>
        <w:t>投诉人签署的授权委托书。授权委托书应当载明代理人的姓名或者名称、代理事项、具体权限、期限和相关事项。</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3.投诉人若对项目的某一分包进行投诉，投诉书应列明具体分包号。</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4.投诉书应简要列明质疑事项，质疑函、质疑答复等作为附件材料提供。</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5.投诉书的投诉事项应具体、明确，并有必要的事实依据和法律依据。</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6.投诉书的投诉请求应与投诉事项相关。</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tabs>
          <w:tab w:val="left" w:pos="432"/>
        </w:tabs>
        <w:outlineLvl w:val="9"/>
        <w:rPr>
          <w:rFonts w:hint="eastAsia" w:ascii="仿宋" w:hAnsi="仿宋" w:eastAsia="仿宋" w:cs="仿宋"/>
          <w:b/>
          <w:color w:val="auto"/>
          <w:sz w:val="24"/>
          <w:highlight w:val="none"/>
        </w:rPr>
      </w:pPr>
    </w:p>
    <w:p>
      <w:pPr>
        <w:rPr>
          <w:rFonts w:hint="eastAsia" w:ascii="仿宋" w:hAnsi="仿宋" w:eastAsia="仿宋" w:cs="仿宋"/>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color w:val="auto"/>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（采购人）、（采购代理机构）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我方</w:t>
      </w:r>
      <w:r>
        <w:rPr>
          <w:rFonts w:hint="eastAsia" w:ascii="仿宋" w:hAnsi="仿宋" w:eastAsia="仿宋" w:cs="仿宋"/>
          <w:color w:val="auto"/>
          <w:sz w:val="28"/>
          <w:szCs w:val="28"/>
          <w:highlight w:val="none"/>
        </w:rPr>
        <w:t>(投标人全称)是中华人民共和国依法登记注册的合法企业，</w:t>
      </w:r>
      <w:r>
        <w:rPr>
          <w:rFonts w:hint="eastAsia" w:ascii="仿宋" w:hAnsi="仿宋" w:eastAsia="仿宋" w:cs="仿宋"/>
          <w:bCs/>
          <w:color w:val="auto"/>
          <w:sz w:val="28"/>
          <w:szCs w:val="28"/>
          <w:highlight w:val="none"/>
        </w:rPr>
        <w:t>在参加</w:t>
      </w:r>
      <w:r>
        <w:rPr>
          <w:rFonts w:hint="eastAsia" w:ascii="仿宋" w:hAnsi="仿宋" w:eastAsia="仿宋" w:cs="仿宋"/>
          <w:color w:val="auto"/>
          <w:sz w:val="28"/>
          <w:szCs w:val="28"/>
          <w:highlight w:val="none"/>
        </w:rPr>
        <w:t>你方组织的（项目名称）项目【招标编号：（采购编号）】</w:t>
      </w:r>
      <w:r>
        <w:rPr>
          <w:rFonts w:hint="eastAsia" w:ascii="仿宋" w:hAnsi="仿宋" w:eastAsia="仿宋" w:cs="仿宋"/>
          <w:bCs/>
          <w:color w:val="auto"/>
          <w:sz w:val="28"/>
          <w:szCs w:val="28"/>
          <w:highlight w:val="none"/>
        </w:rPr>
        <w:t>投标活动中作如下说明：</w:t>
      </w:r>
      <w:r>
        <w:rPr>
          <w:rFonts w:hint="eastAsia" w:ascii="仿宋" w:hAnsi="仿宋" w:eastAsia="仿宋" w:cs="仿宋"/>
          <w:color w:val="auto"/>
          <w:sz w:val="28"/>
          <w:szCs w:val="28"/>
          <w:highlight w:val="none"/>
        </w:rPr>
        <w:t>我方所使用的“XX专用章”与法定名称章具有同等的法律效力，对使用“XX专用章”的行为予以完全承认，并愿意承担相应责任。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特此说明。</w:t>
      </w:r>
    </w:p>
    <w:p>
      <w:pPr>
        <w:spacing w:line="360" w:lineRule="auto"/>
        <w:ind w:firstLine="494"/>
        <w:rPr>
          <w:rFonts w:hint="eastAsia" w:ascii="仿宋" w:hAnsi="仿宋" w:eastAsia="仿宋" w:cs="仿宋"/>
          <w:color w:val="auto"/>
          <w:sz w:val="28"/>
          <w:szCs w:val="28"/>
          <w:highlight w:val="none"/>
        </w:rPr>
      </w:pPr>
    </w:p>
    <w:p>
      <w:pPr>
        <w:spacing w:line="360" w:lineRule="auto"/>
        <w:ind w:firstLine="494"/>
        <w:rPr>
          <w:rFonts w:hint="eastAsia" w:ascii="仿宋" w:hAnsi="仿宋" w:eastAsia="仿宋" w:cs="仿宋"/>
          <w:color w:val="auto"/>
          <w:sz w:val="28"/>
          <w:szCs w:val="28"/>
          <w:highlight w:val="none"/>
        </w:rPr>
      </w:pPr>
    </w:p>
    <w:p>
      <w:pPr>
        <w:spacing w:line="360" w:lineRule="auto"/>
        <w:ind w:firstLine="494"/>
        <w:rPr>
          <w:rFonts w:hint="eastAsia" w:ascii="仿宋" w:hAnsi="仿宋" w:eastAsia="仿宋" w:cs="仿宋"/>
          <w:color w:val="auto"/>
          <w:sz w:val="28"/>
          <w:szCs w:val="28"/>
          <w:highlight w:val="none"/>
        </w:rPr>
      </w:pPr>
    </w:p>
    <w:p>
      <w:pPr>
        <w:spacing w:line="360" w:lineRule="auto"/>
        <w:ind w:firstLine="494"/>
        <w:rPr>
          <w:rFonts w:hint="eastAsia" w:ascii="仿宋" w:hAnsi="仿宋" w:eastAsia="仿宋" w:cs="仿宋"/>
          <w:color w:val="auto"/>
          <w:sz w:val="28"/>
          <w:szCs w:val="28"/>
          <w:highlight w:val="none"/>
        </w:rPr>
      </w:pPr>
    </w:p>
    <w:p>
      <w:pPr>
        <w:spacing w:line="360" w:lineRule="auto"/>
        <w:ind w:right="480"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投标单位（法定名称章）：</w:t>
      </w:r>
    </w:p>
    <w:p>
      <w:pPr>
        <w:ind w:right="1440" w:firstLine="494"/>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    年   月   日</w:t>
      </w:r>
    </w:p>
    <w:p>
      <w:pP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8"/>
          <w:szCs w:val="28"/>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8"/>
          <w:szCs w:val="28"/>
          <w:highlight w:val="none"/>
        </w:rPr>
        <w:t>投标单位法定名称章（印模）投标单位“XX专用章”（印模）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其他未列明行业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；承建（承接）企业为 </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 xml:space="preserve"> ，从业人员人，营业收入为万元，资产总额为万元属于</w:t>
      </w:r>
      <w:r>
        <w:rPr>
          <w:rFonts w:hint="eastAsia" w:ascii="仿宋" w:hAnsi="仿宋" w:eastAsia="仿宋" w:cs="仿宋"/>
          <w:color w:val="auto"/>
          <w:sz w:val="28"/>
          <w:szCs w:val="28"/>
          <w:highlight w:val="none"/>
          <w:u w:val="single"/>
        </w:rPr>
        <w:t xml:space="preserve"> （中型企业、小型企业、微型企业） </w:t>
      </w:r>
      <w:r>
        <w:rPr>
          <w:rFonts w:hint="eastAsia" w:ascii="仿宋" w:hAnsi="仿宋" w:eastAsia="仿宋" w:cs="仿宋"/>
          <w:color w:val="auto"/>
          <w:sz w:val="28"/>
          <w:szCs w:val="28"/>
          <w:highlight w:val="none"/>
        </w:rPr>
        <w:t>；</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（采购文件中明确的所属行业）</w:t>
      </w:r>
      <w:r>
        <w:rPr>
          <w:rFonts w:hint="eastAsia" w:ascii="仿宋" w:hAnsi="仿宋" w:eastAsia="仿宋" w:cs="仿宋"/>
          <w:color w:val="auto"/>
          <w:sz w:val="28"/>
          <w:szCs w:val="28"/>
          <w:highlight w:val="none"/>
        </w:rPr>
        <w:t xml:space="preserve"> ；承建（承接）企业为 </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 xml:space="preserve"> ，从业人员人，营业收入为万元，资产总额为万元属于</w:t>
      </w:r>
      <w:r>
        <w:rPr>
          <w:rFonts w:hint="eastAsia" w:ascii="仿宋" w:hAnsi="仿宋" w:eastAsia="仿宋" w:cs="仿宋"/>
          <w:color w:val="auto"/>
          <w:sz w:val="28"/>
          <w:szCs w:val="28"/>
          <w:highlight w:val="none"/>
          <w:u w:val="single"/>
        </w:rPr>
        <w:t xml:space="preserve"> （中型企业、小型企业、微型企业） </w:t>
      </w:r>
      <w:r>
        <w:rPr>
          <w:rFonts w:hint="eastAsia" w:ascii="仿宋" w:hAnsi="仿宋" w:eastAsia="仿宋" w:cs="仿宋"/>
          <w:color w:val="auto"/>
          <w:sz w:val="28"/>
          <w:szCs w:val="28"/>
          <w:highlight w:val="none"/>
        </w:rPr>
        <w:t>；</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投标人名称（电子签名）：</w:t>
      </w:r>
    </w:p>
    <w:p>
      <w:pPr>
        <w:spacing w:line="360" w:lineRule="auto"/>
        <w:ind w:right="1120" w:firstLine="5460" w:firstLineChars="19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spacing w:line="360" w:lineRule="auto"/>
        <w:ind w:firstLine="413" w:firstLineChars="147"/>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8"/>
          <w:szCs w:val="28"/>
          <w:highlight w:val="none"/>
        </w:rPr>
      </w:pPr>
    </w:p>
    <w:p>
      <w:pPr>
        <w:spacing w:line="360" w:lineRule="auto"/>
        <w:ind w:right="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r>
        <w:rPr>
          <w:rFonts w:hint="eastAsia" w:ascii="仿宋" w:hAnsi="仿宋" w:eastAsia="仿宋" w:cs="仿宋"/>
          <w:color w:val="auto"/>
          <w:highlight w:val="none"/>
          <w:lang w:val="en-US"/>
        </w:rPr>
        <w:br w:type="page"/>
      </w:r>
    </w:p>
    <w:p>
      <w:pPr>
        <w:pStyle w:val="24"/>
        <w:ind w:firstLine="0"/>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rPr>
        <w:t>：</w:t>
      </w:r>
      <w:r>
        <w:rPr>
          <w:rFonts w:hint="eastAsia" w:ascii="仿宋" w:hAnsi="仿宋" w:eastAsia="仿宋" w:cs="仿宋"/>
          <w:b/>
          <w:color w:val="auto"/>
          <w:sz w:val="28"/>
          <w:szCs w:val="28"/>
          <w:highlight w:val="none"/>
        </w:rPr>
        <w:t>中小企业划</w:t>
      </w:r>
    </w:p>
    <w:p>
      <w:pPr>
        <w:pStyle w:val="62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0"/>
        <w:spacing w:line="500" w:lineRule="exact"/>
        <w:jc w:val="center"/>
        <w:rPr>
          <w:rFonts w:hint="eastAsia" w:ascii="仿宋" w:hAnsi="仿宋" w:eastAsia="仿宋" w:cs="仿宋"/>
          <w:b/>
          <w:color w:val="auto"/>
          <w:sz w:val="28"/>
          <w:szCs w:val="28"/>
          <w:highlight w:val="none"/>
        </w:rPr>
      </w:pPr>
    </w:p>
    <w:p>
      <w:pPr>
        <w:pStyle w:val="62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一、根据《中华人民共和国中小企业促进法》和《</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"https://www.shui5.cn/article/47/26142.html"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pacing w:val="6"/>
          <w:sz w:val="28"/>
          <w:szCs w:val="28"/>
          <w:highlight w:val="none"/>
        </w:rPr>
        <w:t>国务院关于进一步促进中小企业发展的若干意见</w:t>
      </w:r>
      <w:r>
        <w:rPr>
          <w:rFonts w:hint="eastAsia" w:ascii="仿宋" w:hAnsi="仿宋" w:eastAsia="仿宋" w:cs="仿宋"/>
          <w:color w:val="auto"/>
          <w:spacing w:val="6"/>
          <w:sz w:val="28"/>
          <w:szCs w:val="28"/>
          <w:highlight w:val="none"/>
        </w:rPr>
        <w:fldChar w:fldCharType="end"/>
      </w:r>
      <w:r>
        <w:rPr>
          <w:rFonts w:hint="eastAsia" w:ascii="仿宋" w:hAnsi="仿宋" w:eastAsia="仿宋" w:cs="仿宋"/>
          <w:color w:val="auto"/>
          <w:spacing w:val="6"/>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"https://www.shui5.cn/article/47/26142.html"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pacing w:val="6"/>
          <w:sz w:val="28"/>
          <w:szCs w:val="28"/>
          <w:highlight w:val="none"/>
        </w:rPr>
        <w:t>国发〔2009〕36号</w:t>
      </w:r>
      <w:r>
        <w:rPr>
          <w:rFonts w:hint="eastAsia" w:ascii="仿宋" w:hAnsi="仿宋" w:eastAsia="仿宋" w:cs="仿宋"/>
          <w:color w:val="auto"/>
          <w:spacing w:val="6"/>
          <w:sz w:val="28"/>
          <w:szCs w:val="28"/>
          <w:highlight w:val="none"/>
        </w:rPr>
        <w:fldChar w:fldCharType="end"/>
      </w:r>
      <w:r>
        <w:rPr>
          <w:rFonts w:hint="eastAsia" w:ascii="仿宋" w:hAnsi="仿宋" w:eastAsia="仿宋" w:cs="仿宋"/>
          <w:color w:val="auto"/>
          <w:spacing w:val="6"/>
          <w:sz w:val="28"/>
          <w:szCs w:val="28"/>
          <w:highlight w:val="none"/>
        </w:rPr>
        <w:t>)，制定本规定。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二、中小企业划分为中型、小型、微型三种类型，具体标准根据企业从业人员、营业收入、资产总额等指标，结合行业特点制定。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lang w:eastAsia="zh-CN"/>
        </w:rPr>
      </w:pPr>
      <w:r>
        <w:rPr>
          <w:rFonts w:hint="eastAsia" w:ascii="仿宋" w:hAnsi="仿宋" w:eastAsia="仿宋" w:cs="仿宋"/>
          <w:color w:val="auto"/>
          <w:spacing w:val="6"/>
          <w:sz w:val="28"/>
          <w:szCs w:val="28"/>
          <w:highlight w:val="none"/>
        </w:rPr>
        <w:t>四、各行业划型标准为：</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 w:hAnsi="仿宋" w:eastAsia="仿宋" w:cs="仿宋"/>
          <w:b/>
          <w:color w:val="auto"/>
          <w:sz w:val="28"/>
          <w:szCs w:val="28"/>
          <w:highlight w:val="none"/>
        </w:rPr>
      </w:pPr>
      <w:r>
        <w:rPr>
          <w:rFonts w:hint="eastAsia" w:ascii="仿宋" w:hAnsi="仿宋" w:eastAsia="仿宋" w:cs="仿宋"/>
          <w:color w:val="auto"/>
          <w:spacing w:val="6"/>
          <w:sz w:val="28"/>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（十六）其他未列明行业。从业人员300人以下的为中小微型企业。其中，从业人员100人及以上的为中型企业；从业人员10人及以上的为小型企业；从业人员10人以下的为微型企业。</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五、企业类型的划分以统计部门的统计数据为依据。</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六、本规定适用于在中华人民共和国境内依法设立的各类所有制和各种组织形式的企业。个体工商户和本规定以外的行业，参照本规定进行划型。</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八、本规定由工业和信息化部、国家统计局会同有关部门根据《国民经济行业分类》修订情况和企业发展变化情况适时修订。</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九、本规定由工业和信息化部、国家统计局会同有关部门负责解释。</w:t>
      </w:r>
    </w:p>
    <w:p>
      <w:pPr>
        <w:pStyle w:val="620"/>
        <w:adjustRightInd w:val="0"/>
        <w:spacing w:line="360" w:lineRule="auto"/>
        <w:ind w:firstLine="584" w:firstLineChars="200"/>
        <w:jc w:val="both"/>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十、本规定自发布之日起执行，原国家经贸委、原国家计委、财政部和国家统计局2003年颁布的《</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"https://www.shui5.cn/article/df/24263.html"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pacing w:val="6"/>
          <w:sz w:val="28"/>
          <w:szCs w:val="28"/>
          <w:highlight w:val="none"/>
        </w:rPr>
        <w:t>中小企业标准暂行规定</w:t>
      </w:r>
      <w:r>
        <w:rPr>
          <w:rFonts w:hint="eastAsia" w:ascii="仿宋" w:hAnsi="仿宋" w:eastAsia="仿宋" w:cs="仿宋"/>
          <w:color w:val="auto"/>
          <w:spacing w:val="6"/>
          <w:sz w:val="28"/>
          <w:szCs w:val="28"/>
          <w:highlight w:val="none"/>
        </w:rPr>
        <w:fldChar w:fldCharType="end"/>
      </w:r>
      <w:r>
        <w:rPr>
          <w:rFonts w:hint="eastAsia" w:ascii="仿宋" w:hAnsi="仿宋" w:eastAsia="仿宋" w:cs="仿宋"/>
          <w:color w:val="auto"/>
          <w:spacing w:val="6"/>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"https://www.shui5.cn/article/df/24263.html"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pacing w:val="6"/>
          <w:sz w:val="28"/>
          <w:szCs w:val="28"/>
          <w:highlight w:val="none"/>
        </w:rPr>
        <w:t>国经贸中小企[2003]143号</w:t>
      </w:r>
      <w:r>
        <w:rPr>
          <w:rFonts w:hint="eastAsia" w:ascii="仿宋" w:hAnsi="仿宋" w:eastAsia="仿宋" w:cs="仿宋"/>
          <w:color w:val="auto"/>
          <w:spacing w:val="6"/>
          <w:sz w:val="28"/>
          <w:szCs w:val="28"/>
          <w:highlight w:val="none"/>
        </w:rPr>
        <w:fldChar w:fldCharType="end"/>
      </w:r>
      <w:r>
        <w:rPr>
          <w:rFonts w:hint="eastAsia" w:ascii="仿宋" w:hAnsi="仿宋" w:eastAsia="仿宋" w:cs="仿宋"/>
          <w:color w:val="auto"/>
          <w:spacing w:val="6"/>
          <w:sz w:val="28"/>
          <w:szCs w:val="28"/>
          <w:highlight w:val="none"/>
        </w:rPr>
        <w:t>同时废止。</w:t>
      </w:r>
    </w:p>
    <w:p>
      <w:pPr>
        <w:spacing w:line="360" w:lineRule="auto"/>
        <w:rPr>
          <w:rFonts w:hint="eastAsia" w:ascii="仿宋" w:hAnsi="仿宋" w:eastAsia="仿宋" w:cs="仿宋"/>
          <w:bCs/>
          <w:color w:val="auto"/>
          <w:sz w:val="24"/>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3" w:name="_Toc131845147"/>
    <w:bookmarkStart w:id="404" w:name="_Toc91899912"/>
    <w:bookmarkStart w:id="405" w:name="_Toc164085800"/>
    <w:bookmarkStart w:id="406" w:name="_Toc3611018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hZq/AQAAjAMAAA4AAABkcnMvZTJvRG9jLnhtbK1TzYrbMBC+F/oO&#10;QvfGdqA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85c8LShf/6+v3nj2+sSt4M&#10;AWtqeQwPMGdIYRI6dmDTmySwMft5ufqpxsgkFavNerMpyWpJZ0tCOMXT5wEw3itvWQoaDnRh2Udx&#10;/oBxal1a0jTn77QxVBe1cX8VCDNVisR44piiOB7GmfjBtxeSOtBdN9zRanNm3juyMq3FEsASHJbg&#10;FEAfe6JWZV4Ybk+RSGRuacIEOw+mS8rq5oVKW/BnnruefqL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24WavwEAAIwDAAAOAAAAAAAAAAEAIAAAAB8BAABkcnMvZTJvRG9jLnhtbFBLBQYA&#10;AAAABgAGAFkBAABQBQAAAAA=&#10;">
              <v:fill on="f" focussize="0,0"/>
              <v:stroke on="f"/>
              <v:imagedata o:title=""/>
              <o:lock v:ext="edit"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73"/>
        <w:b/>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x9oTAAQAAjA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r/nzAlLF/7r6/efP76xVfKm&#10;D1hRy3N4gilDCpPQoQWb3iSBDdnP88VPNUQmqbhcr9brkqyWdDYnhFO8fB4A473ylqWg5kAXln0U&#10;pweMY+vckqY5f6eNobqojPurQJipUiTGI8cUxWE/TMT3vjmT1J7uuuaOVpsz89GRlWkt5gDmYD8H&#10;xwD60BG1ZeaF4fYYiUTmliaMsNNguqSsblqotAV/5rnr5Sf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JbH2hMABAACMAwAADgAAAAAAAAABACAAAAAfAQAAZHJzL2Uyb0RvYy54bWxQSwUG&#10;AAAAAAYABgBZAQAAUQUAAAAA&#10;">
              <v:fill on="f" focussize="0,0"/>
              <v:stroke on="f"/>
              <v:imagedata o:title=""/>
              <o:lock v:ext="edit"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mc:Fallback>
      </mc:AlternateContent>
    </w:r>
  </w:p>
  <w:p>
    <w:pPr>
      <w:pStyle w:val="40"/>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63</w: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73"/>
        <w:b/>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mc:Fallback>
      </mc:AlternateContent>
    </w:r>
  </w:p>
  <w:p>
    <w:pPr>
      <w:pStyle w:val="40"/>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94C60"/>
    <w:multiLevelType w:val="singleLevel"/>
    <w:tmpl w:val="0B994C60"/>
    <w:lvl w:ilvl="0" w:tentative="0">
      <w:start w:val="5"/>
      <w:numFmt w:val="decimal"/>
      <w:lvlText w:val="%1."/>
      <w:lvlJc w:val="left"/>
      <w:pPr>
        <w:tabs>
          <w:tab w:val="left" w:pos="312"/>
        </w:tabs>
      </w:pPr>
    </w:lvl>
  </w:abstractNum>
  <w:abstractNum w:abstractNumId="1">
    <w:nsid w:val="18C8FB62"/>
    <w:multiLevelType w:val="singleLevel"/>
    <w:tmpl w:val="18C8FB62"/>
    <w:lvl w:ilvl="0" w:tentative="0">
      <w:start w:val="13"/>
      <w:numFmt w:val="decimal"/>
      <w:suff w:val="nothing"/>
      <w:lvlText w:val="（%1）"/>
      <w:lvlJc w:val="left"/>
    </w:lvl>
  </w:abstractNum>
  <w:abstractNum w:abstractNumId="2">
    <w:nsid w:val="280C4A95"/>
    <w:multiLevelType w:val="singleLevel"/>
    <w:tmpl w:val="280C4A95"/>
    <w:lvl w:ilvl="0" w:tentative="0">
      <w:start w:val="3"/>
      <w:numFmt w:val="chineseCounting"/>
      <w:suff w:val="nothing"/>
      <w:lvlText w:val="%1、"/>
      <w:lvlJc w:val="left"/>
      <w:rPr>
        <w:rFonts w:hint="eastAsia"/>
      </w:rPr>
    </w:lvl>
  </w:abstractNum>
  <w:abstractNum w:abstractNumId="3">
    <w:nsid w:val="64E5809B"/>
    <w:multiLevelType w:val="singleLevel"/>
    <w:tmpl w:val="64E5809B"/>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ZTI0MmIxMDZlZmY1NzM4Mjg5NjVmZmM4NmQyMDgifQ=="/>
    <w:docVar w:name="KSO_WPS_MARK_KEY" w:val="45637d49-27fe-42c1-8d4a-229178507f9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91"/>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61C6"/>
    <w:rsid w:val="026B2E25"/>
    <w:rsid w:val="027958EE"/>
    <w:rsid w:val="02824D4D"/>
    <w:rsid w:val="02DC4B10"/>
    <w:rsid w:val="02DD76CE"/>
    <w:rsid w:val="02F36323"/>
    <w:rsid w:val="02F5619C"/>
    <w:rsid w:val="0326446A"/>
    <w:rsid w:val="032D5555"/>
    <w:rsid w:val="03530759"/>
    <w:rsid w:val="036634D2"/>
    <w:rsid w:val="03DD35E4"/>
    <w:rsid w:val="04076900"/>
    <w:rsid w:val="041A5A3B"/>
    <w:rsid w:val="042311BA"/>
    <w:rsid w:val="042B157A"/>
    <w:rsid w:val="048F763B"/>
    <w:rsid w:val="049F330E"/>
    <w:rsid w:val="04AA775C"/>
    <w:rsid w:val="04AF1889"/>
    <w:rsid w:val="04E4790F"/>
    <w:rsid w:val="04E7153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2F449C"/>
    <w:rsid w:val="08452D77"/>
    <w:rsid w:val="086401F8"/>
    <w:rsid w:val="08751CAA"/>
    <w:rsid w:val="087E4C40"/>
    <w:rsid w:val="08CD47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E0D69"/>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07DE3"/>
    <w:rsid w:val="0D4A7419"/>
    <w:rsid w:val="0D827401"/>
    <w:rsid w:val="0D84094E"/>
    <w:rsid w:val="0D8A00E9"/>
    <w:rsid w:val="0D8D589E"/>
    <w:rsid w:val="0DA01C73"/>
    <w:rsid w:val="0DD63300"/>
    <w:rsid w:val="0DF50604"/>
    <w:rsid w:val="0DF702FE"/>
    <w:rsid w:val="0E060E51"/>
    <w:rsid w:val="0E536B45"/>
    <w:rsid w:val="0E5604B2"/>
    <w:rsid w:val="0E6D5D79"/>
    <w:rsid w:val="0E724F47"/>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2248F2"/>
    <w:rsid w:val="135F4BE2"/>
    <w:rsid w:val="139B1A0A"/>
    <w:rsid w:val="139D25C7"/>
    <w:rsid w:val="13BF3CE4"/>
    <w:rsid w:val="141008D8"/>
    <w:rsid w:val="14125FE6"/>
    <w:rsid w:val="146D271E"/>
    <w:rsid w:val="14982588"/>
    <w:rsid w:val="149A5AD9"/>
    <w:rsid w:val="14A7619D"/>
    <w:rsid w:val="14B8020C"/>
    <w:rsid w:val="14FE7203"/>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8FB4688"/>
    <w:rsid w:val="19932372"/>
    <w:rsid w:val="19A20DD5"/>
    <w:rsid w:val="19AE03F1"/>
    <w:rsid w:val="1A04293C"/>
    <w:rsid w:val="1A071A03"/>
    <w:rsid w:val="1A1F16AE"/>
    <w:rsid w:val="1A3B5C77"/>
    <w:rsid w:val="1A984BAD"/>
    <w:rsid w:val="1A986220"/>
    <w:rsid w:val="1AB8220E"/>
    <w:rsid w:val="1AD2428E"/>
    <w:rsid w:val="1AE4166C"/>
    <w:rsid w:val="1AE654C9"/>
    <w:rsid w:val="1AF06CFB"/>
    <w:rsid w:val="1AF11B8D"/>
    <w:rsid w:val="1B11359C"/>
    <w:rsid w:val="1B2A271F"/>
    <w:rsid w:val="1B530544"/>
    <w:rsid w:val="1B713184"/>
    <w:rsid w:val="1BA209CF"/>
    <w:rsid w:val="1BB4777D"/>
    <w:rsid w:val="1BD75AB8"/>
    <w:rsid w:val="1BE24C04"/>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C4F16"/>
    <w:rsid w:val="1F0A0FF3"/>
    <w:rsid w:val="1F5771FF"/>
    <w:rsid w:val="1FD331FB"/>
    <w:rsid w:val="1FE868A9"/>
    <w:rsid w:val="20034907"/>
    <w:rsid w:val="200F2CD0"/>
    <w:rsid w:val="20173E4B"/>
    <w:rsid w:val="204E48BC"/>
    <w:rsid w:val="208921B3"/>
    <w:rsid w:val="20973DEB"/>
    <w:rsid w:val="20B26522"/>
    <w:rsid w:val="20B44310"/>
    <w:rsid w:val="20E25803"/>
    <w:rsid w:val="21001821"/>
    <w:rsid w:val="211116EB"/>
    <w:rsid w:val="216133FC"/>
    <w:rsid w:val="21D56769"/>
    <w:rsid w:val="21E52EF3"/>
    <w:rsid w:val="21FB5D7B"/>
    <w:rsid w:val="220B1C3D"/>
    <w:rsid w:val="221D1D20"/>
    <w:rsid w:val="22334A87"/>
    <w:rsid w:val="229D0DE7"/>
    <w:rsid w:val="22BE6801"/>
    <w:rsid w:val="2308074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57CDC"/>
    <w:rsid w:val="252F22CF"/>
    <w:rsid w:val="258B00E2"/>
    <w:rsid w:val="25A917A6"/>
    <w:rsid w:val="25BE27CC"/>
    <w:rsid w:val="25F74A5C"/>
    <w:rsid w:val="2628662C"/>
    <w:rsid w:val="262D45DE"/>
    <w:rsid w:val="26A53EF9"/>
    <w:rsid w:val="26A94201"/>
    <w:rsid w:val="26AC274F"/>
    <w:rsid w:val="27044A29"/>
    <w:rsid w:val="271D34C8"/>
    <w:rsid w:val="272F7AD6"/>
    <w:rsid w:val="276142BF"/>
    <w:rsid w:val="27783712"/>
    <w:rsid w:val="27907362"/>
    <w:rsid w:val="28333E1D"/>
    <w:rsid w:val="28454BD6"/>
    <w:rsid w:val="28455253"/>
    <w:rsid w:val="28462B22"/>
    <w:rsid w:val="28551971"/>
    <w:rsid w:val="285B1C53"/>
    <w:rsid w:val="289F7086"/>
    <w:rsid w:val="28C32028"/>
    <w:rsid w:val="28CC490F"/>
    <w:rsid w:val="28DE40AA"/>
    <w:rsid w:val="29066044"/>
    <w:rsid w:val="29345E77"/>
    <w:rsid w:val="294C65AD"/>
    <w:rsid w:val="29806583"/>
    <w:rsid w:val="298B3C4C"/>
    <w:rsid w:val="29F26D24"/>
    <w:rsid w:val="2A15033F"/>
    <w:rsid w:val="2A1662C1"/>
    <w:rsid w:val="2A1C7367"/>
    <w:rsid w:val="2A2815FA"/>
    <w:rsid w:val="2A6D6092"/>
    <w:rsid w:val="2A7D76B4"/>
    <w:rsid w:val="2AB85BC4"/>
    <w:rsid w:val="2AEB525A"/>
    <w:rsid w:val="2B437463"/>
    <w:rsid w:val="2B760F41"/>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766D18"/>
    <w:rsid w:val="2E9A3C18"/>
    <w:rsid w:val="2EBB0FEE"/>
    <w:rsid w:val="2EC63002"/>
    <w:rsid w:val="2F0A6B38"/>
    <w:rsid w:val="2F946CCB"/>
    <w:rsid w:val="2FD25781"/>
    <w:rsid w:val="2FFD7934"/>
    <w:rsid w:val="30205055"/>
    <w:rsid w:val="30733ACD"/>
    <w:rsid w:val="308C3862"/>
    <w:rsid w:val="309379D8"/>
    <w:rsid w:val="30A270F7"/>
    <w:rsid w:val="30DF1478"/>
    <w:rsid w:val="30EC586F"/>
    <w:rsid w:val="311D4A94"/>
    <w:rsid w:val="319C6071"/>
    <w:rsid w:val="31AC537E"/>
    <w:rsid w:val="31E3679B"/>
    <w:rsid w:val="31E53601"/>
    <w:rsid w:val="31E732FD"/>
    <w:rsid w:val="32517576"/>
    <w:rsid w:val="32BE5C2C"/>
    <w:rsid w:val="32FB6478"/>
    <w:rsid w:val="33263B3F"/>
    <w:rsid w:val="336963EB"/>
    <w:rsid w:val="33816EEB"/>
    <w:rsid w:val="33EB55CD"/>
    <w:rsid w:val="33EC4C02"/>
    <w:rsid w:val="340D2360"/>
    <w:rsid w:val="3410665D"/>
    <w:rsid w:val="34211214"/>
    <w:rsid w:val="342E63AB"/>
    <w:rsid w:val="34456834"/>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D00A9F"/>
    <w:rsid w:val="37EE7094"/>
    <w:rsid w:val="38296C89"/>
    <w:rsid w:val="383002EB"/>
    <w:rsid w:val="38586797"/>
    <w:rsid w:val="38BC0149"/>
    <w:rsid w:val="38D87D1C"/>
    <w:rsid w:val="393B3739"/>
    <w:rsid w:val="39636459"/>
    <w:rsid w:val="396B7F6C"/>
    <w:rsid w:val="39B417A9"/>
    <w:rsid w:val="39FC5695"/>
    <w:rsid w:val="3A006D8E"/>
    <w:rsid w:val="3A3651E5"/>
    <w:rsid w:val="3A5A2382"/>
    <w:rsid w:val="3A5E4A75"/>
    <w:rsid w:val="3A744481"/>
    <w:rsid w:val="3A8C7BEF"/>
    <w:rsid w:val="3A906246"/>
    <w:rsid w:val="3B2349B7"/>
    <w:rsid w:val="3B616CFF"/>
    <w:rsid w:val="3B6259F6"/>
    <w:rsid w:val="3B976654"/>
    <w:rsid w:val="3BBD7D5A"/>
    <w:rsid w:val="3BC01EFC"/>
    <w:rsid w:val="3BCA786A"/>
    <w:rsid w:val="3BD31E2F"/>
    <w:rsid w:val="3BF15831"/>
    <w:rsid w:val="3C105946"/>
    <w:rsid w:val="3C471448"/>
    <w:rsid w:val="3C5F759A"/>
    <w:rsid w:val="3C6C525A"/>
    <w:rsid w:val="3CCE23CB"/>
    <w:rsid w:val="3CD17D17"/>
    <w:rsid w:val="3CD94A35"/>
    <w:rsid w:val="3D2959BD"/>
    <w:rsid w:val="3D3C7F39"/>
    <w:rsid w:val="3D440F09"/>
    <w:rsid w:val="3D4504A0"/>
    <w:rsid w:val="3D6B67D2"/>
    <w:rsid w:val="3D8734BB"/>
    <w:rsid w:val="3D9A11D4"/>
    <w:rsid w:val="3DA16D89"/>
    <w:rsid w:val="3DA364BE"/>
    <w:rsid w:val="3DE041CB"/>
    <w:rsid w:val="3E0D48F6"/>
    <w:rsid w:val="3E1868B4"/>
    <w:rsid w:val="3E377251"/>
    <w:rsid w:val="3E42664B"/>
    <w:rsid w:val="3E5A7334"/>
    <w:rsid w:val="3E7B5D6B"/>
    <w:rsid w:val="3E843E66"/>
    <w:rsid w:val="3E865CA0"/>
    <w:rsid w:val="3E8F51FE"/>
    <w:rsid w:val="3E926F87"/>
    <w:rsid w:val="3E9A59DE"/>
    <w:rsid w:val="3EAF4836"/>
    <w:rsid w:val="3EC33DFA"/>
    <w:rsid w:val="3F060E16"/>
    <w:rsid w:val="3F1D1096"/>
    <w:rsid w:val="3F2F0234"/>
    <w:rsid w:val="3F6363FE"/>
    <w:rsid w:val="3F756B8F"/>
    <w:rsid w:val="3F95482B"/>
    <w:rsid w:val="3FA73B7E"/>
    <w:rsid w:val="4019356B"/>
    <w:rsid w:val="40592157"/>
    <w:rsid w:val="406E1CAE"/>
    <w:rsid w:val="40A0133A"/>
    <w:rsid w:val="40C31A53"/>
    <w:rsid w:val="40DF4CC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C4745"/>
    <w:rsid w:val="433E247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394B"/>
    <w:rsid w:val="477B778F"/>
    <w:rsid w:val="478203EC"/>
    <w:rsid w:val="47B025FA"/>
    <w:rsid w:val="4809698F"/>
    <w:rsid w:val="4811697D"/>
    <w:rsid w:val="487A3E25"/>
    <w:rsid w:val="488B5503"/>
    <w:rsid w:val="48937E21"/>
    <w:rsid w:val="489A0361"/>
    <w:rsid w:val="48B94FF3"/>
    <w:rsid w:val="48E37AAB"/>
    <w:rsid w:val="48FD4B4C"/>
    <w:rsid w:val="48FE4B50"/>
    <w:rsid w:val="490A68E0"/>
    <w:rsid w:val="491055FE"/>
    <w:rsid w:val="495F5B3E"/>
    <w:rsid w:val="496F77D7"/>
    <w:rsid w:val="497654FD"/>
    <w:rsid w:val="49B64211"/>
    <w:rsid w:val="49F6167F"/>
    <w:rsid w:val="4A064FA0"/>
    <w:rsid w:val="4A16615C"/>
    <w:rsid w:val="4A4424D7"/>
    <w:rsid w:val="4A797299"/>
    <w:rsid w:val="4A95305D"/>
    <w:rsid w:val="4AA87600"/>
    <w:rsid w:val="4AB82D0F"/>
    <w:rsid w:val="4AEB7664"/>
    <w:rsid w:val="4AFD7C19"/>
    <w:rsid w:val="4B0567D1"/>
    <w:rsid w:val="4B236AAE"/>
    <w:rsid w:val="4B707271"/>
    <w:rsid w:val="4B9739F7"/>
    <w:rsid w:val="4BEA681C"/>
    <w:rsid w:val="4BEE2503"/>
    <w:rsid w:val="4C245A30"/>
    <w:rsid w:val="4CB6685F"/>
    <w:rsid w:val="4CC367FE"/>
    <w:rsid w:val="4CD40DE8"/>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3E697A"/>
    <w:rsid w:val="4F47354A"/>
    <w:rsid w:val="4F911C54"/>
    <w:rsid w:val="4FE625E0"/>
    <w:rsid w:val="501174D1"/>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35297"/>
    <w:rsid w:val="52F50BB8"/>
    <w:rsid w:val="53097272"/>
    <w:rsid w:val="533B4B5C"/>
    <w:rsid w:val="53544462"/>
    <w:rsid w:val="5397158E"/>
    <w:rsid w:val="53A8073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2E6D"/>
    <w:rsid w:val="57032A2C"/>
    <w:rsid w:val="570F5219"/>
    <w:rsid w:val="575D12B5"/>
    <w:rsid w:val="57610A87"/>
    <w:rsid w:val="577B1140"/>
    <w:rsid w:val="577B7F21"/>
    <w:rsid w:val="577F181B"/>
    <w:rsid w:val="578D73B3"/>
    <w:rsid w:val="57921984"/>
    <w:rsid w:val="579737F0"/>
    <w:rsid w:val="57A86297"/>
    <w:rsid w:val="57AB7B30"/>
    <w:rsid w:val="57AF5251"/>
    <w:rsid w:val="57B26373"/>
    <w:rsid w:val="57B63F04"/>
    <w:rsid w:val="57C91A64"/>
    <w:rsid w:val="57CD20C2"/>
    <w:rsid w:val="57D675AB"/>
    <w:rsid w:val="57D81749"/>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AC6AF2"/>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1834A1"/>
    <w:rsid w:val="5E261785"/>
    <w:rsid w:val="5E4A7017"/>
    <w:rsid w:val="5E552BBA"/>
    <w:rsid w:val="5E586304"/>
    <w:rsid w:val="5E611C10"/>
    <w:rsid w:val="5E6956F1"/>
    <w:rsid w:val="5EBD2245"/>
    <w:rsid w:val="5EFC7377"/>
    <w:rsid w:val="5F06174D"/>
    <w:rsid w:val="5F3A3602"/>
    <w:rsid w:val="5F6277C6"/>
    <w:rsid w:val="5F6D0B1D"/>
    <w:rsid w:val="5F8D0B82"/>
    <w:rsid w:val="5FB16D0D"/>
    <w:rsid w:val="5FCC5339"/>
    <w:rsid w:val="5FE34A5B"/>
    <w:rsid w:val="5FFE1E36"/>
    <w:rsid w:val="60232584"/>
    <w:rsid w:val="6041117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646458"/>
    <w:rsid w:val="65854376"/>
    <w:rsid w:val="658767BE"/>
    <w:rsid w:val="65892531"/>
    <w:rsid w:val="66195831"/>
    <w:rsid w:val="662E75B1"/>
    <w:rsid w:val="66342C2E"/>
    <w:rsid w:val="663E784C"/>
    <w:rsid w:val="668B6A45"/>
    <w:rsid w:val="672F3F24"/>
    <w:rsid w:val="673E055F"/>
    <w:rsid w:val="674D7A09"/>
    <w:rsid w:val="67551CE3"/>
    <w:rsid w:val="67A22552"/>
    <w:rsid w:val="67B22DCC"/>
    <w:rsid w:val="67BE71AA"/>
    <w:rsid w:val="67C403BD"/>
    <w:rsid w:val="67D90273"/>
    <w:rsid w:val="67DE5875"/>
    <w:rsid w:val="67E55852"/>
    <w:rsid w:val="67EB1AB4"/>
    <w:rsid w:val="67FA1285"/>
    <w:rsid w:val="68551F4F"/>
    <w:rsid w:val="687C10C9"/>
    <w:rsid w:val="68840C16"/>
    <w:rsid w:val="68876EFB"/>
    <w:rsid w:val="68884654"/>
    <w:rsid w:val="689F444F"/>
    <w:rsid w:val="68AC1860"/>
    <w:rsid w:val="68B96DBB"/>
    <w:rsid w:val="68CA2805"/>
    <w:rsid w:val="68E937A3"/>
    <w:rsid w:val="68EE7D8C"/>
    <w:rsid w:val="693E15D3"/>
    <w:rsid w:val="69627681"/>
    <w:rsid w:val="6977531D"/>
    <w:rsid w:val="698718B2"/>
    <w:rsid w:val="69CC2BFF"/>
    <w:rsid w:val="69FD55B8"/>
    <w:rsid w:val="6A0B1C62"/>
    <w:rsid w:val="6A2406C8"/>
    <w:rsid w:val="6A245FF6"/>
    <w:rsid w:val="6A297CD0"/>
    <w:rsid w:val="6AB92128"/>
    <w:rsid w:val="6ADE0BD1"/>
    <w:rsid w:val="6AE96859"/>
    <w:rsid w:val="6B147746"/>
    <w:rsid w:val="6B24787C"/>
    <w:rsid w:val="6B573233"/>
    <w:rsid w:val="6B5B6274"/>
    <w:rsid w:val="6B935D53"/>
    <w:rsid w:val="6BC26107"/>
    <w:rsid w:val="6C02726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223B2"/>
    <w:rsid w:val="6DF43C2E"/>
    <w:rsid w:val="6DF51CA3"/>
    <w:rsid w:val="6E8335BD"/>
    <w:rsid w:val="6E8E12EF"/>
    <w:rsid w:val="6E972936"/>
    <w:rsid w:val="6ED446C5"/>
    <w:rsid w:val="6F2A7D94"/>
    <w:rsid w:val="6F8331F1"/>
    <w:rsid w:val="6FAE08C1"/>
    <w:rsid w:val="6FAE1A09"/>
    <w:rsid w:val="6FD75BF8"/>
    <w:rsid w:val="707723D0"/>
    <w:rsid w:val="70F5661B"/>
    <w:rsid w:val="71360107"/>
    <w:rsid w:val="713B688E"/>
    <w:rsid w:val="71D351B9"/>
    <w:rsid w:val="71D43752"/>
    <w:rsid w:val="71F1796A"/>
    <w:rsid w:val="72154626"/>
    <w:rsid w:val="72262B5D"/>
    <w:rsid w:val="72283FF7"/>
    <w:rsid w:val="722E7212"/>
    <w:rsid w:val="723A0474"/>
    <w:rsid w:val="725923E4"/>
    <w:rsid w:val="72864BF7"/>
    <w:rsid w:val="729023FC"/>
    <w:rsid w:val="72A72729"/>
    <w:rsid w:val="7320768F"/>
    <w:rsid w:val="73C0646E"/>
    <w:rsid w:val="742222F5"/>
    <w:rsid w:val="74476126"/>
    <w:rsid w:val="74706664"/>
    <w:rsid w:val="747F3682"/>
    <w:rsid w:val="749C4185"/>
    <w:rsid w:val="75067759"/>
    <w:rsid w:val="752E6DCD"/>
    <w:rsid w:val="7551380D"/>
    <w:rsid w:val="75600BE5"/>
    <w:rsid w:val="7564475C"/>
    <w:rsid w:val="7583797F"/>
    <w:rsid w:val="75B5067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1300F"/>
    <w:rsid w:val="78A42DB0"/>
    <w:rsid w:val="78A656AB"/>
    <w:rsid w:val="78B2245C"/>
    <w:rsid w:val="78C758D9"/>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07F63"/>
    <w:rsid w:val="7EF56FBB"/>
    <w:rsid w:val="7F0768EB"/>
    <w:rsid w:val="7F143BEC"/>
    <w:rsid w:val="7F4936A4"/>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1"/>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qFormat/>
    <w:uiPriority w:val="0"/>
    <w:pPr>
      <w:ind w:firstLine="420"/>
    </w:pPr>
    <w:rPr>
      <w:rFonts w:hAnsi="Calibri" w:cs="Times New Roman"/>
      <w:szCs w:val="20"/>
    </w:rPr>
  </w:style>
  <w:style w:type="paragraph" w:styleId="25">
    <w:name w:val="Body Text Indent"/>
    <w:basedOn w:val="1"/>
    <w:next w:val="1"/>
    <w:link w:val="78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3"/>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Cambria" w:hAnsi="Cambria" w:eastAsia="宋体" w:cs="黑体"/>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2"/>
    <w:qFormat/>
    <w:uiPriority w:val="0"/>
    <w:pPr>
      <w:spacing w:after="120" w:line="480" w:lineRule="auto"/>
    </w:pPr>
  </w:style>
  <w:style w:type="paragraph" w:styleId="58">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7"/>
    <w:qFormat/>
    <w:uiPriority w:val="0"/>
    <w:rPr>
      <w:b/>
      <w:bCs/>
    </w:rPr>
  </w:style>
  <w:style w:type="paragraph" w:styleId="62">
    <w:name w:val="Body Text First Indent 2"/>
    <w:basedOn w:val="25"/>
    <w:link w:val="66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首行缩进"/>
    <w:basedOn w:val="1"/>
    <w:qFormat/>
    <w:uiPriority w:val="0"/>
    <w:pPr>
      <w:spacing w:line="360" w:lineRule="auto"/>
      <w:ind w:firstLine="480" w:firstLineChars="200"/>
    </w:pPr>
    <w:rPr>
      <w:rFonts w:ascii="宋体"/>
      <w:sz w:val="24"/>
      <w:szCs w:val="20"/>
    </w:rPr>
  </w:style>
  <w:style w:type="paragraph" w:customStyle="1" w:styleId="82">
    <w:name w:val="正文文本首行缩进 2"/>
    <w:basedOn w:val="25"/>
    <w:qFormat/>
    <w:uiPriority w:val="99"/>
    <w:pPr>
      <w:spacing w:line="200" w:lineRule="atLeast"/>
      <w:ind w:firstLine="420"/>
    </w:pPr>
    <w:rPr>
      <w:rFonts w:hAnsi="Courier New"/>
      <w:spacing w:val="-4"/>
      <w:sz w:val="18"/>
    </w:rPr>
  </w:style>
  <w:style w:type="paragraph" w:customStyle="1" w:styleId="8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4">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9"/>
    <w:qFormat/>
    <w:uiPriority w:val="0"/>
    <w:pPr>
      <w:spacing w:before="156" w:line="360" w:lineRule="auto"/>
      <w:ind w:firstLine="510" w:firstLineChars="200"/>
    </w:pPr>
    <w:rPr>
      <w:sz w:val="24"/>
      <w:szCs w:val="20"/>
    </w:rPr>
  </w:style>
  <w:style w:type="paragraph" w:customStyle="1" w:styleId="90">
    <w:name w:val="无间隔1"/>
    <w:link w:val="677"/>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5"/>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0"/>
    <w:qFormat/>
    <w:uiPriority w:val="0"/>
    <w:pPr>
      <w:adjustRightInd/>
      <w:spacing w:line="360" w:lineRule="auto"/>
      <w:ind w:firstLine="480" w:firstLineChars="200"/>
    </w:pPr>
    <w:rPr>
      <w:kern w:val="0"/>
      <w:sz w:val="24"/>
    </w:rPr>
  </w:style>
  <w:style w:type="paragraph" w:customStyle="1" w:styleId="102">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1"/>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3"/>
    <w:qFormat/>
    <w:uiPriority w:val="0"/>
    <w:pPr>
      <w:tabs>
        <w:tab w:val="left" w:pos="2356"/>
      </w:tabs>
    </w:pPr>
  </w:style>
  <w:style w:type="paragraph" w:customStyle="1" w:styleId="107">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6"/>
    <w:qFormat/>
    <w:uiPriority w:val="0"/>
    <w:pPr>
      <w:adjustRightInd/>
    </w:pPr>
    <w:rPr>
      <w:rFonts w:ascii="宋体" w:hAnsi="Courier New"/>
      <w:kern w:val="0"/>
      <w:sz w:val="20"/>
      <w:szCs w:val="20"/>
    </w:rPr>
  </w:style>
  <w:style w:type="paragraph" w:customStyle="1" w:styleId="110">
    <w:name w:val="正文说明"/>
    <w:basedOn w:val="1"/>
    <w:link w:val="848"/>
    <w:qFormat/>
    <w:uiPriority w:val="0"/>
    <w:pPr>
      <w:adjustRightInd/>
      <w:spacing w:line="360" w:lineRule="auto"/>
    </w:pPr>
    <w:rPr>
      <w:kern w:val="0"/>
      <w:sz w:val="24"/>
    </w:rPr>
  </w:style>
  <w:style w:type="paragraph" w:customStyle="1" w:styleId="111">
    <w:name w:val="Table Text"/>
    <w:basedOn w:val="1"/>
    <w:link w:val="854"/>
    <w:qFormat/>
    <w:uiPriority w:val="0"/>
    <w:pPr>
      <w:widowControl/>
      <w:spacing w:before="60" w:after="60"/>
      <w:jc w:val="left"/>
    </w:pPr>
    <w:rPr>
      <w:kern w:val="0"/>
      <w:sz w:val="24"/>
    </w:rPr>
  </w:style>
  <w:style w:type="paragraph" w:customStyle="1" w:styleId="112">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qFormat/>
    <w:uiPriority w:val="0"/>
    <w:pPr>
      <w:widowControl/>
      <w:snapToGrid w:val="0"/>
      <w:spacing w:afterLines="50"/>
      <w:ind w:firstLine="200" w:firstLineChars="200"/>
    </w:pPr>
    <w:rPr>
      <w:kern w:val="0"/>
      <w:sz w:val="24"/>
      <w:szCs w:val="20"/>
    </w:rPr>
  </w:style>
  <w:style w:type="paragraph" w:customStyle="1" w:styleId="117">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0"/>
    <w:next w:val="100"/>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0"/>
    <w:next w:val="100"/>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6"/>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paragraph" w:customStyle="1" w:styleId="621">
    <w:name w:val="DAS正文"/>
    <w:basedOn w:val="1"/>
    <w:qFormat/>
    <w:uiPriority w:val="0"/>
    <w:pPr>
      <w:spacing w:line="360" w:lineRule="auto"/>
      <w:ind w:right="181" w:firstLine="480" w:firstLineChars="200"/>
    </w:pPr>
    <w:rPr>
      <w:rFonts w:ascii="Verdana" w:hAnsi="Verdana"/>
      <w:sz w:val="24"/>
    </w:rPr>
  </w:style>
  <w:style w:type="paragraph" w:customStyle="1" w:styleId="622">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623">
    <w:name w:val="标题 1 字符"/>
    <w:qFormat/>
    <w:uiPriority w:val="9"/>
    <w:rPr>
      <w:rFonts w:ascii="Arial" w:hAnsi="Arial" w:eastAsia="黑体" w:cs="Arial"/>
      <w:b/>
      <w:bCs/>
      <w:snapToGrid w:val="0"/>
      <w:kern w:val="44"/>
      <w:sz w:val="44"/>
      <w:szCs w:val="44"/>
    </w:rPr>
  </w:style>
  <w:style w:type="character" w:customStyle="1" w:styleId="624">
    <w:name w:val="标题 2 字符"/>
    <w:qFormat/>
    <w:uiPriority w:val="1"/>
    <w:rPr>
      <w:rFonts w:ascii="仿宋_GB2312" w:hAnsi="Times New Roman" w:eastAsia="仿宋_GB2312" w:cs="Times New Roman"/>
      <w:b/>
      <w:kern w:val="2"/>
      <w:sz w:val="24"/>
      <w:lang w:val="zh-CN"/>
    </w:rPr>
  </w:style>
  <w:style w:type="character" w:customStyle="1" w:styleId="625">
    <w:name w:val="标题 4 字符"/>
    <w:qFormat/>
    <w:uiPriority w:val="9"/>
    <w:rPr>
      <w:rFonts w:ascii="等线 Light" w:hAnsi="等线 Light" w:eastAsia="等线 Light" w:cs="Times New Roman"/>
      <w:b/>
      <w:bCs/>
      <w:snapToGrid w:val="0"/>
      <w:kern w:val="0"/>
      <w:sz w:val="28"/>
      <w:szCs w:val="28"/>
    </w:rPr>
  </w:style>
  <w:style w:type="character" w:customStyle="1" w:styleId="626">
    <w:name w:val="表格非标题文字 Char"/>
    <w:link w:val="84"/>
    <w:qFormat/>
    <w:uiPriority w:val="0"/>
    <w:rPr>
      <w:rFonts w:ascii="Futura Bk" w:hAnsi="Futura Bk"/>
      <w:kern w:val="2"/>
      <w:sz w:val="18"/>
      <w:szCs w:val="21"/>
      <w:lang w:val="en-US" w:eastAsia="zh-CN" w:bidi="ar-SA"/>
    </w:rPr>
  </w:style>
  <w:style w:type="character" w:customStyle="1" w:styleId="627">
    <w:name w:val="*正文 Char"/>
    <w:link w:val="85"/>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6"/>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7"/>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8"/>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2"/>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9"/>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0"/>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8"/>
    <w:qFormat/>
    <w:uiPriority w:val="0"/>
    <w:rPr>
      <w:rFonts w:ascii="Arial" w:hAnsi="Arial" w:eastAsia="黑体"/>
      <w:b/>
      <w:bCs/>
      <w:kern w:val="2"/>
      <w:sz w:val="24"/>
      <w:szCs w:val="24"/>
    </w:rPr>
  </w:style>
  <w:style w:type="character" w:customStyle="1" w:styleId="685">
    <w:name w:val="纯文本 Char_0"/>
    <w:link w:val="91"/>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3"/>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6"/>
    <w:qFormat/>
    <w:uiPriority w:val="0"/>
    <w:rPr>
      <w:rFonts w:ascii="宋体"/>
      <w:kern w:val="2"/>
      <w:sz w:val="24"/>
      <w:szCs w:val="21"/>
      <w:lang w:val="zh-CN"/>
    </w:rPr>
  </w:style>
  <w:style w:type="character" w:customStyle="1" w:styleId="714">
    <w:name w:val="标题 9 Char"/>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2"/>
    <w:qFormat/>
    <w:uiPriority w:val="0"/>
    <w:rPr>
      <w:rFonts w:ascii="仿宋_GB2312" w:hAnsi="仿宋" w:eastAsia="仿宋_GB2312" w:cs="仿宋_GB2312"/>
      <w:sz w:val="32"/>
      <w:szCs w:val="30"/>
      <w:lang w:val="zh-CN"/>
    </w:rPr>
  </w:style>
  <w:style w:type="character" w:customStyle="1" w:styleId="747">
    <w:name w:val="HTML 地址 Char"/>
    <w:link w:val="30"/>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8"/>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9"/>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0"/>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1"/>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2"/>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3"/>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5"/>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0"/>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8"/>
    <w:qFormat/>
    <w:uiPriority w:val="0"/>
    <w:rPr>
      <w:rFonts w:ascii="黑体" w:hAnsi="Courier New" w:eastAsia="黑体"/>
    </w:rPr>
  </w:style>
  <w:style w:type="character" w:customStyle="1" w:styleId="822">
    <w:name w:val="正文文本 2 Char1"/>
    <w:link w:val="57"/>
    <w:qFormat/>
    <w:uiPriority w:val="0"/>
    <w:rPr>
      <w:kern w:val="2"/>
      <w:sz w:val="21"/>
      <w:szCs w:val="24"/>
    </w:rPr>
  </w:style>
  <w:style w:type="character" w:customStyle="1" w:styleId="823">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7"/>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1"/>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8"/>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9"/>
    <w:qFormat/>
    <w:uiPriority w:val="0"/>
    <w:rPr>
      <w:rFonts w:ascii="宋体" w:hAnsi="Courier New"/>
    </w:rPr>
  </w:style>
  <w:style w:type="character" w:customStyle="1" w:styleId="837">
    <w:name w:val="正文首行缩进 Char"/>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0"/>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1"/>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0"/>
    <w:rPr>
      <w:kern w:val="2"/>
      <w:sz w:val="21"/>
      <w:szCs w:val="24"/>
    </w:rPr>
  </w:style>
  <w:style w:type="character" w:customStyle="1" w:styleId="859">
    <w:name w:val="签名 Char"/>
    <w:link w:val="43"/>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2"/>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3"/>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4"/>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0"/>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5"/>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9"/>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rPr>
      <w:kern w:val="2"/>
      <w:sz w:val="21"/>
      <w:lang w:val="en-US" w:eastAsia="zh-CN" w:bidi="ar-SA"/>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40757</Words>
  <Characters>43174</Characters>
  <Lines>45</Lines>
  <Paragraphs>80</Paragraphs>
  <TotalTime>0</TotalTime>
  <ScaleCrop>false</ScaleCrop>
  <LinksUpToDate>false</LinksUpToDate>
  <CharactersWithSpaces>44713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冉格格爱了</cp:lastModifiedBy>
  <cp:lastPrinted>2021-12-27T03:06:00Z</cp:lastPrinted>
  <dcterms:modified xsi:type="dcterms:W3CDTF">2023-02-16T01:33:22Z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C782820DC23244CB806E8CAC6B2C4B0B</vt:lpwstr>
  </property>
  <property fmtid="{D5CDD505-2E9C-101B-9397-08002B2CF9AE}" pid="5" name="commondata">
    <vt:lpwstr>eyJoZGlkIjoiMGY1MmEyNmIzOWVmY2Y1Mjg1NGNjNzFjMzI3M2RmZTkifQ==</vt:lpwstr>
  </property>
</Properties>
</file>