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color w:val="auto"/>
          <w:sz w:val="84"/>
          <w:szCs w:val="84"/>
          <w:highlight w:val="none"/>
        </w:rPr>
      </w:pPr>
    </w:p>
    <w:p>
      <w:pPr>
        <w:spacing w:line="360" w:lineRule="auto"/>
        <w:jc w:val="center"/>
        <w:rPr>
          <w:rFonts w:hint="eastAsia" w:ascii="宋体" w:hAnsi="宋体" w:eastAsia="宋体" w:cs="宋体"/>
          <w:b/>
          <w:color w:val="auto"/>
          <w:sz w:val="84"/>
          <w:szCs w:val="84"/>
          <w:highlight w:val="none"/>
        </w:rPr>
      </w:pPr>
    </w:p>
    <w:p>
      <w:pPr>
        <w:spacing w:line="360" w:lineRule="auto"/>
        <w:jc w:val="center"/>
        <w:rPr>
          <w:rFonts w:hint="eastAsia" w:ascii="宋体" w:hAnsi="宋体" w:eastAsia="宋体" w:cs="宋体"/>
          <w:b/>
          <w:color w:val="auto"/>
          <w:spacing w:val="26"/>
          <w:sz w:val="84"/>
          <w:szCs w:val="84"/>
          <w:highlight w:val="none"/>
        </w:rPr>
      </w:pPr>
      <w:r>
        <w:rPr>
          <w:rFonts w:hint="eastAsia" w:ascii="宋体" w:hAnsi="宋体" w:eastAsia="宋体" w:cs="宋体"/>
          <w:b/>
          <w:color w:val="auto"/>
          <w:sz w:val="84"/>
          <w:szCs w:val="84"/>
          <w:highlight w:val="none"/>
          <w:lang w:eastAsia="zh-CN"/>
        </w:rPr>
        <w:t>温州市</w:t>
      </w:r>
      <w:r>
        <w:rPr>
          <w:rFonts w:hint="eastAsia" w:ascii="宋体" w:hAnsi="宋体" w:eastAsia="宋体" w:cs="宋体"/>
          <w:b/>
          <w:color w:val="auto"/>
          <w:sz w:val="84"/>
          <w:szCs w:val="84"/>
          <w:highlight w:val="none"/>
        </w:rPr>
        <w:t>政府(分散)采购</w:t>
      </w:r>
    </w:p>
    <w:p>
      <w:pPr>
        <w:spacing w:line="400" w:lineRule="exact"/>
        <w:ind w:firstLine="1885" w:firstLineChars="235"/>
        <w:rPr>
          <w:rFonts w:hint="eastAsia" w:ascii="宋体" w:hAnsi="宋体" w:eastAsia="宋体" w:cs="宋体"/>
          <w:b/>
          <w:color w:val="auto"/>
          <w:spacing w:val="140"/>
          <w:sz w:val="52"/>
          <w:szCs w:val="52"/>
          <w:highlight w:val="none"/>
        </w:rPr>
      </w:pPr>
    </w:p>
    <w:p>
      <w:pPr>
        <w:spacing w:line="400" w:lineRule="exact"/>
        <w:ind w:firstLine="1885" w:firstLineChars="235"/>
        <w:rPr>
          <w:rFonts w:hint="eastAsia" w:ascii="宋体" w:hAnsi="宋体" w:eastAsia="宋体" w:cs="宋体"/>
          <w:b/>
          <w:color w:val="auto"/>
          <w:spacing w:val="140"/>
          <w:sz w:val="52"/>
          <w:szCs w:val="52"/>
          <w:highlight w:val="none"/>
        </w:rPr>
      </w:pPr>
    </w:p>
    <w:p>
      <w:pPr>
        <w:spacing w:line="400" w:lineRule="exact"/>
        <w:ind w:firstLine="1885" w:firstLineChars="235"/>
        <w:rPr>
          <w:rFonts w:hint="eastAsia" w:ascii="宋体" w:hAnsi="宋体" w:eastAsia="宋体" w:cs="宋体"/>
          <w:b/>
          <w:color w:val="auto"/>
          <w:spacing w:val="140"/>
          <w:sz w:val="52"/>
          <w:szCs w:val="52"/>
          <w:highlight w:val="none"/>
        </w:rPr>
      </w:pPr>
    </w:p>
    <w:p>
      <w:pPr>
        <w:spacing w:line="400" w:lineRule="exact"/>
        <w:ind w:firstLine="1885" w:firstLineChars="235"/>
        <w:rPr>
          <w:rFonts w:hint="eastAsia" w:ascii="宋体" w:hAnsi="宋体" w:eastAsia="宋体" w:cs="宋体"/>
          <w:b/>
          <w:color w:val="auto"/>
          <w:spacing w:val="140"/>
          <w:sz w:val="52"/>
          <w:szCs w:val="52"/>
          <w:highlight w:val="none"/>
        </w:rPr>
      </w:pPr>
    </w:p>
    <w:p>
      <w:pPr>
        <w:spacing w:line="360" w:lineRule="auto"/>
        <w:jc w:val="center"/>
        <w:rPr>
          <w:rFonts w:hint="eastAsia" w:ascii="宋体" w:hAnsi="宋体" w:eastAsia="宋体" w:cs="宋体"/>
          <w:b/>
          <w:color w:val="auto"/>
          <w:spacing w:val="140"/>
          <w:sz w:val="52"/>
          <w:szCs w:val="52"/>
          <w:highlight w:val="none"/>
        </w:rPr>
      </w:pPr>
      <w:r>
        <w:rPr>
          <w:rFonts w:hint="eastAsia" w:ascii="宋体" w:hAnsi="宋体" w:eastAsia="宋体" w:cs="宋体"/>
          <w:b/>
          <w:color w:val="auto"/>
          <w:spacing w:val="140"/>
          <w:sz w:val="52"/>
          <w:szCs w:val="52"/>
          <w:highlight w:val="none"/>
        </w:rPr>
        <w:t>招标文件</w:t>
      </w:r>
    </w:p>
    <w:p>
      <w:pPr>
        <w:widowControl/>
        <w:spacing w:line="360" w:lineRule="auto"/>
        <w:ind w:right="-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（线上电子招投标）</w:t>
      </w:r>
    </w:p>
    <w:p>
      <w:pPr>
        <w:spacing w:line="400" w:lineRule="exact"/>
        <w:rPr>
          <w:rFonts w:hint="eastAsia" w:ascii="宋体" w:hAnsi="宋体" w:eastAsia="宋体" w:cs="宋体"/>
          <w:b/>
          <w:color w:val="auto"/>
          <w:sz w:val="24"/>
          <w:highlight w:val="none"/>
        </w:rPr>
      </w:pPr>
    </w:p>
    <w:p>
      <w:pPr>
        <w:pStyle w:val="2"/>
        <w:rPr>
          <w:rFonts w:hint="eastAsia"/>
          <w:color w:val="auto"/>
          <w:highlight w:val="none"/>
        </w:rPr>
      </w:pPr>
    </w:p>
    <w:tbl>
      <w:tblPr>
        <w:tblStyle w:val="32"/>
        <w:tblW w:w="0" w:type="auto"/>
        <w:tblInd w:w="2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pacing w:line="360" w:lineRule="auto"/>
              <w:jc w:val="right"/>
              <w:rPr>
                <w:rFonts w:hint="eastAsia" w:ascii="宋体" w:hAnsi="宋体" w:eastAsia="宋体" w:cs="宋体"/>
                <w:color w:val="auto"/>
                <w:sz w:val="30"/>
                <w:highlight w:val="none"/>
                <w:vertAlign w:val="baseline"/>
              </w:rPr>
            </w:pPr>
            <w:r>
              <w:rPr>
                <w:rFonts w:hint="eastAsia" w:ascii="宋体" w:hAnsi="宋体" w:eastAsia="宋体" w:cs="宋体"/>
                <w:color w:val="auto"/>
                <w:sz w:val="30"/>
                <w:highlight w:val="none"/>
              </w:rPr>
              <w:t>项目编号：</w:t>
            </w:r>
          </w:p>
        </w:tc>
        <w:tc>
          <w:tcPr>
            <w:tcW w:w="5541" w:type="dxa"/>
          </w:tcPr>
          <w:p>
            <w:pPr>
              <w:spacing w:line="360" w:lineRule="auto"/>
              <w:jc w:val="left"/>
              <w:rPr>
                <w:rFonts w:hint="eastAsia" w:ascii="宋体" w:hAnsi="宋体" w:eastAsia="宋体" w:cs="宋体"/>
                <w:color w:val="auto"/>
                <w:sz w:val="30"/>
                <w:highlight w:val="none"/>
                <w:vertAlign w:val="baseline"/>
              </w:rPr>
            </w:pPr>
            <w:r>
              <w:rPr>
                <w:rFonts w:hint="eastAsia" w:ascii="宋体" w:hAnsi="宋体" w:cs="宋体"/>
                <w:color w:val="auto"/>
                <w:sz w:val="30"/>
                <w:highlight w:val="none"/>
                <w:lang w:eastAsia="zh-CN"/>
              </w:rPr>
              <w:t>ZJYC-2023035(GK)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pacing w:line="360" w:lineRule="auto"/>
              <w:jc w:val="right"/>
              <w:rPr>
                <w:rFonts w:hint="eastAsia" w:ascii="宋体" w:hAnsi="宋体" w:eastAsia="宋体" w:cs="宋体"/>
                <w:color w:val="auto"/>
                <w:sz w:val="30"/>
                <w:highlight w:val="none"/>
                <w:vertAlign w:val="baseline"/>
              </w:rPr>
            </w:pPr>
            <w:r>
              <w:rPr>
                <w:rFonts w:hint="eastAsia" w:ascii="宋体" w:hAnsi="宋体" w:eastAsia="宋体" w:cs="宋体"/>
                <w:color w:val="auto"/>
                <w:sz w:val="30"/>
                <w:highlight w:val="none"/>
              </w:rPr>
              <w:t>招标项目：</w:t>
            </w:r>
          </w:p>
        </w:tc>
        <w:tc>
          <w:tcPr>
            <w:tcW w:w="5541" w:type="dxa"/>
          </w:tcPr>
          <w:p>
            <w:pPr>
              <w:spacing w:line="360" w:lineRule="auto"/>
              <w:jc w:val="left"/>
              <w:rPr>
                <w:rFonts w:hint="eastAsia" w:ascii="宋体" w:hAnsi="宋体" w:eastAsia="宋体" w:cs="宋体"/>
                <w:color w:val="auto"/>
                <w:sz w:val="30"/>
                <w:highlight w:val="none"/>
                <w:vertAlign w:val="baseline"/>
              </w:rPr>
            </w:pPr>
            <w:r>
              <w:rPr>
                <w:rFonts w:hint="eastAsia" w:ascii="宋体" w:hAnsi="宋体" w:cs="宋体"/>
                <w:color w:val="auto"/>
                <w:sz w:val="30"/>
                <w:highlight w:val="none"/>
                <w:lang w:eastAsia="zh-CN"/>
              </w:rPr>
              <w:t>2022年温州市交管信控系统项目和2022年温州市电子警察系统项目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9" w:type="dxa"/>
          </w:tcPr>
          <w:p>
            <w:pPr>
              <w:spacing w:line="360" w:lineRule="auto"/>
              <w:jc w:val="right"/>
              <w:rPr>
                <w:rFonts w:hint="eastAsia" w:ascii="宋体" w:hAnsi="宋体" w:eastAsia="宋体" w:cs="宋体"/>
                <w:color w:val="auto"/>
                <w:sz w:val="30"/>
                <w:highlight w:val="none"/>
                <w:vertAlign w:val="baseline"/>
              </w:rPr>
            </w:pPr>
            <w:r>
              <w:rPr>
                <w:rFonts w:hint="eastAsia" w:ascii="宋体" w:hAnsi="宋体" w:eastAsia="宋体" w:cs="宋体"/>
                <w:color w:val="auto"/>
                <w:sz w:val="30"/>
                <w:highlight w:val="none"/>
              </w:rPr>
              <w:t>招标方式：</w:t>
            </w:r>
          </w:p>
        </w:tc>
        <w:tc>
          <w:tcPr>
            <w:tcW w:w="5541" w:type="dxa"/>
          </w:tcPr>
          <w:p>
            <w:pPr>
              <w:spacing w:line="360" w:lineRule="auto"/>
              <w:jc w:val="left"/>
              <w:rPr>
                <w:rFonts w:hint="eastAsia" w:ascii="宋体" w:hAnsi="宋体" w:eastAsia="宋体" w:cs="宋体"/>
                <w:color w:val="auto"/>
                <w:sz w:val="30"/>
                <w:highlight w:val="none"/>
                <w:vertAlign w:val="baseline"/>
              </w:rPr>
            </w:pPr>
            <w:r>
              <w:rPr>
                <w:rFonts w:hint="eastAsia" w:ascii="宋体" w:hAnsi="宋体" w:eastAsia="宋体" w:cs="宋体"/>
                <w:color w:val="auto"/>
                <w:sz w:val="30"/>
                <w:highlight w:val="none"/>
              </w:rPr>
              <w:t>公 开 招 标</w:t>
            </w:r>
          </w:p>
        </w:tc>
      </w:tr>
    </w:tbl>
    <w:p>
      <w:pPr>
        <w:spacing w:line="360" w:lineRule="auto"/>
        <w:ind w:firstLine="1080" w:firstLineChars="300"/>
        <w:jc w:val="center"/>
        <w:rPr>
          <w:rFonts w:hint="eastAsia" w:ascii="宋体" w:hAnsi="宋体" w:eastAsia="宋体" w:cs="宋体"/>
          <w:color w:val="auto"/>
          <w:spacing w:val="40"/>
          <w:sz w:val="28"/>
          <w:szCs w:val="28"/>
          <w:highlight w:val="none"/>
        </w:rPr>
      </w:pPr>
    </w:p>
    <w:p>
      <w:pPr>
        <w:spacing w:line="360" w:lineRule="auto"/>
        <w:jc w:val="center"/>
        <w:rPr>
          <w:rFonts w:hint="eastAsia" w:ascii="宋体" w:hAnsi="宋体" w:eastAsia="宋体" w:cs="宋体"/>
          <w:color w:val="auto"/>
          <w:kern w:val="0"/>
          <w:sz w:val="30"/>
          <w:highlight w:val="none"/>
          <w:lang w:eastAsia="zh-CN"/>
        </w:rPr>
      </w:pPr>
      <w:r>
        <w:rPr>
          <w:rFonts w:hint="eastAsia" w:ascii="宋体" w:hAnsi="宋体" w:eastAsia="宋体" w:cs="宋体"/>
          <w:color w:val="auto"/>
          <w:kern w:val="0"/>
          <w:sz w:val="30"/>
          <w:highlight w:val="none"/>
        </w:rPr>
        <w:t>采购人：</w:t>
      </w:r>
      <w:r>
        <w:rPr>
          <w:rFonts w:hint="eastAsia" w:ascii="宋体" w:hAnsi="宋体" w:eastAsia="宋体" w:cs="宋体"/>
          <w:color w:val="auto"/>
          <w:kern w:val="0"/>
          <w:sz w:val="30"/>
          <w:highlight w:val="none"/>
          <w:lang w:eastAsia="zh-CN"/>
        </w:rPr>
        <w:t>温州市公安局交通管理局</w:t>
      </w:r>
    </w:p>
    <w:p>
      <w:pPr>
        <w:spacing w:line="360" w:lineRule="auto"/>
        <w:jc w:val="center"/>
        <w:rPr>
          <w:rFonts w:hint="eastAsia" w:ascii="宋体" w:hAnsi="宋体" w:eastAsia="宋体" w:cs="宋体"/>
          <w:color w:val="auto"/>
          <w:spacing w:val="40"/>
          <w:sz w:val="24"/>
          <w:szCs w:val="24"/>
          <w:highlight w:val="none"/>
        </w:rPr>
      </w:pPr>
      <w:r>
        <w:rPr>
          <w:rFonts w:hint="eastAsia" w:ascii="宋体" w:hAnsi="宋体" w:eastAsia="宋体" w:cs="宋体"/>
          <w:color w:val="auto"/>
          <w:kern w:val="0"/>
          <w:sz w:val="30"/>
          <w:highlight w:val="none"/>
        </w:rPr>
        <w:t>采购代理机构：浙江乐诚工程咨询有限公司</w:t>
      </w:r>
    </w:p>
    <w:p>
      <w:pPr>
        <w:spacing w:line="360" w:lineRule="auto"/>
        <w:jc w:val="center"/>
        <w:rPr>
          <w:rFonts w:hint="eastAsia" w:ascii="宋体" w:hAnsi="宋体" w:eastAsia="宋体" w:cs="宋体"/>
          <w:color w:val="auto"/>
          <w:spacing w:val="40"/>
          <w:sz w:val="28"/>
          <w:highlight w:val="none"/>
        </w:rPr>
      </w:pPr>
    </w:p>
    <w:p>
      <w:pPr>
        <w:spacing w:line="360" w:lineRule="auto"/>
        <w:jc w:val="center"/>
        <w:rPr>
          <w:rFonts w:hint="eastAsia" w:ascii="宋体" w:hAnsi="宋体" w:eastAsia="宋体" w:cs="宋体"/>
          <w:color w:val="auto"/>
          <w:spacing w:val="40"/>
          <w:sz w:val="28"/>
          <w:highlight w:val="none"/>
        </w:rPr>
      </w:pPr>
    </w:p>
    <w:p>
      <w:pPr>
        <w:spacing w:line="360" w:lineRule="auto"/>
        <w:jc w:val="center"/>
        <w:rPr>
          <w:rFonts w:hint="eastAsia" w:ascii="宋体" w:hAnsi="宋体" w:eastAsia="宋体" w:cs="宋体"/>
          <w:color w:val="auto"/>
          <w:spacing w:val="40"/>
          <w:sz w:val="28"/>
          <w:highlight w:val="none"/>
        </w:rPr>
      </w:pPr>
      <w:r>
        <w:rPr>
          <w:rFonts w:hint="eastAsia" w:ascii="宋体" w:hAnsi="宋体" w:eastAsia="宋体" w:cs="宋体"/>
          <w:color w:val="auto"/>
          <w:spacing w:val="40"/>
          <w:sz w:val="28"/>
          <w:highlight w:val="none"/>
        </w:rPr>
        <w:t>二0二</w:t>
      </w:r>
      <w:r>
        <w:rPr>
          <w:rFonts w:hint="eastAsia" w:ascii="宋体" w:hAnsi="宋体" w:eastAsia="宋体" w:cs="宋体"/>
          <w:color w:val="auto"/>
          <w:spacing w:val="40"/>
          <w:sz w:val="28"/>
          <w:highlight w:val="none"/>
          <w:lang w:val="en-US" w:eastAsia="zh-CN"/>
        </w:rPr>
        <w:t>三</w:t>
      </w:r>
      <w:r>
        <w:rPr>
          <w:rFonts w:hint="eastAsia" w:ascii="宋体" w:hAnsi="宋体" w:eastAsia="宋体" w:cs="宋体"/>
          <w:color w:val="auto"/>
          <w:spacing w:val="40"/>
          <w:sz w:val="28"/>
          <w:highlight w:val="none"/>
        </w:rPr>
        <w:t>年</w:t>
      </w: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spacing w:line="400" w:lineRule="exact"/>
        <w:rPr>
          <w:rFonts w:hint="eastAsia" w:ascii="宋体" w:hAnsi="宋体" w:eastAsia="宋体" w:cs="宋体"/>
          <w:color w:val="auto"/>
          <w:highlight w:val="none"/>
        </w:rPr>
      </w:pPr>
    </w:p>
    <w:p>
      <w:pPr>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第一部分  投标邀请书           ………………………………………………………………3</w:t>
      </w:r>
    </w:p>
    <w:p>
      <w:pPr>
        <w:spacing w:line="400" w:lineRule="exact"/>
        <w:ind w:left="1100" w:hanging="1100" w:hangingChars="500"/>
        <w:rPr>
          <w:rFonts w:hint="eastAsia" w:ascii="宋体" w:hAnsi="宋体" w:eastAsia="宋体" w:cs="宋体"/>
          <w:color w:val="auto"/>
          <w:sz w:val="22"/>
          <w:highlight w:val="none"/>
        </w:rPr>
      </w:pPr>
      <w:r>
        <w:rPr>
          <w:rFonts w:hint="eastAsia" w:ascii="宋体" w:hAnsi="宋体" w:eastAsia="宋体" w:cs="宋体"/>
          <w:color w:val="auto"/>
          <w:sz w:val="22"/>
          <w:highlight w:val="none"/>
        </w:rPr>
        <w:t>第二部分  投标人须知           ………………………………………………………………6</w:t>
      </w:r>
    </w:p>
    <w:p>
      <w:pPr>
        <w:spacing w:line="400" w:lineRule="exact"/>
        <w:ind w:left="1100" w:hanging="1100" w:hangingChars="5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投标人须知前附表     ………………………………………………………………6</w:t>
      </w:r>
    </w:p>
    <w:p>
      <w:pPr>
        <w:spacing w:line="400" w:lineRule="exact"/>
        <w:ind w:firstLine="1100" w:firstLineChars="5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t>一.说 明             ………………………………………………………………1</w:t>
      </w:r>
      <w:r>
        <w:rPr>
          <w:rFonts w:hint="eastAsia" w:ascii="宋体" w:hAnsi="宋体" w:cs="宋体"/>
          <w:color w:val="auto"/>
          <w:sz w:val="22"/>
          <w:highlight w:val="none"/>
          <w:lang w:val="en-US" w:eastAsia="zh-CN"/>
        </w:rPr>
        <w:t>1</w:t>
      </w:r>
    </w:p>
    <w:p>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二.招标文件          ………………………………………………………………1</w:t>
      </w:r>
      <w:r>
        <w:rPr>
          <w:rFonts w:hint="eastAsia" w:ascii="宋体" w:hAnsi="宋体" w:cs="宋体"/>
          <w:color w:val="auto"/>
          <w:sz w:val="22"/>
          <w:highlight w:val="none"/>
          <w:lang w:val="en-US" w:eastAsia="zh-CN"/>
        </w:rPr>
        <w:t>3</w:t>
      </w:r>
    </w:p>
    <w:p>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三.投标文件的编制    ………………………………………………………………1</w:t>
      </w:r>
      <w:r>
        <w:rPr>
          <w:rFonts w:hint="eastAsia" w:ascii="宋体" w:hAnsi="宋体" w:cs="宋体"/>
          <w:color w:val="auto"/>
          <w:sz w:val="22"/>
          <w:highlight w:val="none"/>
          <w:lang w:val="en-US" w:eastAsia="zh-CN"/>
        </w:rPr>
        <w:t>5</w:t>
      </w:r>
    </w:p>
    <w:p>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四.投标文件的递交    ………………………………………………………………1</w:t>
      </w:r>
      <w:r>
        <w:rPr>
          <w:rFonts w:hint="eastAsia" w:ascii="宋体" w:hAnsi="宋体" w:cs="宋体"/>
          <w:color w:val="auto"/>
          <w:sz w:val="22"/>
          <w:highlight w:val="none"/>
          <w:lang w:val="en-US" w:eastAsia="zh-CN"/>
        </w:rPr>
        <w:t>7</w:t>
      </w:r>
    </w:p>
    <w:p>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五.开标和评标        ………………………………………………………………1</w:t>
      </w:r>
      <w:r>
        <w:rPr>
          <w:rFonts w:hint="eastAsia" w:ascii="宋体" w:hAnsi="宋体" w:cs="宋体"/>
          <w:color w:val="auto"/>
          <w:sz w:val="22"/>
          <w:highlight w:val="none"/>
          <w:lang w:val="en-US" w:eastAsia="zh-CN"/>
        </w:rPr>
        <w:t>7</w:t>
      </w:r>
    </w:p>
    <w:p>
      <w:pPr>
        <w:spacing w:line="400" w:lineRule="exact"/>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六.授予合同          ………………………………………………………………2</w:t>
      </w:r>
      <w:r>
        <w:rPr>
          <w:rFonts w:hint="eastAsia" w:ascii="宋体" w:hAnsi="宋体" w:cs="宋体"/>
          <w:color w:val="auto"/>
          <w:sz w:val="22"/>
          <w:highlight w:val="none"/>
          <w:lang w:val="en-US" w:eastAsia="zh-CN"/>
        </w:rPr>
        <w:t>2</w:t>
      </w:r>
    </w:p>
    <w:p>
      <w:pPr>
        <w:spacing w:line="400" w:lineRule="exact"/>
        <w:ind w:firstLine="1100" w:firstLineChars="500"/>
        <w:jc w:val="left"/>
        <w:rPr>
          <w:rFonts w:hint="eastAsia" w:ascii="宋体" w:hAnsi="宋体" w:cs="宋体"/>
          <w:color w:val="auto"/>
          <w:sz w:val="22"/>
          <w:highlight w:val="none"/>
          <w:lang w:val="en-US" w:eastAsia="zh-CN"/>
        </w:rPr>
      </w:pPr>
      <w:r>
        <w:rPr>
          <w:rFonts w:hint="eastAsia" w:ascii="宋体" w:hAnsi="宋体" w:eastAsia="宋体" w:cs="宋体"/>
          <w:color w:val="auto"/>
          <w:sz w:val="22"/>
          <w:highlight w:val="none"/>
        </w:rPr>
        <w:t>七.可中止电子交易活动的情形………………………………………………………2</w:t>
      </w:r>
      <w:r>
        <w:rPr>
          <w:rFonts w:hint="eastAsia" w:ascii="宋体" w:hAnsi="宋体" w:cs="宋体"/>
          <w:color w:val="auto"/>
          <w:sz w:val="22"/>
          <w:highlight w:val="none"/>
          <w:lang w:val="en-US" w:eastAsia="zh-CN"/>
        </w:rPr>
        <w:t>2</w:t>
      </w:r>
    </w:p>
    <w:p>
      <w:pPr>
        <w:spacing w:line="400" w:lineRule="exact"/>
        <w:ind w:firstLine="1100" w:firstLineChars="500"/>
        <w:jc w:val="left"/>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八</w:t>
      </w: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 xml:space="preserve">验收              </w:t>
      </w:r>
      <w:r>
        <w:rPr>
          <w:rFonts w:hint="eastAsia" w:ascii="宋体" w:hAnsi="宋体" w:eastAsia="宋体" w:cs="宋体"/>
          <w:color w:val="auto"/>
          <w:sz w:val="22"/>
          <w:highlight w:val="none"/>
        </w:rPr>
        <w:t>………………………………………………………………2</w:t>
      </w:r>
      <w:r>
        <w:rPr>
          <w:rFonts w:hint="eastAsia" w:ascii="宋体" w:hAnsi="宋体" w:cs="宋体"/>
          <w:color w:val="auto"/>
          <w:sz w:val="22"/>
          <w:highlight w:val="none"/>
          <w:lang w:val="en-US" w:eastAsia="zh-CN"/>
        </w:rPr>
        <w:t>2</w:t>
      </w:r>
    </w:p>
    <w:p>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第三部分  拟签订的合同文本     ………………………………………………………………2</w:t>
      </w:r>
      <w:r>
        <w:rPr>
          <w:rFonts w:hint="eastAsia" w:ascii="宋体" w:hAnsi="宋体" w:cs="宋体"/>
          <w:color w:val="auto"/>
          <w:sz w:val="22"/>
          <w:highlight w:val="none"/>
          <w:lang w:val="en-US" w:eastAsia="zh-CN"/>
        </w:rPr>
        <w:t>4</w:t>
      </w:r>
    </w:p>
    <w:p>
      <w:pPr>
        <w:spacing w:line="40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第四部分  附件                 ………………………………………………………………</w:t>
      </w:r>
      <w:r>
        <w:rPr>
          <w:rFonts w:hint="eastAsia" w:ascii="宋体" w:hAnsi="宋体" w:cs="宋体"/>
          <w:color w:val="auto"/>
          <w:sz w:val="22"/>
          <w:highlight w:val="none"/>
          <w:lang w:val="en-US" w:eastAsia="zh-CN"/>
        </w:rPr>
        <w:t>40</w:t>
      </w:r>
    </w:p>
    <w:p>
      <w:pPr>
        <w:spacing w:line="40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第五部分  采购需求             ………………………………………………………………</w:t>
      </w:r>
      <w:r>
        <w:rPr>
          <w:rFonts w:hint="eastAsia" w:ascii="宋体" w:hAnsi="宋体" w:cs="宋体"/>
          <w:color w:val="auto"/>
          <w:sz w:val="22"/>
          <w:highlight w:val="none"/>
          <w:lang w:val="en-US" w:eastAsia="zh-CN"/>
        </w:rPr>
        <w:t>75</w:t>
      </w:r>
    </w:p>
    <w:p>
      <w:pPr>
        <w:spacing w:line="40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第六部分  评标原则及方法       ………………………………………………………………</w:t>
      </w:r>
      <w:r>
        <w:rPr>
          <w:rFonts w:hint="eastAsia" w:ascii="宋体" w:hAnsi="宋体" w:cs="宋体"/>
          <w:color w:val="auto"/>
          <w:sz w:val="22"/>
          <w:highlight w:val="none"/>
          <w:lang w:val="en-US" w:eastAsia="zh-CN"/>
        </w:rPr>
        <w:t>106</w:t>
      </w:r>
    </w:p>
    <w:p>
      <w:pPr>
        <w:pStyle w:val="3"/>
        <w:rPr>
          <w:rFonts w:hint="eastAsia" w:ascii="宋体" w:hAnsi="宋体" w:eastAsia="宋体" w:cs="宋体"/>
          <w:color w:val="auto"/>
          <w:highlight w:val="none"/>
        </w:rPr>
      </w:pPr>
    </w:p>
    <w:p>
      <w:pPr>
        <w:spacing w:line="400" w:lineRule="exact"/>
        <w:rPr>
          <w:rFonts w:hint="eastAsia" w:ascii="宋体" w:hAnsi="宋体" w:eastAsia="宋体" w:cs="宋体"/>
          <w:color w:val="auto"/>
          <w:sz w:val="22"/>
          <w:highlight w:val="none"/>
        </w:rPr>
      </w:pPr>
      <w:r>
        <w:rPr>
          <w:rFonts w:hint="eastAsia" w:ascii="宋体" w:hAnsi="宋体" w:eastAsia="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第一部分 投标邀请书</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项目概况</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xml:space="preserve">   2022年温州市交管信控系统项目和2022年温州市电子警察系统项目招标项目的潜在投标人应在</w:t>
      </w:r>
      <w:r>
        <w:rPr>
          <w:rFonts w:hint="eastAsia" w:ascii="宋体" w:hAnsi="宋体" w:eastAsia="宋体" w:cs="宋体"/>
          <w:i w:val="0"/>
          <w:iCs w:val="0"/>
          <w:caps w:val="0"/>
          <w:color w:val="000000"/>
          <w:spacing w:val="0"/>
          <w:sz w:val="22"/>
          <w:szCs w:val="22"/>
          <w:u w:val="none"/>
        </w:rPr>
        <w:t>政府采购云平台（https://login.zcygov.cn）</w:t>
      </w:r>
      <w:r>
        <w:rPr>
          <w:rFonts w:hint="eastAsia" w:ascii="宋体" w:hAnsi="宋体" w:eastAsia="宋体" w:cs="宋体"/>
          <w:i w:val="0"/>
          <w:iCs w:val="0"/>
          <w:caps w:val="0"/>
          <w:color w:val="000000"/>
          <w:spacing w:val="0"/>
          <w:sz w:val="22"/>
          <w:szCs w:val="22"/>
        </w:rPr>
        <w:t>获取（下载）招标文件，并于 2023年03月30日 09:30（北京时间）前递交（上传）投标文件。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一、项目基本情况</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项目编号：ZJYC-2023035(GK)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项目名称：2022年温州市交管信控系统项目和2022年温州市电子警察系统项目</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预算金额（元）：20283448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最高限价（元）：11667750,8612698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采购需求：</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标项一</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标项名称: 2022年温州市交管信控系统项目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数量: 1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预算金额（元）: 11670750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简要规格描述或项目基本概况介绍、用途：详见招标文件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备注：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标项二</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标项名称: 2022年温州市电子警察系统项目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数量: 1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预算金额（元）: 8612698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简要规格描述或项目基本概况介绍、用途：详见招标文件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备注：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合同履约期限：标项 1、2，详见招标文件</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本项目（是）接受联合体投标。</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二、申请人的资格要求：</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2.落实政府采购政策需满足的资格要求：无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3.本项目的特定资格要求：无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三、获取招标文件</w:t>
      </w:r>
      <w:r>
        <w:rPr>
          <w:rFonts w:hint="eastAsia" w:ascii="宋体" w:hAnsi="宋体" w:eastAsia="宋体" w:cs="宋体"/>
          <w:i w:val="0"/>
          <w:iCs w:val="0"/>
          <w:caps w:val="0"/>
          <w:color w:val="000000"/>
          <w:spacing w:val="0"/>
          <w:sz w:val="22"/>
          <w:szCs w:val="22"/>
        </w:rPr>
        <w:t>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时间：/至2023年03月30日 ，每天上午00:00至12:00 ，下午12:00至23:59（北京时间，线上获取法定节假日均可，线下获取文件法定节假日除外）</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地点（网址）：政府采购云平台（https://login.zcygov.cn）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售价（元）：0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四、提交投标文件截止时间、开标时间和地点</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 提交投标文件截止时间：2023年03月30日 09:30（北京时间）</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 投标地点（网址）：政府采购云平台（https://login.zcygov.cn）</w:t>
      </w:r>
      <w:r>
        <w:rPr>
          <w:rFonts w:hint="eastAsia" w:ascii="宋体" w:hAnsi="宋体" w:eastAsia="宋体" w:cs="宋体"/>
          <w:i w:val="0"/>
          <w:iCs w:val="0"/>
          <w:caps w:val="0"/>
          <w:color w:val="000000"/>
          <w:spacing w:val="0"/>
          <w:sz w:val="22"/>
          <w:szCs w:val="22"/>
        </w:rPr>
        <w:t>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none"/>
        </w:rPr>
        <w:t>    开标时间：2023年03月30日 09:30</w:t>
      </w:r>
      <w:r>
        <w:rPr>
          <w:rFonts w:hint="eastAsia" w:ascii="宋体" w:hAnsi="宋体" w:eastAsia="宋体" w:cs="宋体"/>
          <w:i w:val="0"/>
          <w:iCs w:val="0"/>
          <w:caps w:val="0"/>
          <w:color w:val="000000"/>
          <w:spacing w:val="0"/>
          <w:sz w:val="22"/>
          <w:szCs w:val="22"/>
        </w:rPr>
        <w:t>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none"/>
        </w:rPr>
        <w:t>    开标地点（网址）：浙江省温州市鹿城区温州市民中心A座3楼开标室（4）</w:t>
      </w:r>
      <w:r>
        <w:rPr>
          <w:rFonts w:hint="eastAsia" w:ascii="宋体" w:hAnsi="宋体" w:eastAsia="宋体" w:cs="宋体"/>
          <w:i w:val="0"/>
          <w:iCs w:val="0"/>
          <w:caps w:val="0"/>
          <w:color w:val="000000"/>
          <w:spacing w:val="0"/>
          <w:sz w:val="22"/>
          <w:szCs w:val="22"/>
        </w:rPr>
        <w:t>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五、公告期限</w:t>
      </w:r>
      <w:r>
        <w:rPr>
          <w:rFonts w:hint="eastAsia" w:ascii="宋体" w:hAnsi="宋体" w:eastAsia="宋体" w:cs="宋体"/>
          <w:i w:val="0"/>
          <w:iCs w:val="0"/>
          <w:caps w:val="0"/>
          <w:color w:val="000000"/>
          <w:spacing w:val="0"/>
          <w:sz w:val="22"/>
          <w:szCs w:val="22"/>
        </w:rPr>
        <w:t>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自本公告发布之日起5个工作日。</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六、其他补充事宜</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其他事项：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七、对本次采购提出询问、质疑、投诉，请按以下方式联系</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1.采购人信息</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称：温州市公安局交通管理局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址：温州市鹿城区金桥路1号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项目联系人（询问）：陈建乐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项目联系方式（询问）：0577-88300188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质疑联系人：周坚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质疑联系方式：0577-88300369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2.采购代理机构信息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称：浙江乐诚工程咨询有限公司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60"/>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地    址：温州市瓯海区三垟街道桥头河大桥温州生命健康小镇B03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6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项目联系人（询问）：王纪凤/陈素芳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项目联系方式（询问）：0577-86077700/18357703076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质疑联系人：钱学丰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质疑联系方式：15805779720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3.同级政府采购监督管理部门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称：温州市财政局政府采购监管处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址：温州市鹿城区绣山路299号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联系人 ：项先生、蔡女士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监督投诉电话：0577-88532725、88521948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p>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CA问题联系电话（人工）：汇信CA 400-888-4636；天谷CA 400-087-8198。</w:t>
      </w:r>
    </w:p>
    <w:p>
      <w:pPr>
        <w:spacing w:line="400" w:lineRule="exact"/>
        <w:jc w:val="right"/>
        <w:rPr>
          <w:rFonts w:hint="eastAsia" w:ascii="宋体" w:hAnsi="宋体" w:eastAsia="宋体" w:cs="宋体"/>
          <w:color w:val="auto"/>
          <w:spacing w:val="-6"/>
          <w:sz w:val="22"/>
          <w:highlight w:val="none"/>
          <w:lang w:val="zh-CN"/>
        </w:rPr>
      </w:pPr>
    </w:p>
    <w:p>
      <w:pPr>
        <w:spacing w:line="400" w:lineRule="exact"/>
        <w:jc w:val="right"/>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rPr>
        <w:t>温州市公安局交通管理局</w:t>
      </w:r>
    </w:p>
    <w:p>
      <w:pPr>
        <w:spacing w:line="400" w:lineRule="exact"/>
        <w:ind w:firstLine="440" w:firstLineChars="200"/>
        <w:jc w:val="righ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浙江乐诚工程咨询有限公司</w:t>
      </w:r>
    </w:p>
    <w:p>
      <w:pPr>
        <w:spacing w:line="400" w:lineRule="exact"/>
        <w:jc w:val="right"/>
        <w:rPr>
          <w:rFonts w:hint="eastAsia" w:ascii="宋体" w:hAnsi="宋体" w:eastAsia="宋体" w:cs="宋体"/>
          <w:color w:val="auto"/>
          <w:kern w:val="0"/>
          <w:sz w:val="22"/>
          <w:highlight w:val="none"/>
        </w:rPr>
      </w:pPr>
      <w:r>
        <w:rPr>
          <w:rFonts w:hint="eastAsia" w:ascii="宋体" w:hAnsi="宋体" w:cs="宋体"/>
          <w:color w:val="auto"/>
          <w:kern w:val="0"/>
          <w:sz w:val="22"/>
          <w:highlight w:val="none"/>
          <w:lang w:eastAsia="zh-CN"/>
        </w:rPr>
        <w:t>2023年03月09日</w:t>
      </w:r>
    </w:p>
    <w:p>
      <w:pPr>
        <w:widowControl/>
        <w:spacing w:line="360" w:lineRule="exact"/>
        <w:jc w:val="left"/>
        <w:rPr>
          <w:rFonts w:hint="eastAsia" w:ascii="宋体" w:hAnsi="宋体" w:eastAsia="宋体" w:cs="宋体"/>
          <w:color w:val="auto"/>
          <w:highlight w:val="none"/>
        </w:rPr>
      </w:pPr>
      <w:r>
        <w:rPr>
          <w:rFonts w:hint="eastAsia" w:ascii="宋体" w:hAnsi="宋体" w:eastAsia="宋体" w:cs="宋体"/>
          <w:color w:val="auto"/>
          <w:kern w:val="0"/>
          <w:sz w:val="22"/>
          <w:highlight w:val="none"/>
          <w:lang w:bidi="ar"/>
        </w:rPr>
        <w:t>       </w:t>
      </w:r>
    </w:p>
    <w:p>
      <w:pPr>
        <w:widowControl/>
        <w:spacing w:line="360" w:lineRule="exact"/>
        <w:jc w:val="left"/>
        <w:rPr>
          <w:rFonts w:hint="eastAsia" w:ascii="宋体" w:hAnsi="宋体" w:eastAsia="宋体" w:cs="宋体"/>
          <w:color w:val="auto"/>
          <w:highlight w:val="none"/>
        </w:rPr>
      </w:pPr>
      <w:r>
        <w:rPr>
          <w:rFonts w:hint="eastAsia" w:ascii="宋体" w:hAnsi="宋体" w:eastAsia="宋体" w:cs="宋体"/>
          <w:color w:val="auto"/>
          <w:kern w:val="0"/>
          <w:sz w:val="22"/>
          <w:highlight w:val="none"/>
          <w:lang w:bidi="ar"/>
        </w:rPr>
        <w:t>   </w:t>
      </w:r>
    </w:p>
    <w:p>
      <w:pPr>
        <w:widowControl/>
        <w:spacing w:line="360" w:lineRule="exact"/>
        <w:ind w:firstLine="480" w:firstLineChars="200"/>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b/>
          <w:color w:val="auto"/>
          <w:sz w:val="32"/>
          <w:highlight w:val="none"/>
        </w:rPr>
      </w:pPr>
      <w:r>
        <w:rPr>
          <w:rFonts w:hint="eastAsia" w:ascii="宋体" w:hAnsi="宋体" w:eastAsia="宋体" w:cs="宋体"/>
          <w:color w:val="auto"/>
          <w:kern w:val="0"/>
          <w:sz w:val="22"/>
          <w:highlight w:val="none"/>
          <w:lang w:bidi="ar"/>
        </w:rPr>
        <w:t>       </w:t>
      </w:r>
    </w:p>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第二部分  投标人须知</w:t>
      </w:r>
    </w:p>
    <w:p>
      <w:pPr>
        <w:spacing w:line="3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投标人须知前附表</w:t>
      </w:r>
    </w:p>
    <w:tbl>
      <w:tblPr>
        <w:tblStyle w:val="31"/>
        <w:tblW w:w="9773" w:type="dxa"/>
        <w:jc w:val="center"/>
        <w:tblLayout w:type="fixed"/>
        <w:tblCellMar>
          <w:top w:w="0" w:type="dxa"/>
          <w:left w:w="108" w:type="dxa"/>
          <w:bottom w:w="0" w:type="dxa"/>
          <w:right w:w="108" w:type="dxa"/>
        </w:tblCellMar>
      </w:tblPr>
      <w:tblGrid>
        <w:gridCol w:w="766"/>
        <w:gridCol w:w="1588"/>
        <w:gridCol w:w="7419"/>
      </w:tblGrid>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编列内容</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400" w:lineRule="exact"/>
              <w:ind w:right="416"/>
              <w:rPr>
                <w:rFonts w:hint="eastAsia" w:ascii="宋体" w:hAnsi="宋体" w:eastAsia="宋体" w:cs="宋体"/>
                <w:color w:val="auto"/>
                <w:spacing w:val="-6"/>
                <w:sz w:val="22"/>
                <w:szCs w:val="22"/>
                <w:highlight w:val="none"/>
                <w:lang w:val="zh-CN"/>
              </w:rPr>
            </w:pPr>
            <w:r>
              <w:rPr>
                <w:rFonts w:hint="eastAsia" w:ascii="宋体" w:hAnsi="宋体" w:eastAsia="宋体" w:cs="宋体"/>
                <w:color w:val="auto"/>
                <w:spacing w:val="-6"/>
                <w:sz w:val="22"/>
                <w:szCs w:val="22"/>
                <w:highlight w:val="none"/>
                <w:lang w:val="zh-CN"/>
              </w:rPr>
              <w:t>温州市公安局交通管理局</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lang w:val="zh-CN"/>
              </w:rPr>
              <w:t>浙江乐诚工程咨询有限公司</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项目名称</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cs="宋体"/>
                <w:color w:val="auto"/>
                <w:sz w:val="22"/>
                <w:szCs w:val="22"/>
                <w:highlight w:val="none"/>
                <w:lang w:eastAsia="zh-CN"/>
              </w:rPr>
            </w:pPr>
            <w:r>
              <w:rPr>
                <w:rFonts w:hint="eastAsia" w:ascii="宋体" w:hAnsi="宋体" w:cs="宋体"/>
                <w:color w:val="auto"/>
                <w:kern w:val="0"/>
                <w:sz w:val="22"/>
                <w:szCs w:val="22"/>
                <w:highlight w:val="none"/>
                <w:lang w:val="en-US" w:eastAsia="zh-CN"/>
              </w:rPr>
              <w:t>标项1</w:t>
            </w:r>
            <w:r>
              <w:rPr>
                <w:rFonts w:hint="eastAsia" w:ascii="宋体" w:hAnsi="宋体" w:eastAsia="宋体" w:cs="宋体"/>
                <w:color w:val="auto"/>
                <w:kern w:val="0"/>
                <w:sz w:val="22"/>
                <w:szCs w:val="22"/>
                <w:highlight w:val="none"/>
              </w:rPr>
              <w:t>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sz w:val="22"/>
                <w:szCs w:val="22"/>
                <w:highlight w:val="none"/>
                <w:lang w:eastAsia="zh-CN"/>
              </w:rPr>
              <w:t>2022年温州市交管信控系统项目</w:t>
            </w:r>
          </w:p>
          <w:p>
            <w:pPr>
              <w:autoSpaceDE w:val="0"/>
              <w:autoSpaceDN w:val="0"/>
              <w:adjustRightInd w:val="0"/>
              <w:spacing w:line="360" w:lineRule="exact"/>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标项2</w:t>
            </w:r>
            <w:r>
              <w:rPr>
                <w:rFonts w:hint="eastAsia" w:ascii="宋体" w:hAnsi="宋体" w:eastAsia="宋体" w:cs="宋体"/>
                <w:color w:val="auto"/>
                <w:kern w:val="0"/>
                <w:sz w:val="22"/>
                <w:szCs w:val="22"/>
                <w:highlight w:val="none"/>
              </w:rPr>
              <w:t>名称</w:t>
            </w:r>
            <w:r>
              <w:rPr>
                <w:rFonts w:hint="eastAsia" w:ascii="宋体" w:hAnsi="宋体" w:cs="宋体"/>
                <w:color w:val="auto"/>
                <w:sz w:val="22"/>
                <w:szCs w:val="22"/>
                <w:highlight w:val="none"/>
                <w:lang w:val="en-US" w:eastAsia="zh-CN"/>
              </w:rPr>
              <w:t>：2022年温州市电子警察系统项目</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预算金额</w:t>
            </w:r>
            <w:r>
              <w:rPr>
                <w:rFonts w:hint="eastAsia" w:ascii="宋体" w:hAnsi="宋体" w:eastAsia="宋体" w:cs="宋体"/>
                <w:color w:val="auto"/>
                <w:kern w:val="0"/>
                <w:sz w:val="22"/>
                <w:szCs w:val="22"/>
                <w:highlight w:val="none"/>
              </w:rPr>
              <w:t>及资金来源</w:t>
            </w:r>
          </w:p>
        </w:tc>
        <w:tc>
          <w:tcPr>
            <w:tcW w:w="74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beforeAutospacing="0" w:afterAutospacing="0" w:line="360" w:lineRule="exact"/>
              <w:rPr>
                <w:rFonts w:hint="eastAsia" w:ascii="宋体" w:hAnsi="宋体" w:cs="宋体"/>
                <w:b/>
                <w:bCs/>
                <w:color w:val="auto"/>
                <w:kern w:val="0"/>
                <w:sz w:val="22"/>
                <w:szCs w:val="22"/>
                <w:highlight w:val="none"/>
                <w:u w:val="none"/>
                <w:lang w:val="en-US" w:eastAsia="zh-CN"/>
              </w:rPr>
            </w:pPr>
            <w:r>
              <w:rPr>
                <w:rFonts w:hint="eastAsia" w:ascii="宋体" w:hAnsi="宋体" w:eastAsia="宋体" w:cs="宋体"/>
                <w:b/>
                <w:bCs/>
                <w:color w:val="auto"/>
                <w:kern w:val="0"/>
                <w:sz w:val="22"/>
                <w:szCs w:val="22"/>
                <w:highlight w:val="none"/>
                <w:u w:val="none"/>
                <w:lang w:val="en-US" w:eastAsia="zh-CN"/>
              </w:rPr>
              <w:t>标项1名称</w:t>
            </w:r>
            <w:r>
              <w:rPr>
                <w:rFonts w:hint="eastAsia" w:ascii="宋体" w:hAnsi="宋体" w:cs="宋体"/>
                <w:b/>
                <w:bCs/>
                <w:color w:val="auto"/>
                <w:kern w:val="0"/>
                <w:sz w:val="22"/>
                <w:szCs w:val="22"/>
                <w:highlight w:val="none"/>
                <w:u w:val="none"/>
                <w:lang w:val="en-US" w:eastAsia="zh-CN"/>
              </w:rPr>
              <w:t>：2022年温州市交管信控系统项目</w:t>
            </w:r>
          </w:p>
          <w:p>
            <w:pPr>
              <w:pageBreakBefore w:val="0"/>
              <w:kinsoku/>
              <w:wordWrap/>
              <w:overflowPunct/>
              <w:topLinePunct w:val="0"/>
              <w:bidi w:val="0"/>
              <w:spacing w:beforeAutospacing="0" w:afterAutospacing="0" w:line="360" w:lineRule="exact"/>
              <w:rPr>
                <w:rFonts w:hint="eastAsia"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u w:val="single"/>
                <w:lang w:val="en-US" w:eastAsia="zh-CN"/>
              </w:rPr>
              <w:t>▲预算金额：</w:t>
            </w:r>
            <w:r>
              <w:rPr>
                <w:rFonts w:hint="eastAsia" w:ascii="宋体" w:hAnsi="宋体" w:cs="宋体"/>
                <w:color w:val="auto"/>
                <w:kern w:val="0"/>
                <w:sz w:val="22"/>
                <w:szCs w:val="22"/>
                <w:highlight w:val="none"/>
                <w:u w:val="single"/>
                <w:lang w:val="en-US" w:eastAsia="zh-CN"/>
              </w:rPr>
              <w:t>116707</w:t>
            </w:r>
            <w:r>
              <w:rPr>
                <w:rFonts w:hint="eastAsia" w:ascii="宋体" w:hAnsi="宋体" w:eastAsia="宋体" w:cs="宋体"/>
                <w:color w:val="auto"/>
                <w:kern w:val="0"/>
                <w:sz w:val="22"/>
                <w:szCs w:val="22"/>
                <w:highlight w:val="none"/>
                <w:u w:val="single"/>
                <w:lang w:val="en-US" w:eastAsia="zh-CN"/>
              </w:rPr>
              <w:t>50元，最高限价：</w:t>
            </w:r>
            <w:r>
              <w:rPr>
                <w:rFonts w:hint="eastAsia" w:ascii="宋体" w:hAnsi="宋体" w:cs="宋体"/>
                <w:color w:val="auto"/>
                <w:kern w:val="0"/>
                <w:sz w:val="22"/>
                <w:szCs w:val="22"/>
                <w:highlight w:val="none"/>
                <w:u w:val="single"/>
                <w:lang w:val="en-US" w:eastAsia="zh-CN"/>
              </w:rPr>
              <w:t>11667750</w:t>
            </w:r>
            <w:r>
              <w:rPr>
                <w:rFonts w:hint="eastAsia" w:ascii="宋体" w:hAnsi="宋体" w:eastAsia="宋体" w:cs="宋体"/>
                <w:color w:val="auto"/>
                <w:kern w:val="0"/>
                <w:sz w:val="22"/>
                <w:szCs w:val="22"/>
                <w:highlight w:val="none"/>
                <w:u w:val="single"/>
                <w:lang w:val="en-US" w:eastAsia="zh-CN"/>
              </w:rPr>
              <w:t>元。其中SCATS信号项目系统设备部分</w:t>
            </w:r>
            <w:r>
              <w:rPr>
                <w:rFonts w:hint="eastAsia" w:ascii="宋体" w:hAnsi="宋体" w:cs="宋体"/>
                <w:color w:val="auto"/>
                <w:kern w:val="0"/>
                <w:sz w:val="22"/>
                <w:szCs w:val="22"/>
                <w:highlight w:val="none"/>
                <w:u w:val="single"/>
                <w:lang w:val="en-US" w:eastAsia="zh-CN"/>
              </w:rPr>
              <w:t>最高限价</w:t>
            </w:r>
            <w:r>
              <w:rPr>
                <w:rFonts w:hint="eastAsia" w:ascii="宋体" w:hAnsi="宋体" w:eastAsia="宋体" w:cs="宋体"/>
                <w:color w:val="auto"/>
                <w:kern w:val="0"/>
                <w:sz w:val="22"/>
                <w:szCs w:val="22"/>
                <w:highlight w:val="none"/>
                <w:u w:val="single"/>
                <w:lang w:val="en-US" w:eastAsia="zh-CN"/>
              </w:rPr>
              <w:t>金额8344250元；SCATS信号项目基础土建部分</w:t>
            </w:r>
            <w:r>
              <w:rPr>
                <w:rFonts w:hint="eastAsia" w:ascii="宋体" w:hAnsi="宋体" w:cs="宋体"/>
                <w:color w:val="auto"/>
                <w:kern w:val="0"/>
                <w:sz w:val="22"/>
                <w:szCs w:val="22"/>
                <w:highlight w:val="none"/>
                <w:u w:val="single"/>
                <w:lang w:val="en-US" w:eastAsia="zh-CN"/>
              </w:rPr>
              <w:t>最高限价</w:t>
            </w:r>
            <w:r>
              <w:rPr>
                <w:rFonts w:hint="eastAsia" w:ascii="宋体" w:hAnsi="宋体" w:eastAsia="宋体" w:cs="宋体"/>
                <w:color w:val="auto"/>
                <w:kern w:val="0"/>
                <w:sz w:val="22"/>
                <w:szCs w:val="22"/>
                <w:highlight w:val="none"/>
                <w:u w:val="single"/>
                <w:lang w:val="en-US" w:eastAsia="zh-CN"/>
              </w:rPr>
              <w:t>金额</w:t>
            </w:r>
            <w:r>
              <w:rPr>
                <w:rFonts w:hint="eastAsia" w:ascii="宋体" w:hAnsi="宋体" w:cs="宋体"/>
                <w:color w:val="auto"/>
                <w:kern w:val="0"/>
                <w:sz w:val="22"/>
                <w:szCs w:val="22"/>
                <w:highlight w:val="none"/>
                <w:u w:val="single"/>
                <w:lang w:val="en-US" w:eastAsia="zh-CN"/>
              </w:rPr>
              <w:t>3323500</w:t>
            </w:r>
            <w:r>
              <w:rPr>
                <w:rFonts w:hint="eastAsia" w:ascii="宋体" w:hAnsi="宋体" w:eastAsia="宋体" w:cs="宋体"/>
                <w:color w:val="auto"/>
                <w:kern w:val="0"/>
                <w:sz w:val="22"/>
                <w:szCs w:val="22"/>
                <w:highlight w:val="none"/>
                <w:u w:val="single"/>
                <w:lang w:val="en-US" w:eastAsia="zh-CN"/>
              </w:rPr>
              <w:t>元(决算价格报财政部门核算后，按实结算)；如投标人报价超过对应</w:t>
            </w:r>
            <w:r>
              <w:rPr>
                <w:rFonts w:hint="eastAsia" w:ascii="宋体" w:hAnsi="宋体" w:cs="宋体"/>
                <w:color w:val="auto"/>
                <w:kern w:val="0"/>
                <w:sz w:val="22"/>
                <w:szCs w:val="22"/>
                <w:highlight w:val="none"/>
                <w:u w:val="single"/>
                <w:lang w:val="en-US" w:eastAsia="zh-CN"/>
              </w:rPr>
              <w:t>最高限价</w:t>
            </w:r>
            <w:r>
              <w:rPr>
                <w:rFonts w:hint="eastAsia" w:ascii="宋体" w:hAnsi="宋体" w:eastAsia="宋体" w:cs="宋体"/>
                <w:color w:val="auto"/>
                <w:kern w:val="0"/>
                <w:sz w:val="22"/>
                <w:szCs w:val="22"/>
                <w:highlight w:val="none"/>
                <w:u w:val="single"/>
                <w:lang w:val="en-US" w:eastAsia="zh-CN"/>
              </w:rPr>
              <w:t>金额的投标无效。</w:t>
            </w:r>
          </w:p>
          <w:p>
            <w:pPr>
              <w:autoSpaceDE w:val="0"/>
              <w:autoSpaceDN w:val="0"/>
              <w:adjustRightInd w:val="0"/>
              <w:spacing w:line="360" w:lineRule="exact"/>
              <w:rPr>
                <w:rFonts w:hint="eastAsia" w:ascii="宋体" w:hAnsi="宋体" w:eastAsia="宋体" w:cs="宋体"/>
                <w:b/>
                <w:bCs/>
                <w:color w:val="auto"/>
                <w:kern w:val="0"/>
                <w:sz w:val="22"/>
                <w:szCs w:val="22"/>
                <w:highlight w:val="none"/>
                <w:u w:val="none"/>
                <w:lang w:val="en-US" w:eastAsia="zh-CN"/>
              </w:rPr>
            </w:pPr>
            <w:r>
              <w:rPr>
                <w:rFonts w:hint="eastAsia" w:ascii="宋体" w:hAnsi="宋体" w:eastAsia="宋体" w:cs="宋体"/>
                <w:b/>
                <w:bCs/>
                <w:color w:val="auto"/>
                <w:kern w:val="0"/>
                <w:sz w:val="22"/>
                <w:szCs w:val="22"/>
                <w:highlight w:val="none"/>
                <w:u w:val="none"/>
                <w:lang w:val="en-US" w:eastAsia="zh-CN"/>
              </w:rPr>
              <w:t>标项</w:t>
            </w:r>
            <w:r>
              <w:rPr>
                <w:rFonts w:hint="eastAsia" w:ascii="宋体" w:hAnsi="宋体" w:cs="宋体"/>
                <w:b/>
                <w:bCs/>
                <w:color w:val="auto"/>
                <w:kern w:val="0"/>
                <w:sz w:val="22"/>
                <w:szCs w:val="22"/>
                <w:highlight w:val="none"/>
                <w:u w:val="none"/>
                <w:lang w:val="en-US" w:eastAsia="zh-CN"/>
              </w:rPr>
              <w:t>2</w:t>
            </w:r>
            <w:r>
              <w:rPr>
                <w:rFonts w:hint="eastAsia" w:ascii="宋体" w:hAnsi="宋体" w:eastAsia="宋体" w:cs="宋体"/>
                <w:b/>
                <w:bCs/>
                <w:color w:val="auto"/>
                <w:kern w:val="0"/>
                <w:sz w:val="22"/>
                <w:szCs w:val="22"/>
                <w:highlight w:val="none"/>
                <w:u w:val="none"/>
                <w:lang w:val="en-US" w:eastAsia="zh-CN"/>
              </w:rPr>
              <w:t>名称：2022年温州市电子警察系统项目</w:t>
            </w:r>
          </w:p>
          <w:p>
            <w:pPr>
              <w:autoSpaceDE w:val="0"/>
              <w:autoSpaceDN w:val="0"/>
              <w:adjustRightInd w:val="0"/>
              <w:spacing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▲预算金额：86</w:t>
            </w:r>
            <w:r>
              <w:rPr>
                <w:rFonts w:hint="eastAsia" w:ascii="宋体" w:hAnsi="宋体" w:eastAsia="宋体" w:cs="宋体"/>
                <w:color w:val="auto"/>
                <w:kern w:val="0"/>
                <w:sz w:val="22"/>
                <w:szCs w:val="22"/>
                <w:highlight w:val="none"/>
                <w:u w:val="single"/>
                <w:lang w:val="en-US" w:eastAsia="zh-CN"/>
              </w:rPr>
              <w:t>1</w:t>
            </w:r>
            <w:r>
              <w:rPr>
                <w:rFonts w:hint="eastAsia" w:ascii="宋体" w:hAnsi="宋体" w:eastAsia="宋体" w:cs="宋体"/>
                <w:color w:val="auto"/>
                <w:kern w:val="0"/>
                <w:sz w:val="22"/>
                <w:szCs w:val="22"/>
                <w:highlight w:val="none"/>
                <w:u w:val="single"/>
              </w:rPr>
              <w:t>2698元。报价超过预算金额的投标无效</w:t>
            </w:r>
            <w:r>
              <w:rPr>
                <w:rFonts w:hint="eastAsia" w:ascii="宋体" w:hAnsi="宋体" w:eastAsia="宋体" w:cs="宋体"/>
                <w:color w:val="auto"/>
                <w:kern w:val="0"/>
                <w:sz w:val="22"/>
                <w:szCs w:val="22"/>
                <w:highlight w:val="none"/>
              </w:rPr>
              <w:t>。</w:t>
            </w:r>
          </w:p>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采购资金来源：财政拨款。</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采购需求</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详见第五部分</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5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投标报价</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1.投标报价是指一次性报出不得更改的价格；</w:t>
            </w:r>
          </w:p>
          <w:p>
            <w:pPr>
              <w:adjustRightInd w:val="0"/>
              <w:snapToGrid w:val="0"/>
              <w:spacing w:line="360" w:lineRule="exact"/>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w:t>
            </w:r>
            <w:r>
              <w:rPr>
                <w:rFonts w:hint="eastAsia" w:ascii="宋体" w:hAnsi="宋体" w:eastAsia="宋体" w:cs="宋体"/>
                <w:b/>
                <w:color w:val="auto"/>
                <w:sz w:val="22"/>
                <w:szCs w:val="22"/>
                <w:highlight w:val="none"/>
              </w:rPr>
              <w:t>采用人民币报价。</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5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投标费用</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不论投标结果如何，投标人均应自行承担所有与投标有关的全部费用。</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投标人资质格要求</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详见投标邀请书</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是否接受联合体投标</w:t>
            </w:r>
          </w:p>
        </w:tc>
        <w:tc>
          <w:tcPr>
            <w:tcW w:w="74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接受，但必须满足以下条件：</w:t>
            </w:r>
          </w:p>
          <w:p>
            <w:pPr>
              <w:adjustRightInd w:val="0"/>
              <w:snapToGrid w:val="0"/>
              <w:spacing w:line="360" w:lineRule="exact"/>
              <w:jc w:val="left"/>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1.只允许两个的自然人、法人或者其他组织可以组成一个联合体，以一个投标人的身份共同参加政府采购。</w:t>
            </w:r>
          </w:p>
          <w:p>
            <w:pPr>
              <w:adjustRightInd w:val="0"/>
              <w:snapToGrid w:val="0"/>
              <w:spacing w:line="360" w:lineRule="exact"/>
              <w:jc w:val="left"/>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360" w:lineRule="exact"/>
              <w:jc w:val="left"/>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pPr>
              <w:adjustRightInd w:val="0"/>
              <w:snapToGrid w:val="0"/>
              <w:spacing w:line="360" w:lineRule="exact"/>
              <w:jc w:val="left"/>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4.联合体中有同类资质的供应商按照联合体分工承担相同工作的，按照资质等级较低的供应商确定资质等级。</w:t>
            </w:r>
          </w:p>
          <w:p>
            <w:pPr>
              <w:adjustRightInd w:val="0"/>
              <w:snapToGrid w:val="0"/>
              <w:spacing w:line="360" w:lineRule="exact"/>
              <w:jc w:val="left"/>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5.联合体各方指定其中一家企业为牵头人，由牵头人之法定代表人或其委托代理人为联合体授权代表执行联合体有关的决议，以联合体名义处理与本项目相关的事务。</w:t>
            </w:r>
          </w:p>
          <w:p>
            <w:pPr>
              <w:adjustRightInd w:val="0"/>
              <w:snapToGrid w:val="0"/>
              <w:spacing w:line="360" w:lineRule="exact"/>
              <w:jc w:val="left"/>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6.以联合体形式参加采购活动的，联合体各方不得再单独参加或者与其他供应商另外组成联合体参加同一合同项下的采购活动。</w:t>
            </w:r>
          </w:p>
          <w:p>
            <w:pPr>
              <w:autoSpaceDE w:val="0"/>
              <w:autoSpaceDN w:val="0"/>
              <w:adjustRightInd w:val="0"/>
              <w:spacing w:line="360" w:lineRule="exact"/>
              <w:jc w:val="left"/>
              <w:rPr>
                <w:rFonts w:hint="eastAsia" w:ascii="宋体" w:hAnsi="宋体" w:eastAsia="宋体" w:cs="宋体"/>
                <w:color w:val="auto"/>
                <w:kern w:val="0"/>
                <w:sz w:val="22"/>
                <w:szCs w:val="22"/>
                <w:highlight w:val="none"/>
                <w:lang w:val="zh-CN"/>
              </w:rPr>
            </w:pPr>
            <w:r>
              <w:rPr>
                <w:rFonts w:hint="eastAsia" w:ascii="宋体" w:hAnsi="宋体" w:eastAsia="宋体" w:cs="宋体"/>
                <w:b/>
                <w:bCs/>
                <w:snapToGrid w:val="0"/>
                <w:color w:val="auto"/>
                <w:sz w:val="22"/>
                <w:szCs w:val="22"/>
                <w:highlight w:val="none"/>
              </w:rPr>
              <w:t>7.投标文件中需要签章或签字的内容（资格文件等其他另有要求的除外）可只需加盖联合体牵头人有效公章及联合体牵头人授权代表（或其法定代表人）签字或盖章。</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不</w:t>
            </w:r>
            <w:r>
              <w:rPr>
                <w:rFonts w:hint="eastAsia" w:ascii="宋体" w:hAnsi="宋体" w:eastAsia="宋体" w:cs="宋体"/>
                <w:color w:val="auto"/>
                <w:kern w:val="0"/>
                <w:sz w:val="22"/>
                <w:szCs w:val="22"/>
                <w:highlight w:val="none"/>
              </w:rPr>
              <w:t>组织</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不召开</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分包和转包</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zh-CN"/>
              </w:rPr>
              <w:t>本项目不允许转包</w:t>
            </w:r>
          </w:p>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en-US" w:eastAsia="zh-CN"/>
              </w:rPr>
              <w:t>2.分包</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kern w:val="0"/>
                <w:sz w:val="22"/>
                <w:szCs w:val="22"/>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投标有效期</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从提交投标文件的截止时间之日起90天。</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5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投标文件形式、制作及组成</w:t>
            </w:r>
          </w:p>
        </w:tc>
        <w:tc>
          <w:tcPr>
            <w:tcW w:w="7419" w:type="dxa"/>
            <w:tcBorders>
              <w:top w:val="single" w:color="auto" w:sz="4" w:space="0"/>
              <w:left w:val="single" w:color="auto" w:sz="4" w:space="0"/>
              <w:bottom w:val="single" w:color="auto" w:sz="4" w:space="0"/>
              <w:right w:val="single" w:color="auto" w:sz="4" w:space="0"/>
            </w:tcBorders>
            <w:vAlign w:val="center"/>
          </w:tcPr>
          <w:p>
            <w:pPr>
              <w:pStyle w:val="16"/>
              <w:snapToGri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本项目实行网上电子投标。</w:t>
            </w:r>
          </w:p>
          <w:p>
            <w:pPr>
              <w:pStyle w:val="16"/>
              <w:snapToGri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投标人应准备电子投标文件、以介质存储的数据电文形式的备份投标文件二类：</w:t>
            </w:r>
          </w:p>
          <w:p>
            <w:pPr>
              <w:pStyle w:val="16"/>
              <w:snapToGrid w:val="0"/>
              <w:spacing w:line="3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（1）电子投标文件：通过政采云电子交易客户端（政采云投标客户端）完成投标文件编制后生成并加密的数据电文形式的投标文件（文件扩展名为.jmbs）1份</w:t>
            </w:r>
            <w:r>
              <w:rPr>
                <w:rFonts w:hint="eastAsia" w:ascii="宋体" w:hAnsi="宋体" w:eastAsia="宋体" w:cs="宋体"/>
                <w:b/>
                <w:bCs/>
                <w:color w:val="auto"/>
                <w:sz w:val="22"/>
                <w:szCs w:val="22"/>
                <w:highlight w:val="none"/>
                <w:lang w:val="zh-CN"/>
              </w:rPr>
              <w:t>。</w:t>
            </w:r>
          </w:p>
          <w:p>
            <w:pPr>
              <w:spacing w:line="3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（2）以介质存储的数据电文形式的备份投标文件（如有）：</w:t>
            </w:r>
            <w:r>
              <w:rPr>
                <w:rStyle w:val="34"/>
                <w:rFonts w:hint="eastAsia" w:ascii="宋体" w:hAnsi="宋体" w:eastAsia="宋体" w:cs="宋体"/>
                <w:bCs/>
                <w:color w:val="auto"/>
                <w:sz w:val="22"/>
                <w:szCs w:val="22"/>
                <w:highlight w:val="none"/>
              </w:rPr>
              <w:t>与“电子投标文件”同时生成的数据电文形式的备份投标文件(文件扩展名为.bfbs)</w:t>
            </w:r>
            <w:r>
              <w:rPr>
                <w:rFonts w:hint="eastAsia" w:ascii="宋体" w:hAnsi="宋体" w:eastAsia="宋体" w:cs="宋体"/>
                <w:b/>
                <w:bCs/>
                <w:color w:val="auto"/>
                <w:sz w:val="22"/>
                <w:szCs w:val="22"/>
                <w:highlight w:val="none"/>
              </w:rPr>
              <w:t>，投标文件提交截止时间前以</w:t>
            </w:r>
            <w:r>
              <w:rPr>
                <w:rFonts w:hint="eastAsia" w:ascii="宋体" w:hAnsi="宋体" w:eastAsia="宋体" w:cs="宋体"/>
                <w:b/>
                <w:bCs/>
                <w:color w:val="auto"/>
                <w:sz w:val="22"/>
                <w:szCs w:val="22"/>
                <w:highlight w:val="none"/>
                <w:lang w:val="zh-CN"/>
              </w:rPr>
              <w:t>电子邮件方式传送至浙江乐诚工程咨询有限公司电子邮箱</w:t>
            </w:r>
            <w:r>
              <w:rPr>
                <w:rFonts w:hint="eastAsia" w:ascii="宋体" w:hAnsi="宋体" w:eastAsia="宋体" w:cs="宋体"/>
                <w:b/>
                <w:bCs/>
                <w:color w:val="auto"/>
                <w:sz w:val="22"/>
                <w:szCs w:val="22"/>
                <w:highlight w:val="none"/>
                <w:lang w:eastAsia="zh-CN"/>
              </w:rPr>
              <w:t>2812799762</w:t>
            </w:r>
            <w:r>
              <w:rPr>
                <w:rFonts w:hint="eastAsia" w:ascii="宋体" w:hAnsi="宋体" w:eastAsia="宋体" w:cs="宋体"/>
                <w:b/>
                <w:bCs/>
                <w:color w:val="auto"/>
                <w:sz w:val="22"/>
                <w:szCs w:val="22"/>
                <w:highlight w:val="none"/>
              </w:rPr>
              <w:t>@qq.com，</w:t>
            </w:r>
            <w:r>
              <w:rPr>
                <w:rFonts w:hint="eastAsia" w:ascii="宋体" w:hAnsi="宋体" w:eastAsia="宋体" w:cs="宋体"/>
                <w:b/>
                <w:bCs/>
                <w:color w:val="auto"/>
                <w:sz w:val="22"/>
                <w:szCs w:val="22"/>
                <w:highlight w:val="none"/>
                <w:lang w:val="zh-CN"/>
              </w:rPr>
              <w:t>递交</w:t>
            </w: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zh-CN"/>
              </w:rPr>
              <w:t>份</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传送的备份投标文件需打包压缩并加密</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加密密码由投标人自行保管</w:t>
            </w:r>
            <w:r>
              <w:rPr>
                <w:rFonts w:hint="eastAsia" w:ascii="宋体" w:hAnsi="宋体" w:eastAsia="宋体" w:cs="宋体"/>
                <w:b/>
                <w:bCs/>
                <w:color w:val="auto"/>
                <w:sz w:val="22"/>
                <w:szCs w:val="22"/>
                <w:highlight w:val="none"/>
              </w:rPr>
              <w:t>，未加密导致投标信息泄露的风险由投标人自行承担</w:t>
            </w:r>
            <w:r>
              <w:rPr>
                <w:rStyle w:val="34"/>
                <w:rFonts w:hint="eastAsia" w:ascii="宋体" w:hAnsi="宋体" w:eastAsia="宋体" w:cs="宋体"/>
                <w:bCs/>
                <w:color w:val="auto"/>
                <w:sz w:val="22"/>
                <w:szCs w:val="22"/>
                <w:highlight w:val="none"/>
              </w:rPr>
              <w:t>。</w:t>
            </w:r>
          </w:p>
          <w:p>
            <w:pPr>
              <w:pStyle w:val="16"/>
              <w:snapToGri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投标文件由报价文件、资格文件、商务和技术文件三部分组成。</w:t>
            </w:r>
          </w:p>
          <w:p>
            <w:pPr>
              <w:pStyle w:val="16"/>
              <w:snapToGrid w:val="0"/>
              <w:spacing w:line="360" w:lineRule="exact"/>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rPr>
              <w:t>注：中标人在领取中标通知书时按采购人要求提供全套纸质投标文件贰份。</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p>
        </w:tc>
        <w:tc>
          <w:tcPr>
            <w:tcW w:w="158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rPr>
              <w:t>电子招投标特殊情况处理方式</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本项目原则上采用政采云电子招投标开标及评审程序，但有下情形之一的，按以下情况处理：</w:t>
            </w:r>
          </w:p>
          <w:p>
            <w:pPr>
              <w:spacing w:line="360" w:lineRule="exact"/>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评审小组的组建</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lang w:val="zh-CN"/>
              </w:rPr>
              <w:t>评审小组成员由采购人代表和有关技术、经济等方面的专家组成，有关技术、经济等方面的专家成员人数为</w:t>
            </w: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lang w:val="zh-CN"/>
              </w:rPr>
              <w:t>人及以上单数，除采购人代表外的专家将按有关规定随机抽取产生。</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评审地点</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浙江省温州市鹿城区温州市民中心A座3楼评审室</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中小企业预留份额情况</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根据《政府采购促进中小企业发展管理办法》财库〔2020〕46号文件的规定，本项目不属于预留份额专门面向中小企业采购的项目。</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所属行业及标的名称</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1.中小企业划分标准所属行业（具体根据《中小企业划型标准规定》执行）</w:t>
            </w:r>
          </w:p>
          <w:p>
            <w:pPr>
              <w:autoSpaceDE w:val="0"/>
              <w:autoSpaceDN w:val="0"/>
              <w:adjustRightInd w:val="0"/>
              <w:spacing w:line="360" w:lineRule="exact"/>
              <w:ind w:firstLine="31"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所属行业</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信息传输业</w:t>
            </w:r>
          </w:p>
          <w:p>
            <w:pPr>
              <w:autoSpaceDE w:val="0"/>
              <w:autoSpaceDN w:val="0"/>
              <w:adjustRightInd w:val="0"/>
              <w:spacing w:line="360" w:lineRule="exact"/>
              <w:ind w:firstLine="31"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划分标准</w:t>
            </w:r>
            <w:r>
              <w:rPr>
                <w:rFonts w:hint="eastAsia" w:ascii="宋体" w:hAnsi="宋体" w:eastAsia="宋体" w:cs="宋体"/>
                <w:color w:val="auto"/>
                <w:sz w:val="22"/>
                <w:szCs w:val="22"/>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utoSpaceDE w:val="0"/>
              <w:autoSpaceDN w:val="0"/>
              <w:adjustRightInd w:val="0"/>
              <w:spacing w:line="360" w:lineRule="exact"/>
              <w:ind w:firstLine="31"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标的名称</w:t>
            </w:r>
            <w:r>
              <w:rPr>
                <w:rFonts w:hint="eastAsia" w:ascii="宋体" w:hAnsi="宋体" w:eastAsia="宋体" w:cs="宋体"/>
                <w:color w:val="auto"/>
                <w:sz w:val="22"/>
                <w:szCs w:val="22"/>
                <w:highlight w:val="none"/>
                <w:lang w:eastAsia="zh-CN"/>
              </w:rPr>
              <w:t>：</w:t>
            </w:r>
          </w:p>
          <w:p>
            <w:pPr>
              <w:autoSpaceDE w:val="0"/>
              <w:autoSpaceDN w:val="0"/>
              <w:adjustRightInd w:val="0"/>
              <w:spacing w:line="360" w:lineRule="exact"/>
              <w:ind w:firstLine="31" w:firstLineChars="0"/>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lang w:val="en-US" w:eastAsia="zh-CN"/>
              </w:rPr>
              <w:t>标项 1：</w:t>
            </w:r>
            <w:r>
              <w:rPr>
                <w:rFonts w:hint="eastAsia" w:ascii="宋体" w:hAnsi="宋体" w:eastAsia="宋体" w:cs="宋体"/>
                <w:b w:val="0"/>
                <w:bCs w:val="0"/>
                <w:color w:val="auto"/>
                <w:sz w:val="22"/>
                <w:szCs w:val="22"/>
                <w:highlight w:val="none"/>
              </w:rPr>
              <w:t>SCATS</w:t>
            </w:r>
            <w:r>
              <w:rPr>
                <w:rFonts w:hint="eastAsia" w:ascii="宋体" w:hAnsi="宋体" w:eastAsia="宋体" w:cs="宋体"/>
                <w:color w:val="auto"/>
                <w:sz w:val="22"/>
                <w:szCs w:val="22"/>
                <w:highlight w:val="none"/>
              </w:rPr>
              <w:t>集中协调式信号机(16灯组，含机箱)</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集中协调控制软件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信号灯倒计时芯片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光网设备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路口工业级交换机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防雷器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稳压器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区域控制主机、车辆特征智能识别及检索系统</w:t>
            </w:r>
            <w:r>
              <w:rPr>
                <w:rFonts w:hint="eastAsia" w:ascii="宋体" w:hAnsi="宋体" w:eastAsia="宋体" w:cs="宋体"/>
                <w:color w:val="auto"/>
                <w:sz w:val="22"/>
                <w:szCs w:val="22"/>
                <w:highlight w:val="none"/>
                <w:lang w:eastAsia="zh-CN"/>
              </w:rPr>
              <w:t>。</w:t>
            </w:r>
          </w:p>
          <w:p>
            <w:pPr>
              <w:autoSpaceDE w:val="0"/>
              <w:autoSpaceDN w:val="0"/>
              <w:adjustRightInd w:val="0"/>
              <w:spacing w:line="360" w:lineRule="exact"/>
              <w:ind w:firstLine="31" w:firstLineChars="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highlight w:val="none"/>
                <w:lang w:val="en-US" w:eastAsia="zh-CN"/>
              </w:rPr>
              <w:t>标项2：</w:t>
            </w:r>
            <w:r>
              <w:rPr>
                <w:rFonts w:hint="eastAsia" w:ascii="宋体" w:hAnsi="宋体" w:eastAsia="宋体" w:cs="宋体"/>
                <w:color w:val="auto"/>
                <w:sz w:val="22"/>
                <w:highlight w:val="none"/>
              </w:rPr>
              <w:t>900万像素环保/生态电警抓拍单元</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900万像素环保/生态卡口抓拍单元</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环保一体灯</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路口终端服务器</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红绿灯信号检测器</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磁盘阵列1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含</w:t>
            </w:r>
            <w:r>
              <w:rPr>
                <w:rFonts w:hint="eastAsia" w:ascii="宋体" w:hAnsi="宋体" w:eastAsia="宋体" w:cs="宋体"/>
                <w:color w:val="auto"/>
                <w:sz w:val="22"/>
                <w:highlight w:val="none"/>
              </w:rPr>
              <w:t>8T专用硬盘</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磁盘阵列2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含</w:t>
            </w:r>
            <w:r>
              <w:rPr>
                <w:rFonts w:hint="eastAsia" w:ascii="宋体" w:hAnsi="宋体" w:eastAsia="宋体" w:cs="宋体"/>
                <w:color w:val="auto"/>
                <w:sz w:val="22"/>
                <w:highlight w:val="none"/>
              </w:rPr>
              <w:t>8T专用硬盘</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无线传输模块</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移动电警路口存储</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光纤收发器</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8口工业级交换机</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智能网络箱</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光纤接入ONU</w:t>
            </w:r>
            <w:r>
              <w:rPr>
                <w:rFonts w:hint="eastAsia" w:ascii="宋体" w:hAnsi="宋体" w:eastAsia="宋体" w:cs="宋体"/>
                <w:color w:val="auto"/>
                <w:sz w:val="22"/>
                <w:highlight w:val="none"/>
                <w:lang w:eastAsia="zh-CN"/>
              </w:rPr>
              <w:t>、</w:t>
            </w:r>
            <w:r>
              <w:rPr>
                <w:rFonts w:hint="eastAsia" w:ascii="宋体" w:hAnsi="宋体" w:eastAsia="宋体" w:cs="宋体"/>
                <w:color w:val="auto"/>
                <w:kern w:val="0"/>
                <w:sz w:val="22"/>
                <w:highlight w:val="none"/>
                <w:lang w:bidi="ar"/>
              </w:rPr>
              <w:t>卡口图片人脸智能识别预警模块服务器</w:t>
            </w:r>
            <w:r>
              <w:rPr>
                <w:rFonts w:hint="eastAsia" w:ascii="宋体" w:hAnsi="宋体" w:eastAsia="宋体" w:cs="宋体"/>
                <w:color w:val="auto"/>
                <w:kern w:val="0"/>
                <w:sz w:val="22"/>
                <w:highlight w:val="none"/>
                <w:lang w:eastAsia="zh-CN" w:bidi="ar"/>
              </w:rPr>
              <w:t>、</w:t>
            </w:r>
            <w:r>
              <w:rPr>
                <w:rFonts w:hint="eastAsia" w:ascii="宋体" w:hAnsi="宋体" w:eastAsia="宋体" w:cs="宋体"/>
                <w:color w:val="auto"/>
                <w:kern w:val="0"/>
                <w:sz w:val="22"/>
                <w:highlight w:val="none"/>
                <w:lang w:bidi="ar"/>
              </w:rPr>
              <w:t>卡口图片人脸智能识别预警模块</w:t>
            </w:r>
            <w:r>
              <w:rPr>
                <w:rFonts w:hint="eastAsia" w:ascii="宋体" w:hAnsi="宋体" w:eastAsia="宋体" w:cs="宋体"/>
                <w:color w:val="auto"/>
                <w:kern w:val="0"/>
                <w:sz w:val="22"/>
                <w:highlight w:val="none"/>
                <w:lang w:eastAsia="zh-CN" w:bidi="ar"/>
              </w:rPr>
              <w:t>、</w:t>
            </w:r>
            <w:r>
              <w:rPr>
                <w:rFonts w:hint="eastAsia" w:ascii="宋体" w:hAnsi="宋体" w:eastAsia="宋体" w:cs="宋体"/>
                <w:color w:val="auto"/>
                <w:sz w:val="22"/>
                <w:highlight w:val="none"/>
              </w:rPr>
              <w:t>1200万像素抓拍单元1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非机动车管控终端1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非机动车红绿灯信号检测器1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1200万像素抓拍单元2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非机动车管控终端2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非机动车红绿灯信号检测器2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非机动车大数据服务器</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电动自行车违法管理系统开发</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微信安全记分管理系统</w:t>
            </w:r>
            <w:r>
              <w:rPr>
                <w:rFonts w:hint="eastAsia" w:ascii="宋体" w:hAnsi="宋体" w:eastAsia="宋体" w:cs="宋体"/>
                <w:color w:val="auto"/>
                <w:sz w:val="22"/>
                <w:highlight w:val="none"/>
                <w:lang w:eastAsia="zh-CN"/>
              </w:rPr>
              <w:t>。</w:t>
            </w:r>
          </w:p>
          <w:p>
            <w:pPr>
              <w:numPr>
                <w:ilvl w:val="0"/>
                <w:numId w:val="2"/>
              </w:numPr>
              <w:autoSpaceDE w:val="0"/>
              <w:autoSpaceDN w:val="0"/>
              <w:adjustRightInd w:val="0"/>
              <w:spacing w:line="360" w:lineRule="exact"/>
              <w:ind w:firstLine="31"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核心产品：</w:t>
            </w:r>
          </w:p>
          <w:p>
            <w:pPr>
              <w:numPr>
                <w:ilvl w:val="0"/>
                <w:numId w:val="0"/>
              </w:numPr>
              <w:autoSpaceDE w:val="0"/>
              <w:autoSpaceDN w:val="0"/>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标项1：</w:t>
            </w:r>
            <w:r>
              <w:rPr>
                <w:rFonts w:hint="eastAsia" w:ascii="宋体" w:hAnsi="宋体" w:eastAsia="宋体" w:cs="宋体"/>
                <w:color w:val="auto"/>
                <w:sz w:val="22"/>
                <w:szCs w:val="22"/>
                <w:highlight w:val="none"/>
              </w:rPr>
              <w:t>SCATS集中协调式信号机(16灯组，含机箱)</w:t>
            </w:r>
          </w:p>
          <w:p>
            <w:pPr>
              <w:numPr>
                <w:ilvl w:val="0"/>
                <w:numId w:val="0"/>
              </w:numPr>
              <w:autoSpaceDE w:val="0"/>
              <w:autoSpaceDN w:val="0"/>
              <w:adjustRightInd w:val="0"/>
              <w:spacing w:line="360" w:lineRule="exac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highlight w:val="none"/>
                <w:lang w:val="en-US" w:eastAsia="zh-CN"/>
              </w:rPr>
              <w:t>标项</w:t>
            </w:r>
            <w:r>
              <w:rPr>
                <w:rFonts w:hint="eastAsia" w:ascii="宋体" w:hAnsi="宋体" w:cs="宋体"/>
                <w:b/>
                <w:bCs/>
                <w:color w:val="auto"/>
                <w:sz w:val="22"/>
                <w:highlight w:val="none"/>
                <w:lang w:val="en-US" w:eastAsia="zh-CN"/>
              </w:rPr>
              <w:t>2</w:t>
            </w:r>
            <w:r>
              <w:rPr>
                <w:rFonts w:hint="eastAsia" w:ascii="宋体" w:hAnsi="宋体" w:eastAsia="宋体" w:cs="宋体"/>
                <w:b/>
                <w:bCs/>
                <w:color w:val="auto"/>
                <w:sz w:val="22"/>
                <w:highlight w:val="none"/>
                <w:lang w:val="en-US" w:eastAsia="zh-CN"/>
              </w:rPr>
              <w:t>：</w:t>
            </w:r>
            <w:r>
              <w:rPr>
                <w:rFonts w:hint="eastAsia" w:ascii="宋体" w:hAnsi="宋体" w:eastAsia="宋体" w:cs="宋体"/>
                <w:color w:val="auto"/>
                <w:sz w:val="22"/>
                <w:highlight w:val="none"/>
              </w:rPr>
              <w:t>900万像素环保/生态电警抓拍单元</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22</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评标办法及评分标准</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综合评分法，详见第六部分  评标原则及方法。</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23</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snapToGrid w:val="0"/>
                <w:color w:val="auto"/>
                <w:kern w:val="2"/>
                <w:sz w:val="22"/>
                <w:szCs w:val="22"/>
                <w:highlight w:val="none"/>
                <w:lang w:val="en-US" w:eastAsia="zh-CN" w:bidi="ar-SA"/>
              </w:rPr>
            </w:pPr>
            <w:r>
              <w:rPr>
                <w:rFonts w:hint="eastAsia" w:ascii="宋体" w:hAnsi="宋体" w:eastAsia="宋体" w:cs="宋体"/>
                <w:color w:val="auto"/>
                <w:sz w:val="22"/>
                <w:szCs w:val="22"/>
                <w:highlight w:val="none"/>
              </w:rPr>
              <w:t>中标公告及中标通知书</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firstLineChars="0"/>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color w:val="auto"/>
                <w:sz w:val="22"/>
                <w:szCs w:val="22"/>
                <w:highlight w:val="none"/>
              </w:rPr>
              <w:t>评标结束后中标公告发布于浙江政府采购网，并向中标人发出中标通知书。</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合同签订</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0"/>
                <w:sz w:val="22"/>
                <w:szCs w:val="22"/>
                <w:highlight w:val="none"/>
              </w:rPr>
              <w:t>中标人须在中标通知书发出之日起30日历天内与采购人签订合同。</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26</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电子投标注意事项</w:t>
            </w:r>
          </w:p>
        </w:tc>
        <w:tc>
          <w:tcPr>
            <w:tcW w:w="7419" w:type="dxa"/>
            <w:tcBorders>
              <w:top w:val="single" w:color="auto" w:sz="4" w:space="0"/>
              <w:left w:val="single" w:color="auto" w:sz="4" w:space="0"/>
              <w:bottom w:val="single" w:color="auto" w:sz="4" w:space="0"/>
              <w:right w:val="single" w:color="auto" w:sz="4" w:space="0"/>
            </w:tcBorders>
            <w:vAlign w:val="center"/>
          </w:tcPr>
          <w:p>
            <w:pPr>
              <w:pStyle w:val="42"/>
              <w:numPr>
                <w:ilvl w:val="0"/>
                <w:numId w:val="3"/>
              </w:num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投标人必须先在政府采购云平台进行登记注册，相关事宜请参照（《供应商网上注册操作指南》“浙江政府采购网首页-办事指南-注册-投标人注册申请”），登录政府采购云平台后台依法进行网上自主下载。</w:t>
            </w:r>
          </w:p>
          <w:p>
            <w:pPr>
              <w:pStyle w:val="42"/>
              <w:numPr>
                <w:ilvl w:val="0"/>
                <w:numId w:val="3"/>
              </w:num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实行电子投标，应按照本项目招标文件和政采云平台的要求编制、加密并递交投标文件。投标人在使用系统进行投标的过程中遇到涉及平台使用的任何问题，可致电政采云平台技术支持热线咨询，联系方式：400-881-7190。</w:t>
            </w:r>
          </w:p>
          <w:p>
            <w:pPr>
              <w:pStyle w:val="42"/>
              <w:numPr>
                <w:ilvl w:val="0"/>
                <w:numId w:val="3"/>
              </w:num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"https://service.zcygov.cn/" \l "/knowledges/cm2eqWwBFdiHxlNd_otq/lwV6GXABiyELHE-oVMj3?keyword。" </w:instrText>
            </w:r>
            <w:r>
              <w:rPr>
                <w:rFonts w:hint="eastAsia" w:ascii="宋体" w:hAnsi="宋体" w:eastAsia="宋体" w:cs="宋体"/>
                <w:color w:val="auto"/>
                <w:sz w:val="22"/>
                <w:szCs w:val="22"/>
                <w:highlight w:val="none"/>
              </w:rPr>
              <w:fldChar w:fldCharType="separate"/>
            </w:r>
            <w:r>
              <w:rPr>
                <w:rStyle w:val="37"/>
                <w:rFonts w:hint="eastAsia" w:ascii="宋体" w:hAnsi="宋体" w:eastAsia="宋体" w:cs="宋体"/>
                <w:color w:val="auto"/>
                <w:sz w:val="22"/>
                <w:szCs w:val="22"/>
                <w:highlight w:val="none"/>
              </w:rPr>
              <w:t>https://service.zcygov.cn/#/knowledges/cm2eqWwBFdiHxlNd_otq/lwV6GXABiyELHE-oVMj3?keyword。</w:t>
            </w:r>
            <w:r>
              <w:rPr>
                <w:rStyle w:val="37"/>
                <w:rFonts w:hint="eastAsia" w:ascii="宋体" w:hAnsi="宋体" w:eastAsia="宋体" w:cs="宋体"/>
                <w:color w:val="auto"/>
                <w:sz w:val="22"/>
                <w:szCs w:val="22"/>
                <w:highlight w:val="none"/>
              </w:rPr>
              <w:fldChar w:fldCharType="end"/>
            </w:r>
          </w:p>
          <w:p>
            <w:pPr>
              <w:pStyle w:val="42"/>
              <w:numPr>
                <w:ilvl w:val="0"/>
                <w:numId w:val="3"/>
              </w:numPr>
              <w:spacing w:line="36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w:t>
            </w:r>
          </w:p>
          <w:p>
            <w:pPr>
              <w:pStyle w:val="42"/>
              <w:numPr>
                <w:ilvl w:val="0"/>
                <w:numId w:val="3"/>
              </w:numPr>
              <w:spacing w:line="360" w:lineRule="exact"/>
              <w:rPr>
                <w:rFonts w:hint="eastAsia" w:ascii="宋体" w:hAnsi="宋体" w:eastAsia="宋体" w:cs="宋体"/>
                <w:b/>
                <w:color w:val="auto"/>
                <w:sz w:val="22"/>
                <w:szCs w:val="22"/>
                <w:highlight w:val="none"/>
                <w:lang w:val="zh-CN" w:eastAsia="zh-CN" w:bidi="ar-SA"/>
              </w:rPr>
            </w:pPr>
            <w:r>
              <w:rPr>
                <w:rFonts w:hint="eastAsia" w:ascii="宋体" w:hAnsi="宋体" w:eastAsia="宋体" w:cs="宋体"/>
                <w:color w:val="auto"/>
                <w:sz w:val="22"/>
                <w:szCs w:val="22"/>
                <w:highlight w:val="none"/>
              </w:rPr>
              <w:t>投标人可通过浙江省</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电子交易</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不见面开评标</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学习专题提前进行专题学习</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熟悉操作</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避免影响采购活动</w:t>
            </w:r>
            <w:r>
              <w:rPr>
                <w:rFonts w:hint="eastAsia" w:ascii="宋体" w:hAnsi="宋体" w:eastAsia="宋体" w:cs="宋体"/>
                <w:color w:val="auto"/>
                <w:sz w:val="22"/>
                <w:szCs w:val="22"/>
                <w:highlight w:val="none"/>
                <w:lang w:val="en-US"/>
              </w:rPr>
              <w:t>（https://edu.zcygov.cn/luban/e-biding）</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rPr>
              <w:t> </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27</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其它</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1.公开招标公告属于本招标文件的一部分</w:t>
            </w:r>
          </w:p>
          <w:p>
            <w:pPr>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2.请务必确保投标文件制作客户端为最新版本，旧版本可能导致投标文件解密失败。</w:t>
            </w:r>
          </w:p>
          <w:p>
            <w:pPr>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3.请务必确保投标文件制作时所用的 CA 锁与投标文件解密时的 CA 锁为同一把，否则可能导致投标文件解密失败。</w:t>
            </w:r>
          </w:p>
          <w:p>
            <w:pPr>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4.在投标文件解密前，请务必检验 CA 锁与所用电脑的兼容性，部分电脑因 CA 驱动未正常安装、USB 接口兼容性差等原因可能造成投标文件解密失败。</w:t>
            </w:r>
          </w:p>
          <w:p>
            <w:pPr>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5.投标人未按招标文件规定及提醒操作的，引起的一切后果由投标人自行负责。</w:t>
            </w:r>
          </w:p>
          <w:p>
            <w:pPr>
              <w:spacing w:line="360" w:lineRule="exact"/>
              <w:rPr>
                <w:rFonts w:hint="eastAsia" w:ascii="宋体" w:hAnsi="宋体" w:eastAsia="宋体" w:cs="宋体"/>
                <w:b/>
                <w:bCs/>
                <w:color w:val="auto"/>
                <w:sz w:val="22"/>
                <w:szCs w:val="22"/>
                <w:highlight w:val="none"/>
                <w:lang w:val="en-US"/>
              </w:rPr>
            </w:pPr>
            <w:r>
              <w:rPr>
                <w:rFonts w:hint="eastAsia" w:ascii="宋体" w:hAnsi="宋体" w:eastAsia="宋体" w:cs="宋体"/>
                <w:b/>
                <w:bCs/>
                <w:color w:val="auto"/>
                <w:sz w:val="22"/>
                <w:szCs w:val="22"/>
                <w:highlight w:val="none"/>
                <w:lang w:val="en-US"/>
              </w:rPr>
              <w:t>6.</w:t>
            </w:r>
            <w:r>
              <w:rPr>
                <w:rFonts w:hint="eastAsia" w:ascii="宋体" w:hAnsi="宋体" w:eastAsia="宋体" w:cs="宋体"/>
                <w:b/>
                <w:bCs/>
                <w:color w:val="auto"/>
                <w:sz w:val="22"/>
                <w:szCs w:val="22"/>
                <w:highlight w:val="none"/>
              </w:rPr>
              <w:t>客户端填写的</w:t>
            </w:r>
            <w:r>
              <w:rPr>
                <w:rFonts w:hint="eastAsia" w:ascii="宋体" w:hAnsi="宋体" w:eastAsia="宋体" w:cs="宋体"/>
                <w:b/>
                <w:bCs/>
                <w:color w:val="auto"/>
                <w:sz w:val="22"/>
                <w:szCs w:val="22"/>
                <w:highlight w:val="none"/>
                <w:lang w:eastAsia="zh-CN"/>
              </w:rPr>
              <w:t>内容</w:t>
            </w:r>
            <w:r>
              <w:rPr>
                <w:rFonts w:hint="eastAsia" w:ascii="宋体" w:hAnsi="宋体" w:eastAsia="宋体" w:cs="宋体"/>
                <w:b/>
                <w:bCs/>
                <w:color w:val="auto"/>
                <w:sz w:val="22"/>
                <w:szCs w:val="22"/>
                <w:highlight w:val="none"/>
              </w:rPr>
              <w:t>与以pdf格式上传文件中不一致的，应以Pdf格式上传文件中的</w:t>
            </w:r>
            <w:r>
              <w:rPr>
                <w:rFonts w:hint="eastAsia" w:ascii="宋体" w:hAnsi="宋体" w:eastAsia="宋体" w:cs="宋体"/>
                <w:b/>
                <w:bCs/>
                <w:color w:val="auto"/>
                <w:sz w:val="22"/>
                <w:szCs w:val="22"/>
                <w:highlight w:val="none"/>
                <w:lang w:eastAsia="zh-CN"/>
              </w:rPr>
              <w:t>内容</w:t>
            </w:r>
            <w:r>
              <w:rPr>
                <w:rFonts w:hint="eastAsia" w:ascii="宋体" w:hAnsi="宋体" w:eastAsia="宋体" w:cs="宋体"/>
                <w:b/>
                <w:bCs/>
                <w:color w:val="auto"/>
                <w:sz w:val="22"/>
                <w:szCs w:val="22"/>
                <w:highlight w:val="none"/>
              </w:rPr>
              <w:t>为准。</w:t>
            </w:r>
          </w:p>
          <w:p>
            <w:pPr>
              <w:pStyle w:val="42"/>
              <w:spacing w:line="360" w:lineRule="exact"/>
              <w:rPr>
                <w:rFonts w:hint="eastAsia" w:ascii="宋体" w:hAnsi="宋体" w:eastAsia="宋体" w:cs="宋体"/>
                <w:color w:val="auto"/>
                <w:sz w:val="22"/>
                <w:szCs w:val="22"/>
                <w:highlight w:val="none"/>
                <w:lang w:val="zh-CN" w:eastAsia="zh-CN" w:bidi="ar-SA"/>
              </w:rPr>
            </w:pPr>
            <w:r>
              <w:rPr>
                <w:rFonts w:hint="eastAsia" w:ascii="宋体" w:hAnsi="宋体" w:eastAsia="宋体" w:cs="宋体"/>
                <w:b/>
                <w:color w:val="auto"/>
                <w:sz w:val="22"/>
                <w:szCs w:val="22"/>
                <w:highlight w:val="none"/>
                <w:lang w:val="en-US" w:eastAsia="zh-CN"/>
              </w:rPr>
              <w:t>7.</w:t>
            </w:r>
            <w:r>
              <w:rPr>
                <w:rFonts w:hint="eastAsia" w:ascii="宋体" w:hAnsi="宋体" w:eastAsia="宋体" w:cs="宋体"/>
                <w:b/>
                <w:color w:val="auto"/>
                <w:sz w:val="22"/>
                <w:szCs w:val="22"/>
                <w:highlight w:val="none"/>
                <w:lang w:val="en-US"/>
              </w:rPr>
              <w:t>投标截止时间同</w:t>
            </w:r>
            <w:r>
              <w:rPr>
                <w:rStyle w:val="34"/>
                <w:rFonts w:hint="eastAsia" w:ascii="宋体" w:hAnsi="宋体" w:eastAsia="宋体" w:cs="宋体"/>
                <w:color w:val="auto"/>
                <w:sz w:val="22"/>
                <w:szCs w:val="22"/>
                <w:highlight w:val="none"/>
              </w:rPr>
              <w:t>提交投标文件截止时间。</w:t>
            </w:r>
          </w:p>
        </w:tc>
      </w:tr>
      <w:tr>
        <w:tblPrEx>
          <w:tblCellMar>
            <w:top w:w="0" w:type="dxa"/>
            <w:left w:w="108" w:type="dxa"/>
            <w:bottom w:w="0" w:type="dxa"/>
            <w:right w:w="108" w:type="dxa"/>
          </w:tblCellMar>
        </w:tblPrEx>
        <w:trPr>
          <w:trHeight w:val="34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采购人补充</w:t>
            </w:r>
          </w:p>
        </w:tc>
        <w:tc>
          <w:tcPr>
            <w:tcW w:w="74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pPr>
        <w:rPr>
          <w:rFonts w:hint="eastAsia" w:ascii="宋体" w:hAnsi="宋体" w:eastAsia="宋体" w:cs="宋体"/>
          <w:b/>
          <w:color w:val="auto"/>
          <w:sz w:val="28"/>
          <w:szCs w:val="28"/>
          <w:highlight w:val="none"/>
        </w:rPr>
      </w:pPr>
    </w:p>
    <w:p>
      <w:pPr>
        <w:pStyle w:val="16"/>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400" w:lineRule="exact"/>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  说明</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2.合格投标人</w:t>
      </w:r>
      <w:r>
        <w:rPr>
          <w:rFonts w:hint="eastAsia" w:ascii="宋体" w:hAnsi="宋体" w:eastAsia="宋体" w:cs="宋体"/>
          <w:color w:val="auto"/>
          <w:kern w:val="0"/>
          <w:sz w:val="22"/>
          <w:highlight w:val="none"/>
          <w:lang w:val="zh-CN"/>
        </w:rPr>
        <w:t>要求以招标公告及投标人须知前附表对投标人资格条件要求的表述为准。</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3.</w:t>
      </w:r>
      <w:r>
        <w:rPr>
          <w:rFonts w:hint="eastAsia" w:ascii="宋体" w:hAnsi="宋体" w:eastAsia="宋体" w:cs="宋体"/>
          <w:color w:val="auto"/>
          <w:sz w:val="22"/>
          <w:highlight w:val="none"/>
        </w:rPr>
        <w:t>投标人代表</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4.投标费用</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4.1投标人应承担所有与准备和参加投标有关费用，不论投标的结果如何，采购代理机构和采购人均无义务和责任承担这些费用。</w:t>
      </w:r>
    </w:p>
    <w:p>
      <w:pPr>
        <w:tabs>
          <w:tab w:val="left" w:pos="-180"/>
          <w:tab w:val="left" w:pos="180"/>
          <w:tab w:val="left" w:pos="360"/>
        </w:tabs>
        <w:spacing w:line="360" w:lineRule="exact"/>
        <w:ind w:firstLine="440" w:firstLineChars="200"/>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4.2中标人</w:t>
      </w:r>
      <w:r>
        <w:rPr>
          <w:rFonts w:hint="eastAsia" w:ascii="宋体" w:hAnsi="宋体" w:eastAsia="宋体" w:cs="宋体"/>
          <w:color w:val="auto"/>
          <w:spacing w:val="-6"/>
          <w:sz w:val="22"/>
          <w:highlight w:val="none"/>
        </w:rPr>
        <w:t>在收到中标通知书时向采购代理机构交纳采购代理服务费，收费标准</w:t>
      </w:r>
      <w:r>
        <w:rPr>
          <w:rFonts w:hint="eastAsia" w:ascii="宋体" w:hAnsi="宋体" w:eastAsia="宋体" w:cs="宋体"/>
          <w:color w:val="auto"/>
          <w:spacing w:val="-6"/>
          <w:sz w:val="22"/>
          <w:highlight w:val="none"/>
          <w:lang w:val="en-US" w:eastAsia="zh-CN"/>
        </w:rPr>
        <w:t>按以下</w:t>
      </w:r>
      <w:r>
        <w:rPr>
          <w:rFonts w:hint="eastAsia" w:ascii="宋体" w:hAnsi="宋体" w:eastAsia="宋体" w:cs="宋体"/>
          <w:b w:val="0"/>
          <w:bCs w:val="0"/>
          <w:color w:val="auto"/>
          <w:kern w:val="0"/>
          <w:sz w:val="22"/>
          <w:szCs w:val="22"/>
          <w:highlight w:val="none"/>
          <w:lang w:val="en-US" w:eastAsia="zh-CN" w:bidi="ar-SA"/>
        </w:rPr>
        <w:t>货物招标标准的2折收取</w:t>
      </w:r>
      <w:r>
        <w:rPr>
          <w:rFonts w:hint="eastAsia" w:ascii="宋体" w:hAnsi="宋体" w:eastAsia="宋体" w:cs="宋体"/>
          <w:color w:val="auto"/>
          <w:spacing w:val="-6"/>
          <w:sz w:val="22"/>
          <w:highlight w:val="none"/>
        </w:rPr>
        <w:t>（差额累进）：</w:t>
      </w:r>
    </w:p>
    <w:tbl>
      <w:tblPr>
        <w:tblStyle w:val="31"/>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13"/>
        <w:gridCol w:w="320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4384" behindDoc="0" locked="0" layoutInCell="1" allowOverlap="1">
                      <wp:simplePos x="0" y="0"/>
                      <wp:positionH relativeFrom="column">
                        <wp:posOffset>-11430</wp:posOffset>
                      </wp:positionH>
                      <wp:positionV relativeFrom="paragraph">
                        <wp:posOffset>60960</wp:posOffset>
                      </wp:positionV>
                      <wp:extent cx="1533525" cy="824865"/>
                      <wp:effectExtent l="1905" t="3810" r="7620" b="9525"/>
                      <wp:wrapNone/>
                      <wp:docPr id="3" name="组合 3"/>
                      <wp:cNvGraphicFramePr/>
                      <a:graphic xmlns:a="http://schemas.openxmlformats.org/drawingml/2006/main">
                        <a:graphicData uri="http://schemas.microsoft.com/office/word/2010/wordprocessingGroup">
                          <wpg:wgp>
                            <wpg:cNvGrpSpPr/>
                            <wpg:grpSpPr>
                              <a:xfrm>
                                <a:off x="0" y="0"/>
                                <a:ext cx="1533525" cy="824865"/>
                                <a:chOff x="1134" y="2331"/>
                                <a:chExt cx="2415" cy="1299"/>
                              </a:xfrm>
                            </wpg:grpSpPr>
                            <wps:wsp>
                              <wps:cNvPr id="1" name="直接连接符 1"/>
                              <wps:cNvCnPr/>
                              <wps:spPr>
                                <a:xfrm>
                                  <a:off x="1134" y="2694"/>
                                  <a:ext cx="2415" cy="936"/>
                                </a:xfrm>
                                <a:prstGeom prst="line">
                                  <a:avLst/>
                                </a:prstGeom>
                                <a:ln w="9525" cap="flat" cmpd="sng">
                                  <a:solidFill>
                                    <a:srgbClr val="000000"/>
                                  </a:solidFill>
                                  <a:prstDash val="solid"/>
                                  <a:headEnd type="none" w="med" len="med"/>
                                  <a:tailEnd type="none" w="med" len="med"/>
                                </a:ln>
                              </wps:spPr>
                              <wps:bodyPr upright="1"/>
                            </wps:wsp>
                            <wps:wsp>
                              <wps:cNvPr id="2" name="直接连接符 2"/>
                              <wps:cNvCnPr/>
                              <wps:spPr>
                                <a:xfrm>
                                  <a:off x="2079" y="2331"/>
                                  <a:ext cx="1470" cy="129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9pt;margin-top:4.8pt;height:64.95pt;width:120.75pt;z-index:251664384;mso-width-relative:page;mso-height-relative:page;" coordorigin="1134,2331" coordsize="2415,1299" o:gfxdata="UEsDBAoAAAAAAIdO4kAAAAAAAAAAAAAAAAAEAAAAZHJzL1BLAwQUAAAACACHTuJAsjMpuNkAAAAI AQAADwAAAGRycy9kb3ducmV2LnhtbE2PQUvDQBSE74L/YXmCt3azDa0mZlOkqKci2AribZt9TUKz b0N2m7T/3udJj8MMM98U64vrxIhDaD1pUPMEBFLlbUu1hs/96+wRRIiGrOk8oYYrBliXtzeFya2f 6APHXawFl1DIjYYmxj6XMlQNOhPmvkdi7+gHZyLLoZZ2MBOXu04ukmQlnWmJFxrT46bB6rQ7Ow1v k5meU/Uybk/HzfV7v3z/2irU+v5OJU8gIl7iXxh+8RkdSmY6+DPZIDoNM8XkUUO2AsH2Is0eQBw4 l2ZLkGUh/x8ofwBQSwMEFAAAAAgAh07iQIckHVaXAgAAJQcAAA4AAABkcnMvZTJvRG9jLnhtbO1V MY/TMBTekfgPlncuTdL22ujSG653tyA46eAH+BwnseTYlu027c7AhNiR2LiJkY2BXwPHz+DZSVuu B1IFEhMdXNvv+fl93/v8cnK6agRaMmO5kjmOjwYYMUlVwWWV45cvLp5MMLKOyIIIJVmO18zi09nj RyetzliiaiUKZhAEkTZrdY5r53QWRZbWrCH2SGkmwVgq0xAHS1NFhSEtRG9ElAwG46hVptBGUWYt 7M47I+4jmkMCqrLklM0VXTRMui6qYYI4gGRrri2ehWzLklH3vCwtc0jkGJC6MMIlML/xYzQ7IVll iK457VMgh6Swh6khXMKl21Bz4ghaGP4gVMOpUVaV7oiqJuqABEYARTzY4+bSqIUOWKqsrfSWdCjU Hut/HJY+W14ZxIscpxhJ0kDB7z6/+vr2NUo9N62uMnC5NPpaX5l+o+pWHu6qNI3/ByBoFVhdb1ll K4cobMajNB0lI4wo2CbJcDIedbTTGmrjj8VxOsQIrEmaxhvbeX88Gcb92TiZTr012twb+fS22bQa BGl3LNm/Y+m6JpoF8q2noGcp3rL07tO3Nx++f3kP493HWxTy9imA75nsubKZBdp+QdQO8Xg67BBv 6Nrhnabje3BJpo11l0w1yE9yLLj0GZKMLJ9a1zGzcfHbQqI2x9OOfAJvtYQ3AnVoNNTbyiqctUrw 4oIL4U9YU92cCYOWxL+X8OtTuOfmL5kTW3d+wdSBqBkpzmWB3FqDkiQ0EOxTaFiBkWDQb/wMEiWZ I1wc4gnFFhJq7qntyPSzG1WsoSILbXhVAxOB/eADCvCy/QdSSH4nhcQjPFgKyeB4uif+jRTi4TH0 Kf9sHkj/vxbCwzpAC6FJQPcMfaPv9L49/7wO+tp93WY/AF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AkFAABbQ29udGVudF9UeXBlc10ueG1sUEsB AhQACgAAAAAAh07iQAAAAAAAAAAAAAAAAAYAAAAAAAAAAAAQAAAA6wMAAF9yZWxzL1BLAQIUABQA AAAIAIdO4kCKFGY80QAAAJQBAAALAAAAAAAAAAEAIAAAAA8EAABfcmVscy8ucmVsc1BLAQIUAAoA AAAAAIdO4kAAAAAAAAAAAAAAAAAEAAAAAAAAAAAAEAAAAAAAAABkcnMvUEsBAhQAFAAAAAgAh07i QLIzKbjZAAAACAEAAA8AAAAAAAAAAQAgAAAAIgAAAGRycy9kb3ducmV2LnhtbFBLAQIUABQAAAAI AIdO4kCHJB1WlwIAACUHAAAOAAAAAAAAAAEAIAAAACgBAABkcnMvZTJvRG9jLnhtbFBLBQYAAAAA BgAGAFkBAAAxBgAAAAA= ">
                      <o:lock v:ext="edit" aspectratio="f"/>
                      <v:line id="_x0000_s1026" o:spid="_x0000_s1026" o:spt="20" style="position:absolute;left:1134;top:2694;height:936;width:2415;" filled="f" stroked="t" coordsize="21600,21600" o:gfxdata="UEsDBAoAAAAAAIdO4kAAAAAAAAAAAAAAAAAEAAAAZHJzL1BLAwQUAAAACACHTuJA+wCPhLsAAADa AAAADwAAAGRycy9kb3ducmV2LnhtbEVPTWvCQBC9F/oflin0InVXC0WimxyqgR68mCq9DtkxCc3O xuw2sf56N1DoaXi8z9lkV9uKgXrfONawmCsQxKUzDVcajp/5ywqED8gGW8ek4Zc8ZOnjwwYT40Y+ 0FCESsQQ9glqqEPoEil9WZNFP3cdceTOrrcYIuwraXocY7ht5VKpN2mx4dhQY0fvNZXfxY/V4PMT XfLbrJypr9fK0fKy3e9Q6+enhVqDCHQN/+I/94eJ82F6ZboyvQN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wCPhLsAAADa AAAADwAAAAAAAAABACAAAAAiAAAAZHJzL2Rvd25yZXYueG1sUEsBAhQAFAAAAAgAh07iQDMvBZ47 AAAAOQAAABAAAAAAAAAAAQAgAAAACgEAAGRycy9zaGFwZXhtbC54bWxQSwUGAAAAAAYABgBbAQAA tAMAAAAA ">
                        <v:fill on="f" focussize="0,0"/>
                        <v:stroke color="#000000" joinstyle="round"/>
                        <v:imagedata o:title=""/>
                        <o:lock v:ext="edit" aspectratio="f"/>
                      </v:line>
                      <v:line id="_x0000_s1026" o:spid="_x0000_s1026" o:spt="20" style="position:absolute;left:2079;top:2331;height:1299;width:1470;" filled="f" stroked="t" coordsize="21600,21600" o:gfxdata="UEsDBAoAAAAAAIdO4kAAAAAAAAAAAAAAAAAEAAAAZHJzL1BLAwQUAAAACACHTuJAC9IR87wAAADa AAAADwAAAGRycy9kb3ducmV2LnhtbEWPzYvCMBTE74L/Q3gLe5E1sYJIt9HDamEPe/ELr4/m2Rab l9rEj/WvN4LgcZiZ3zDZ/GYbcaHO1441jIYKBHHhTM2lhu0m/5qC8AHZYOOYNPyTh/ms38swNe7K K7qsQykihH2KGqoQ2lRKX1Rk0Q9dSxy9g+sshii7UpoOrxFuG5koNZEWa44LFbb0U1FxXJ+tBp/v 6JTfB8VA7celo+S0+Fui1p8fI/UNItAtvMOv9q/RkMDzSrwBcvYA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AvSEfO8AAAA 2gAAAA8AAAAAAAAAAQAgAAAAIgAAAGRycy9kb3ducmV2LnhtbFBLAQIUABQAAAAIAIdO4kAzLwWe OwAAADkAAAAQAAAAAAAAAAEAIAAAAAsBAABkcnMvc2hhcGV4bWwueG1sUEsFBgAAAAAGAAYAWwEA ALUDAAAAAA== ">
                        <v:fill on="f" focussize="0,0"/>
                        <v:stroke color="#000000" joinstyle="round"/>
                        <v:imagedata o:title=""/>
                        <o:lock v:ext="edit" aspectratio="f"/>
                      </v:line>
                    </v:group>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29210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3pt;height:0pt;width:0.05pt;z-index:251663360;mso-width-relative:page;mso-height-relative:page;" filled="f" stroked="t" coordsize="21600,21600" o:gfxdata="UEsDBAoAAAAAAIdO4kAAAAAAAAAAAAAAAAAEAAAAZHJzL1BLAwQUAAAACACHTuJANAMONdUAAAAH AQAADwAAAGRycy9kb3ducmV2LnhtbE2Py27CMBBF95X4B2uQukFgh1YopHFYtM2uG6BVt0M8JFHj cYjNo/36mm7o8uiO7j2Try62EycafOtYQzJTIIgrZ1quNbxvy2kKwgdkg51j0vBNHlbF6C7HzLgz r+m0CbWIJewz1NCE0GdS+qohi37meuKY7d1gMUQcamkGPMdy28m5UgtpseW40GBPzw1VX5uj1eDL DzqUP5Nqoj4fakfzw8vbK2p9P07UE4hAl3A7hqt+VIciOu3ckY0XXeRlGn8JGh4XIK75Mk1A7P5Y Frn871/8AlBLAwQUAAAACACHTuJAmPjF8PIBAADgAwAADgAAAGRycy9lMm9Eb2MueG1srVPNbhMx EL4j8Q6W72ST0FawyqaHhnJBEAl4gInt3bXkP3mcbPISvAASNzhx5M7btDwGY2/aQrnkwB684/H4 m/m+GS8u99awnYqovWv4bDLlTDnhpXZdwz9+uH72gjNM4CQY71TDDwr55fLpk8UQajX3vTdSRUYg DushNLxPKdRVhaJXFnDig3J02PpoIdE2dpWMMBC6NdV8Or2oBh9liF4oRPKuxkN+RIynAPq21UKt vNha5dKIGpWBRJSw1wH5slTbtkqkd22LKjHTcGKaykpJyN7ktVouoO4ihF6LYwlwSgmPOFnQjpLe Q60gAdtG/Q+U1SJ69G2aCG+rkUhRhFjMpo+0ed9DUIULSY3hXnT8f7Di7W4dmZYNP+PMgaWG337+ cfPp66+fX2i9/f6NnWWRhoA1xV65dTzuMKxjZrxvo81/4sL2RdjDvbBqn5gg58Xzc87Enb96uBQi ptfKW5aNhhvtMl+oYfcGEyWi0LuQ7DaODQ1/eT7PcEDD11LTybSBCKDryl30RstrbUy+gbHbXJnI dpAHoHyZDuH+FZaTrAD7Ma4cjaPRK5CvnGTpEEgaRy+C5xKskpwZRQ8oWwQIdQJtTomk1MZRBVnR UcNsbbw8UCO2IequJyVmpcp8Qo0v9R6HNE/Wn/uC9PAwl78B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YAQAAFtDb250ZW50X1R5cGVzXS54bWxQ SwECFAAKAAAAAACHTuJAAAAAAAAAAAAAAAAABgAAAAAAAAAAABAAAABCAwAAX3JlbHMvUEsBAhQA FAAAAAgAh07iQIoUZjzRAAAAlAEAAAsAAAAAAAAAAQAgAAAAZgMAAF9yZWxzLy5yZWxzUEsBAhQA CgAAAAAAh07iQAAAAAAAAAAAAAAAAAQAAAAAAAAAAAAQAAAAAAAAAGRycy9QSwECFAAUAAAACACH TuJANAMONdUAAAAHAQAADwAAAAAAAAABACAAAAAiAAAAZHJzL2Rvd25yZXYueG1sUEsBAhQAFAAA AAgAh07iQJj4xfDyAQAA4AMAAA4AAAAAAAAAAQAgAAAAJAEAAGRycy9lMm9Eb2MueG1sUEsFBgAA AAAGAAYAWQEAAIgFAAAAAA== ">
                      <v:fill on="f" focussize="0,0"/>
                      <v:stroke color="#000000" joinstyle="round"/>
                      <v:imagedata o:title=""/>
                      <o:lock v:ext="edit" aspectratio="f"/>
                    </v:line>
                  </w:pict>
                </mc:Fallback>
              </mc:AlternateContent>
            </w:r>
            <w:r>
              <w:rPr>
                <w:rFonts w:hint="eastAsia" w:ascii="宋体" w:hAnsi="宋体" w:eastAsia="宋体" w:cs="宋体"/>
                <w:color w:val="auto"/>
                <w:sz w:val="22"/>
                <w:szCs w:val="22"/>
                <w:highlight w:val="none"/>
              </w:rPr>
              <w:t xml:space="preserve">          服务类型</w:t>
            </w:r>
          </w:p>
          <w:p>
            <w:pPr>
              <w:spacing w:before="100" w:beforeAutospacing="1" w:after="100" w:afterAutospacing="1"/>
              <w:ind w:firstLine="1011" w:firstLineChars="4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费率</w:t>
            </w:r>
          </w:p>
          <w:p>
            <w:pPr>
              <w:spacing w:before="100" w:beforeAutospacing="1" w:after="100" w:afterAutospacing="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中标金额（万元）</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货物招标</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100以下</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100-500</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500-1000</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0.8%</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1000-5000</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5000-10000</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0.25%</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10000-100000</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0.05%</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1000000以上</w:t>
            </w:r>
          </w:p>
        </w:tc>
        <w:tc>
          <w:tcPr>
            <w:tcW w:w="32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0.01%</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837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b/>
                <w:bCs/>
                <w:color w:val="auto"/>
                <w:sz w:val="22"/>
                <w:szCs w:val="22"/>
                <w:highlight w:val="none"/>
              </w:rPr>
              <w:t>不足</w:t>
            </w:r>
            <w:r>
              <w:rPr>
                <w:rFonts w:hint="eastAsia" w:ascii="宋体" w:hAnsi="宋体" w:eastAsia="宋体" w:cs="宋体"/>
                <w:b/>
                <w:bCs/>
                <w:color w:val="auto"/>
                <w:sz w:val="22"/>
                <w:szCs w:val="22"/>
                <w:highlight w:val="none"/>
                <w:lang w:val="en-US" w:eastAsia="zh-CN"/>
              </w:rPr>
              <w:t>8</w:t>
            </w:r>
            <w:r>
              <w:rPr>
                <w:rFonts w:hint="eastAsia" w:ascii="宋体" w:hAnsi="宋体" w:eastAsia="宋体" w:cs="宋体"/>
                <w:b/>
                <w:bCs/>
                <w:color w:val="auto"/>
                <w:sz w:val="22"/>
                <w:szCs w:val="22"/>
                <w:highlight w:val="none"/>
              </w:rPr>
              <w:t>000.00的按</w:t>
            </w:r>
            <w:r>
              <w:rPr>
                <w:rFonts w:hint="eastAsia" w:ascii="宋体" w:hAnsi="宋体" w:eastAsia="宋体" w:cs="宋体"/>
                <w:b/>
                <w:bCs/>
                <w:color w:val="auto"/>
                <w:sz w:val="22"/>
                <w:szCs w:val="22"/>
                <w:highlight w:val="none"/>
                <w:lang w:val="en-US" w:eastAsia="zh-CN"/>
              </w:rPr>
              <w:t>8</w:t>
            </w:r>
            <w:r>
              <w:rPr>
                <w:rFonts w:hint="eastAsia" w:ascii="宋体" w:hAnsi="宋体" w:eastAsia="宋体" w:cs="宋体"/>
                <w:b/>
                <w:bCs/>
                <w:color w:val="auto"/>
                <w:sz w:val="22"/>
                <w:szCs w:val="22"/>
                <w:highlight w:val="none"/>
              </w:rPr>
              <w:t>000.00元收取</w:t>
            </w:r>
          </w:p>
        </w:tc>
      </w:tr>
    </w:tbl>
    <w:p>
      <w:pPr>
        <w:tabs>
          <w:tab w:val="left" w:pos="-180"/>
          <w:tab w:val="left" w:pos="180"/>
          <w:tab w:val="left" w:pos="360"/>
        </w:tabs>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请各投标人将采购代理服务费包含在投标总报价中</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但不单独列出。</w:t>
      </w:r>
      <w:r>
        <w:rPr>
          <w:rFonts w:hint="eastAsia" w:ascii="宋体" w:hAnsi="宋体" w:eastAsia="宋体" w:cs="宋体"/>
          <w:color w:val="auto"/>
          <w:sz w:val="22"/>
          <w:highlight w:val="none"/>
        </w:rPr>
        <w:t>采购代理服务费可以是现金、支票或汇票。</w:t>
      </w:r>
    </w:p>
    <w:p>
      <w:pPr>
        <w:tabs>
          <w:tab w:val="left" w:pos="360"/>
        </w:tabs>
        <w:spacing w:line="360" w:lineRule="exact"/>
        <w:ind w:firstLine="442" w:firstLineChars="200"/>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rPr>
        <w:t>采购代理服务费</w:t>
      </w:r>
      <w:r>
        <w:rPr>
          <w:rFonts w:hint="eastAsia" w:ascii="宋体" w:hAnsi="宋体" w:eastAsia="宋体" w:cs="宋体"/>
          <w:b/>
          <w:bCs/>
          <w:color w:val="auto"/>
          <w:sz w:val="22"/>
          <w:highlight w:val="none"/>
          <w:lang w:val="en-US" w:eastAsia="zh-CN"/>
        </w:rPr>
        <w:t>在报价明细中不单列，</w:t>
      </w:r>
    </w:p>
    <w:p>
      <w:pPr>
        <w:tabs>
          <w:tab w:val="left" w:pos="360"/>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5.信用记录：</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5.1.</w:t>
      </w:r>
      <w:r>
        <w:rPr>
          <w:rFonts w:hint="eastAsia" w:ascii="宋体" w:hAnsi="宋体" w:eastAsia="宋体" w:cs="宋体"/>
          <w:b/>
          <w:bCs/>
          <w:snapToGrid w:val="0"/>
          <w:color w:val="auto"/>
          <w:sz w:val="22"/>
          <w:highlight w:val="none"/>
        </w:rPr>
        <w:t>信用信息查询的截止时点为从本项目投标截止日往前追溯三年</w:t>
      </w:r>
      <w:r>
        <w:rPr>
          <w:rFonts w:hint="eastAsia" w:ascii="宋体" w:hAnsi="宋体" w:eastAsia="宋体" w:cs="宋体"/>
          <w:b/>
          <w:bCs/>
          <w:color w:val="auto"/>
          <w:spacing w:val="6"/>
          <w:sz w:val="22"/>
          <w:highlight w:val="none"/>
        </w:rPr>
        <w:t>；</w:t>
      </w:r>
    </w:p>
    <w:p>
      <w:pPr>
        <w:tabs>
          <w:tab w:val="left" w:pos="360"/>
        </w:tabs>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"https://www.creditchina.gov.cn/"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2"/>
          <w:highlight w:val="none"/>
        </w:rPr>
        <w:t>https://www.creditchina.gov.cn</w:t>
      </w:r>
      <w:r>
        <w:rPr>
          <w:rFonts w:hint="eastAsia" w:ascii="宋体" w:hAnsi="宋体" w:eastAsia="宋体" w:cs="宋体"/>
          <w:b/>
          <w:bCs/>
          <w:color w:val="auto"/>
          <w:spacing w:val="6"/>
          <w:sz w:val="22"/>
          <w:highlight w:val="none"/>
        </w:rPr>
        <w:fldChar w:fldCharType="end"/>
      </w:r>
      <w:r>
        <w:rPr>
          <w:rFonts w:hint="eastAsia" w:ascii="宋体" w:hAnsi="宋体" w:eastAsia="宋体" w:cs="宋体"/>
          <w:b/>
          <w:bCs/>
          <w:color w:val="auto"/>
          <w:spacing w:val="6"/>
          <w:sz w:val="2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2"/>
          <w:highlight w:val="none"/>
        </w:rPr>
        <w:t>http://www.ccgp.gov.cn</w:t>
      </w:r>
      <w:r>
        <w:rPr>
          <w:rFonts w:hint="eastAsia" w:ascii="宋体" w:hAnsi="宋体" w:eastAsia="宋体" w:cs="宋体"/>
          <w:b/>
          <w:bCs/>
          <w:color w:val="auto"/>
          <w:spacing w:val="6"/>
          <w:sz w:val="22"/>
          <w:highlight w:val="none"/>
        </w:rPr>
        <w:fldChar w:fldCharType="end"/>
      </w:r>
      <w:r>
        <w:rPr>
          <w:rFonts w:hint="eastAsia" w:ascii="宋体" w:hAnsi="宋体" w:eastAsia="宋体" w:cs="宋体"/>
          <w:b/>
          <w:bCs/>
          <w:color w:val="auto"/>
          <w:spacing w:val="6"/>
          <w:sz w:val="22"/>
          <w:highlight w:val="none"/>
        </w:rPr>
        <w:t>）”</w:t>
      </w:r>
      <w:r>
        <w:rPr>
          <w:rFonts w:hint="eastAsia" w:ascii="宋体" w:hAnsi="宋体" w:eastAsia="宋体" w:cs="宋体"/>
          <w:color w:val="auto"/>
          <w:sz w:val="22"/>
          <w:highlight w:val="none"/>
        </w:rPr>
        <w:t>；</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5.3.信用信息查询记录和证据留存具体方式：采购代理机构经办人或监督人员将查询网页打印与其他招标文件一并保存；</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5.4.信用信息的使用规则：投标人存在不良信用记录的，其投标将被作为投标无效被拒绝；</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不良信用记录指：被列入失信被执行人、重大税收违法案件当事人名单、政府采购严重违法失信行为记录名单。</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rPr>
        <w:t>联合体信用信息查询：联合体以一个投标人的身份共同参加政府采购活动的，应当对所有联合体成员进行信用记录查询，联合体成员存在不良信用记录的，视同联合体存在不良信用记录</w:t>
      </w:r>
      <w:r>
        <w:rPr>
          <w:rFonts w:hint="eastAsia" w:ascii="宋体" w:hAnsi="宋体" w:eastAsia="宋体" w:cs="宋体"/>
          <w:b/>
          <w:bCs/>
          <w:color w:val="auto"/>
          <w:sz w:val="22"/>
          <w:highlight w:val="none"/>
        </w:rPr>
        <w:t>。</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6.特别说明：</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6.1投标人应仔细阅读招标文件的所有内容，按照招标文件的要求提交投标文件，并对所提供的全部资料的真实性承担法律责任。</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6.4投标人在投标活动中提供任何虚假材料，其投标无效，并报监管部门查处；中标后发现的，中标人须依照《中华人民共和国消费者权益保护法》第</w:t>
      </w:r>
      <w:r>
        <w:rPr>
          <w:rFonts w:hint="eastAsia" w:ascii="宋体" w:hAnsi="宋体" w:eastAsia="宋体" w:cs="宋体"/>
          <w:b/>
          <w:bCs/>
          <w:color w:val="auto"/>
          <w:spacing w:val="6"/>
          <w:sz w:val="22"/>
          <w:highlight w:val="none"/>
          <w:lang w:val="en-US" w:eastAsia="zh-CN"/>
        </w:rPr>
        <w:t>55</w:t>
      </w:r>
      <w:r>
        <w:rPr>
          <w:rFonts w:hint="eastAsia" w:ascii="宋体" w:hAnsi="宋体" w:eastAsia="宋体" w:cs="宋体"/>
          <w:b/>
          <w:bCs/>
          <w:color w:val="auto"/>
          <w:spacing w:val="6"/>
          <w:sz w:val="22"/>
          <w:highlight w:val="none"/>
        </w:rPr>
        <w:t>条之规定</w:t>
      </w:r>
      <w:r>
        <w:rPr>
          <w:rFonts w:hint="eastAsia" w:ascii="宋体" w:hAnsi="宋体" w:eastAsia="宋体" w:cs="宋体"/>
          <w:b/>
          <w:bCs/>
          <w:color w:val="auto"/>
          <w:spacing w:val="6"/>
          <w:sz w:val="22"/>
          <w:highlight w:val="none"/>
          <w:lang w:eastAsia="zh-CN"/>
        </w:rPr>
        <w:t>三</w:t>
      </w:r>
      <w:r>
        <w:rPr>
          <w:rFonts w:hint="eastAsia" w:ascii="宋体" w:hAnsi="宋体" w:eastAsia="宋体" w:cs="宋体"/>
          <w:b/>
          <w:bCs/>
          <w:color w:val="auto"/>
          <w:spacing w:val="6"/>
          <w:sz w:val="22"/>
          <w:highlight w:val="none"/>
        </w:rPr>
        <w:t>倍赔偿采购人，且民事赔偿并不免除违法投标人的行政与刑事责任。</w:t>
      </w:r>
    </w:p>
    <w:p>
      <w:pPr>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7.采购项目需要落实的政府采购政策</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7.2 支持绿色发展</w:t>
      </w:r>
    </w:p>
    <w:p>
      <w:pPr>
        <w:snapToGrid w:val="0"/>
        <w:spacing w:line="360" w:lineRule="exact"/>
        <w:ind w:firstLine="442" w:firstLineChars="201"/>
        <w:rPr>
          <w:rFonts w:hint="eastAsia" w:ascii="宋体" w:hAnsi="宋体" w:eastAsia="宋体" w:cs="宋体"/>
          <w:b/>
          <w:color w:val="auto"/>
          <w:sz w:val="22"/>
          <w:highlight w:val="none"/>
        </w:rPr>
      </w:pPr>
      <w:r>
        <w:rPr>
          <w:rFonts w:hint="eastAsia" w:ascii="宋体" w:hAnsi="宋体" w:eastAsia="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color w:val="auto"/>
          <w:sz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7.2.</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7.3支持中小企业发展</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符合中小企业划分标准的个体工商户，在政府采购活动中视同中小企业。</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bCs/>
          <w:color w:val="auto"/>
          <w:sz w:val="22"/>
          <w:highlight w:val="none"/>
        </w:rPr>
        <w:t>7.3.2</w:t>
      </w:r>
      <w:r>
        <w:rPr>
          <w:rFonts w:hint="eastAsia" w:ascii="宋体" w:hAnsi="宋体" w:eastAsia="宋体" w:cs="宋体"/>
          <w:color w:val="auto"/>
          <w:kern w:val="0"/>
          <w:sz w:val="22"/>
          <w:highlight w:val="none"/>
        </w:rPr>
        <w:t>在政府采购活动中，投标人提供的货物、工程或者服务符合下列情形的，享受中小企业扶持政策：</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7.3.2.2在工程采购项目中，工程由中小企业承建，即工程施工单位为中小企业；</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7.3.7中小企业享受扶持政策获得政府采购合同的，小微企业不得将合同分包给大中型企业，中型企业不得将合同分包给大型企业。</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7.4</w:t>
      </w:r>
      <w:r>
        <w:rPr>
          <w:rFonts w:hint="eastAsia" w:ascii="宋体" w:hAnsi="宋体" w:eastAsia="宋体" w:cs="宋体"/>
          <w:bCs/>
          <w:color w:val="auto"/>
          <w:sz w:val="22"/>
          <w:highlight w:val="none"/>
        </w:rPr>
        <w:t>支持创新发展</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7.4.1采购人优先采购被认定为首台套产品和“制造精品”的自主创新产品。</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pPr>
        <w:pStyle w:val="30"/>
        <w:spacing w:line="360" w:lineRule="exact"/>
        <w:ind w:hanging="480"/>
        <w:rPr>
          <w:rFonts w:hint="eastAsia" w:ascii="宋体" w:hAnsi="宋体" w:eastAsia="宋体" w:cs="宋体"/>
          <w:color w:val="auto"/>
          <w:highlight w:val="none"/>
        </w:rPr>
      </w:pPr>
    </w:p>
    <w:p>
      <w:pPr>
        <w:pStyle w:val="17"/>
        <w:ind w:left="420"/>
        <w:rPr>
          <w:rFonts w:hint="eastAsia" w:ascii="宋体" w:hAnsi="宋体" w:eastAsia="宋体" w:cs="宋体"/>
          <w:color w:val="auto"/>
          <w:highlight w:val="none"/>
        </w:rPr>
      </w:pPr>
    </w:p>
    <w:p>
      <w:pPr>
        <w:spacing w:line="400" w:lineRule="exact"/>
        <w:ind w:firstLine="522" w:firstLineChars="200"/>
        <w:jc w:val="center"/>
        <w:rPr>
          <w:rFonts w:hint="eastAsia" w:ascii="宋体" w:hAnsi="宋体" w:eastAsia="宋体" w:cs="宋体"/>
          <w:b/>
          <w:color w:val="auto"/>
          <w:sz w:val="26"/>
          <w:highlight w:val="none"/>
        </w:rPr>
      </w:pPr>
      <w:r>
        <w:rPr>
          <w:rFonts w:hint="eastAsia" w:ascii="宋体" w:hAnsi="宋体" w:eastAsia="宋体" w:cs="宋体"/>
          <w:b/>
          <w:color w:val="auto"/>
          <w:sz w:val="26"/>
          <w:highlight w:val="none"/>
        </w:rPr>
        <w:t>二、招标文件</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2.质疑</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（一）投标人的姓名或者名称、地址、邮编、联系人及联系方式；</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（二）质疑项目的名称、编号；</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（三）具体、明确的质疑事项和与质疑事项相关的请求；</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（四）事实依据；</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（五）必要的法律依据；</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（六）提出质疑的日期。</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投标人为自然人的，应当由本人签字；投标人为法人或者其他组织的，应当由法定代表人、主要负责人，或者其授权代表签字或者盖章，并加盖电子签章。</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2.3提出质疑的投标人应当是参与本项目招标活动的投标人。</w:t>
      </w:r>
      <w:r>
        <w:rPr>
          <w:rFonts w:hint="eastAsia" w:ascii="宋体" w:hAnsi="宋体" w:eastAsia="宋体" w:cs="宋体"/>
          <w:b/>
          <w:bCs/>
          <w:color w:val="auto"/>
          <w:spacing w:val="6"/>
          <w:sz w:val="22"/>
          <w:highlight w:val="none"/>
        </w:rPr>
        <w:t>投标人在法定质疑期内一次性提出针对同一采购程序环节的质疑。</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投诉人有下列行为之一的，属于虚假、恶意投诉，由财政部门列入不良行为记录名单，禁止其1至3年内参加政府采购活动：</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（一）捏造事实；</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（二）提供虚假材料；</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3.投诉</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djustRightInd w:val="0"/>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以联合体形式参加政府采购活动的，其质疑或投诉应当由组成联合体的所有供应商共同提出。</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4.澄清或修改</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4.1采购人或者采购代理机构可以对已发出的招标文件进行必要的澄清或者修改。澄清或者修改</w:t>
      </w:r>
      <w:r>
        <w:rPr>
          <w:rStyle w:val="34"/>
          <w:rFonts w:hint="eastAsia" w:ascii="宋体" w:hAnsi="宋体" w:eastAsia="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eastAsia="宋体" w:cs="宋体"/>
          <w:color w:val="auto"/>
          <w:spacing w:val="6"/>
          <w:sz w:val="22"/>
          <w:highlight w:val="none"/>
        </w:rPr>
        <w:t>澄清或者修改的内容为招标文件的组成部分。</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4.2澄清或者修改的内容可能影响投标文件编制的，采购人或者采购代理机构应当在投标文件提交截止时间至少15日前，以书面形式（</w:t>
      </w:r>
      <w:r>
        <w:rPr>
          <w:rStyle w:val="34"/>
          <w:rFonts w:hint="eastAsia" w:ascii="宋体" w:hAnsi="宋体" w:eastAsia="宋体" w:cs="宋体"/>
          <w:b w:val="0"/>
          <w:color w:val="auto"/>
          <w:sz w:val="22"/>
          <w:highlight w:val="none"/>
        </w:rPr>
        <w:t>在浙江政府采购网上发布公告</w:t>
      </w:r>
      <w:r>
        <w:rPr>
          <w:rFonts w:hint="eastAsia" w:ascii="宋体" w:hAnsi="宋体" w:eastAsia="宋体" w:cs="宋体"/>
          <w:color w:val="auto"/>
          <w:spacing w:val="6"/>
          <w:sz w:val="22"/>
          <w:highlight w:val="none"/>
        </w:rPr>
        <w:t>）通知所有获取招标文件的潜在投标人；不足15日的，采购人或者采购代理机构应当顺延提交投标文件的截止时间。</w:t>
      </w:r>
    </w:p>
    <w:p>
      <w:pPr>
        <w:spacing w:line="400" w:lineRule="exact"/>
        <w:ind w:firstLine="522" w:firstLineChars="200"/>
        <w:jc w:val="center"/>
        <w:rPr>
          <w:rFonts w:hint="eastAsia" w:ascii="宋体" w:hAnsi="宋体" w:eastAsia="宋体" w:cs="宋体"/>
          <w:b/>
          <w:color w:val="auto"/>
          <w:sz w:val="26"/>
          <w:highlight w:val="none"/>
        </w:rPr>
      </w:pPr>
    </w:p>
    <w:p>
      <w:pPr>
        <w:spacing w:line="400" w:lineRule="exact"/>
        <w:ind w:firstLine="522" w:firstLineChars="200"/>
        <w:jc w:val="center"/>
        <w:rPr>
          <w:rFonts w:hint="eastAsia" w:ascii="宋体" w:hAnsi="宋体" w:eastAsia="宋体" w:cs="宋体"/>
          <w:color w:val="auto"/>
          <w:sz w:val="22"/>
          <w:highlight w:val="none"/>
        </w:rPr>
      </w:pPr>
      <w:r>
        <w:rPr>
          <w:rFonts w:hint="eastAsia" w:ascii="宋体" w:hAnsi="宋体" w:eastAsia="宋体" w:cs="宋体"/>
          <w:b/>
          <w:color w:val="auto"/>
          <w:sz w:val="26"/>
          <w:highlight w:val="none"/>
        </w:rPr>
        <w:t>三、 投标文件的编制</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1.投标文件的形式</w:t>
      </w:r>
    </w:p>
    <w:p>
      <w:pPr>
        <w:pStyle w:val="16"/>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投标文件分为电子投标文件以及备份投标文件，备份文件为以介质存储的数据电文形式的备份投标文件。</w:t>
      </w:r>
    </w:p>
    <w:p>
      <w:pPr>
        <w:spacing w:line="360" w:lineRule="exact"/>
        <w:ind w:firstLine="442" w:firstLineChars="200"/>
        <w:rPr>
          <w:rFonts w:hint="eastAsia" w:ascii="宋体" w:hAnsi="宋体" w:eastAsia="宋体" w:cs="宋体"/>
          <w:color w:val="auto"/>
          <w:kern w:val="0"/>
          <w:sz w:val="22"/>
          <w:highlight w:val="none"/>
        </w:rPr>
      </w:pPr>
      <w:r>
        <w:rPr>
          <w:rFonts w:hint="eastAsia" w:ascii="宋体" w:hAnsi="宋体" w:eastAsia="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eastAsia="宋体" w:cs="宋体"/>
          <w:color w:val="auto"/>
          <w:kern w:val="0"/>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1.2以介质存储的数据电文形式的备份投标文件：</w:t>
      </w:r>
      <w:r>
        <w:rPr>
          <w:rStyle w:val="34"/>
          <w:rFonts w:hint="eastAsia" w:ascii="宋体" w:hAnsi="宋体" w:eastAsia="宋体" w:cs="宋体"/>
          <w:bCs/>
          <w:color w:val="auto"/>
          <w:sz w:val="22"/>
          <w:highlight w:val="none"/>
        </w:rPr>
        <w:t>与“电子投标文件”同时生成的数据电文形式的备份投标文件</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文件扩展名为</w:t>
      </w:r>
      <w:r>
        <w:rPr>
          <w:rFonts w:hint="eastAsia" w:ascii="宋体" w:hAnsi="宋体" w:eastAsia="宋体" w:cs="宋体"/>
          <w:b/>
          <w:bCs/>
          <w:color w:val="auto"/>
          <w:sz w:val="22"/>
          <w:highlight w:val="none"/>
        </w:rPr>
        <w:t>.bfbs)，</w:t>
      </w:r>
      <w:r>
        <w:rPr>
          <w:rFonts w:hint="eastAsia" w:ascii="宋体" w:hAnsi="宋体" w:eastAsia="宋体" w:cs="宋体"/>
          <w:b/>
          <w:bCs/>
          <w:color w:val="auto"/>
          <w:sz w:val="22"/>
          <w:highlight w:val="none"/>
          <w:lang w:val="zh-CN"/>
        </w:rPr>
        <w:t>投标文件提交截止时间前以电子邮件方式传送至浙江乐诚工程咨询有限公司电子邮箱</w:t>
      </w:r>
      <w:r>
        <w:rPr>
          <w:rFonts w:hint="eastAsia" w:ascii="宋体" w:hAnsi="宋体" w:eastAsia="宋体" w:cs="宋体"/>
          <w:b/>
          <w:bCs/>
          <w:color w:val="auto"/>
          <w:sz w:val="22"/>
          <w:highlight w:val="none"/>
          <w:lang w:eastAsia="zh-CN"/>
        </w:rPr>
        <w:t>2812799762</w:t>
      </w:r>
      <w:r>
        <w:rPr>
          <w:rFonts w:hint="eastAsia" w:ascii="宋体" w:hAnsi="宋体" w:eastAsia="宋体" w:cs="宋体"/>
          <w:b/>
          <w:bCs/>
          <w:color w:val="auto"/>
          <w:sz w:val="22"/>
          <w:highlight w:val="none"/>
        </w:rPr>
        <w:t>@qq.com，</w:t>
      </w:r>
      <w:r>
        <w:rPr>
          <w:rFonts w:hint="eastAsia" w:ascii="宋体" w:hAnsi="宋体" w:eastAsia="宋体" w:cs="宋体"/>
          <w:b/>
          <w:bCs/>
          <w:color w:val="auto"/>
          <w:sz w:val="22"/>
          <w:highlight w:val="none"/>
          <w:lang w:val="zh-CN"/>
        </w:rPr>
        <w:t>递交</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zh-CN"/>
        </w:rPr>
        <w:t>份</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传送的备份投标文件需打包压缩并加密</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加密密码由投标人自行保管</w:t>
      </w:r>
      <w:r>
        <w:rPr>
          <w:rFonts w:hint="eastAsia" w:ascii="宋体" w:hAnsi="宋体" w:eastAsia="宋体" w:cs="宋体"/>
          <w:b/>
          <w:bCs/>
          <w:color w:val="auto"/>
          <w:sz w:val="22"/>
          <w:highlight w:val="none"/>
        </w:rPr>
        <w:t>，未加密导致投标信息泄露的风险由投标人自行承担</w:t>
      </w:r>
      <w:r>
        <w:rPr>
          <w:rStyle w:val="34"/>
          <w:rFonts w:hint="eastAsia" w:ascii="宋体" w:hAnsi="宋体" w:eastAsia="宋体" w:cs="宋体"/>
          <w:bCs/>
          <w:color w:val="auto"/>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1.3 投标文件的效力</w:t>
      </w:r>
    </w:p>
    <w:p>
      <w:pPr>
        <w:spacing w:line="360" w:lineRule="exact"/>
        <w:ind w:firstLine="442" w:firstLineChars="200"/>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2.投标人应认真阅读招标文件中所有事项格式、条款和技术规范等。</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投标人没有对招标文件各个方面做出实质性响应，导致投标被拒绝的风险由投标人自行承担。</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3.</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4.投标文件的构成：</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pPr>
        <w:spacing w:line="360" w:lineRule="exact"/>
        <w:ind w:firstLine="442" w:firstLineChars="200"/>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（1）报价文件</w:t>
      </w:r>
    </w:p>
    <w:p>
      <w:pPr>
        <w:keepNext w:val="0"/>
        <w:keepLines w:val="0"/>
        <w:pageBreakBefore w:val="0"/>
        <w:widowControl w:val="0"/>
        <w:tabs>
          <w:tab w:val="left" w:pos="5355"/>
        </w:tabs>
        <w:kinsoku/>
        <w:wordWrap/>
        <w:overflowPunct/>
        <w:topLinePunct w:val="0"/>
        <w:bidi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1）开标一览表；（见附件1）</w:t>
      </w:r>
    </w:p>
    <w:p>
      <w:pPr>
        <w:keepNext w:val="0"/>
        <w:keepLines w:val="0"/>
        <w:pageBreakBefore w:val="0"/>
        <w:widowControl w:val="0"/>
        <w:tabs>
          <w:tab w:val="left" w:pos="5355"/>
        </w:tabs>
        <w:kinsoku/>
        <w:wordWrap/>
        <w:overflowPunct/>
        <w:topLinePunct w:val="0"/>
        <w:bidi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2）投标报价明细表；（见附件2）</w:t>
      </w:r>
    </w:p>
    <w:p>
      <w:pPr>
        <w:keepNext w:val="0"/>
        <w:keepLines w:val="0"/>
        <w:pageBreakBefore w:val="0"/>
        <w:widowControl w:val="0"/>
        <w:tabs>
          <w:tab w:val="left" w:pos="5355"/>
        </w:tabs>
        <w:kinsoku/>
        <w:wordWrap/>
        <w:overflowPunct/>
        <w:topLinePunct w:val="0"/>
        <w:bidi w:val="0"/>
        <w:spacing w:line="360" w:lineRule="exact"/>
        <w:ind w:left="0" w:firstLine="440" w:firstLineChars="200"/>
        <w:rPr>
          <w:rFonts w:hint="eastAsia" w:ascii="宋体" w:hAnsi="宋体" w:eastAsia="宋体" w:cs="宋体"/>
          <w:b w:val="0"/>
          <w:bCs w:val="0"/>
          <w:snapToGrid w:val="0"/>
          <w:color w:val="auto"/>
          <w:sz w:val="22"/>
          <w:highlight w:val="none"/>
        </w:rPr>
      </w:pPr>
      <w:r>
        <w:rPr>
          <w:rFonts w:hint="eastAsia" w:ascii="宋体" w:hAnsi="宋体" w:eastAsia="宋体" w:cs="宋体"/>
          <w:color w:val="auto"/>
          <w:sz w:val="22"/>
          <w:highlight w:val="none"/>
        </w:rPr>
        <w:t>3）</w:t>
      </w:r>
      <w:r>
        <w:rPr>
          <w:rFonts w:hint="eastAsia" w:ascii="宋体" w:hAnsi="宋体" w:eastAsia="宋体" w:cs="宋体"/>
          <w:b w:val="0"/>
          <w:bCs w:val="0"/>
          <w:color w:val="auto"/>
          <w:sz w:val="22"/>
          <w:highlight w:val="none"/>
        </w:rPr>
        <w:t>中小企业声明函</w:t>
      </w:r>
      <w:r>
        <w:rPr>
          <w:rFonts w:hint="eastAsia" w:ascii="宋体" w:hAnsi="宋体" w:eastAsia="宋体" w:cs="宋体"/>
          <w:b w:val="0"/>
          <w:bCs w:val="0"/>
          <w:color w:val="auto"/>
          <w:sz w:val="22"/>
          <w:highlight w:val="none"/>
          <w:lang w:eastAsia="zh-CN"/>
        </w:rPr>
        <w:t>；</w:t>
      </w:r>
      <w:r>
        <w:rPr>
          <w:rFonts w:hint="eastAsia" w:ascii="宋体" w:hAnsi="宋体" w:eastAsia="宋体" w:cs="宋体"/>
          <w:b w:val="0"/>
          <w:bCs w:val="0"/>
          <w:snapToGrid w:val="0"/>
          <w:color w:val="auto"/>
          <w:sz w:val="22"/>
          <w:highlight w:val="none"/>
        </w:rPr>
        <w:t>（见</w:t>
      </w:r>
      <w:r>
        <w:rPr>
          <w:rFonts w:hint="eastAsia" w:ascii="宋体" w:hAnsi="宋体" w:eastAsia="宋体" w:cs="宋体"/>
          <w:b w:val="0"/>
          <w:bCs w:val="0"/>
          <w:snapToGrid w:val="0"/>
          <w:color w:val="auto"/>
          <w:sz w:val="22"/>
          <w:highlight w:val="none"/>
          <w:lang w:eastAsia="zh-CN"/>
        </w:rPr>
        <w:t>附件</w:t>
      </w:r>
      <w:r>
        <w:rPr>
          <w:rFonts w:hint="eastAsia" w:ascii="宋体" w:hAnsi="宋体" w:eastAsia="宋体" w:cs="宋体"/>
          <w:b w:val="0"/>
          <w:bCs w:val="0"/>
          <w:snapToGrid w:val="0"/>
          <w:color w:val="auto"/>
          <w:sz w:val="22"/>
          <w:highlight w:val="none"/>
          <w:lang w:val="en-US" w:eastAsia="zh-CN"/>
        </w:rPr>
        <w:t>3</w:t>
      </w:r>
      <w:r>
        <w:rPr>
          <w:rFonts w:hint="eastAsia" w:ascii="宋体" w:hAnsi="宋体" w:eastAsia="宋体" w:cs="宋体"/>
          <w:b w:val="0"/>
          <w:bCs w:val="0"/>
          <w:snapToGrid w:val="0"/>
          <w:color w:val="auto"/>
          <w:sz w:val="22"/>
          <w:highlight w:val="none"/>
        </w:rPr>
        <w:t>）</w:t>
      </w:r>
    </w:p>
    <w:p>
      <w:pPr>
        <w:keepNext w:val="0"/>
        <w:keepLines w:val="0"/>
        <w:pageBreakBefore w:val="0"/>
        <w:widowControl w:val="0"/>
        <w:tabs>
          <w:tab w:val="left" w:pos="5355"/>
        </w:tabs>
        <w:kinsoku/>
        <w:wordWrap/>
        <w:overflowPunct/>
        <w:topLinePunct w:val="0"/>
        <w:bidi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投标报价部分其他内容（如有，格式自拟）。</w:t>
      </w:r>
    </w:p>
    <w:p>
      <w:pPr>
        <w:keepNext w:val="0"/>
        <w:keepLines w:val="0"/>
        <w:pageBreakBefore w:val="0"/>
        <w:widowControl w:val="0"/>
        <w:tabs>
          <w:tab w:val="left" w:pos="5355"/>
        </w:tabs>
        <w:kinsoku/>
        <w:wordWrap/>
        <w:overflowPunct/>
        <w:topLinePunct w:val="0"/>
        <w:bidi w:val="0"/>
        <w:spacing w:line="360" w:lineRule="exact"/>
        <w:ind w:left="0"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（2）资格文件：（见</w:t>
      </w:r>
      <w:r>
        <w:rPr>
          <w:rFonts w:hint="eastAsia" w:ascii="宋体" w:hAnsi="宋体" w:eastAsia="宋体" w:cs="宋体"/>
          <w:b/>
          <w:bCs/>
          <w:color w:val="auto"/>
          <w:sz w:val="22"/>
          <w:highlight w:val="none"/>
          <w:lang w:eastAsia="zh-CN"/>
        </w:rPr>
        <w:t>附件4</w:t>
      </w:r>
      <w:r>
        <w:rPr>
          <w:rFonts w:hint="eastAsia" w:ascii="宋体" w:hAnsi="宋体" w:eastAsia="宋体" w:cs="宋体"/>
          <w:b/>
          <w:bCs/>
          <w:color w:val="auto"/>
          <w:sz w:val="2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18" w:firstLineChars="200"/>
        <w:textAlignment w:val="bottom"/>
        <w:rPr>
          <w:rFonts w:hint="eastAsia" w:ascii="宋体" w:hAnsi="宋体" w:eastAsia="宋体" w:cs="宋体"/>
          <w:b/>
          <w:bCs/>
          <w:color w:val="auto"/>
          <w:sz w:val="22"/>
          <w:highlight w:val="none"/>
          <w:u w:val="single"/>
        </w:rPr>
      </w:pPr>
      <w:r>
        <w:rPr>
          <w:rFonts w:hint="eastAsia" w:ascii="宋体" w:hAnsi="宋体" w:eastAsia="宋体" w:cs="宋体"/>
          <w:b/>
          <w:bCs/>
          <w:color w:val="auto"/>
          <w:spacing w:val="-6"/>
          <w:sz w:val="22"/>
          <w:highlight w:val="none"/>
        </w:rPr>
        <w:t>1）</w:t>
      </w:r>
      <w:r>
        <w:rPr>
          <w:rFonts w:hint="eastAsia" w:ascii="宋体" w:hAnsi="宋体" w:eastAsia="宋体" w:cs="宋体"/>
          <w:snapToGrid w:val="0"/>
          <w:color w:val="auto"/>
          <w:sz w:val="22"/>
          <w:highlight w:val="none"/>
        </w:rPr>
        <w:t>有效的法人或者其他组织的营业执照等证明文件，自然人的身份证明（五选一）</w:t>
      </w:r>
      <w:r>
        <w:rPr>
          <w:rFonts w:hint="eastAsia" w:ascii="宋体" w:hAnsi="宋体" w:eastAsia="宋体" w:cs="宋体"/>
          <w:color w:val="auto"/>
          <w:sz w:val="22"/>
          <w:highlight w:val="none"/>
        </w:rPr>
        <w:t>（见</w:t>
      </w:r>
      <w:r>
        <w:rPr>
          <w:rFonts w:hint="eastAsia" w:ascii="宋体" w:hAnsi="宋体" w:eastAsia="宋体" w:cs="宋体"/>
          <w:color w:val="auto"/>
          <w:sz w:val="22"/>
          <w:highlight w:val="none"/>
          <w:lang w:eastAsia="zh-CN"/>
        </w:rPr>
        <w:t>附件4</w:t>
      </w:r>
      <w:r>
        <w:rPr>
          <w:rFonts w:hint="eastAsia" w:ascii="宋体" w:hAnsi="宋体" w:eastAsia="宋体" w:cs="宋体"/>
          <w:color w:val="auto"/>
          <w:sz w:val="22"/>
          <w:highlight w:val="none"/>
        </w:rPr>
        <w:t>-1）</w:t>
      </w:r>
      <w:r>
        <w:rPr>
          <w:rFonts w:hint="eastAsia" w:ascii="宋体" w:hAnsi="宋体" w:eastAsia="宋体" w:cs="宋体"/>
          <w:b/>
          <w:bCs/>
          <w:color w:val="auto"/>
          <w:sz w:val="22"/>
          <w:highlight w:val="none"/>
          <w:u w:val="single"/>
        </w:rPr>
        <w:t>（如为联合体投标，则联合体各方均须提供）</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16" w:firstLineChars="200"/>
        <w:textAlignment w:val="bottom"/>
        <w:rPr>
          <w:rFonts w:hint="eastAsia" w:ascii="宋体" w:hAnsi="宋体" w:eastAsia="宋体" w:cs="宋体"/>
          <w:b/>
          <w:bCs/>
          <w:color w:val="auto"/>
          <w:sz w:val="22"/>
          <w:highlight w:val="none"/>
          <w:u w:val="single"/>
        </w:rPr>
      </w:pPr>
      <w:r>
        <w:rPr>
          <w:rFonts w:hint="eastAsia" w:ascii="宋体" w:hAnsi="宋体" w:eastAsia="宋体" w:cs="宋体"/>
          <w:color w:val="auto"/>
          <w:spacing w:val="-6"/>
          <w:sz w:val="22"/>
          <w:highlight w:val="none"/>
        </w:rPr>
        <w:t>2）</w:t>
      </w:r>
      <w:r>
        <w:rPr>
          <w:rFonts w:hint="eastAsia" w:ascii="宋体" w:hAnsi="宋体" w:eastAsia="宋体" w:cs="宋体"/>
          <w:snapToGrid w:val="0"/>
          <w:color w:val="auto"/>
          <w:sz w:val="22"/>
          <w:highlight w:val="none"/>
        </w:rPr>
        <w:t>关于符合《中华人民共和国政府采购法》第二十二条规定的承诺函</w:t>
      </w:r>
      <w:r>
        <w:rPr>
          <w:rFonts w:hint="eastAsia" w:ascii="宋体" w:hAnsi="宋体" w:eastAsia="宋体" w:cs="宋体"/>
          <w:color w:val="auto"/>
          <w:sz w:val="22"/>
          <w:highlight w:val="none"/>
        </w:rPr>
        <w:t>（见</w:t>
      </w:r>
      <w:r>
        <w:rPr>
          <w:rFonts w:hint="eastAsia" w:ascii="宋体" w:hAnsi="宋体" w:eastAsia="宋体" w:cs="宋体"/>
          <w:color w:val="auto"/>
          <w:sz w:val="22"/>
          <w:highlight w:val="none"/>
          <w:lang w:eastAsia="zh-CN"/>
        </w:rPr>
        <w:t>附件4</w:t>
      </w:r>
      <w:r>
        <w:rPr>
          <w:rFonts w:hint="eastAsia" w:ascii="宋体" w:hAnsi="宋体" w:eastAsia="宋体" w:cs="宋体"/>
          <w:color w:val="auto"/>
          <w:sz w:val="22"/>
          <w:highlight w:val="none"/>
        </w:rPr>
        <w:t>-2）</w:t>
      </w:r>
      <w:r>
        <w:rPr>
          <w:rFonts w:hint="eastAsia" w:ascii="宋体" w:hAnsi="宋体" w:eastAsia="宋体" w:cs="宋体"/>
          <w:b/>
          <w:bCs/>
          <w:color w:val="auto"/>
          <w:sz w:val="22"/>
          <w:highlight w:val="none"/>
          <w:u w:val="single"/>
        </w:rPr>
        <w:t>（如为联合体投标，则联合体各方均须提供，并各自加盖公章）</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40" w:firstLineChars="200"/>
        <w:textAlignment w:val="bottom"/>
        <w:rPr>
          <w:rFonts w:hint="eastAsia" w:ascii="宋体" w:hAnsi="宋体" w:eastAsia="宋体" w:cs="宋体"/>
          <w:b/>
          <w:bCs/>
          <w:color w:val="auto"/>
          <w:sz w:val="22"/>
          <w:highlight w:val="none"/>
          <w:u w:val="single"/>
        </w:rPr>
      </w:pPr>
      <w:r>
        <w:rPr>
          <w:rFonts w:hint="eastAsia" w:ascii="宋体" w:hAnsi="宋体" w:eastAsia="宋体" w:cs="宋体"/>
          <w:b w:val="0"/>
          <w:bCs w:val="0"/>
          <w:color w:val="auto"/>
          <w:sz w:val="22"/>
          <w:highlight w:val="none"/>
          <w:u w:val="none"/>
          <w:lang w:val="en-US" w:eastAsia="zh-CN"/>
        </w:rPr>
        <w:t>3）</w:t>
      </w:r>
      <w:r>
        <w:rPr>
          <w:rFonts w:hint="eastAsia" w:ascii="宋体" w:hAnsi="宋体" w:eastAsia="宋体" w:cs="宋体"/>
          <w:color w:val="auto"/>
          <w:sz w:val="22"/>
          <w:highlight w:val="none"/>
        </w:rPr>
        <w:t>联合体投标协议书</w:t>
      </w:r>
      <w:r>
        <w:rPr>
          <w:rFonts w:hint="eastAsia" w:ascii="宋体" w:hAnsi="宋体" w:eastAsia="宋体" w:cs="宋体"/>
          <w:snapToGrid w:val="0"/>
          <w:color w:val="auto"/>
          <w:sz w:val="22"/>
          <w:highlight w:val="none"/>
        </w:rPr>
        <w:t>（见</w:t>
      </w:r>
      <w:r>
        <w:rPr>
          <w:rFonts w:hint="eastAsia" w:ascii="宋体" w:hAnsi="宋体" w:eastAsia="宋体" w:cs="宋体"/>
          <w:snapToGrid w:val="0"/>
          <w:color w:val="auto"/>
          <w:sz w:val="22"/>
          <w:highlight w:val="none"/>
          <w:lang w:eastAsia="zh-CN"/>
        </w:rPr>
        <w:t>附件4</w:t>
      </w:r>
      <w:r>
        <w:rPr>
          <w:rFonts w:hint="eastAsia" w:ascii="宋体" w:hAnsi="宋体" w:eastAsia="宋体" w:cs="宋体"/>
          <w:snapToGrid w:val="0"/>
          <w:color w:val="auto"/>
          <w:sz w:val="22"/>
          <w:highlight w:val="none"/>
        </w:rPr>
        <w:t>-</w:t>
      </w:r>
      <w:r>
        <w:rPr>
          <w:rFonts w:hint="eastAsia" w:ascii="宋体" w:hAnsi="宋体" w:eastAsia="宋体" w:cs="宋体"/>
          <w:snapToGrid w:val="0"/>
          <w:color w:val="auto"/>
          <w:sz w:val="22"/>
          <w:highlight w:val="none"/>
          <w:lang w:val="en-US" w:eastAsia="zh-CN"/>
        </w:rPr>
        <w:t>3</w:t>
      </w:r>
      <w:r>
        <w:rPr>
          <w:rFonts w:hint="eastAsia" w:ascii="宋体" w:hAnsi="宋体" w:eastAsia="宋体" w:cs="宋体"/>
          <w:snapToGrid w:val="0"/>
          <w:color w:val="auto"/>
          <w:sz w:val="22"/>
          <w:highlight w:val="none"/>
        </w:rPr>
        <w:t>）</w:t>
      </w:r>
      <w:r>
        <w:rPr>
          <w:rFonts w:hint="eastAsia" w:ascii="宋体" w:hAnsi="宋体" w:eastAsia="宋体" w:cs="宋体"/>
          <w:b/>
          <w:bCs/>
          <w:color w:val="auto"/>
          <w:sz w:val="22"/>
          <w:highlight w:val="none"/>
          <w:u w:val="single"/>
        </w:rPr>
        <w:t>(以联合体形式投标的提供联合</w:t>
      </w:r>
      <w:r>
        <w:rPr>
          <w:rFonts w:hint="eastAsia" w:ascii="宋体" w:hAnsi="宋体" w:eastAsia="宋体" w:cs="宋体"/>
          <w:b/>
          <w:bCs/>
          <w:color w:val="auto"/>
          <w:sz w:val="22"/>
          <w:highlight w:val="none"/>
          <w:u w:val="single"/>
          <w:lang w:val="en-US" w:eastAsia="zh-CN"/>
        </w:rPr>
        <w:t>投标</w:t>
      </w:r>
      <w:r>
        <w:rPr>
          <w:rFonts w:hint="eastAsia" w:ascii="宋体" w:hAnsi="宋体" w:eastAsia="宋体" w:cs="宋体"/>
          <w:b/>
          <w:bCs/>
          <w:color w:val="auto"/>
          <w:sz w:val="22"/>
          <w:highlight w:val="none"/>
          <w:u w:val="single"/>
        </w:rPr>
        <w:t>协议</w:t>
      </w:r>
      <w:r>
        <w:rPr>
          <w:rFonts w:hint="eastAsia" w:ascii="宋体" w:hAnsi="宋体" w:eastAsia="宋体" w:cs="宋体"/>
          <w:b/>
          <w:bCs/>
          <w:color w:val="auto"/>
          <w:sz w:val="22"/>
          <w:highlight w:val="none"/>
          <w:u w:val="single"/>
          <w:lang w:val="en-US" w:eastAsia="zh-CN"/>
        </w:rPr>
        <w:t>，</w:t>
      </w:r>
      <w:r>
        <w:rPr>
          <w:rFonts w:hint="eastAsia" w:ascii="宋体" w:hAnsi="宋体" w:eastAsia="宋体" w:cs="宋体"/>
          <w:b/>
          <w:bCs/>
          <w:color w:val="auto"/>
          <w:sz w:val="22"/>
          <w:highlight w:val="none"/>
          <w:u w:val="single"/>
        </w:rPr>
        <w:t>项目不接受联合体投标或投标人不以联合体形式投标的则不需要提供）</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firstLine="42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kern w:val="2"/>
          <w:sz w:val="22"/>
          <w:szCs w:val="22"/>
          <w:highlight w:val="none"/>
          <w:lang w:val="en-US" w:eastAsia="zh-CN" w:bidi="ar-SA"/>
        </w:rPr>
        <w:t>分包意向协议</w:t>
      </w:r>
      <w:r>
        <w:rPr>
          <w:rFonts w:hint="eastAsia" w:ascii="宋体" w:hAnsi="宋体" w:eastAsia="宋体" w:cs="宋体"/>
          <w:color w:val="auto"/>
          <w:sz w:val="22"/>
          <w:highlight w:val="none"/>
        </w:rPr>
        <w:t>（见</w:t>
      </w:r>
      <w:r>
        <w:rPr>
          <w:rFonts w:hint="eastAsia" w:ascii="宋体" w:hAnsi="宋体" w:eastAsia="宋体" w:cs="宋体"/>
          <w:color w:val="auto"/>
          <w:sz w:val="22"/>
          <w:highlight w:val="none"/>
          <w:lang w:eastAsia="zh-CN"/>
        </w:rPr>
        <w:t>附件4-4</w:t>
      </w:r>
      <w:r>
        <w:rPr>
          <w:rFonts w:hint="eastAsia" w:ascii="宋体" w:hAnsi="宋体" w:eastAsia="宋体" w:cs="宋体"/>
          <w:b w:val="0"/>
          <w:bCs w:val="0"/>
          <w:color w:val="auto"/>
          <w:sz w:val="22"/>
          <w:highlight w:val="none"/>
          <w:u w:val="none"/>
        </w:rPr>
        <w:t>）</w:t>
      </w:r>
      <w:r>
        <w:rPr>
          <w:rFonts w:hint="eastAsia" w:ascii="宋体" w:hAnsi="宋体" w:eastAsia="宋体" w:cs="宋体"/>
          <w:b/>
          <w:bCs/>
          <w:color w:val="auto"/>
          <w:sz w:val="22"/>
          <w:highlight w:val="none"/>
          <w:u w:val="single"/>
        </w:rPr>
        <w:t>(中标后以分包方式履行合同的提供分包意向协议</w:t>
      </w:r>
      <w:r>
        <w:rPr>
          <w:rFonts w:hint="eastAsia" w:ascii="宋体" w:hAnsi="宋体" w:eastAsia="宋体" w:cs="宋体"/>
          <w:b/>
          <w:bCs/>
          <w:color w:val="auto"/>
          <w:sz w:val="22"/>
          <w:highlight w:val="none"/>
          <w:u w:val="single"/>
          <w:lang w:eastAsia="zh-CN"/>
        </w:rPr>
        <w:t>，</w:t>
      </w:r>
      <w:r>
        <w:rPr>
          <w:rFonts w:hint="eastAsia" w:ascii="宋体" w:hAnsi="宋体" w:eastAsia="宋体" w:cs="宋体"/>
          <w:b/>
          <w:bCs/>
          <w:color w:val="auto"/>
          <w:sz w:val="22"/>
          <w:highlight w:val="none"/>
          <w:u w:val="single"/>
        </w:rPr>
        <w:t>采购人不同意分包或中标后不以分包方式履行合同的则不需要提供）</w:t>
      </w:r>
    </w:p>
    <w:p>
      <w:pPr>
        <w:keepNext w:val="0"/>
        <w:keepLines w:val="0"/>
        <w:pageBreakBefore w:val="0"/>
        <w:widowControl w:val="0"/>
        <w:kinsoku/>
        <w:wordWrap/>
        <w:overflowPunct/>
        <w:topLinePunct w:val="0"/>
        <w:bidi w:val="0"/>
        <w:spacing w:line="360" w:lineRule="exact"/>
        <w:ind w:left="0" w:firstLine="44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kern w:val="2"/>
          <w:sz w:val="22"/>
          <w:szCs w:val="22"/>
          <w:highlight w:val="none"/>
          <w:lang w:val="en-US" w:eastAsia="zh-CN" w:bidi="ar-SA"/>
        </w:rPr>
        <w:t>特定资格要求证明材料</w:t>
      </w:r>
      <w:r>
        <w:rPr>
          <w:rFonts w:hint="eastAsia" w:ascii="宋体" w:hAnsi="宋体" w:eastAsia="宋体" w:cs="宋体"/>
          <w:b/>
          <w:bCs/>
          <w:color w:val="auto"/>
          <w:sz w:val="22"/>
          <w:highlight w:val="none"/>
          <w:u w:val="single"/>
        </w:rPr>
        <w:t>（根据招标公告本项目的特定资格要求提供相应的材料）</w:t>
      </w:r>
      <w:r>
        <w:rPr>
          <w:rFonts w:hint="eastAsia" w:ascii="宋体" w:hAnsi="宋体" w:eastAsia="宋体" w:cs="宋体"/>
          <w:color w:val="auto"/>
          <w:highlight w:val="none"/>
          <w:lang w:val="en-US" w:eastAsia="zh-CN"/>
        </w:rPr>
        <w:t>。</w:t>
      </w:r>
    </w:p>
    <w:p>
      <w:pPr>
        <w:keepNext w:val="0"/>
        <w:keepLines w:val="0"/>
        <w:pageBreakBefore w:val="0"/>
        <w:widowControl w:val="0"/>
        <w:kinsoku/>
        <w:wordWrap/>
        <w:overflowPunct/>
        <w:topLinePunct w:val="0"/>
        <w:bidi w:val="0"/>
        <w:spacing w:line="360" w:lineRule="exact"/>
        <w:ind w:left="0"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（3）商务和技术文件</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1）评分索引表（见</w:t>
      </w:r>
      <w:r>
        <w:rPr>
          <w:rFonts w:hint="eastAsia" w:ascii="宋体" w:hAnsi="宋体" w:eastAsia="宋体" w:cs="宋体"/>
          <w:color w:val="auto"/>
          <w:sz w:val="22"/>
          <w:highlight w:val="none"/>
          <w:lang w:eastAsia="zh-CN"/>
        </w:rPr>
        <w:t>附件5</w:t>
      </w:r>
      <w:r>
        <w:rPr>
          <w:rFonts w:hint="eastAsia" w:ascii="宋体" w:hAnsi="宋体" w:eastAsia="宋体" w:cs="宋体"/>
          <w:color w:val="auto"/>
          <w:sz w:val="22"/>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2）法定代表人资格证明书/法定代表人授权委托书；（见</w:t>
      </w:r>
      <w:r>
        <w:rPr>
          <w:rFonts w:hint="eastAsia" w:ascii="宋体" w:hAnsi="宋体" w:eastAsia="宋体" w:cs="宋体"/>
          <w:color w:val="auto"/>
          <w:sz w:val="22"/>
          <w:highlight w:val="none"/>
          <w:lang w:eastAsia="zh-CN"/>
        </w:rPr>
        <w:t>附件6</w:t>
      </w:r>
      <w:r>
        <w:rPr>
          <w:rFonts w:hint="eastAsia" w:ascii="宋体" w:hAnsi="宋体" w:eastAsia="宋体" w:cs="宋体"/>
          <w:color w:val="auto"/>
          <w:sz w:val="22"/>
          <w:highlight w:val="none"/>
        </w:rPr>
        <w:t>）</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3）投标函（见</w:t>
      </w:r>
      <w:r>
        <w:rPr>
          <w:rFonts w:hint="eastAsia" w:ascii="宋体" w:hAnsi="宋体" w:eastAsia="宋体" w:cs="宋体"/>
          <w:color w:val="auto"/>
          <w:sz w:val="22"/>
          <w:highlight w:val="none"/>
          <w:lang w:eastAsia="zh-CN"/>
        </w:rPr>
        <w:t>附件7</w:t>
      </w:r>
      <w:r>
        <w:rPr>
          <w:rFonts w:hint="eastAsia" w:ascii="宋体" w:hAnsi="宋体" w:eastAsia="宋体" w:cs="宋体"/>
          <w:color w:val="auto"/>
          <w:sz w:val="22"/>
          <w:highlight w:val="none"/>
        </w:rPr>
        <w:t>）</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4）投标声明书（见</w:t>
      </w:r>
      <w:r>
        <w:rPr>
          <w:rFonts w:hint="eastAsia" w:ascii="宋体" w:hAnsi="宋体" w:eastAsia="宋体" w:cs="宋体"/>
          <w:color w:val="auto"/>
          <w:sz w:val="22"/>
          <w:highlight w:val="none"/>
          <w:lang w:eastAsia="zh-CN"/>
        </w:rPr>
        <w:t>附件8</w:t>
      </w:r>
      <w:r>
        <w:rPr>
          <w:rFonts w:hint="eastAsia" w:ascii="宋体" w:hAnsi="宋体" w:eastAsia="宋体" w:cs="宋体"/>
          <w:color w:val="auto"/>
          <w:sz w:val="22"/>
          <w:highlight w:val="none"/>
        </w:rPr>
        <w:t xml:space="preserve">）  </w:t>
      </w:r>
    </w:p>
    <w:p>
      <w:pPr>
        <w:pStyle w:val="30"/>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5）投标人基本情况表（见</w:t>
      </w:r>
      <w:r>
        <w:rPr>
          <w:rFonts w:hint="eastAsia" w:ascii="宋体" w:hAnsi="宋体" w:eastAsia="宋体" w:cs="宋体"/>
          <w:color w:val="auto"/>
          <w:sz w:val="22"/>
          <w:highlight w:val="none"/>
          <w:lang w:eastAsia="zh-CN"/>
        </w:rPr>
        <w:t>附件9</w:t>
      </w:r>
      <w:r>
        <w:rPr>
          <w:rFonts w:hint="eastAsia" w:ascii="宋体" w:hAnsi="宋体" w:eastAsia="宋体" w:cs="宋体"/>
          <w:color w:val="auto"/>
          <w:sz w:val="22"/>
          <w:highlight w:val="none"/>
        </w:rPr>
        <w:t xml:space="preserve">）；         </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6）节能、环保产品证明材料（如有）（见</w:t>
      </w:r>
      <w:r>
        <w:rPr>
          <w:rFonts w:hint="eastAsia" w:ascii="宋体" w:hAnsi="宋体" w:eastAsia="宋体" w:cs="宋体"/>
          <w:color w:val="auto"/>
          <w:sz w:val="22"/>
          <w:highlight w:val="none"/>
          <w:lang w:eastAsia="zh-CN"/>
        </w:rPr>
        <w:t>附件10</w:t>
      </w:r>
      <w:r>
        <w:rPr>
          <w:rFonts w:hint="eastAsia" w:ascii="宋体" w:hAnsi="宋体" w:eastAsia="宋体" w:cs="宋体"/>
          <w:color w:val="auto"/>
          <w:sz w:val="22"/>
          <w:highlight w:val="none"/>
        </w:rPr>
        <w:t>）；</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7）投标人同类项目业绩一览表（如有）（见</w:t>
      </w:r>
      <w:r>
        <w:rPr>
          <w:rFonts w:hint="eastAsia" w:ascii="宋体" w:hAnsi="宋体" w:eastAsia="宋体" w:cs="宋体"/>
          <w:color w:val="auto"/>
          <w:sz w:val="22"/>
          <w:highlight w:val="none"/>
          <w:lang w:eastAsia="zh-CN"/>
        </w:rPr>
        <w:t>附件11</w:t>
      </w:r>
      <w:r>
        <w:rPr>
          <w:rFonts w:hint="eastAsia" w:ascii="宋体" w:hAnsi="宋体" w:eastAsia="宋体" w:cs="宋体"/>
          <w:color w:val="auto"/>
          <w:sz w:val="22"/>
          <w:highlight w:val="none"/>
        </w:rPr>
        <w:t>）；</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8）采购需求偏离表（见</w:t>
      </w:r>
      <w:r>
        <w:rPr>
          <w:rFonts w:hint="eastAsia" w:ascii="宋体" w:hAnsi="宋体" w:eastAsia="宋体" w:cs="宋体"/>
          <w:color w:val="auto"/>
          <w:sz w:val="22"/>
          <w:highlight w:val="none"/>
          <w:lang w:eastAsia="zh-CN"/>
        </w:rPr>
        <w:t>附件12</w:t>
      </w:r>
      <w:r>
        <w:rPr>
          <w:rFonts w:hint="eastAsia" w:ascii="宋体" w:hAnsi="宋体" w:eastAsia="宋体" w:cs="宋体"/>
          <w:color w:val="auto"/>
          <w:sz w:val="22"/>
          <w:highlight w:val="none"/>
        </w:rPr>
        <w:t>）；</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9</w:t>
      </w:r>
      <w:r>
        <w:rPr>
          <w:rFonts w:hint="eastAsia" w:ascii="宋体" w:hAnsi="宋体" w:eastAsia="宋体" w:cs="宋体"/>
          <w:color w:val="auto"/>
          <w:sz w:val="22"/>
          <w:highlight w:val="none"/>
        </w:rPr>
        <w:t>）货物配置清单（见</w:t>
      </w:r>
      <w:r>
        <w:rPr>
          <w:rFonts w:hint="eastAsia" w:ascii="宋体" w:hAnsi="宋体" w:eastAsia="宋体" w:cs="宋体"/>
          <w:color w:val="auto"/>
          <w:sz w:val="22"/>
          <w:highlight w:val="none"/>
          <w:lang w:eastAsia="zh-CN"/>
        </w:rPr>
        <w:t>附件13</w:t>
      </w:r>
      <w:r>
        <w:rPr>
          <w:rFonts w:hint="eastAsia" w:ascii="宋体" w:hAnsi="宋体" w:eastAsia="宋体" w:cs="宋体"/>
          <w:color w:val="auto"/>
          <w:sz w:val="22"/>
          <w:highlight w:val="none"/>
        </w:rPr>
        <w:t>）；</w:t>
      </w:r>
    </w:p>
    <w:p>
      <w:pPr>
        <w:keepNext w:val="0"/>
        <w:keepLines w:val="0"/>
        <w:pageBreakBefore w:val="0"/>
        <w:widowControl w:val="0"/>
        <w:kinsoku/>
        <w:wordWrap/>
        <w:overflowPunct/>
        <w:topLinePunct w:val="0"/>
        <w:bidi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0</w:t>
      </w:r>
      <w:r>
        <w:rPr>
          <w:rFonts w:hint="eastAsia" w:ascii="宋体" w:hAnsi="宋体" w:eastAsia="宋体" w:cs="宋体"/>
          <w:color w:val="auto"/>
          <w:sz w:val="22"/>
          <w:highlight w:val="none"/>
        </w:rPr>
        <w:t>）常用材料、零配件报价清单（见</w:t>
      </w:r>
      <w:r>
        <w:rPr>
          <w:rFonts w:hint="eastAsia" w:ascii="宋体" w:hAnsi="宋体" w:eastAsia="宋体" w:cs="宋体"/>
          <w:color w:val="auto"/>
          <w:sz w:val="22"/>
          <w:highlight w:val="none"/>
          <w:lang w:eastAsia="zh-CN"/>
        </w:rPr>
        <w:t>附件14</w:t>
      </w:r>
      <w:r>
        <w:rPr>
          <w:rFonts w:hint="eastAsia" w:ascii="宋体" w:hAnsi="宋体" w:eastAsia="宋体" w:cs="宋体"/>
          <w:color w:val="auto"/>
          <w:sz w:val="22"/>
          <w:highlight w:val="none"/>
        </w:rPr>
        <w:t>）；</w:t>
      </w:r>
    </w:p>
    <w:p>
      <w:pPr>
        <w:keepNext w:val="0"/>
        <w:keepLines w:val="0"/>
        <w:pageBreakBefore w:val="0"/>
        <w:widowControl w:val="0"/>
        <w:kinsoku/>
        <w:wordWrap/>
        <w:overflowPunct/>
        <w:topLinePunct w:val="0"/>
        <w:bidi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）投标产品技术支持材料（见</w:t>
      </w:r>
      <w:r>
        <w:rPr>
          <w:rFonts w:hint="eastAsia" w:ascii="宋体" w:hAnsi="宋体" w:eastAsia="宋体" w:cs="宋体"/>
          <w:color w:val="auto"/>
          <w:sz w:val="22"/>
          <w:highlight w:val="none"/>
          <w:lang w:eastAsia="zh-CN"/>
        </w:rPr>
        <w:t>附件15</w:t>
      </w:r>
      <w:r>
        <w:rPr>
          <w:rFonts w:hint="eastAsia" w:ascii="宋体" w:hAnsi="宋体" w:eastAsia="宋体" w:cs="宋体"/>
          <w:color w:val="auto"/>
          <w:sz w:val="22"/>
          <w:highlight w:val="none"/>
        </w:rPr>
        <w:t>）；</w:t>
      </w:r>
    </w:p>
    <w:p>
      <w:pPr>
        <w:keepNext w:val="0"/>
        <w:keepLines w:val="0"/>
        <w:pageBreakBefore w:val="0"/>
        <w:widowControl w:val="0"/>
        <w:kinsoku/>
        <w:wordWrap/>
        <w:overflowPunct/>
        <w:topLinePunct w:val="0"/>
        <w:bidi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）服务项目负责人情况表（见</w:t>
      </w:r>
      <w:r>
        <w:rPr>
          <w:rFonts w:hint="eastAsia" w:ascii="宋体" w:hAnsi="宋体" w:eastAsia="宋体" w:cs="宋体"/>
          <w:color w:val="auto"/>
          <w:sz w:val="22"/>
          <w:highlight w:val="none"/>
          <w:lang w:eastAsia="zh-CN"/>
        </w:rPr>
        <w:t>附件16</w:t>
      </w:r>
      <w:r>
        <w:rPr>
          <w:rFonts w:hint="eastAsia" w:ascii="宋体" w:hAnsi="宋体" w:eastAsia="宋体" w:cs="宋体"/>
          <w:color w:val="auto"/>
          <w:sz w:val="22"/>
          <w:highlight w:val="none"/>
        </w:rPr>
        <w:t xml:space="preserve">）；  </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13）</w:t>
      </w:r>
      <w:r>
        <w:rPr>
          <w:rFonts w:hint="eastAsia" w:ascii="宋体" w:hAnsi="宋体" w:eastAsia="宋体" w:cs="宋体"/>
          <w:color w:val="auto"/>
          <w:sz w:val="22"/>
          <w:highlight w:val="none"/>
        </w:rPr>
        <w:t>项目团队人员情况表（见</w:t>
      </w:r>
      <w:r>
        <w:rPr>
          <w:rFonts w:hint="eastAsia" w:ascii="宋体" w:hAnsi="宋体" w:eastAsia="宋体" w:cs="宋体"/>
          <w:color w:val="auto"/>
          <w:sz w:val="22"/>
          <w:highlight w:val="none"/>
          <w:lang w:eastAsia="zh-CN"/>
        </w:rPr>
        <w:t>附件1</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）政府采购活动现场确认声明书（见</w:t>
      </w:r>
      <w:r>
        <w:rPr>
          <w:rFonts w:hint="eastAsia" w:ascii="宋体" w:hAnsi="宋体" w:eastAsia="宋体" w:cs="宋体"/>
          <w:color w:val="auto"/>
          <w:sz w:val="22"/>
          <w:highlight w:val="none"/>
          <w:lang w:eastAsia="zh-CN"/>
        </w:rPr>
        <w:t>附件18</w:t>
      </w:r>
      <w:r>
        <w:rPr>
          <w:rFonts w:hint="eastAsia" w:ascii="宋体" w:hAnsi="宋体" w:eastAsia="宋体" w:cs="宋体"/>
          <w:color w:val="auto"/>
          <w:sz w:val="22"/>
          <w:highlight w:val="none"/>
        </w:rPr>
        <w:t>）；</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承诺书</w:t>
      </w:r>
      <w:r>
        <w:rPr>
          <w:rFonts w:hint="eastAsia" w:ascii="宋体" w:hAnsi="宋体" w:eastAsia="宋体" w:cs="宋体"/>
          <w:color w:val="auto"/>
          <w:sz w:val="22"/>
          <w:highlight w:val="none"/>
        </w:rPr>
        <w:t>（见</w:t>
      </w:r>
      <w:r>
        <w:rPr>
          <w:rFonts w:hint="eastAsia" w:ascii="宋体" w:hAnsi="宋体" w:eastAsia="宋体" w:cs="宋体"/>
          <w:color w:val="auto"/>
          <w:sz w:val="22"/>
          <w:highlight w:val="none"/>
          <w:lang w:eastAsia="zh-CN"/>
        </w:rPr>
        <w:t>附件19</w:t>
      </w:r>
      <w:r>
        <w:rPr>
          <w:rFonts w:hint="eastAsia" w:ascii="宋体" w:hAnsi="宋体" w:eastAsia="宋体" w:cs="宋体"/>
          <w:color w:val="auto"/>
          <w:sz w:val="22"/>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）投标人需要说明的其他文件和说明（格式自拟）。</w:t>
      </w:r>
    </w:p>
    <w:p>
      <w:pPr>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以上内容按照招标文件第四部分附件所附格式填写，相关证书、报告等</w:t>
      </w:r>
      <w:r>
        <w:rPr>
          <w:rFonts w:hint="eastAsia" w:ascii="宋体" w:hAnsi="宋体" w:eastAsia="宋体" w:cs="宋体"/>
          <w:b/>
          <w:bCs/>
          <w:color w:val="auto"/>
          <w:spacing w:val="-6"/>
          <w:sz w:val="22"/>
          <w:highlight w:val="none"/>
        </w:rPr>
        <w:t>如遇年检或换证等特殊情况须按要求提供相应的证明材料</w:t>
      </w:r>
      <w:r>
        <w:rPr>
          <w:rFonts w:hint="eastAsia" w:ascii="宋体" w:hAnsi="宋体" w:eastAsia="宋体" w:cs="宋体"/>
          <w:b/>
          <w:bCs/>
          <w:color w:val="auto"/>
          <w:sz w:val="22"/>
          <w:highlight w:val="none"/>
        </w:rPr>
        <w:t>。没有提供格式的，投标人根据实际情况自行编制。</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投标人可在招标文件中对</w:t>
      </w:r>
      <w:r>
        <w:rPr>
          <w:rFonts w:hint="eastAsia" w:ascii="宋体" w:hAnsi="宋体" w:eastAsia="宋体" w:cs="宋体"/>
          <w:b/>
          <w:bCs/>
          <w:color w:val="auto"/>
          <w:sz w:val="22"/>
          <w:highlight w:val="none"/>
          <w:lang w:eastAsia="zh-CN"/>
        </w:rPr>
        <w:t>货物</w:t>
      </w:r>
      <w:r>
        <w:rPr>
          <w:rFonts w:hint="eastAsia" w:ascii="宋体" w:hAnsi="宋体" w:eastAsia="宋体" w:cs="宋体"/>
          <w:b/>
          <w:bCs/>
          <w:color w:val="auto"/>
          <w:sz w:val="22"/>
          <w:highlight w:val="none"/>
        </w:rPr>
        <w:t>的技术规格和要求选用替代标准，但这些替代标准必须相等于或优于招标文件中提出的相应要求，并使采购人满意。同时在采购需求偏离表中作出详细说明。</w:t>
      </w:r>
    </w:p>
    <w:p>
      <w:pPr>
        <w:pStyle w:val="16"/>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5.投标文件格式</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6"/>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6.投标文件编制要求</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6.1</w:t>
      </w:r>
      <w:r>
        <w:rPr>
          <w:rFonts w:hint="eastAsia" w:ascii="宋体" w:hAnsi="宋体" w:eastAsia="宋体" w:cs="宋体"/>
          <w:b/>
          <w:bCs/>
          <w:color w:val="auto"/>
          <w:sz w:val="22"/>
          <w:highlight w:val="none"/>
        </w:rPr>
        <w:t>投标人应根据电子投标操作指南按本招标文件规定的格式和顺序编制电子投标文件并进行关联定位</w:t>
      </w:r>
      <w:r>
        <w:rPr>
          <w:rFonts w:hint="eastAsia" w:ascii="宋体" w:hAnsi="宋体" w:eastAsia="宋体" w:cs="宋体"/>
          <w:color w:val="auto"/>
          <w:sz w:val="22"/>
          <w:highlight w:val="none"/>
        </w:rPr>
        <w:t>。</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7.投标报价</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7.1 投标人须按第四部分附件的开标一览表（统一格式）、投标报价明细表（统一格式）的内容填写，并由法定代表人或授权代表签字或盖章。</w:t>
      </w:r>
    </w:p>
    <w:p>
      <w:pPr>
        <w:tabs>
          <w:tab w:val="left" w:pos="-180"/>
          <w:tab w:val="left" w:pos="180"/>
          <w:tab w:val="left" w:pos="360"/>
        </w:tabs>
        <w:spacing w:line="360" w:lineRule="exact"/>
        <w:ind w:firstLine="442" w:firstLineChars="200"/>
        <w:outlineLvl w:val="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报价货币为人民币。</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w:t>
      </w:r>
      <w:r>
        <w:rPr>
          <w:rFonts w:hint="eastAsia" w:ascii="宋体" w:hAnsi="宋体" w:eastAsia="宋体" w:cs="宋体"/>
          <w:color w:val="auto"/>
          <w:sz w:val="22"/>
          <w:highlight w:val="none"/>
          <w:u w:val="single"/>
          <w:lang w:val="en-US" w:eastAsia="zh-CN"/>
        </w:rPr>
        <w:t>3</w:t>
      </w:r>
      <w:r>
        <w:rPr>
          <w:rFonts w:hint="eastAsia" w:ascii="宋体" w:hAnsi="宋体" w:eastAsia="宋体" w:cs="宋体"/>
          <w:color w:val="auto"/>
          <w:sz w:val="22"/>
          <w:highlight w:val="none"/>
          <w:u w:val="single"/>
        </w:rPr>
        <w:t>采购人不接受任何选择报价，本次投标</w:t>
      </w:r>
      <w:r>
        <w:rPr>
          <w:rFonts w:hint="eastAsia" w:ascii="宋体" w:hAnsi="宋体" w:eastAsia="宋体" w:cs="宋体"/>
          <w:color w:val="auto"/>
          <w:sz w:val="22"/>
          <w:highlight w:val="none"/>
          <w:u w:val="single"/>
          <w:lang w:eastAsia="zh-CN"/>
        </w:rPr>
        <w:t>每项货物或服务</w:t>
      </w:r>
      <w:r>
        <w:rPr>
          <w:rFonts w:hint="eastAsia" w:ascii="宋体" w:hAnsi="宋体" w:eastAsia="宋体" w:cs="宋体"/>
          <w:color w:val="auto"/>
          <w:sz w:val="22"/>
          <w:highlight w:val="none"/>
          <w:u w:val="single"/>
        </w:rPr>
        <w:t>只允许一个报价。</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最低报价不能作为中标的保证。</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8.投标保证金：</w:t>
      </w:r>
      <w:r>
        <w:rPr>
          <w:rFonts w:hint="eastAsia" w:ascii="宋体" w:hAnsi="宋体" w:eastAsia="宋体" w:cs="宋体"/>
          <w:color w:val="auto"/>
          <w:spacing w:val="-6"/>
          <w:sz w:val="22"/>
          <w:highlight w:val="none"/>
          <w:lang w:val="zh-CN"/>
        </w:rPr>
        <w:t>本项目不收取投标保证金。</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9.投标有效期</w:t>
      </w:r>
    </w:p>
    <w:p>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9.1</w:t>
      </w:r>
      <w:r>
        <w:rPr>
          <w:rFonts w:hint="eastAsia" w:ascii="宋体" w:hAnsi="宋体" w:eastAsia="宋体" w:cs="宋体"/>
          <w:b/>
          <w:bCs/>
          <w:color w:val="auto"/>
          <w:sz w:val="22"/>
          <w:highlight w:val="none"/>
        </w:rPr>
        <w:t>自提交投标文件的截止之日起</w:t>
      </w:r>
      <w:r>
        <w:rPr>
          <w:rFonts w:hint="eastAsia" w:ascii="宋体" w:hAnsi="宋体" w:eastAsia="宋体" w:cs="宋体"/>
          <w:b/>
          <w:bCs/>
          <w:color w:val="auto"/>
          <w:sz w:val="22"/>
          <w:highlight w:val="none"/>
          <w:u w:val="single"/>
        </w:rPr>
        <w:t>90</w:t>
      </w:r>
      <w:r>
        <w:rPr>
          <w:rFonts w:hint="eastAsia" w:ascii="宋体" w:hAnsi="宋体" w:eastAsia="宋体" w:cs="宋体"/>
          <w:b/>
          <w:bCs/>
          <w:color w:val="auto"/>
          <w:sz w:val="22"/>
          <w:highlight w:val="none"/>
        </w:rPr>
        <w:t>天内投标应保持有效。有效期不足的投标文件将被拒绝。</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10.投标文件的签署和规定</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cs="宋体"/>
          <w:b/>
          <w:bCs/>
          <w:color w:val="auto"/>
          <w:spacing w:val="-6"/>
          <w:sz w:val="22"/>
          <w:highlight w:val="none"/>
        </w:rPr>
        <w:t>其中资格文件、商务和技术文件中不得出现投标报价，如因投标人原因提前泄露投标报价，是投标人的责任。</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10.2投标文件须由投标人在规定位置加盖公章并由投标人代表签署，投标人应写全称。</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10.3投标文件不得涂改，若有修改错漏处，须由投标人代表签字并加盖公章。投标文件因字迹潦草或表达不清所引起的后果由投标人负责。</w:t>
      </w:r>
    </w:p>
    <w:p>
      <w:pPr>
        <w:spacing w:line="360" w:lineRule="exact"/>
        <w:ind w:firstLine="440" w:firstLineChars="200"/>
        <w:rPr>
          <w:rFonts w:hint="eastAsia" w:ascii="宋体" w:hAnsi="宋体" w:eastAsia="宋体" w:cs="宋体"/>
          <w:b/>
          <w:color w:val="auto"/>
          <w:sz w:val="26"/>
          <w:highlight w:val="none"/>
        </w:rPr>
      </w:pPr>
      <w:r>
        <w:rPr>
          <w:rFonts w:hint="eastAsia" w:ascii="宋体" w:hAnsi="宋体" w:eastAsia="宋体" w:cs="宋体"/>
          <w:color w:val="auto"/>
          <w:sz w:val="22"/>
          <w:highlight w:val="none"/>
        </w:rPr>
        <w:t>10.4</w:t>
      </w:r>
      <w:r>
        <w:rPr>
          <w:rFonts w:hint="eastAsia" w:ascii="宋体" w:hAnsi="宋体" w:eastAsia="宋体" w:cs="宋体"/>
          <w:b/>
          <w:bCs/>
          <w:color w:val="auto"/>
          <w:sz w:val="22"/>
          <w:highlight w:val="none"/>
        </w:rPr>
        <w:t>投标文件字迹模糊或在关键的技术、商务条款上表述不清楚，将可能导致其投标被拒绝。</w:t>
      </w:r>
    </w:p>
    <w:p>
      <w:pPr>
        <w:spacing w:line="360" w:lineRule="exact"/>
        <w:ind w:firstLine="522" w:firstLineChars="200"/>
        <w:jc w:val="center"/>
        <w:rPr>
          <w:rFonts w:hint="eastAsia" w:ascii="宋体" w:hAnsi="宋体" w:eastAsia="宋体" w:cs="宋体"/>
          <w:color w:val="auto"/>
          <w:sz w:val="22"/>
          <w:highlight w:val="none"/>
        </w:rPr>
      </w:pPr>
      <w:r>
        <w:rPr>
          <w:rFonts w:hint="eastAsia" w:ascii="宋体" w:hAnsi="宋体" w:eastAsia="宋体" w:cs="宋体"/>
          <w:b/>
          <w:color w:val="auto"/>
          <w:sz w:val="26"/>
          <w:highlight w:val="none"/>
        </w:rPr>
        <w:t>四、 投标文件的递交</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1.电子投标文件的加密、递交</w:t>
      </w:r>
    </w:p>
    <w:p>
      <w:pPr>
        <w:spacing w:line="36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kern w:val="0"/>
          <w:sz w:val="22"/>
          <w:highlight w:val="none"/>
        </w:rPr>
        <w:t>投标人</w:t>
      </w:r>
      <w:r>
        <w:rPr>
          <w:rFonts w:hint="eastAsia" w:ascii="宋体" w:hAnsi="宋体" w:eastAsia="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eastAsia="宋体" w:cs="宋体"/>
          <w:color w:val="auto"/>
          <w:kern w:val="0"/>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w:t>
      </w:r>
      <w:r>
        <w:rPr>
          <w:rFonts w:hint="eastAsia" w:ascii="宋体" w:hAnsi="宋体" w:eastAsia="宋体" w:cs="宋体"/>
          <w:b/>
          <w:color w:val="auto"/>
          <w:sz w:val="22"/>
          <w:highlight w:val="none"/>
        </w:rPr>
        <w:t>备份投标文件的加密、递交（如有）</w:t>
      </w:r>
    </w:p>
    <w:p>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为</w:t>
      </w:r>
      <w:r>
        <w:rPr>
          <w:rFonts w:hint="eastAsia" w:ascii="宋体" w:hAnsi="宋体" w:eastAsia="宋体" w:cs="宋体"/>
          <w:color w:val="auto"/>
          <w:kern w:val="0"/>
          <w:sz w:val="22"/>
          <w:highlight w:val="none"/>
        </w:rPr>
        <w:t>确保采购项目顺利实施，避免因政采云上电子投标文件解密失败导致投标人投标无效，</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投标人在政府采购云平台完成加密电子投标文件的上传后投标文件提交截止时间前将</w:t>
      </w:r>
      <w:r>
        <w:rPr>
          <w:rFonts w:hint="eastAsia" w:ascii="宋体" w:hAnsi="宋体" w:eastAsia="宋体" w:cs="宋体"/>
          <w:b/>
          <w:bCs/>
          <w:color w:val="auto"/>
          <w:sz w:val="22"/>
          <w:highlight w:val="none"/>
        </w:rPr>
        <w:t>以介质存储的数据电文形式的备份投标文件按“</w:t>
      </w:r>
      <w:r>
        <w:rPr>
          <w:rFonts w:hint="eastAsia" w:ascii="宋体" w:hAnsi="宋体" w:eastAsia="宋体" w:cs="宋体"/>
          <w:b/>
          <w:bCs/>
          <w:color w:val="auto"/>
          <w:sz w:val="22"/>
          <w:highlight w:val="none"/>
          <w:lang w:val="zh-CN"/>
        </w:rPr>
        <w:t>投标人须知前附表</w:t>
      </w:r>
      <w:r>
        <w:rPr>
          <w:rFonts w:hint="eastAsia" w:ascii="宋体" w:hAnsi="宋体" w:eastAsia="宋体" w:cs="宋体"/>
          <w:b/>
          <w:bCs/>
          <w:color w:val="auto"/>
          <w:sz w:val="22"/>
          <w:highlight w:val="none"/>
        </w:rPr>
        <w:t>”要求</w:t>
      </w:r>
      <w:r>
        <w:rPr>
          <w:rFonts w:hint="eastAsia" w:ascii="宋体" w:hAnsi="宋体" w:eastAsia="宋体" w:cs="宋体"/>
          <w:b/>
          <w:bCs/>
          <w:color w:val="auto"/>
          <w:sz w:val="22"/>
          <w:highlight w:val="none"/>
        </w:rPr>
        <w:fldChar w:fldCharType="end"/>
      </w:r>
      <w:r>
        <w:rPr>
          <w:rFonts w:hint="eastAsia" w:ascii="宋体" w:hAnsi="宋体" w:eastAsia="宋体" w:cs="宋体"/>
          <w:color w:val="auto"/>
          <w:kern w:val="0"/>
          <w:sz w:val="22"/>
          <w:highlight w:val="none"/>
        </w:rPr>
        <w:t>加密、递交。</w:t>
      </w:r>
    </w:p>
    <w:p>
      <w:pPr>
        <w:pStyle w:val="16"/>
        <w:snapToGrid w:val="0"/>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本项目由采购代理机构做好“</w:t>
      </w:r>
      <w:r>
        <w:rPr>
          <w:rFonts w:hint="eastAsia" w:ascii="宋体" w:hAnsi="宋体" w:eastAsia="宋体" w:cs="宋体"/>
          <w:b/>
          <w:bCs/>
          <w:color w:val="auto"/>
          <w:sz w:val="22"/>
          <w:highlight w:val="none"/>
        </w:rPr>
        <w:t>介质存储的数据电文形式的备份投标文件</w:t>
      </w:r>
      <w:r>
        <w:rPr>
          <w:rFonts w:hint="eastAsia" w:ascii="宋体" w:hAnsi="宋体" w:eastAsia="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（1）超过投标文件提交截止时间送达的；</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（2）未在政采云平台获取招标文件的。</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3.投标文件的修改和撤回</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3.2在投标文件提交截止时间之后，投标人不得对其投标做任何修改。</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3.3从投标文件提交截止时间至投标人在投标书格式中确定的投标有效期期满这段时间内，投标人不得撤回其投标。</w:t>
      </w:r>
    </w:p>
    <w:p>
      <w:pPr>
        <w:tabs>
          <w:tab w:val="left" w:pos="360"/>
          <w:tab w:val="left" w:pos="540"/>
          <w:tab w:val="left" w:pos="1260"/>
        </w:tabs>
        <w:spacing w:line="400" w:lineRule="exact"/>
        <w:ind w:left="919" w:hanging="919" w:hangingChars="352"/>
        <w:jc w:val="center"/>
        <w:outlineLvl w:val="0"/>
        <w:rPr>
          <w:rFonts w:hint="eastAsia" w:ascii="宋体" w:hAnsi="宋体" w:eastAsia="宋体" w:cs="宋体"/>
          <w:b/>
          <w:color w:val="auto"/>
          <w:sz w:val="26"/>
          <w:highlight w:val="none"/>
        </w:rPr>
      </w:pPr>
      <w:r>
        <w:rPr>
          <w:rFonts w:hint="eastAsia" w:ascii="宋体" w:hAnsi="宋体" w:eastAsia="宋体" w:cs="宋体"/>
          <w:b/>
          <w:color w:val="auto"/>
          <w:sz w:val="26"/>
          <w:highlight w:val="none"/>
        </w:rPr>
        <w:t>五、 开标和评标</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1.评审小组</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采购人依法组建评审小组。评审小组的成员在评标过程中必须严格遵守《中华人民共和国政府采购法》等有关法律、法规的规定。</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2.评标过程的保密性</w:t>
      </w:r>
    </w:p>
    <w:p>
      <w:pPr>
        <w:spacing w:line="360" w:lineRule="exact"/>
        <w:ind w:firstLine="442" w:firstLineChars="200"/>
        <w:rPr>
          <w:rFonts w:hint="eastAsia" w:ascii="宋体" w:hAnsi="宋体" w:eastAsia="宋体" w:cs="宋体"/>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highlight w:val="none"/>
          <w:u w:val="single"/>
        </w:rPr>
        <w:t>2.1开标后直至向中标人授予合同时止，凡与评审有关的资料均不得向投标人及与评标无关人员透漏。如果投标人在评标过程中试图向采购人和采购人施加影响，其投标将被拒绝。</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3.开标</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本项目实行电子开评标，投标人无需前往开评标现场，只需在规定时间内在“政采云”平台上上传电子投标文件。</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3.1开标准备</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①制订开标、评审工作的组织方案，落实工作场地、设施，检查录音录像采集设备运行情况。采用电子评审方式的，验证电子评审系统是否正常运行。</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②通知或邀请相关单位和人员出席开标、评审活动（按规定由相关监管部门或其授权机构随机抽取、通知的政府采购评审专家除外）。</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③准备政府采购项目的相关文件资料，如项目政府采购预算确认书（计划）、专家抽取有关凭证、项目书面说明、招标文件、补充文件及质疑答复情况、现场工作所需的相关登记表单、评审工作底稿等。</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④其他应准备的事项。</w:t>
      </w:r>
    </w:p>
    <w:p>
      <w:pPr>
        <w:pStyle w:val="13"/>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3.2采购代理机构按照招标文件规定的时间、地点和程序组织开标，具体按以下程序进行：</w:t>
      </w:r>
    </w:p>
    <w:p>
      <w:pPr>
        <w:pStyle w:val="16"/>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①</w:t>
      </w:r>
      <w:r>
        <w:rPr>
          <w:rFonts w:hint="eastAsia" w:ascii="宋体" w:hAnsi="宋体" w:eastAsia="宋体" w:cs="宋体"/>
          <w:color w:val="auto"/>
          <w:spacing w:val="-6"/>
          <w:sz w:val="22"/>
          <w:highlight w:val="none"/>
        </w:rPr>
        <w:t>开启评审场地的录音录像采集设备，并确保其正常运行。</w:t>
      </w:r>
    </w:p>
    <w:p>
      <w:pPr>
        <w:pStyle w:val="28"/>
        <w:spacing w:before="0" w:beforeAutospacing="0" w:after="0" w:afterAutospacing="0" w:line="360" w:lineRule="exac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②解密</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投标文件提交截止时间止采购代理机构向各投标人发出电子投标文件开始解密通知，由投标人在</w:t>
      </w:r>
      <w:r>
        <w:rPr>
          <w:rFonts w:hint="eastAsia" w:ascii="宋体" w:hAnsi="宋体" w:eastAsia="宋体" w:cs="宋体"/>
          <w:b/>
          <w:bCs/>
          <w:snapToGrid w:val="0"/>
          <w:color w:val="auto"/>
          <w:sz w:val="22"/>
          <w:highlight w:val="none"/>
        </w:rPr>
        <w:t>政采云平台</w:t>
      </w:r>
      <w:r>
        <w:rPr>
          <w:rFonts w:hint="eastAsia" w:ascii="宋体" w:hAnsi="宋体" w:eastAsia="宋体" w:cs="宋体"/>
          <w:b/>
          <w:bCs/>
          <w:color w:val="auto"/>
          <w:sz w:val="22"/>
          <w:highlight w:val="none"/>
        </w:rPr>
        <w:t>规定时间（不少于30分钟）内自行进行投标文件解密（</w:t>
      </w:r>
      <w:r>
        <w:rPr>
          <w:rFonts w:hint="eastAsia" w:ascii="宋体" w:hAnsi="宋体" w:eastAsia="宋体" w:cs="宋体"/>
          <w:b/>
          <w:bCs/>
          <w:color w:val="auto"/>
          <w:kern w:val="0"/>
          <w:sz w:val="22"/>
          <w:highlight w:val="none"/>
        </w:rPr>
        <w:t>投标人无需在开标当天到达开标现场对电子投标进行解密，可在公司办公场地在</w:t>
      </w:r>
      <w:r>
        <w:rPr>
          <w:rFonts w:hint="eastAsia" w:ascii="宋体" w:hAnsi="宋体" w:eastAsia="宋体" w:cs="宋体"/>
          <w:b/>
          <w:bCs/>
          <w:snapToGrid w:val="0"/>
          <w:color w:val="auto"/>
          <w:sz w:val="22"/>
          <w:highlight w:val="none"/>
        </w:rPr>
        <w:t>政采云平台</w:t>
      </w:r>
      <w:r>
        <w:rPr>
          <w:rFonts w:hint="eastAsia" w:ascii="宋体" w:hAnsi="宋体" w:eastAsia="宋体" w:cs="宋体"/>
          <w:b/>
          <w:bCs/>
          <w:color w:val="auto"/>
          <w:kern w:val="0"/>
          <w:sz w:val="22"/>
          <w:highlight w:val="none"/>
        </w:rPr>
        <w:t>规定时间内</w:t>
      </w:r>
      <w:r>
        <w:rPr>
          <w:rFonts w:hint="eastAsia" w:ascii="宋体" w:hAnsi="宋体" w:eastAsia="宋体" w:cs="宋体"/>
          <w:b/>
          <w:bCs/>
          <w:color w:val="auto"/>
          <w:sz w:val="22"/>
          <w:highlight w:val="none"/>
        </w:rPr>
        <w:t>通过制作电子投标文件的CA锁用“项目采购-开标评标”功能</w:t>
      </w:r>
      <w:r>
        <w:rPr>
          <w:rFonts w:hint="eastAsia" w:ascii="宋体" w:hAnsi="宋体" w:eastAsia="宋体" w:cs="宋体"/>
          <w:b/>
          <w:bCs/>
          <w:color w:val="auto"/>
          <w:kern w:val="0"/>
          <w:sz w:val="22"/>
          <w:highlight w:val="none"/>
        </w:rPr>
        <w:t>对电子投标文件进行解密。</w:t>
      </w:r>
      <w:r>
        <w:rPr>
          <w:rFonts w:hint="eastAsia" w:ascii="宋体" w:hAnsi="宋体" w:eastAsia="宋体" w:cs="宋体"/>
          <w:b/>
          <w:bCs/>
          <w:color w:val="auto"/>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本项目原则上采用政采云电子招投标开标及评审程序，但有下情形的，按以下情况处理：</w:t>
      </w:r>
    </w:p>
    <w:p>
      <w:pPr>
        <w:pStyle w:val="16"/>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w:t>
      </w:r>
      <w:r>
        <w:rPr>
          <w:rFonts w:hint="eastAsia" w:ascii="宋体" w:hAnsi="宋体" w:eastAsia="宋体" w:cs="宋体"/>
          <w:b/>
          <w:bCs/>
          <w:color w:val="auto"/>
          <w:sz w:val="22"/>
          <w:highlight w:val="none"/>
          <w:lang w:eastAsia="zh-CN"/>
        </w:rPr>
        <w:t>2812799762</w:t>
      </w:r>
      <w:r>
        <w:rPr>
          <w:rFonts w:hint="eastAsia" w:ascii="宋体" w:hAnsi="宋体" w:eastAsia="宋体" w:cs="宋体"/>
          <w:b/>
          <w:bCs/>
          <w:color w:val="auto"/>
          <w:sz w:val="22"/>
          <w:highlight w:val="none"/>
        </w:rPr>
        <w:t>@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6"/>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6"/>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投标人不足3家的，不得开标。</w:t>
      </w:r>
    </w:p>
    <w:p>
      <w:pPr>
        <w:pStyle w:val="16"/>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③投标文件解密结束，组织投标人签署《政府采购活动现场确认声明书》，格式详见附件。</w:t>
      </w:r>
    </w:p>
    <w:p>
      <w:pPr>
        <w:pStyle w:val="16"/>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④采购代理机构对资格进行审查。</w:t>
      </w:r>
    </w:p>
    <w:p>
      <w:pPr>
        <w:pStyle w:val="16"/>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⑤评审小组对商务技术文件进行评审。</w:t>
      </w:r>
    </w:p>
    <w:p>
      <w:pPr>
        <w:pStyle w:val="16"/>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⑥评审小组对报价情况进行评审。</w:t>
      </w:r>
    </w:p>
    <w:p>
      <w:pPr>
        <w:pStyle w:val="16"/>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⑦在系统上公布评审结果。</w:t>
      </w:r>
    </w:p>
    <w:p>
      <w:pPr>
        <w:pStyle w:val="16"/>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特别说明：政采云公司如对电子化开标及评审程序有调整的，按调整后的程序操作。</w:t>
      </w:r>
    </w:p>
    <w:p>
      <w:pPr>
        <w:spacing w:line="360" w:lineRule="exact"/>
        <w:ind w:firstLine="440" w:firstLineChars="200"/>
        <w:rPr>
          <w:rFonts w:hint="eastAsia" w:ascii="宋体" w:hAnsi="宋体" w:eastAsia="宋体" w:cs="宋体"/>
          <w:bCs/>
          <w:color w:val="auto"/>
          <w:sz w:val="22"/>
          <w:highlight w:val="none"/>
          <w:lang w:val="zh-CN"/>
        </w:rPr>
      </w:pPr>
      <w:r>
        <w:rPr>
          <w:rFonts w:hint="eastAsia" w:ascii="宋体" w:hAnsi="宋体" w:eastAsia="宋体" w:cs="宋体"/>
          <w:color w:val="auto"/>
          <w:sz w:val="22"/>
          <w:highlight w:val="none"/>
        </w:rPr>
        <w:t>4.评标</w:t>
      </w:r>
    </w:p>
    <w:p>
      <w:pPr>
        <w:pStyle w:val="16"/>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采购代理机构按照招标文件规定的时间、地点及程序组织评审。评审活动一般应按以下程序组织开展：</w:t>
      </w:r>
    </w:p>
    <w:p>
      <w:pPr>
        <w:pStyle w:val="16"/>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①</w:t>
      </w:r>
      <w:r>
        <w:rPr>
          <w:rFonts w:hint="eastAsia" w:ascii="宋体" w:hAnsi="宋体" w:eastAsia="宋体" w:cs="宋体"/>
          <w:color w:val="auto"/>
          <w:spacing w:val="-6"/>
          <w:sz w:val="22"/>
          <w:highlight w:val="none"/>
        </w:rPr>
        <w:t>开启评审场地的录音录像采集设备，并确保其正常运行。</w:t>
      </w:r>
    </w:p>
    <w:p>
      <w:pPr>
        <w:pStyle w:val="16"/>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②</w:t>
      </w:r>
      <w:r>
        <w:rPr>
          <w:rFonts w:hint="eastAsia" w:ascii="宋体" w:hAnsi="宋体" w:eastAsia="宋体" w:cs="宋体"/>
          <w:color w:val="auto"/>
          <w:spacing w:val="-6"/>
          <w:sz w:val="22"/>
          <w:highlight w:val="none"/>
        </w:rPr>
        <w:t>核验出席评审活动现场的评审小组各成员身份，并要求其分别登记、签到，按规定统一收缴、保存其通讯工具，无关人员一律拒绝其进入评审现场。</w:t>
      </w:r>
    </w:p>
    <w:p>
      <w:pPr>
        <w:pStyle w:val="16"/>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③介绍评审现场的人员情况，宣布评审工作纪律，告知评审小组应当回避情形；组织推选评审小组组长。</w:t>
      </w:r>
    </w:p>
    <w:p>
      <w:pPr>
        <w:pStyle w:val="16"/>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④宣布获取</w:t>
      </w:r>
      <w:r>
        <w:rPr>
          <w:rFonts w:hint="eastAsia" w:ascii="宋体" w:hAnsi="宋体" w:eastAsia="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pPr>
        <w:pStyle w:val="16"/>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ascii="宋体" w:hAnsi="宋体" w:eastAsia="宋体" w:cs="宋体"/>
          <w:color w:val="auto"/>
          <w:kern w:val="0"/>
          <w:sz w:val="22"/>
          <w:highlight w:val="none"/>
        </w:rPr>
        <w:t>评审小组要求投标人澄清、说明或者补正，须通过政采云平台要求澄清、说明或者补正。</w:t>
      </w:r>
    </w:p>
    <w:p>
      <w:pPr>
        <w:pStyle w:val="45"/>
        <w:snapToGrid w:val="0"/>
        <w:spacing w:line="360" w:lineRule="exact"/>
        <w:ind w:firstLine="416"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⑥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6"/>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做好评审现场相关记录，做好评审报告起草、有关内容电脑文字录入等工作，并要求评审小组各成员签字确认。</w:t>
      </w:r>
    </w:p>
    <w:p>
      <w:pPr>
        <w:pStyle w:val="16"/>
        <w:adjustRightInd/>
        <w:spacing w:line="360" w:lineRule="exact"/>
        <w:ind w:firstLine="416"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pacing w:val="-6"/>
          <w:sz w:val="22"/>
          <w:highlight w:val="none"/>
        </w:rPr>
        <w:t>⑦评审结束后，采购代理机构交还评审人员及其他现场相关人员的通讯工具。</w:t>
      </w:r>
    </w:p>
    <w:p>
      <w:pPr>
        <w:spacing w:line="360" w:lineRule="exact"/>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5.投标无效的情形</w:t>
      </w:r>
    </w:p>
    <w:p>
      <w:pPr>
        <w:pStyle w:val="16"/>
        <w:adjustRightInd/>
        <w:spacing w:line="360" w:lineRule="exact"/>
        <w:ind w:firstLine="440"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pacing w:val="-6"/>
          <w:sz w:val="22"/>
          <w:highlight w:val="none"/>
          <w:u w:val="single"/>
        </w:rPr>
        <w:t>5.1、有下列情形之一的，将不予受理投标文件：</w:t>
      </w:r>
    </w:p>
    <w:p>
      <w:pPr>
        <w:pStyle w:val="16"/>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（1）逾期上传电子档投标文件至“政采云”平台的；</w:t>
      </w:r>
    </w:p>
    <w:p>
      <w:pPr>
        <w:pStyle w:val="16"/>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（2）仅递交备份电子投标文件的；</w:t>
      </w:r>
    </w:p>
    <w:p>
      <w:pPr>
        <w:pStyle w:val="16"/>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（3）投标文件只有商务技术文件或者商务技术文件与报价文件部分上传在一份文档中的；</w:t>
      </w:r>
    </w:p>
    <w:p>
      <w:pPr>
        <w:spacing w:line="360" w:lineRule="exact"/>
        <w:ind w:firstLine="416" w:firstLineChars="200"/>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（4）</w:t>
      </w:r>
      <w:r>
        <w:rPr>
          <w:rFonts w:hint="eastAsia" w:ascii="宋体" w:hAnsi="宋体" w:eastAsia="宋体" w:cs="宋体"/>
          <w:color w:val="auto"/>
          <w:sz w:val="22"/>
          <w:highlight w:val="none"/>
          <w:u w:val="single"/>
        </w:rPr>
        <w:t>电子投标文件解密失败的，且未在规定时间内提交备份投标文件的视为投标无效。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▲5.2在资格审查时，如发现下列情形之一的，投标无效：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（1）资格审查材料不全的，或者不符合招标文件要求的；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（2）资格审查材料未按招标文件要求签署、盖章的；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（3）经查询存在不良信用记录的。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▲5.3在符合性审查、商务和技术评审时，如发现下列情形之一的，投标无效：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（1）“商务和技术文件”未按招标文件要求签署、盖章的；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（2）未提供合法、有效法定代表人授权委托书；法定代表人或委托授权代表与投标文件所附身份证明不符；</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（3）明显不符合招标文件实质性要求或者与招标文件中标“▲且加下划线”的内容发生实质性偏离的；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（4）未提供或未如实提供采购需求偏离表的；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（5）未提供或未如实提供货物的技术参数，或者投标文件标明的响应或偏离与事实不符或虚假投标的；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（6）投标有效期不能满足招标文件要求的；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（7）投标技术方案不明确，存在一个或一个以上备选（替代）投标方案的；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（8）投标文件含有采购人不能接受的附加条件的；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（9）在“资格文件”或“商务和技术文件”中出现投标报价的；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（10）法律、法规和招标文件中规定的其他无效情形的。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▲5.4在报价评审时，如发现下列情形之一的，投标无效：</w:t>
      </w:r>
    </w:p>
    <w:p>
      <w:pPr>
        <w:numPr>
          <w:ilvl w:val="0"/>
          <w:numId w:val="4"/>
        </w:num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u w:val="single"/>
          <w:lang w:eastAsia="zh-CN"/>
        </w:rPr>
        <w:t>报价</w:t>
      </w:r>
      <w:r>
        <w:rPr>
          <w:rFonts w:hint="eastAsia" w:ascii="宋体" w:hAnsi="宋体" w:eastAsia="宋体" w:cs="宋体"/>
          <w:color w:val="auto"/>
          <w:sz w:val="22"/>
          <w:highlight w:val="none"/>
          <w:u w:val="single"/>
        </w:rPr>
        <w:t>文件”未按招标文件要求签署、盖章的；</w:t>
      </w:r>
    </w:p>
    <w:p>
      <w:pPr>
        <w:numPr>
          <w:ilvl w:val="0"/>
          <w:numId w:val="4"/>
        </w:num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报价文件未按招标文件要求签署、盖章的；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（2）未按照招标文件标明的币种报价的；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（3）报价超出招标文件中规定的预算金额或者最高限价的；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（4）投标报价具有选择性，或者开标价格与投标文件承诺的优惠（折扣）价格不一致的；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rPr>
        <w:t>▲5.5</w:t>
      </w:r>
      <w:r>
        <w:rPr>
          <w:rFonts w:hint="eastAsia" w:ascii="宋体" w:hAnsi="宋体" w:eastAsia="宋体" w:cs="宋体"/>
          <w:color w:val="auto"/>
          <w:sz w:val="22"/>
          <w:highlight w:val="none"/>
          <w:u w:val="single"/>
          <w:lang w:val="zh-CN"/>
        </w:rPr>
        <w:t>有下列情形之一的，视为投标人串通投标，</w:t>
      </w:r>
      <w:r>
        <w:rPr>
          <w:rFonts w:hint="eastAsia" w:ascii="宋体" w:hAnsi="宋体" w:eastAsia="宋体" w:cs="宋体"/>
          <w:color w:val="auto"/>
          <w:sz w:val="22"/>
          <w:highlight w:val="none"/>
          <w:u w:val="single"/>
        </w:rPr>
        <w:t>投标无效</w:t>
      </w:r>
      <w:r>
        <w:rPr>
          <w:rFonts w:hint="eastAsia" w:ascii="宋体" w:hAnsi="宋体" w:eastAsia="宋体" w:cs="宋体"/>
          <w:color w:val="auto"/>
          <w:sz w:val="22"/>
          <w:highlight w:val="none"/>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1</w:t>
      </w:r>
      <w:r>
        <w:rPr>
          <w:rFonts w:hint="eastAsia" w:ascii="宋体" w:hAnsi="宋体" w:eastAsia="宋体" w:cs="宋体"/>
          <w:color w:val="auto"/>
          <w:sz w:val="22"/>
          <w:highlight w:val="none"/>
          <w:u w:val="single"/>
          <w:lang w:val="zh-CN"/>
        </w:rPr>
        <w:t>）不同投标人的投标文件由同一单位或者个人编制；</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2</w:t>
      </w:r>
      <w:r>
        <w:rPr>
          <w:rFonts w:hint="eastAsia" w:ascii="宋体" w:hAnsi="宋体" w:eastAsia="宋体" w:cs="宋体"/>
          <w:color w:val="auto"/>
          <w:sz w:val="22"/>
          <w:highlight w:val="none"/>
          <w:u w:val="single"/>
          <w:lang w:val="zh-CN"/>
        </w:rPr>
        <w:t>）不同投标人委托同一单位或者个人办理投标事宜；</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u w:val="single"/>
          <w:lang w:val="zh-CN"/>
        </w:rPr>
        <w:t>）不同投标人的投标文件载明的项目管理成员或者联系人员为同一人；</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4</w:t>
      </w:r>
      <w:r>
        <w:rPr>
          <w:rFonts w:hint="eastAsia" w:ascii="宋体" w:hAnsi="宋体" w:eastAsia="宋体" w:cs="宋体"/>
          <w:color w:val="auto"/>
          <w:sz w:val="22"/>
          <w:highlight w:val="none"/>
          <w:u w:val="single"/>
          <w:lang w:val="zh-CN"/>
        </w:rPr>
        <w:t>）不同投标人的投标文件异常一致或者投标报价呈规律性差异；</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5</w:t>
      </w:r>
      <w:r>
        <w:rPr>
          <w:rFonts w:hint="eastAsia" w:ascii="宋体" w:hAnsi="宋体" w:eastAsia="宋体" w:cs="宋体"/>
          <w:color w:val="auto"/>
          <w:sz w:val="22"/>
          <w:highlight w:val="none"/>
          <w:u w:val="single"/>
          <w:lang w:val="zh-CN"/>
        </w:rPr>
        <w:t>）不同投标人的投标文件相互混装。</w:t>
      </w:r>
    </w:p>
    <w:p>
      <w:pPr>
        <w:pStyle w:val="16"/>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6.错误修正</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投标文件报价出现前后不一致的，除招标文件另有规定外，按照下列规定修正：</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6.1投标文件中开标一览表（报价表）内容与投标文件中相应内容不一致的，以开标一览表（报价表）为准；</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6.2大写金额和小写金额不一致的，以大写金额为准；</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6.3单价金额小数点或者百分比有明显错位的，以开标一览表的总价为准，并修改单价；</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6.4总价金额与按单价汇总金额不一致的，以单价金额计算结果为准。</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6.5对不同文字文本投标文件的解释发生异义的，以中文文本为准</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6.6客户端填写的报价与以pdf格式上传文件中的报价不一致的，应以Pdf格式上传文件中的报价为准。</w:t>
      </w:r>
    </w:p>
    <w:p>
      <w:pPr>
        <w:pStyle w:val="16"/>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pPr>
        <w:pStyle w:val="16"/>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7.投标文件的澄清</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6"/>
        <w:tabs>
          <w:tab w:val="left" w:pos="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highlight w:val="none"/>
          <w:u w:val="single"/>
        </w:rPr>
        <w:t>7.3经澄清后，若偏差仍存在，且不可接受，投标人则被认为是“没有实质性响应招标文件要求”，其投标不进入下一步评审。</w:t>
      </w:r>
    </w:p>
    <w:p>
      <w:pPr>
        <w:pStyle w:val="16"/>
        <w:tabs>
          <w:tab w:val="left" w:pos="630"/>
        </w:tabs>
        <w:adjustRightInd/>
        <w:snapToGrid w:val="0"/>
        <w:spacing w:line="360" w:lineRule="exact"/>
        <w:ind w:firstLine="433" w:firstLineChars="196"/>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8.评标原则和评标办法</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8"/>
        <w:spacing w:before="0" w:beforeAutospacing="0" w:after="0" w:afterAutospacing="0" w:line="360" w:lineRule="exac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8.2评标中因评审小组成员缺席、回避或者健康等特殊原因导致评审小组组成不符合规定的，依法补足后继续评标。被更换的评审小组成员所作出的评标意见无效。</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8.4评标办法。本项目评标办法是综合评分法，具体评标内容及评分标准等详见第六部分“评标原则及方法”。</w:t>
      </w:r>
    </w:p>
    <w:p>
      <w:pPr>
        <w:pStyle w:val="16"/>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8.5评标过程中遇到特殊情况，由评审小组遵循公开、公正原则，采取投票方式按照少数服从多数原则决定。</w:t>
      </w:r>
    </w:p>
    <w:p>
      <w:pPr>
        <w:pStyle w:val="16"/>
        <w:adjustRightInd/>
        <w:snapToGrid w:val="0"/>
        <w:spacing w:line="360" w:lineRule="exact"/>
        <w:ind w:firstLine="440"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8.6</w:t>
      </w:r>
      <w:r>
        <w:rPr>
          <w:rFonts w:hint="eastAsia" w:ascii="宋体" w:hAnsi="宋体" w:eastAsia="宋体" w:cs="宋体"/>
          <w:b/>
          <w:bCs/>
          <w:color w:val="auto"/>
          <w:sz w:val="22"/>
          <w:highlight w:val="none"/>
        </w:rPr>
        <w:t>《中华人民共和国政府采购法》第三十六条在招标采购中，出现下列情形之一的，应予废标：</w:t>
      </w:r>
    </w:p>
    <w:p>
      <w:pPr>
        <w:pStyle w:val="16"/>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（一）符合专业条件的供应商或者对招标文件作实质响应的供应商不足三家的；</w:t>
      </w:r>
    </w:p>
    <w:p>
      <w:pPr>
        <w:pStyle w:val="16"/>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（二）出现影响采购公正的违法、违规行为的；</w:t>
      </w:r>
    </w:p>
    <w:p>
      <w:pPr>
        <w:pStyle w:val="16"/>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（三）投标人的报价均超过了采购预算，采购人不能支付的；</w:t>
      </w:r>
    </w:p>
    <w:p>
      <w:pPr>
        <w:pStyle w:val="16"/>
        <w:adjustRightInd/>
        <w:snapToGrid w:val="0"/>
        <w:spacing w:line="360" w:lineRule="exact"/>
        <w:ind w:firstLine="442" w:firstLineChars="200"/>
        <w:textAlignment w:val="auto"/>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（四）因重大变故，采购任务取消的。</w:t>
      </w:r>
    </w:p>
    <w:p>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9.确定中标候选人</w:t>
      </w:r>
    </w:p>
    <w:p>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9.1本次招标由评审小组确定中标候选人（招标文件另有规定的除外）。</w:t>
      </w:r>
    </w:p>
    <w:p>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9.3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9.4采购人根据招标文件、中标人的投标文件、合同等材料及时组织验收，并严把质量关。</w:t>
      </w:r>
    </w:p>
    <w:p>
      <w:pPr>
        <w:tabs>
          <w:tab w:val="left" w:pos="136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9.5采购代理机构对决标结果不做任何解释，也不保证最低价中标。</w:t>
      </w:r>
    </w:p>
    <w:p>
      <w:pPr>
        <w:pStyle w:val="16"/>
        <w:snapToGrid w:val="0"/>
        <w:spacing w:line="36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10.定标</w:t>
      </w:r>
    </w:p>
    <w:p>
      <w:pPr>
        <w:pStyle w:val="16"/>
        <w:snapToGrid w:val="0"/>
        <w:spacing w:line="36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（一）确定中标人。本项目由采购人确定中标人。</w:t>
      </w:r>
    </w:p>
    <w:p>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p>
    <w:p>
      <w:pPr>
        <w:snapToGrid w:val="0"/>
        <w:spacing w:line="360" w:lineRule="exact"/>
        <w:ind w:firstLine="440" w:firstLineChars="200"/>
        <w:jc w:val="left"/>
        <w:outlineLvl w:val="9"/>
        <w:rPr>
          <w:rFonts w:hint="eastAsia" w:ascii="宋体" w:hAnsi="宋体" w:eastAsia="宋体" w:cs="宋体"/>
          <w:b/>
          <w:color w:val="auto"/>
          <w:sz w:val="26"/>
          <w:highlight w:val="none"/>
        </w:rPr>
      </w:pPr>
      <w:r>
        <w:rPr>
          <w:rFonts w:hint="eastAsia" w:ascii="宋体" w:hAnsi="宋体" w:eastAsia="宋体" w:cs="宋体"/>
          <w:color w:val="auto"/>
          <w:sz w:val="22"/>
          <w:highlight w:val="none"/>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hint="eastAsia" w:ascii="宋体" w:hAnsi="宋体" w:eastAsia="宋体" w:cs="宋体"/>
          <w:b/>
          <w:color w:val="auto"/>
          <w:sz w:val="26"/>
          <w:highlight w:val="none"/>
        </w:rPr>
      </w:pPr>
      <w:bookmarkStart w:id="0" w:name="_Toc2232"/>
      <w:bookmarkStart w:id="1" w:name="_Toc11551"/>
      <w:bookmarkStart w:id="2" w:name="_Toc30871"/>
      <w:bookmarkStart w:id="3" w:name="_Toc3029"/>
      <w:bookmarkStart w:id="4" w:name="_Toc27186"/>
      <w:bookmarkStart w:id="5" w:name="_Toc24059"/>
      <w:r>
        <w:rPr>
          <w:rFonts w:hint="eastAsia" w:ascii="宋体" w:hAnsi="宋体" w:eastAsia="宋体" w:cs="宋体"/>
          <w:b/>
          <w:color w:val="auto"/>
          <w:sz w:val="26"/>
          <w:highlight w:val="none"/>
        </w:rPr>
        <w:t>六、 授予合同</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jc w:val="left"/>
        <w:rPr>
          <w:rFonts w:hint="eastAsia" w:ascii="宋体" w:hAnsi="宋体" w:eastAsia="宋体" w:cs="宋体"/>
          <w:b/>
          <w:color w:val="auto"/>
          <w:sz w:val="26"/>
          <w:highlight w:val="none"/>
        </w:rPr>
      </w:pPr>
      <w:r>
        <w:rPr>
          <w:rFonts w:hint="eastAsia" w:ascii="宋体" w:hAnsi="宋体" w:eastAsia="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6"/>
          <w:highlight w:val="none"/>
        </w:rPr>
        <w:t xml:space="preserve">七、 </w:t>
      </w:r>
      <w:r>
        <w:rPr>
          <w:rFonts w:hint="eastAsia" w:ascii="宋体" w:hAnsi="宋体" w:eastAsia="宋体" w:cs="宋体"/>
          <w:b/>
          <w:color w:val="auto"/>
          <w:sz w:val="28"/>
          <w:szCs w:val="28"/>
          <w:highlight w:val="none"/>
        </w:rPr>
        <w:t>可中止电子交易活动的情形</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zh-CN"/>
        </w:rPr>
        <w:t>采购过程中出现以下情形，导致电子交易平台无法正常运行，或者无法保证电子交易的公平、公正和安全时，采购组织机构可中止电子交易活动：</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（一）电子交易平台发生故障而无法登录访问的； </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（二）电子交易平台应用或数据库出现错误，不能进行正常操作的；</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（三）电子交易平台发现严重安全漏洞，有潜在泄密危险的；</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（四）病毒发作导致不能进行正常操作的； </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（五）其他无法保证电子交易的公平、公正和安全的情况。</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bookmarkStart w:id="6" w:name="_Toc25540"/>
    </w:p>
    <w:p>
      <w:pPr>
        <w:spacing w:line="360" w:lineRule="exact"/>
        <w:jc w:val="center"/>
        <w:rPr>
          <w:rFonts w:hint="eastAsia" w:ascii="宋体" w:hAnsi="宋体" w:eastAsia="宋体" w:cs="宋体"/>
          <w:b/>
          <w:color w:val="auto"/>
          <w:sz w:val="26"/>
          <w:highlight w:val="none"/>
        </w:rPr>
      </w:pPr>
    </w:p>
    <w:p>
      <w:pPr>
        <w:spacing w:line="360" w:lineRule="exact"/>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en-US" w:eastAsia="zh-CN"/>
        </w:rPr>
        <w:t>、验收</w:t>
      </w:r>
      <w:bookmarkEnd w:id="6"/>
    </w:p>
    <w:p>
      <w:pPr>
        <w:tabs>
          <w:tab w:val="left" w:pos="0"/>
        </w:tabs>
        <w:spacing w:line="360" w:lineRule="auto"/>
        <w:ind w:firstLine="48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宋体" w:hAnsi="宋体" w:eastAsia="宋体" w:cs="宋体"/>
          <w:color w:val="auto"/>
          <w:kern w:val="2"/>
          <w:sz w:val="22"/>
          <w:szCs w:val="22"/>
          <w:highlight w:val="none"/>
          <w:lang w:val="en-US" w:eastAsia="zh-CN" w:bidi="ar-SA"/>
        </w:rPr>
      </w:pPr>
      <w:bookmarkStart w:id="7" w:name="_Hlt75236290"/>
      <w:bookmarkEnd w:id="7"/>
      <w:bookmarkStart w:id="8" w:name="_Hlt75236011"/>
      <w:bookmarkEnd w:id="8"/>
      <w:bookmarkStart w:id="9" w:name="_Hlt74729768"/>
      <w:bookmarkEnd w:id="9"/>
      <w:bookmarkStart w:id="10" w:name="_Hlt68072998"/>
      <w:bookmarkEnd w:id="10"/>
      <w:bookmarkStart w:id="11" w:name="_Hlt74730295"/>
      <w:bookmarkEnd w:id="11"/>
      <w:bookmarkStart w:id="12" w:name="_Hlt68072990"/>
      <w:bookmarkEnd w:id="12"/>
      <w:bookmarkStart w:id="13" w:name="_Hlt68403820"/>
      <w:bookmarkEnd w:id="13"/>
      <w:bookmarkStart w:id="14" w:name="_Hlt74707468"/>
      <w:bookmarkEnd w:id="14"/>
      <w:bookmarkStart w:id="15" w:name="_Hlt74714665"/>
      <w:bookmarkEnd w:id="15"/>
      <w:bookmarkStart w:id="16" w:name="_Hlt75236101"/>
      <w:bookmarkEnd w:id="16"/>
      <w:bookmarkStart w:id="17" w:name="_Hlt68073093"/>
      <w:bookmarkEnd w:id="17"/>
      <w:bookmarkStart w:id="18" w:name="_Hlt68057669"/>
      <w:bookmarkEnd w:id="18"/>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履约验收费用由供应商承担，因供应商原因造成验收不通过的，再次验收的费用仍由供应商承担。</w:t>
      </w:r>
    </w:p>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color w:val="auto"/>
          <w:sz w:val="32"/>
          <w:highlight w:val="none"/>
        </w:rPr>
        <w:t xml:space="preserve">第三部分   </w:t>
      </w:r>
      <w:r>
        <w:rPr>
          <w:rFonts w:hint="eastAsia" w:ascii="宋体" w:hAnsi="宋体" w:eastAsia="宋体" w:cs="宋体"/>
          <w:b/>
          <w:bCs/>
          <w:color w:val="auto"/>
          <w:sz w:val="32"/>
          <w:szCs w:val="32"/>
          <w:highlight w:val="none"/>
        </w:rPr>
        <w:t>拟签订的合同文本</w:t>
      </w:r>
    </w:p>
    <w:p>
      <w:pPr>
        <w:spacing w:line="360" w:lineRule="exact"/>
        <w:jc w:val="center"/>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（本合同为样稿，最终稿由</w:t>
      </w:r>
      <w:r>
        <w:rPr>
          <w:rFonts w:hint="eastAsia" w:ascii="宋体" w:hAnsi="宋体" w:eastAsia="宋体" w:cs="宋体"/>
          <w:color w:val="auto"/>
          <w:sz w:val="22"/>
          <w:highlight w:val="none"/>
          <w:lang w:val="en-US" w:eastAsia="zh-CN"/>
        </w:rPr>
        <w:t>甲乙</w:t>
      </w:r>
      <w:r>
        <w:rPr>
          <w:rFonts w:hint="eastAsia" w:ascii="宋体" w:hAnsi="宋体" w:eastAsia="宋体" w:cs="宋体"/>
          <w:color w:val="auto"/>
          <w:sz w:val="22"/>
          <w:highlight w:val="none"/>
        </w:rPr>
        <w:t>双方协商后确定）</w:t>
      </w:r>
    </w:p>
    <w:p>
      <w:pPr>
        <w:jc w:val="center"/>
        <w:rPr>
          <w:rFonts w:hint="eastAsia" w:ascii="宋体" w:hAnsi="宋体" w:eastAsia="宋体" w:cs="宋体"/>
          <w:b/>
          <w:bCs/>
          <w:color w:val="auto"/>
          <w:sz w:val="24"/>
          <w:szCs w:val="24"/>
          <w:highlight w:val="none"/>
          <w:u w:val="none"/>
          <w:lang w:val="zh-CN" w:eastAsia="zh-CN"/>
        </w:rPr>
      </w:pPr>
    </w:p>
    <w:p>
      <w:pPr>
        <w:jc w:val="center"/>
        <w:rPr>
          <w:rFonts w:hint="eastAsia" w:ascii="宋体" w:hAnsi="宋体" w:eastAsia="宋体" w:cs="宋体"/>
          <w:b/>
          <w:bCs/>
          <w:color w:val="auto"/>
          <w:sz w:val="24"/>
          <w:szCs w:val="24"/>
          <w:highlight w:val="none"/>
          <w:u w:val="none"/>
          <w:lang w:val="zh-CN"/>
        </w:rPr>
      </w:pPr>
      <w:r>
        <w:rPr>
          <w:rFonts w:hint="eastAsia" w:ascii="宋体" w:hAnsi="宋体" w:cs="宋体"/>
          <w:b/>
          <w:bCs/>
          <w:color w:val="auto"/>
          <w:sz w:val="24"/>
          <w:szCs w:val="24"/>
          <w:highlight w:val="none"/>
          <w:u w:val="none"/>
          <w:lang w:val="zh-CN" w:eastAsia="zh-CN"/>
        </w:rPr>
        <w:t>标项</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lang w:val="zh-CN" w:eastAsia="zh-CN"/>
        </w:rPr>
        <w:t>2022年温州市交管信控系统项目拟签订的合同文本</w:t>
      </w:r>
    </w:p>
    <w:p>
      <w:pPr>
        <w:keepNext w:val="0"/>
        <w:keepLines w:val="0"/>
        <w:pageBreakBefore w:val="0"/>
        <w:widowControl/>
        <w:tabs>
          <w:tab w:val="left" w:pos="495"/>
        </w:tabs>
        <w:kinsoku/>
        <w:wordWrap/>
        <w:overflowPunct/>
        <w:topLinePunct w:val="0"/>
        <w:autoSpaceDE/>
        <w:autoSpaceDN/>
        <w:bidi w:val="0"/>
        <w:adjustRightInd/>
        <w:snapToGrid w:val="0"/>
        <w:spacing w:line="400" w:lineRule="exact"/>
        <w:ind w:left="493" w:right="0" w:rightChars="0" w:hanging="493"/>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一、总则</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温州市公安局交通管理局采购的</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none"/>
          <w:lang w:val="en-US" w:eastAsia="zh-CN"/>
        </w:rPr>
        <w:t>项目</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采购</w:t>
      </w:r>
      <w:r>
        <w:rPr>
          <w:rFonts w:hint="eastAsia" w:ascii="宋体" w:hAnsi="宋体" w:eastAsia="宋体" w:cs="宋体"/>
          <w:color w:val="auto"/>
          <w:kern w:val="0"/>
          <w:sz w:val="22"/>
          <w:szCs w:val="22"/>
          <w:highlight w:val="none"/>
        </w:rPr>
        <w:t>编号）以公开招</w:t>
      </w:r>
      <w:r>
        <w:rPr>
          <w:rFonts w:hint="eastAsia" w:ascii="宋体" w:hAnsi="宋体" w:eastAsia="宋体" w:cs="宋体"/>
          <w:color w:val="auto"/>
          <w:kern w:val="0"/>
          <w:sz w:val="22"/>
          <w:szCs w:val="22"/>
          <w:highlight w:val="none"/>
          <w:lang w:val="en-US" w:eastAsia="zh-CN"/>
        </w:rPr>
        <w:t>投</w:t>
      </w:r>
      <w:r>
        <w:rPr>
          <w:rFonts w:hint="eastAsia" w:ascii="宋体" w:hAnsi="宋体" w:eastAsia="宋体" w:cs="宋体"/>
          <w:color w:val="auto"/>
          <w:kern w:val="0"/>
          <w:sz w:val="22"/>
          <w:szCs w:val="22"/>
          <w:highlight w:val="none"/>
        </w:rPr>
        <w:t>标方式进行采购，经评标委员会</w:t>
      </w:r>
      <w:r>
        <w:rPr>
          <w:rFonts w:hint="eastAsia" w:ascii="宋体" w:hAnsi="宋体" w:eastAsia="宋体" w:cs="宋体"/>
          <w:color w:val="auto"/>
          <w:kern w:val="0"/>
          <w:sz w:val="22"/>
          <w:szCs w:val="22"/>
          <w:highlight w:val="none"/>
          <w:lang w:val="en-US" w:eastAsia="zh-CN"/>
        </w:rPr>
        <w:t>综合评定</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为中标人。甲、乙双方根据《中华人民共和国民法典》、《中华人民共和国</w:t>
      </w:r>
      <w:r>
        <w:rPr>
          <w:rFonts w:hint="eastAsia" w:ascii="宋体" w:hAnsi="宋体" w:eastAsia="宋体" w:cs="宋体"/>
          <w:color w:val="auto"/>
          <w:kern w:val="0"/>
          <w:sz w:val="22"/>
          <w:szCs w:val="22"/>
          <w:highlight w:val="none"/>
          <w:lang w:val="en-US" w:eastAsia="zh-CN"/>
        </w:rPr>
        <w:t>政府</w:t>
      </w:r>
      <w:r>
        <w:rPr>
          <w:rFonts w:hint="eastAsia" w:ascii="宋体" w:hAnsi="宋体" w:eastAsia="宋体" w:cs="宋体"/>
          <w:color w:val="auto"/>
          <w:kern w:val="0"/>
          <w:sz w:val="22"/>
          <w:szCs w:val="22"/>
          <w:highlight w:val="none"/>
        </w:rPr>
        <w:t>采购法》等法律法规和本合同的招标文件、投标文件及投标中的承诺，经双方协商，同意按照下面条款和条件，签署本合同。</w:t>
      </w:r>
    </w:p>
    <w:p>
      <w:pPr>
        <w:keepNext w:val="0"/>
        <w:keepLines w:val="0"/>
        <w:pageBreakBefore w:val="0"/>
        <w:widowControl/>
        <w:tabs>
          <w:tab w:val="left" w:pos="495"/>
        </w:tabs>
        <w:kinsoku/>
        <w:wordWrap/>
        <w:overflowPunct/>
        <w:topLinePunct w:val="0"/>
        <w:autoSpaceDE/>
        <w:autoSpaceDN/>
        <w:bidi w:val="0"/>
        <w:adjustRightInd/>
        <w:snapToGrid w:val="0"/>
        <w:spacing w:line="400" w:lineRule="exact"/>
        <w:ind w:left="0" w:right="0" w:rightChars="0" w:firstLine="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二、合同文件</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合同文件如存在歧义或不一致则根据以下优先次序来判断：</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1．合同书及合同补充条款或说明</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2．中标通知书</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 承诺书（含询标记录和优惠条款）</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．投标文件</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 招标文件</w:t>
      </w:r>
    </w:p>
    <w:p>
      <w:pPr>
        <w:keepNext w:val="0"/>
        <w:keepLines w:val="0"/>
        <w:pageBreakBefore w:val="0"/>
        <w:widowControl/>
        <w:tabs>
          <w:tab w:val="left" w:pos="495"/>
        </w:tabs>
        <w:kinsoku/>
        <w:wordWrap/>
        <w:overflowPunct/>
        <w:topLinePunct w:val="0"/>
        <w:autoSpaceDE/>
        <w:autoSpaceDN/>
        <w:bidi w:val="0"/>
        <w:adjustRightInd/>
        <w:snapToGrid w:val="0"/>
        <w:spacing w:line="400" w:lineRule="exact"/>
        <w:ind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三、项目的实施规模、范围</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2022年温州市交管信控系统项目</w:t>
      </w:r>
      <w:r>
        <w:rPr>
          <w:rFonts w:hint="eastAsia" w:ascii="宋体" w:hAnsi="宋体" w:eastAsia="宋体" w:cs="宋体"/>
          <w:color w:val="auto"/>
          <w:kern w:val="0"/>
          <w:sz w:val="22"/>
          <w:szCs w:val="22"/>
          <w:highlight w:val="none"/>
        </w:rPr>
        <w:t>（以下简称“项目”）。具体要求以招标文件要求为准。</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四、合同要求的数量和质量</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采购规格、技术参数、配套要求、单价等</w:t>
      </w:r>
      <w:r>
        <w:rPr>
          <w:rFonts w:hint="eastAsia" w:ascii="宋体" w:hAnsi="宋体" w:eastAsia="宋体" w:cs="宋体"/>
          <w:color w:val="auto"/>
          <w:kern w:val="0"/>
          <w:sz w:val="22"/>
          <w:szCs w:val="22"/>
          <w:highlight w:val="none"/>
        </w:rPr>
        <w:t>清单详见附件。本工程为交钥匙工程，在实际建设过程中，乙方发现缺少相应设备无法满足采购需求和实际需求的，应自行予以增购相应设备，不得低于招标文件参数配置要求，也不得以其它理由增加费用。在服务规定的期限内，应完全符合合同规定的数量、质量、规格和性能要求。</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要求质量标准：先进、主流、可靠、安全、开放、实用、性价比高。</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五、双方的权利和责任</w:t>
      </w:r>
    </w:p>
    <w:p>
      <w:pPr>
        <w:keepNext w:val="0"/>
        <w:keepLines w:val="0"/>
        <w:pageBreakBefore w:val="0"/>
        <w:widowControl/>
        <w:tabs>
          <w:tab w:val="left" w:pos="495"/>
        </w:tabs>
        <w:kinsoku/>
        <w:wordWrap/>
        <w:overflowPunct/>
        <w:topLinePunct w:val="0"/>
        <w:autoSpaceDE/>
        <w:autoSpaceDN/>
        <w:bidi w:val="0"/>
        <w:adjustRightInd/>
        <w:snapToGrid w:val="0"/>
        <w:spacing w:line="400" w:lineRule="exact"/>
        <w:ind w:left="0" w:right="0" w:rightChars="0" w:firstLine="442" w:firstLineChars="200"/>
        <w:jc w:val="left"/>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lang w:val="en-US" w:eastAsia="zh-CN"/>
        </w:rPr>
        <w:t>（一）</w:t>
      </w:r>
      <w:r>
        <w:rPr>
          <w:rFonts w:hint="eastAsia" w:ascii="宋体" w:hAnsi="宋体" w:eastAsia="宋体" w:cs="宋体"/>
          <w:b/>
          <w:color w:val="auto"/>
          <w:kern w:val="0"/>
          <w:sz w:val="22"/>
          <w:szCs w:val="22"/>
          <w:highlight w:val="none"/>
        </w:rPr>
        <w:t>甲方权责</w:t>
      </w:r>
    </w:p>
    <w:p>
      <w:pPr>
        <w:keepNext w:val="0"/>
        <w:keepLines w:val="0"/>
        <w:pageBreakBefore w:val="0"/>
        <w:widowControl/>
        <w:numPr>
          <w:ilvl w:val="0"/>
          <w:numId w:val="5"/>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项目总体</w:t>
      </w:r>
      <w:r>
        <w:rPr>
          <w:rFonts w:hint="eastAsia" w:ascii="宋体" w:hAnsi="宋体" w:eastAsia="宋体" w:cs="宋体"/>
          <w:color w:val="auto"/>
          <w:kern w:val="0"/>
          <w:sz w:val="22"/>
          <w:szCs w:val="22"/>
          <w:highlight w:val="none"/>
          <w:lang w:val="en-US" w:eastAsia="zh-CN"/>
        </w:rPr>
        <w:t>建设任务</w:t>
      </w:r>
      <w:r>
        <w:rPr>
          <w:rFonts w:hint="eastAsia" w:ascii="宋体" w:hAnsi="宋体" w:eastAsia="宋体" w:cs="宋体"/>
          <w:color w:val="auto"/>
          <w:kern w:val="0"/>
          <w:sz w:val="22"/>
          <w:szCs w:val="22"/>
          <w:highlight w:val="none"/>
        </w:rPr>
        <w:t>和技术标准由甲方确定，</w:t>
      </w:r>
      <w:r>
        <w:rPr>
          <w:rFonts w:hint="eastAsia" w:ascii="宋体" w:hAnsi="宋体" w:eastAsia="宋体" w:cs="宋体"/>
          <w:color w:val="auto"/>
          <w:kern w:val="0"/>
          <w:sz w:val="22"/>
          <w:szCs w:val="22"/>
          <w:highlight w:val="none"/>
          <w:lang w:val="en-US" w:eastAsia="zh-CN"/>
        </w:rPr>
        <w:t>并负责项目的总体组织工作，保留根据实际工作需求，提出对项目建设方案进行适当修改的权利</w:t>
      </w:r>
      <w:r>
        <w:rPr>
          <w:rFonts w:hint="eastAsia" w:ascii="宋体" w:hAnsi="宋体" w:eastAsia="宋体" w:cs="宋体"/>
          <w:color w:val="auto"/>
          <w:kern w:val="0"/>
          <w:sz w:val="22"/>
          <w:szCs w:val="22"/>
          <w:highlight w:val="none"/>
        </w:rPr>
        <w:t>。</w:t>
      </w:r>
    </w:p>
    <w:p>
      <w:pPr>
        <w:keepNext w:val="0"/>
        <w:keepLines w:val="0"/>
        <w:pageBreakBefore w:val="0"/>
        <w:widowControl/>
        <w:numPr>
          <w:ilvl w:val="0"/>
          <w:numId w:val="5"/>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甲方应为调研、安装、测试、调试等乙方工作提供必要的工作环境及协助人员；</w:t>
      </w:r>
    </w:p>
    <w:p>
      <w:pPr>
        <w:keepNext w:val="0"/>
        <w:keepLines w:val="0"/>
        <w:pageBreakBefore w:val="0"/>
        <w:widowControl/>
        <w:numPr>
          <w:ilvl w:val="0"/>
          <w:numId w:val="5"/>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为保证本项目能按照招标要求正常完工，甲、乙双方应本着精诚合作的原则，共同加强对本项目实施过程中的监管，</w:t>
      </w:r>
      <w:r>
        <w:rPr>
          <w:rFonts w:hint="eastAsia" w:ascii="宋体" w:hAnsi="宋体" w:eastAsia="宋体" w:cs="宋体"/>
          <w:color w:val="auto"/>
          <w:kern w:val="0"/>
          <w:sz w:val="22"/>
          <w:szCs w:val="22"/>
          <w:highlight w:val="none"/>
          <w:lang w:val="en-US" w:eastAsia="zh-CN"/>
        </w:rPr>
        <w:t>甲方有权要求</w:t>
      </w:r>
      <w:r>
        <w:rPr>
          <w:rFonts w:hint="eastAsia" w:ascii="宋体" w:hAnsi="宋体" w:eastAsia="宋体" w:cs="宋体"/>
          <w:color w:val="auto"/>
          <w:kern w:val="0"/>
          <w:sz w:val="22"/>
          <w:szCs w:val="22"/>
          <w:highlight w:val="none"/>
          <w:lang w:eastAsia="zh-CN"/>
        </w:rPr>
        <w:t>乙方项目经理每周向甲方提供项目进度周报，详细汇报上周的实际性进展及本周安排，每周的周报内容都需要体现项目进度有实质性进展；</w:t>
      </w:r>
    </w:p>
    <w:p>
      <w:pPr>
        <w:keepNext w:val="0"/>
        <w:keepLines w:val="0"/>
        <w:pageBreakBefore w:val="0"/>
        <w:widowControl/>
        <w:numPr>
          <w:ilvl w:val="0"/>
          <w:numId w:val="5"/>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如果项目周报显示超过两周项目没有取得实质性进展，甲、乙双方高层领导需进行会商，讨论项目实施过程中的问题，并确定解决办法，如果项目周报显示超过四周项目没有取得实质性进展，双方高层领导沟通无效后，构成解除合同条件，甲方在衡量项目最佳完成方案的基础上，有权利单方面解除合同。</w:t>
      </w:r>
    </w:p>
    <w:p>
      <w:pPr>
        <w:keepNext w:val="0"/>
        <w:keepLines w:val="0"/>
        <w:pageBreakBefore w:val="0"/>
        <w:widowControl/>
        <w:numPr>
          <w:ilvl w:val="0"/>
          <w:numId w:val="5"/>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甲方负责组织由乙方提供的技术培训工作；</w:t>
      </w:r>
    </w:p>
    <w:p>
      <w:pPr>
        <w:keepNext w:val="0"/>
        <w:keepLines w:val="0"/>
        <w:pageBreakBefore w:val="0"/>
        <w:widowControl/>
        <w:numPr>
          <w:ilvl w:val="0"/>
          <w:numId w:val="5"/>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甲方负责协调最终甲方和乙方的关系，并提供最终甲方的联系方式；</w:t>
      </w:r>
    </w:p>
    <w:p>
      <w:pPr>
        <w:keepNext w:val="0"/>
        <w:keepLines w:val="0"/>
        <w:pageBreakBefore w:val="0"/>
        <w:widowControl/>
        <w:numPr>
          <w:ilvl w:val="0"/>
          <w:numId w:val="5"/>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甲方对乙方的系统设备不能正常运行或因平台技术维护原因造成数据丢失有权要求乙方及时改进。如遇乙方平台技术升级、承载网链路割接等，并在征得甲方同意的基础上，乙方应提前48小时通知甲方，说明可能造成的影响和范围，并确保每次平台技术升级和承载网链路割接在6小时内完成，在此时间内所造成的数据丢失，乙方不承担违约责任。</w:t>
      </w:r>
    </w:p>
    <w:p>
      <w:pPr>
        <w:keepNext w:val="0"/>
        <w:keepLines w:val="0"/>
        <w:pageBreakBefore w:val="0"/>
        <w:widowControl/>
        <w:numPr>
          <w:ilvl w:val="0"/>
          <w:numId w:val="5"/>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甲方对乙方向甲方提供的内部资料予以保密，且不向任何第三方泄露乙方的商业机密和技术机密。</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2" w:firstLineChars="200"/>
        <w:jc w:val="left"/>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lang w:eastAsia="zh-CN"/>
        </w:rPr>
        <w:t>（</w:t>
      </w:r>
      <w:r>
        <w:rPr>
          <w:rFonts w:hint="eastAsia" w:ascii="宋体" w:hAnsi="宋体" w:eastAsia="宋体" w:cs="宋体"/>
          <w:b/>
          <w:color w:val="auto"/>
          <w:kern w:val="0"/>
          <w:sz w:val="22"/>
          <w:szCs w:val="22"/>
          <w:highlight w:val="none"/>
          <w:lang w:val="en-US" w:eastAsia="zh-CN"/>
        </w:rPr>
        <w:t>二</w:t>
      </w:r>
      <w:r>
        <w:rPr>
          <w:rFonts w:hint="eastAsia" w:ascii="宋体" w:hAnsi="宋体" w:eastAsia="宋体" w:cs="宋体"/>
          <w:b/>
          <w:color w:val="auto"/>
          <w:kern w:val="0"/>
          <w:sz w:val="22"/>
          <w:szCs w:val="22"/>
          <w:highlight w:val="none"/>
          <w:lang w:eastAsia="zh-CN"/>
        </w:rPr>
        <w:t>）</w:t>
      </w:r>
      <w:r>
        <w:rPr>
          <w:rFonts w:hint="eastAsia" w:ascii="宋体" w:hAnsi="宋体" w:eastAsia="宋体" w:cs="宋体"/>
          <w:b/>
          <w:color w:val="auto"/>
          <w:kern w:val="0"/>
          <w:sz w:val="22"/>
          <w:szCs w:val="22"/>
          <w:highlight w:val="none"/>
        </w:rPr>
        <w:t>乙方权责</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乙方应根据项目招标文件的要求细化项目建设需求，并根据投标文件进行项目建设，负责项目的具体实施工作；所提供的外场设备及安装须安全、美观，设备样式要与周边环境协调保证所提供设备达到整套系统运行质量要求，土建施工、设备安装等应符合现行相关的技术标准和规范要求，受项目监理单位的全程监督与管理，保证满足甲方正常工作需求。</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乙方根据招标文件的基本技术要求与甲方共同确定项目所需的系统软件、硬件的数量及规格要求；</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乙方保证按合同规定时间完工，并在工程结束时提交完整的相应技术文档及用户手册，并积极配合甲方对工程项目进行验收；</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乙方向甲方提供 </w:t>
      </w:r>
      <w:r>
        <w:rPr>
          <w:rFonts w:hint="eastAsia" w:ascii="宋体" w:hAnsi="宋体" w:eastAsia="宋体" w:cs="宋体"/>
          <w:color w:val="auto"/>
          <w:kern w:val="0"/>
          <w:sz w:val="22"/>
          <w:szCs w:val="22"/>
          <w:highlight w:val="none"/>
          <w:u w:val="single"/>
          <w:lang w:eastAsia="zh-CN"/>
        </w:rPr>
        <w:t xml:space="preserve"> 5 </w:t>
      </w:r>
      <w:r>
        <w:rPr>
          <w:rFonts w:hint="eastAsia" w:ascii="宋体" w:hAnsi="宋体" w:eastAsia="宋体" w:cs="宋体"/>
          <w:color w:val="auto"/>
          <w:kern w:val="0"/>
          <w:sz w:val="22"/>
          <w:szCs w:val="22"/>
          <w:highlight w:val="none"/>
          <w:lang w:eastAsia="zh-CN"/>
        </w:rPr>
        <w:t xml:space="preserve"> 年（不少于5年）的产品质保（</w:t>
      </w:r>
      <w:r>
        <w:rPr>
          <w:rFonts w:hint="eastAsia" w:ascii="宋体" w:hAnsi="宋体" w:eastAsia="宋体" w:cs="宋体"/>
          <w:color w:val="auto"/>
          <w:kern w:val="0"/>
          <w:sz w:val="22"/>
          <w:szCs w:val="22"/>
          <w:highlight w:val="none"/>
        </w:rPr>
        <w:t>具体要求以招标文件要求</w:t>
      </w:r>
      <w:r>
        <w:rPr>
          <w:rFonts w:hint="eastAsia" w:ascii="宋体" w:hAnsi="宋体" w:eastAsia="宋体" w:cs="宋体"/>
          <w:color w:val="auto"/>
          <w:kern w:val="0"/>
          <w:sz w:val="22"/>
          <w:szCs w:val="22"/>
          <w:highlight w:val="none"/>
          <w:lang w:val="en-US" w:eastAsia="zh-CN"/>
        </w:rPr>
        <w:t>和乙方承诺</w:t>
      </w:r>
      <w:r>
        <w:rPr>
          <w:rFonts w:hint="eastAsia" w:ascii="宋体" w:hAnsi="宋体" w:eastAsia="宋体" w:cs="宋体"/>
          <w:color w:val="auto"/>
          <w:kern w:val="0"/>
          <w:sz w:val="22"/>
          <w:szCs w:val="22"/>
          <w:highlight w:val="none"/>
        </w:rPr>
        <w:t>为准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产品质保</w:t>
      </w:r>
      <w:r>
        <w:rPr>
          <w:rFonts w:hint="eastAsia" w:ascii="宋体" w:hAnsi="宋体" w:eastAsia="宋体" w:cs="宋体"/>
          <w:color w:val="auto"/>
          <w:kern w:val="0"/>
          <w:sz w:val="22"/>
          <w:szCs w:val="22"/>
          <w:highlight w:val="none"/>
          <w:lang w:eastAsia="zh-CN"/>
        </w:rPr>
        <w:t>服务</w:t>
      </w:r>
      <w:r>
        <w:rPr>
          <w:rFonts w:hint="eastAsia" w:ascii="宋体" w:hAnsi="宋体" w:eastAsia="宋体" w:cs="宋体"/>
          <w:color w:val="auto"/>
          <w:kern w:val="0"/>
          <w:sz w:val="22"/>
          <w:szCs w:val="22"/>
          <w:highlight w:val="none"/>
          <w:lang w:val="en-US" w:eastAsia="zh-CN"/>
        </w:rPr>
        <w:t>期</w:t>
      </w:r>
      <w:r>
        <w:rPr>
          <w:rFonts w:hint="eastAsia" w:ascii="宋体" w:hAnsi="宋体" w:eastAsia="宋体" w:cs="宋体"/>
          <w:color w:val="auto"/>
          <w:kern w:val="0"/>
          <w:sz w:val="22"/>
          <w:szCs w:val="22"/>
          <w:highlight w:val="none"/>
          <w:lang w:eastAsia="zh-CN"/>
        </w:rPr>
        <w:t>从验收合格之日起计算；</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乙方自行负责为其工作人员配备符合工作、劳动条件的设备、装置、器具、保障其饮食起居等问题，在任何情况下乙方对其工作人员的人身安全、施工安全等负全部责任，甲方对此概不负责。如因情况紧急等原因甲方先行承担的，有权向乙方追偿；</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乙方应满足上述产品质量标准，并保证该软件硬件的运行不影响甲方内部网络信息安全性和保密性，因乙方没有履行上述义务造成甲方被第三方追责或损失的，乙方应承担全部责任，甲方先行赔偿的，有权按赔偿金额及损失向乙方追偿；</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highlight w:val="none"/>
        </w:rPr>
        <w:t>转包：合同的权利义务依法不得转包；分包：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在整体系统</w:t>
      </w:r>
      <w:r>
        <w:rPr>
          <w:rFonts w:hint="eastAsia" w:ascii="宋体" w:hAnsi="宋体" w:eastAsia="宋体" w:cs="宋体"/>
          <w:color w:val="auto"/>
          <w:kern w:val="0"/>
          <w:sz w:val="22"/>
          <w:szCs w:val="22"/>
          <w:highlight w:val="none"/>
          <w:lang w:val="en-US" w:eastAsia="zh-CN"/>
        </w:rPr>
        <w:t>试运行</w:t>
      </w:r>
      <w:r>
        <w:rPr>
          <w:rFonts w:hint="eastAsia" w:ascii="宋体" w:hAnsi="宋体" w:eastAsia="宋体" w:cs="宋体"/>
          <w:color w:val="auto"/>
          <w:kern w:val="0"/>
          <w:sz w:val="22"/>
          <w:szCs w:val="22"/>
          <w:highlight w:val="none"/>
        </w:rPr>
        <w:t>期间，乙方向甲方提供7×24小时免费技术支持服务：包括系统管理、运行维护、系统保障、性能调优、故障排除、例行巡检、技术支持及其他相关运维服务，并指定专门的联络人接洽工作。乙方为甲方提供项目的所有系统的使用、管理及维护等方面的培训。</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乙方如需在投标文件的基础上根据实际情况对相关设备做出调整，调整后的设备只能比原设备性能更优，且资费标准不能突破投标价格。</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乙方对甲方提供的业务资料、技术资料应严格保密，不得扩散，不论本协议或合同是否变更、解除、终止，本条款均有效。</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leftChars="0" w:right="0" w:rightChars="0" w:firstLine="400" w:firstLine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本项目的知识产权、专利、使用权、技术转让权、软件源代码、遵循相关标准和规范的接口，国家共享相关规定要求的数据等，均归属甲方。乙方有义务协助甲方申请知识产权等相关证书。</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六、项目工期与进度</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项目</w:t>
      </w:r>
      <w:r>
        <w:rPr>
          <w:rFonts w:hint="eastAsia" w:ascii="宋体" w:hAnsi="宋体" w:eastAsia="宋体" w:cs="宋体"/>
          <w:color w:val="auto"/>
          <w:kern w:val="0"/>
          <w:sz w:val="22"/>
          <w:szCs w:val="22"/>
          <w:highlight w:val="none"/>
          <w:lang w:val="en-US" w:eastAsia="zh-CN"/>
        </w:rPr>
        <w:t>总工期</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eastAsia="zh-CN"/>
        </w:rPr>
        <w:t>日历天内完成设备调试安装，</w:t>
      </w:r>
      <w:r>
        <w:rPr>
          <w:rFonts w:hint="eastAsia" w:ascii="宋体" w:hAnsi="宋体" w:eastAsia="宋体" w:cs="宋体"/>
          <w:color w:val="auto"/>
          <w:kern w:val="0"/>
          <w:sz w:val="22"/>
          <w:szCs w:val="22"/>
          <w:highlight w:val="none"/>
          <w:lang w:val="en-US" w:eastAsia="zh-CN"/>
        </w:rPr>
        <w:t>并</w:t>
      </w:r>
      <w:r>
        <w:rPr>
          <w:rFonts w:hint="eastAsia" w:ascii="宋体" w:hAnsi="宋体" w:eastAsia="宋体" w:cs="宋体"/>
          <w:color w:val="auto"/>
          <w:kern w:val="0"/>
          <w:sz w:val="22"/>
          <w:szCs w:val="22"/>
          <w:highlight w:val="none"/>
          <w:lang w:eastAsia="zh-CN"/>
        </w:rPr>
        <w:t>进行至少为期3个月的试运行。工期以合同签订日起计算，项目验收合格日截止。</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七、项目上线、试运行和验收</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一）乙方应在项目设备安装调试后、系统上线前，进行完整设备及系统测试后，向甲方提供详细的设备及系统上线方案，由甲方确认。在甲方确认无误后，乙方应负责按设备及系统上线方案进行系统的安装调试工作。在安装、调试过程中，乙方应对甲方技术人员所提出的问题给予满意的答复，并提供安装调试过程中的各种文档资料，以便于甲方能掌握操作方法和维修方法。项目上线后，乙方应向甲方提供安装、调试报告，报告中应包括安装调试结果和安装调试过程中出现的问题及解决办法等内容；</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二）项目上线、设备及系统的安装调试工作完成后，乙方可向甲方申请项目初验申请，项目初验工作按照具备运行条件（监理签字盖章确认）等实际情况进行，项目通过初验后应进行至少为期3个月的试运行，乙方应派遣技术人员免费在现场进行技术服务，负责设备及系统试运行阶段的服务工作；</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（三）</w:t>
      </w:r>
      <w:r>
        <w:rPr>
          <w:rFonts w:hint="eastAsia" w:ascii="宋体" w:hAnsi="宋体" w:eastAsia="宋体" w:cs="宋体"/>
          <w:color w:val="auto"/>
          <w:sz w:val="22"/>
          <w:szCs w:val="22"/>
          <w:highlight w:val="none"/>
          <w:lang w:eastAsia="zh-CN"/>
        </w:rPr>
        <w:t>在试运行期间，由于</w:t>
      </w:r>
      <w:r>
        <w:rPr>
          <w:rFonts w:hint="eastAsia" w:ascii="宋体" w:hAnsi="宋体" w:cs="宋体"/>
          <w:color w:val="auto"/>
          <w:sz w:val="22"/>
          <w:szCs w:val="22"/>
          <w:highlight w:val="none"/>
          <w:lang w:val="en-US" w:eastAsia="zh-CN"/>
        </w:rPr>
        <w:t>中标人原因</w:t>
      </w:r>
      <w:r>
        <w:rPr>
          <w:rFonts w:hint="eastAsia" w:ascii="宋体" w:hAnsi="宋体" w:eastAsia="宋体" w:cs="宋体"/>
          <w:color w:val="auto"/>
          <w:sz w:val="22"/>
          <w:szCs w:val="22"/>
          <w:highlight w:val="none"/>
          <w:lang w:eastAsia="zh-CN"/>
        </w:rPr>
        <w:t>达不到</w:t>
      </w:r>
      <w:r>
        <w:rPr>
          <w:rFonts w:hint="eastAsia" w:ascii="宋体" w:hAnsi="宋体" w:cs="宋体"/>
          <w:color w:val="auto"/>
          <w:sz w:val="22"/>
          <w:szCs w:val="22"/>
          <w:highlight w:val="none"/>
          <w:lang w:val="en-US" w:eastAsia="zh-CN"/>
        </w:rPr>
        <w:t>终验</w:t>
      </w:r>
      <w:r>
        <w:rPr>
          <w:rFonts w:hint="eastAsia" w:ascii="宋体" w:hAnsi="宋体" w:eastAsia="宋体" w:cs="宋体"/>
          <w:color w:val="auto"/>
          <w:sz w:val="22"/>
          <w:szCs w:val="22"/>
          <w:highlight w:val="none"/>
          <w:lang w:eastAsia="zh-CN"/>
        </w:rPr>
        <w:t>要求，中标人应负责解决。因</w:t>
      </w:r>
      <w:r>
        <w:rPr>
          <w:rFonts w:hint="eastAsia" w:ascii="宋体" w:hAnsi="宋体" w:cs="宋体"/>
          <w:color w:val="auto"/>
          <w:sz w:val="22"/>
          <w:szCs w:val="22"/>
          <w:highlight w:val="none"/>
          <w:lang w:val="en-US" w:eastAsia="zh-CN"/>
        </w:rPr>
        <w:t>此产生</w:t>
      </w:r>
      <w:r>
        <w:rPr>
          <w:rFonts w:hint="eastAsia" w:ascii="宋体" w:hAnsi="宋体" w:eastAsia="宋体" w:cs="宋体"/>
          <w:color w:val="auto"/>
          <w:sz w:val="22"/>
          <w:szCs w:val="22"/>
          <w:highlight w:val="none"/>
          <w:lang w:eastAsia="zh-CN"/>
        </w:rPr>
        <w:t>的一切费用由中标人承担，且试运行期相应顺延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在顺延期间产生的一切</w:t>
      </w:r>
      <w:r>
        <w:rPr>
          <w:rFonts w:hint="eastAsia" w:ascii="宋体" w:hAnsi="宋体" w:eastAsia="宋体" w:cs="宋体"/>
          <w:color w:val="auto"/>
          <w:sz w:val="22"/>
          <w:szCs w:val="22"/>
          <w:highlight w:val="none"/>
          <w:lang w:eastAsia="zh-CN"/>
        </w:rPr>
        <w:t>费用由中标人承担</w:t>
      </w:r>
      <w:r>
        <w:rPr>
          <w:rFonts w:hint="eastAsia" w:ascii="宋体" w:hAnsi="宋体" w:cs="宋体"/>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（四）项目试运行结束后，由乙方提出申请，对照项目验收主要指标和标准组织验收，甲方报请主管部门组织专家终验；</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五</w:t>
      </w:r>
      <w:r>
        <w:rPr>
          <w:rFonts w:hint="eastAsia" w:ascii="宋体" w:hAnsi="宋体" w:eastAsia="宋体" w:cs="宋体"/>
          <w:color w:val="auto"/>
          <w:kern w:val="0"/>
          <w:sz w:val="22"/>
          <w:szCs w:val="22"/>
          <w:highlight w:val="none"/>
          <w:lang w:eastAsia="zh-CN"/>
        </w:rPr>
        <w:t>）乙方应在工程结束</w:t>
      </w:r>
      <w:r>
        <w:rPr>
          <w:rFonts w:hint="eastAsia" w:ascii="宋体" w:hAnsi="宋体" w:eastAsia="宋体" w:cs="宋体"/>
          <w:color w:val="auto"/>
          <w:kern w:val="0"/>
          <w:sz w:val="22"/>
          <w:szCs w:val="22"/>
          <w:highlight w:val="none"/>
          <w:u w:val="single"/>
          <w:lang w:eastAsia="zh-CN"/>
        </w:rPr>
        <w:t xml:space="preserve"> 15 </w:t>
      </w:r>
      <w:r>
        <w:rPr>
          <w:rFonts w:hint="eastAsia" w:ascii="宋体" w:hAnsi="宋体" w:eastAsia="宋体" w:cs="宋体"/>
          <w:color w:val="auto"/>
          <w:kern w:val="0"/>
          <w:sz w:val="22"/>
          <w:szCs w:val="22"/>
          <w:highlight w:val="none"/>
          <w:lang w:eastAsia="zh-CN"/>
        </w:rPr>
        <w:t>日内时向甲方提交一式</w:t>
      </w:r>
      <w:r>
        <w:rPr>
          <w:rFonts w:hint="eastAsia" w:ascii="宋体" w:hAnsi="宋体" w:eastAsia="宋体" w:cs="宋体"/>
          <w:color w:val="auto"/>
          <w:kern w:val="0"/>
          <w:sz w:val="22"/>
          <w:szCs w:val="22"/>
          <w:highlight w:val="none"/>
          <w:u w:val="single"/>
          <w:lang w:eastAsia="zh-CN"/>
        </w:rPr>
        <w:t xml:space="preserve">  1 </w:t>
      </w:r>
      <w:r>
        <w:rPr>
          <w:rFonts w:hint="eastAsia" w:ascii="宋体" w:hAnsi="宋体" w:eastAsia="宋体" w:cs="宋体"/>
          <w:color w:val="auto"/>
          <w:kern w:val="0"/>
          <w:sz w:val="22"/>
          <w:szCs w:val="22"/>
          <w:highlight w:val="none"/>
          <w:lang w:eastAsia="zh-CN"/>
        </w:rPr>
        <w:t>份完整的相应技术文档及用户手册。</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八、项目合同总金额</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（一）本合同中提及金额均为含税价；</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（二）合同总金额为：人民币：</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eastAsia="zh-CN"/>
        </w:rPr>
        <w:t>元（大写：</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eastAsia="zh-CN"/>
        </w:rPr>
        <w:t>元整）；</w:t>
      </w:r>
    </w:p>
    <w:p>
      <w:pPr>
        <w:keepNext w:val="0"/>
        <w:keepLines w:val="0"/>
        <w:pageBreakBefore w:val="0"/>
        <w:kinsoku/>
        <w:wordWrap/>
        <w:overflowPunct/>
        <w:topLinePunct w:val="0"/>
        <w:autoSpaceDE/>
        <w:autoSpaceDN/>
        <w:bidi w:val="0"/>
        <w:adjustRightInd/>
        <w:spacing w:line="400" w:lineRule="exact"/>
        <w:ind w:left="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（三）合同详细价格</w:t>
      </w:r>
      <w:r>
        <w:rPr>
          <w:rFonts w:hint="eastAsia" w:ascii="宋体" w:hAnsi="宋体" w:eastAsia="宋体" w:cs="宋体"/>
          <w:color w:val="auto"/>
          <w:kern w:val="0"/>
          <w:sz w:val="22"/>
          <w:szCs w:val="22"/>
          <w:highlight w:val="none"/>
          <w:lang w:val="en-US" w:eastAsia="zh-CN"/>
        </w:rPr>
        <w:t>详见</w:t>
      </w:r>
      <w:r>
        <w:rPr>
          <w:rFonts w:hint="eastAsia" w:ascii="宋体" w:hAnsi="宋体" w:eastAsia="宋体" w:cs="宋体"/>
          <w:color w:val="auto"/>
          <w:kern w:val="0"/>
          <w:sz w:val="22"/>
          <w:szCs w:val="22"/>
          <w:highlight w:val="none"/>
          <w:lang w:eastAsia="zh-CN"/>
        </w:rPr>
        <w:t>清单，</w:t>
      </w:r>
      <w:r>
        <w:rPr>
          <w:rFonts w:hint="eastAsia" w:ascii="宋体" w:hAnsi="宋体" w:eastAsia="宋体" w:cs="宋体"/>
          <w:color w:val="auto"/>
          <w:kern w:val="0"/>
          <w:sz w:val="22"/>
          <w:szCs w:val="22"/>
          <w:highlight w:val="none"/>
          <w:lang w:val="en-US" w:eastAsia="zh-CN"/>
        </w:rPr>
        <w:t>合同总价</w:t>
      </w:r>
      <w:r>
        <w:rPr>
          <w:rFonts w:hint="eastAsia" w:ascii="宋体" w:hAnsi="宋体" w:eastAsia="宋体" w:cs="宋体"/>
          <w:color w:val="auto"/>
          <w:kern w:val="0"/>
          <w:sz w:val="22"/>
          <w:szCs w:val="22"/>
          <w:highlight w:val="none"/>
          <w:lang w:eastAsia="zh-CN"/>
        </w:rPr>
        <w:t>包含</w:t>
      </w:r>
      <w:r>
        <w:rPr>
          <w:rFonts w:hint="eastAsia" w:ascii="宋体" w:hAnsi="宋体" w:eastAsia="宋体" w:cs="宋体"/>
          <w:color w:val="auto"/>
          <w:kern w:val="0"/>
          <w:sz w:val="22"/>
          <w:szCs w:val="22"/>
          <w:highlight w:val="none"/>
          <w:lang w:val="en-US" w:eastAsia="zh-CN"/>
        </w:rPr>
        <w:t>保证本项目</w:t>
      </w:r>
      <w:r>
        <w:rPr>
          <w:rFonts w:hint="eastAsia" w:ascii="宋体" w:hAnsi="宋体" w:eastAsia="宋体" w:cs="宋体"/>
          <w:color w:val="auto"/>
          <w:kern w:val="0"/>
          <w:sz w:val="22"/>
          <w:szCs w:val="22"/>
          <w:highlight w:val="none"/>
          <w:lang w:eastAsia="zh-CN"/>
        </w:rPr>
        <w:t>正常使用所需的一切费用，包括但不限于包装费、运输费、装卸费、保险费、安装调试费、技术服务费、培训费以及保修费、税费</w:t>
      </w:r>
      <w:r>
        <w:rPr>
          <w:rFonts w:hint="eastAsia" w:ascii="宋体" w:hAnsi="宋体" w:eastAsia="宋体" w:cs="宋体"/>
          <w:color w:val="auto"/>
          <w:kern w:val="0"/>
          <w:sz w:val="22"/>
          <w:szCs w:val="22"/>
          <w:highlight w:val="none"/>
          <w:lang w:val="en-US" w:eastAsia="zh-CN"/>
        </w:rPr>
        <w:t>以及</w:t>
      </w:r>
      <w:r>
        <w:rPr>
          <w:rFonts w:hint="eastAsia" w:ascii="宋体" w:hAnsi="宋体" w:eastAsia="宋体" w:cs="宋体"/>
          <w:color w:val="auto"/>
          <w:sz w:val="22"/>
          <w:highlight w:val="none"/>
        </w:rPr>
        <w:t>完成合同所需的一切本身和不可或缺的所有工作开支、政策性文件规定，合同包含的所有风险、责任等相关各项其他可能产生的全部费用</w:t>
      </w:r>
      <w:r>
        <w:rPr>
          <w:rFonts w:hint="eastAsia" w:ascii="宋体" w:hAnsi="宋体" w:eastAsia="宋体" w:cs="宋体"/>
          <w:color w:val="auto"/>
          <w:kern w:val="0"/>
          <w:sz w:val="22"/>
          <w:szCs w:val="22"/>
          <w:highlight w:val="none"/>
          <w:lang w:eastAsia="zh-CN"/>
        </w:rPr>
        <w:t>。</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九、项目合同支付条款</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u w:val="none"/>
        </w:rPr>
      </w:pPr>
      <w:r>
        <w:rPr>
          <w:rFonts w:hint="eastAsia" w:ascii="宋体" w:hAnsi="宋体" w:eastAsia="宋体" w:cs="宋体"/>
          <w:color w:val="auto"/>
          <w:kern w:val="0"/>
          <w:sz w:val="22"/>
          <w:szCs w:val="22"/>
          <w:highlight w:val="none"/>
          <w:u w:val="none"/>
          <w:lang w:val="en-US" w:eastAsia="zh-CN"/>
        </w:rPr>
        <w:t>1.1</w:t>
      </w:r>
      <w:r>
        <w:rPr>
          <w:rFonts w:hint="eastAsia" w:ascii="宋体" w:hAnsi="宋体" w:eastAsia="宋体" w:cs="宋体"/>
          <w:color w:val="auto"/>
          <w:kern w:val="0"/>
          <w:sz w:val="22"/>
          <w:szCs w:val="22"/>
          <w:highlight w:val="none"/>
          <w:u w:val="none"/>
        </w:rPr>
        <w:t>第一笔款：</w:t>
      </w:r>
      <w:r>
        <w:rPr>
          <w:rFonts w:hint="eastAsia" w:ascii="宋体" w:hAnsi="宋体" w:cs="宋体"/>
          <w:color w:val="auto"/>
          <w:kern w:val="0"/>
          <w:sz w:val="22"/>
          <w:szCs w:val="22"/>
          <w:highlight w:val="none"/>
          <w:u w:val="none"/>
          <w:lang w:eastAsia="zh-CN"/>
        </w:rPr>
        <w:t>合同生效后</w:t>
      </w:r>
      <w:r>
        <w:rPr>
          <w:rFonts w:hint="eastAsia" w:ascii="宋体" w:hAnsi="宋体" w:eastAsia="宋体" w:cs="宋体"/>
          <w:color w:val="auto"/>
          <w:kern w:val="0"/>
          <w:sz w:val="22"/>
          <w:szCs w:val="22"/>
          <w:highlight w:val="none"/>
          <w:u w:val="none"/>
        </w:rPr>
        <w:t>7个工作日内，向乙方支付</w:t>
      </w:r>
      <w:r>
        <w:rPr>
          <w:rFonts w:hint="eastAsia" w:ascii="宋体" w:hAnsi="宋体" w:eastAsia="宋体" w:cs="宋体"/>
          <w:color w:val="auto"/>
          <w:kern w:val="0"/>
          <w:sz w:val="22"/>
          <w:szCs w:val="22"/>
          <w:highlight w:val="none"/>
          <w:u w:val="none"/>
          <w:lang w:val="en-US" w:eastAsia="zh-CN"/>
        </w:rPr>
        <w:t>合同总金额50%</w:t>
      </w:r>
      <w:r>
        <w:rPr>
          <w:rFonts w:hint="eastAsia" w:ascii="宋体" w:hAnsi="宋体" w:eastAsia="宋体" w:cs="宋体"/>
          <w:color w:val="auto"/>
          <w:kern w:val="0"/>
          <w:sz w:val="22"/>
          <w:szCs w:val="22"/>
          <w:highlight w:val="none"/>
          <w:u w:val="none"/>
        </w:rPr>
        <w:t>的预付款，即人民币：</w:t>
      </w:r>
      <w:r>
        <w:rPr>
          <w:rFonts w:hint="eastAsia" w:ascii="宋体" w:hAnsi="宋体" w:eastAsia="宋体" w:cs="宋体"/>
          <w:b/>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元</w:t>
      </w:r>
      <w:r>
        <w:rPr>
          <w:rFonts w:hint="eastAsia" w:ascii="宋体" w:hAnsi="宋体" w:eastAsia="宋体" w:cs="宋体"/>
          <w:b/>
          <w:color w:val="auto"/>
          <w:kern w:val="0"/>
          <w:sz w:val="22"/>
          <w:szCs w:val="22"/>
          <w:highlight w:val="none"/>
          <w:u w:val="single"/>
        </w:rPr>
        <w:t>（</w:t>
      </w:r>
      <w:r>
        <w:rPr>
          <w:rFonts w:hint="eastAsia" w:ascii="宋体" w:hAnsi="宋体" w:eastAsia="宋体" w:cs="宋体"/>
          <w:color w:val="auto"/>
          <w:kern w:val="0"/>
          <w:sz w:val="22"/>
          <w:szCs w:val="22"/>
          <w:highlight w:val="none"/>
          <w:u w:val="single"/>
        </w:rPr>
        <w:t xml:space="preserve">大写：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元整）</w:t>
      </w:r>
      <w:r>
        <w:rPr>
          <w:rFonts w:hint="eastAsia" w:ascii="宋体" w:hAnsi="宋体" w:eastAsia="宋体" w:cs="宋体"/>
          <w:color w:val="auto"/>
          <w:kern w:val="0"/>
          <w:sz w:val="22"/>
          <w:szCs w:val="22"/>
          <w:highlight w:val="none"/>
          <w:u w:val="none"/>
        </w:rPr>
        <w:t>；</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u w:val="none"/>
        </w:rPr>
      </w:pPr>
      <w:r>
        <w:rPr>
          <w:rFonts w:hint="eastAsia" w:ascii="宋体" w:hAnsi="宋体" w:eastAsia="宋体" w:cs="宋体"/>
          <w:color w:val="auto"/>
          <w:kern w:val="0"/>
          <w:sz w:val="22"/>
          <w:szCs w:val="22"/>
          <w:highlight w:val="none"/>
          <w:u w:val="none"/>
          <w:lang w:val="en-US" w:eastAsia="zh-CN"/>
        </w:rPr>
        <w:t>1.2</w:t>
      </w:r>
      <w:r>
        <w:rPr>
          <w:rFonts w:hint="eastAsia" w:ascii="宋体" w:hAnsi="宋体" w:eastAsia="宋体" w:cs="宋体"/>
          <w:color w:val="auto"/>
          <w:kern w:val="0"/>
          <w:sz w:val="22"/>
          <w:szCs w:val="22"/>
          <w:highlight w:val="none"/>
          <w:u w:val="none"/>
        </w:rPr>
        <w:t>第二笔款：</w:t>
      </w:r>
      <w:r>
        <w:rPr>
          <w:rFonts w:hint="eastAsia" w:ascii="宋体" w:hAnsi="宋体" w:cs="宋体"/>
          <w:color w:val="auto"/>
          <w:sz w:val="22"/>
          <w:szCs w:val="22"/>
          <w:highlight w:val="none"/>
          <w:u w:val="none"/>
          <w:lang w:val="en-US" w:eastAsia="zh-CN"/>
        </w:rPr>
        <w:t>甲方</w:t>
      </w:r>
      <w:r>
        <w:rPr>
          <w:rFonts w:hint="eastAsia" w:ascii="宋体" w:hAnsi="宋体" w:eastAsia="宋体" w:cs="宋体"/>
          <w:color w:val="auto"/>
          <w:sz w:val="22"/>
          <w:szCs w:val="22"/>
          <w:highlight w:val="none"/>
          <w:u w:val="none"/>
        </w:rPr>
        <w:t>在项目</w:t>
      </w:r>
      <w:r>
        <w:rPr>
          <w:rFonts w:hint="eastAsia" w:ascii="宋体" w:hAnsi="宋体" w:cs="宋体"/>
          <w:color w:val="auto"/>
          <w:sz w:val="22"/>
          <w:szCs w:val="22"/>
          <w:highlight w:val="none"/>
          <w:u w:val="none"/>
          <w:lang w:val="en-US" w:eastAsia="zh-CN"/>
        </w:rPr>
        <w:t>终验</w:t>
      </w:r>
      <w:r>
        <w:rPr>
          <w:rFonts w:hint="eastAsia" w:ascii="宋体" w:hAnsi="宋体" w:eastAsia="宋体" w:cs="宋体"/>
          <w:color w:val="auto"/>
          <w:sz w:val="22"/>
          <w:szCs w:val="22"/>
          <w:highlight w:val="none"/>
          <w:u w:val="none"/>
        </w:rPr>
        <w:t>合格</w:t>
      </w:r>
      <w:r>
        <w:rPr>
          <w:rFonts w:hint="eastAsia" w:ascii="宋体" w:hAnsi="宋体" w:cs="宋体"/>
          <w:color w:val="auto"/>
          <w:sz w:val="22"/>
          <w:szCs w:val="22"/>
          <w:highlight w:val="none"/>
          <w:u w:val="none"/>
          <w:lang w:val="en-US" w:eastAsia="zh-CN"/>
        </w:rPr>
        <w:t>以及</w:t>
      </w:r>
      <w:r>
        <w:rPr>
          <w:rFonts w:hint="eastAsia" w:ascii="宋体" w:hAnsi="宋体" w:eastAsia="宋体" w:cs="宋体"/>
          <w:color w:val="auto"/>
          <w:sz w:val="22"/>
          <w:szCs w:val="22"/>
          <w:highlight w:val="none"/>
          <w:u w:val="none"/>
        </w:rPr>
        <w:t>基础</w:t>
      </w:r>
      <w:r>
        <w:rPr>
          <w:rFonts w:hint="eastAsia" w:ascii="宋体" w:hAnsi="宋体" w:cs="宋体"/>
          <w:color w:val="auto"/>
          <w:sz w:val="22"/>
          <w:szCs w:val="22"/>
          <w:highlight w:val="none"/>
          <w:u w:val="none"/>
          <w:lang w:val="en-US" w:eastAsia="zh-CN"/>
        </w:rPr>
        <w:t>土建</w:t>
      </w:r>
      <w:r>
        <w:rPr>
          <w:rFonts w:hint="eastAsia" w:ascii="宋体" w:hAnsi="宋体" w:cs="宋体"/>
          <w:color w:val="auto"/>
          <w:sz w:val="22"/>
          <w:szCs w:val="22"/>
          <w:highlight w:val="none"/>
          <w:u w:val="none"/>
          <w:lang w:eastAsia="zh-CN"/>
        </w:rPr>
        <w:t>经审计</w:t>
      </w:r>
      <w:r>
        <w:rPr>
          <w:rFonts w:hint="eastAsia" w:ascii="宋体" w:hAnsi="宋体" w:eastAsia="宋体" w:cs="宋体"/>
          <w:color w:val="auto"/>
          <w:sz w:val="22"/>
          <w:szCs w:val="22"/>
          <w:highlight w:val="none"/>
          <w:u w:val="none"/>
          <w:lang w:val="en-US" w:eastAsia="zh-CN"/>
        </w:rPr>
        <w:t>决算</w:t>
      </w:r>
      <w:r>
        <w:rPr>
          <w:rFonts w:hint="eastAsia" w:ascii="宋体" w:hAnsi="宋体" w:eastAsia="宋体" w:cs="宋体"/>
          <w:color w:val="auto"/>
          <w:sz w:val="22"/>
          <w:szCs w:val="22"/>
          <w:highlight w:val="none"/>
          <w:u w:val="none"/>
        </w:rPr>
        <w:t>后向</w:t>
      </w:r>
      <w:r>
        <w:rPr>
          <w:rFonts w:hint="eastAsia" w:ascii="宋体" w:hAnsi="宋体" w:cs="宋体"/>
          <w:color w:val="auto"/>
          <w:sz w:val="22"/>
          <w:szCs w:val="22"/>
          <w:highlight w:val="none"/>
          <w:u w:val="none"/>
          <w:lang w:val="en-US" w:eastAsia="zh-CN"/>
        </w:rPr>
        <w:t>乙方按实</w:t>
      </w:r>
      <w:r>
        <w:rPr>
          <w:rFonts w:hint="eastAsia" w:ascii="宋体" w:hAnsi="宋体" w:eastAsia="宋体" w:cs="宋体"/>
          <w:color w:val="auto"/>
          <w:sz w:val="22"/>
          <w:szCs w:val="22"/>
          <w:highlight w:val="none"/>
          <w:u w:val="none"/>
        </w:rPr>
        <w:t>支付</w:t>
      </w:r>
      <w:r>
        <w:rPr>
          <w:rFonts w:hint="eastAsia" w:ascii="宋体" w:hAnsi="宋体" w:cs="宋体"/>
          <w:color w:val="auto"/>
          <w:sz w:val="22"/>
          <w:szCs w:val="22"/>
          <w:highlight w:val="none"/>
          <w:u w:val="none"/>
          <w:lang w:val="en-US" w:eastAsia="zh-CN"/>
        </w:rPr>
        <w:t>合同尾款</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基础土建部分决算价格不得高于</w:t>
      </w:r>
      <w:r>
        <w:rPr>
          <w:rFonts w:hint="eastAsia" w:ascii="宋体" w:hAnsi="宋体" w:eastAsia="宋体" w:cs="宋体"/>
          <w:color w:val="auto"/>
          <w:sz w:val="22"/>
          <w:szCs w:val="22"/>
          <w:highlight w:val="none"/>
          <w:u w:val="none"/>
          <w:lang w:val="en-US" w:eastAsia="zh-CN"/>
        </w:rPr>
        <w:t>基础土建部分预算金额）</w:t>
      </w:r>
      <w:r>
        <w:rPr>
          <w:rFonts w:hint="eastAsia" w:ascii="宋体" w:hAnsi="宋体" w:eastAsia="宋体" w:cs="宋体"/>
          <w:color w:val="auto"/>
          <w:kern w:val="0"/>
          <w:sz w:val="22"/>
          <w:szCs w:val="22"/>
          <w:highlight w:val="none"/>
          <w:u w:val="none"/>
        </w:rPr>
        <w:t>；</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注：甲方对于满足合同约定支付条件的，自收到发票后7个工作日内将资金支付到合同约定的乙方账户。</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十、项目合同修改</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项目建设过程中原则上不能进行合同变更、修改和补充。若确需变更，经合同双方协商一致后</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须报温州市公安局交通管理局审核，只有在双方授权的代表签署书面文件后有效，并作为附件成为本合同不可分割的组成部分。</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十一、违约责任</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（一）在履行合同的过程中，如果乙方遇到除不可抗力因素外的情形将不能按照合同规定的时间完成系统实施和提供服务时，应当在情况发生时</w:t>
      </w:r>
      <w:r>
        <w:rPr>
          <w:rFonts w:hint="eastAsia" w:ascii="宋体" w:hAnsi="宋体" w:eastAsia="宋体" w:cs="宋体"/>
          <w:color w:val="auto"/>
          <w:kern w:val="0"/>
          <w:sz w:val="22"/>
          <w:szCs w:val="22"/>
          <w:highlight w:val="none"/>
          <w:u w:val="single"/>
        </w:rPr>
        <w:t xml:space="preserve"> 15 </w:t>
      </w:r>
      <w:r>
        <w:rPr>
          <w:rFonts w:hint="eastAsia" w:ascii="宋体" w:hAnsi="宋体" w:eastAsia="宋体" w:cs="宋体"/>
          <w:color w:val="auto"/>
          <w:kern w:val="0"/>
          <w:sz w:val="22"/>
          <w:szCs w:val="22"/>
          <w:highlight w:val="none"/>
        </w:rPr>
        <w:t>日内以书面形式将拖延的事实、可能拖延的时间和原因通知甲方。甲方在收到乙方通知后，应在</w:t>
      </w:r>
      <w:r>
        <w:rPr>
          <w:rFonts w:hint="eastAsia" w:ascii="宋体" w:hAnsi="宋体" w:eastAsia="宋体" w:cs="宋体"/>
          <w:color w:val="auto"/>
          <w:kern w:val="0"/>
          <w:sz w:val="22"/>
          <w:szCs w:val="22"/>
          <w:highlight w:val="none"/>
          <w:u w:val="single"/>
        </w:rPr>
        <w:t xml:space="preserve"> 7 </w:t>
      </w:r>
      <w:r>
        <w:rPr>
          <w:rFonts w:hint="eastAsia" w:ascii="宋体" w:hAnsi="宋体" w:eastAsia="宋体" w:cs="宋体"/>
          <w:color w:val="auto"/>
          <w:kern w:val="0"/>
          <w:sz w:val="22"/>
          <w:szCs w:val="22"/>
          <w:highlight w:val="none"/>
        </w:rPr>
        <w:t>日内对情况进行评价，并确定是否酌情延长交货时间和提供服务以及是否收取误期赔偿费。延期应通过修改合同的方式由双方书面确认；</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二）除了合同条款第十二条的情况外，除非延期是根据合同条款第十条第（一）的规定取得甲方的同意而不收取误期赔偿费之外，若乙方违反本合同约定提供服务，甲方可要求乙方支付违约金，违约金按每迟延一日按合同总价的 </w:t>
      </w:r>
      <w:r>
        <w:rPr>
          <w:rFonts w:hint="eastAsia" w:ascii="宋体" w:hAnsi="宋体" w:eastAsia="宋体" w:cs="宋体"/>
          <w:color w:val="auto"/>
          <w:kern w:val="0"/>
          <w:sz w:val="22"/>
          <w:szCs w:val="22"/>
          <w:highlight w:val="none"/>
          <w:u w:val="single"/>
        </w:rPr>
        <w:t xml:space="preserve"> 0.05 </w:t>
      </w:r>
      <w:r>
        <w:rPr>
          <w:rFonts w:hint="eastAsia" w:ascii="宋体" w:hAnsi="宋体" w:eastAsia="宋体" w:cs="宋体"/>
          <w:color w:val="auto"/>
          <w:kern w:val="0"/>
          <w:sz w:val="22"/>
          <w:szCs w:val="22"/>
          <w:highlight w:val="none"/>
        </w:rPr>
        <w:t xml:space="preserve"> %计算，最高限额为本合同总价的</w:t>
      </w:r>
      <w:r>
        <w:rPr>
          <w:rFonts w:hint="eastAsia" w:ascii="宋体" w:hAnsi="宋体" w:eastAsia="宋体" w:cs="宋体"/>
          <w:color w:val="auto"/>
          <w:kern w:val="0"/>
          <w:sz w:val="22"/>
          <w:szCs w:val="22"/>
          <w:highlight w:val="none"/>
          <w:u w:val="single"/>
        </w:rPr>
        <w:t xml:space="preserve">  5  </w:t>
      </w:r>
      <w:r>
        <w:rPr>
          <w:rFonts w:hint="eastAsia" w:ascii="宋体" w:hAnsi="宋体" w:eastAsia="宋体" w:cs="宋体"/>
          <w:color w:val="auto"/>
          <w:kern w:val="0"/>
          <w:sz w:val="22"/>
          <w:szCs w:val="22"/>
          <w:highlight w:val="none"/>
        </w:rPr>
        <w:t>%；延期的违约金计算数额达到前述最高限额之日起，甲方有权在要求乙方支付违约金的同时，书面通知乙方解除本合同；</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w:t>
      </w:r>
      <w:r>
        <w:rPr>
          <w:rFonts w:hint="eastAsia" w:ascii="宋体" w:hAnsi="宋体" w:eastAsia="宋体" w:cs="宋体"/>
          <w:color w:val="auto"/>
          <w:sz w:val="22"/>
          <w:szCs w:val="22"/>
          <w:highlight w:val="none"/>
        </w:rPr>
        <w:t>除不可抗力外，如果甲方没有按照本合同约定的付款方式付款，那么乙方可要求甲方支付违约金，违约金按每迟延一日按合同总价的</w:t>
      </w:r>
      <w:r>
        <w:rPr>
          <w:rFonts w:hint="eastAsia" w:ascii="宋体" w:hAnsi="宋体" w:eastAsia="宋体" w:cs="宋体"/>
          <w:color w:val="auto"/>
          <w:sz w:val="22"/>
          <w:szCs w:val="22"/>
          <w:highlight w:val="none"/>
          <w:u w:val="single"/>
        </w:rPr>
        <w:t xml:space="preserve">  0.05  </w:t>
      </w:r>
      <w:r>
        <w:rPr>
          <w:rFonts w:hint="eastAsia" w:ascii="宋体" w:hAnsi="宋体" w:eastAsia="宋体" w:cs="宋体"/>
          <w:color w:val="auto"/>
          <w:sz w:val="22"/>
          <w:szCs w:val="22"/>
          <w:highlight w:val="none"/>
        </w:rPr>
        <w:t>%计算，最高限额为本合同总价的</w:t>
      </w:r>
      <w:r>
        <w:rPr>
          <w:rFonts w:hint="eastAsia" w:ascii="宋体" w:hAnsi="宋体" w:eastAsia="宋体" w:cs="宋体"/>
          <w:color w:val="auto"/>
          <w:sz w:val="22"/>
          <w:szCs w:val="22"/>
          <w:highlight w:val="none"/>
          <w:u w:val="single"/>
        </w:rPr>
        <w:t xml:space="preserve">  5  </w:t>
      </w:r>
      <w:r>
        <w:rPr>
          <w:rFonts w:hint="eastAsia" w:ascii="宋体" w:hAnsi="宋体" w:eastAsia="宋体" w:cs="宋体"/>
          <w:color w:val="auto"/>
          <w:sz w:val="22"/>
          <w:szCs w:val="22"/>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autoSpaceDE/>
        <w:autoSpaceDN/>
        <w:bidi w:val="0"/>
        <w:adjustRightInd/>
        <w:spacing w:line="400" w:lineRule="exact"/>
        <w:ind w:left="0" w:right="0" w:rightChars="0" w:firstLine="389" w:firstLineChars="177"/>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要求按本合同总价</w:t>
      </w:r>
      <w:r>
        <w:rPr>
          <w:rFonts w:hint="eastAsia" w:ascii="宋体" w:hAnsi="宋体" w:eastAsia="宋体" w:cs="宋体"/>
          <w:color w:val="auto"/>
          <w:sz w:val="22"/>
          <w:szCs w:val="22"/>
          <w:highlight w:val="none"/>
          <w:u w:val="single"/>
        </w:rPr>
        <w:t xml:space="preserve"> 5 </w:t>
      </w:r>
      <w:r>
        <w:rPr>
          <w:rFonts w:hint="eastAsia" w:ascii="宋体" w:hAnsi="宋体" w:eastAsia="宋体" w:cs="宋体"/>
          <w:color w:val="auto"/>
          <w:sz w:val="22"/>
          <w:szCs w:val="22"/>
          <w:highlight w:val="none"/>
        </w:rPr>
        <w:t>%进行赔偿损失；</w:t>
      </w:r>
    </w:p>
    <w:p>
      <w:pPr>
        <w:keepNext w:val="0"/>
        <w:keepLines w:val="0"/>
        <w:pageBreakBefore w:val="0"/>
        <w:kinsoku/>
        <w:wordWrap/>
        <w:overflowPunct/>
        <w:topLinePunct w:val="0"/>
        <w:autoSpaceDE/>
        <w:autoSpaceDN/>
        <w:bidi w:val="0"/>
        <w:adjustRightInd/>
        <w:spacing w:line="400" w:lineRule="exact"/>
        <w:ind w:left="0" w:right="0" w:rightChars="0" w:firstLine="389" w:firstLineChars="177"/>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 任何一方按照前述约定要求违约方支付违约金的同时，仍有权要求违约方继续履行合同、采取补救措施，当违约金不足以弥补所造成的损失时，可要求违约方按照实际损失进行赔偿；任何一方按照前述约定要求解除本合同的同时，仍有权要求违约方支付违约金，当违约金不足以弥补所造成的损失时，可要求违约方按照实际损失进行赔偿；且守约方行使的任何权利救济方式均不视为其放弃了其他法定或者约定的权利救济方式；</w:t>
      </w:r>
    </w:p>
    <w:p>
      <w:pPr>
        <w:keepNext w:val="0"/>
        <w:keepLines w:val="0"/>
        <w:pageBreakBefore w:val="0"/>
        <w:kinsoku/>
        <w:wordWrap/>
        <w:overflowPunct/>
        <w:topLinePunct w:val="0"/>
        <w:autoSpaceDE/>
        <w:autoSpaceDN/>
        <w:bidi w:val="0"/>
        <w:adjustRightInd/>
        <w:spacing w:line="400" w:lineRule="exact"/>
        <w:ind w:left="0" w:right="0" w:rightChars="0" w:firstLine="389" w:firstLineChars="177"/>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autoSpaceDE/>
        <w:autoSpaceDN/>
        <w:bidi w:val="0"/>
        <w:adjustRightInd/>
        <w:spacing w:line="400" w:lineRule="exact"/>
        <w:ind w:left="0" w:right="0" w:rightChars="0" w:firstLine="389" w:firstLineChars="177"/>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w:t>
      </w:r>
      <w:r>
        <w:rPr>
          <w:rFonts w:hint="eastAsia" w:ascii="宋体" w:hAnsi="宋体" w:eastAsia="宋体" w:cs="宋体"/>
          <w:color w:val="auto"/>
          <w:kern w:val="0"/>
          <w:sz w:val="22"/>
          <w:szCs w:val="22"/>
          <w:highlight w:val="none"/>
        </w:rPr>
        <w:t>在履行合同的过程中，</w:t>
      </w:r>
      <w:r>
        <w:rPr>
          <w:rFonts w:hint="eastAsia" w:ascii="宋体" w:hAnsi="宋体" w:eastAsia="宋体" w:cs="宋体"/>
          <w:color w:val="auto"/>
          <w:sz w:val="22"/>
          <w:szCs w:val="22"/>
          <w:highlight w:val="none"/>
        </w:rPr>
        <w:t>乙方不得转包、分包。否则甲方可以书面通知违约方解除本合同，并要求赔偿损失；因分包或转包产生的违约责任由乙方承担，甲方可要求乙方支付本合同总价</w:t>
      </w:r>
      <w:r>
        <w:rPr>
          <w:rFonts w:hint="eastAsia" w:ascii="宋体" w:hAnsi="宋体" w:eastAsia="宋体" w:cs="宋体"/>
          <w:color w:val="auto"/>
          <w:sz w:val="22"/>
          <w:szCs w:val="22"/>
          <w:highlight w:val="none"/>
          <w:u w:val="single"/>
        </w:rPr>
        <w:t xml:space="preserve"> 5 </w:t>
      </w:r>
      <w:r>
        <w:rPr>
          <w:rFonts w:hint="eastAsia" w:ascii="宋体" w:hAnsi="宋体" w:eastAsia="宋体" w:cs="宋体"/>
          <w:color w:val="auto"/>
          <w:sz w:val="22"/>
          <w:szCs w:val="22"/>
          <w:highlight w:val="none"/>
        </w:rPr>
        <w:t>%的违约金。</w:t>
      </w:r>
    </w:p>
    <w:p>
      <w:pPr>
        <w:keepNext w:val="0"/>
        <w:keepLines w:val="0"/>
        <w:pageBreakBefore w:val="0"/>
        <w:kinsoku/>
        <w:wordWrap/>
        <w:overflowPunct/>
        <w:topLinePunct w:val="0"/>
        <w:autoSpaceDE/>
        <w:autoSpaceDN/>
        <w:bidi w:val="0"/>
        <w:adjustRightInd/>
        <w:spacing w:line="400" w:lineRule="exact"/>
        <w:ind w:left="0" w:right="0" w:rightChars="0" w:firstLine="389" w:firstLineChars="177"/>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九）乙方应提供项目所需的软件硬件符合国家、部门、行业相关技术标准的证明，且不侵犯任何第三方包括但不限于知识产权等任何权益，并保证该软件硬件的运行不影响甲方内部网络信息安全性和保密性问题，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 xml:space="preserve">十二、项目合同终止 </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一</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xml:space="preserve">双方当事人不得擅自中止或者终止合同； </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二</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三</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十三、保密条款</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（一） 保密范围：乙方为建设本项目而了解、掌握的甲方公安信息网络系统的拓扑结构、安全保密措施、PKI/PMI等各项参数，以及甲方场地环境、硬件、软件、电子信息和所有资料内容（以上简称专有信息）。</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（二）</w:t>
      </w:r>
      <w:r>
        <w:rPr>
          <w:rFonts w:hint="eastAsia" w:ascii="宋体" w:hAnsi="宋体" w:eastAsia="宋体" w:cs="宋体"/>
          <w:color w:val="auto"/>
          <w:kern w:val="0"/>
          <w:sz w:val="22"/>
          <w:szCs w:val="22"/>
          <w:highlight w:val="none"/>
          <w:lang w:val="en-US" w:eastAsia="zh-CN"/>
        </w:rPr>
        <w:t xml:space="preserve"> 保密责任：甲方应加强对乙方及参与本项工作员工的安全保密监管，及时发现安全保密隐患和问题。乙方应配合甲方对乙方有关人员进行审查、教育培训，及时调整不合适的人员。乙方同意严格控制使用甲方的专有信息，保证不向第三方泄露甲方提供的任何专有信息，并对该专有信息的提供管理良好的安全保密措施。建设涉密信息系统，乙方须具有国家保密工作部门核发的《资质证书》，制定甲方认可的安全保密管理方案，并采用适当的安全保密技术和措施对涉密系统进行集成。乙方不能将甲方的专有信息用于其它任何目的。除乙方直接参与本项工程的职员之外，不将专有信息透露给其它任何人。乙方及其参与本项工作的员工严禁在系统建设中私设“后门”，非法访问系统。乙方应当告知并采取有效措施要求参与本项工作的员工遵守本协议规定。乙方发现保密范围内的有关事项已经泄露或可能泄露时应当报告甲方，并及时采取补救措施。当甲方以书面形式要求乙方交回专有信息时，乙方应当立即交回所有书面的或其他形式的专有信息以及所有描述和概括该专有信息的文件资料，不能以任何形式保留或擅自处理。</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（三）</w:t>
      </w:r>
      <w:r>
        <w:rPr>
          <w:rFonts w:hint="eastAsia" w:ascii="宋体" w:hAnsi="宋体" w:eastAsia="宋体" w:cs="宋体"/>
          <w:color w:val="auto"/>
          <w:kern w:val="0"/>
          <w:sz w:val="22"/>
          <w:szCs w:val="22"/>
          <w:highlight w:val="none"/>
          <w:lang w:val="en-US" w:eastAsia="zh-CN"/>
        </w:rPr>
        <w:t>违约责任：乙方或参与本项目工作之员工违反本合同规定，造成泄密事件，乙方应承担有关法律责任，并赔偿相应经济损失。</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lang w:val="en-US" w:eastAsia="zh-CN"/>
        </w:rPr>
        <w:t xml:space="preserve"> 保密期限：自本合同生效之日起，双方的合作交流都要符合本合同的条款。除非甲方通过书面通知明确说明对本协议所涉及的某项专有信息予以解密或同意共享，乙方必须按照本协议所承担的保密义务对在建设本合同中掌握的专有信息进行保密，保密期限不受本合同有效期限的限制。</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十三、不可抗力</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（二）签约双方任一方由于受不可抗力事件的影响而不能执行合同时，履行合同的期限应予以延长，其延长的期限应相当于事件所影响的时间；</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因不可抗力事件受阻一方应在不可抗力事件发生后尽快用书面方式或电报、传真通知对方，并于事件发生后7天内将有关国家职能机关或具有国家授权认定的机构出具的证明文件及其他说明材料用特快专递或挂号信寄给对方审阅确认，一旦不可抗力事件的影响预计持续60天以上，双方应通过友好协商15天的时间内达成进一步履行合同的协议，如不能达成共识，甲方也有权单方解除合同，不付给乙方其他经济补偿，对乙方已经履行的符合合同约定的部分内容不付任何价款，乙方应当返还甲方先前支付给乙方的全部预付款。</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十四、项目保密</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bookmarkStart w:id="19" w:name="_Hlk95233671"/>
      <w:r>
        <w:rPr>
          <w:rFonts w:hint="eastAsia" w:ascii="宋体" w:hAnsi="宋体" w:eastAsia="宋体" w:cs="宋体"/>
          <w:color w:val="auto"/>
          <w:kern w:val="0"/>
          <w:sz w:val="22"/>
          <w:szCs w:val="22"/>
          <w:highlight w:val="none"/>
        </w:rPr>
        <w:t>（一）甲方向乙方提供的所有资料，仅供本项目小组人员参考使用，乙方须严守资料中所涉秘密、妥善保管，不得遗失、不得向本项目小组以外的单位或个人转借、复印等，不得用于与本项目研发、运行无关的用途。乙方更换本项目小组成员时应获得甲方书面同意，并立即向项目小组成员收回甲方提供的所以资料，否则</w:t>
      </w:r>
      <w:bookmarkEnd w:id="19"/>
      <w:r>
        <w:rPr>
          <w:rFonts w:hint="eastAsia" w:ascii="宋体" w:hAnsi="宋体" w:eastAsia="宋体" w:cs="宋体"/>
          <w:color w:val="auto"/>
          <w:kern w:val="0"/>
          <w:sz w:val="22"/>
          <w:szCs w:val="22"/>
          <w:highlight w:val="none"/>
        </w:rPr>
        <w:t>乙方应承担违约责任，向甲方支付违约金，违约金数额为本合同总价的5%；</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（二）乙方发现甲方的保密事项已经泄露或可能泄露时，应当立即采取补救措施，并及时书面报告甲方；</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（三）本项目完成后15天内，乙方应主动退还本项目过程中甲方提供的全部资料；</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（四）乙方在接受和退还涉密内容的资料时建立登记制度；</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乙方造成的泄失密事件，乙方应承担违约责任，向甲方支付违约金，违约金数额为本合同总价的20%，若泄密事件造成甲方的实际经济损失大于违约金数额，则乙方应赔偿甲方实际经济损失；构成刑事犯罪的，还应依法追究刑事责任；</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本项目所有文档及本项目所接触的双方资料，未经对方授权代表书面许可，不得向与合同无关的其他方泄漏任何技术文件或与合同有关的数据，包括合同本身。不论本协议或合同是否期满、变更、解除、终止，本条款均有效；</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十五、争议解决方式</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（一）合同的实施或与合同有关的一切争端应通过双方友好协商解决。如果友好协商自争端出现之日起60天后还不能解决，任何一方都可依法提交甲方所在地有管辖权的人民法院解决；</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（二）由此产生的所有费用，包括但不限于诉讼费、律师费、公告费、保全费、差旅费等一切费用由败诉方承担；</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（三）在诉讼期间，除正在进行诉讼的部分以外，双方应继续执行合同的其余部分；</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389" w:firstLineChars="17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（四）本合同适用中华人民共和国法律。</w:t>
      </w:r>
    </w:p>
    <w:p>
      <w:pPr>
        <w:keepNext w:val="0"/>
        <w:keepLines w:val="0"/>
        <w:pageBreakBefore w:val="0"/>
        <w:widowControl/>
        <w:numPr>
          <w:ilvl w:val="0"/>
          <w:numId w:val="0"/>
        </w:numPr>
        <w:tabs>
          <w:tab w:val="left" w:pos="495"/>
        </w:tabs>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十六、项目合同生效及其它</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一</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本合同自双方授权代表签字并加盖公章之日起生效。</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二</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本合同一式六份，甲、乙双方各执三份，经签字、盖章后生效，六份合同具有同等效力。</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三</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合同</w:t>
      </w:r>
      <w:r>
        <w:rPr>
          <w:rFonts w:hint="eastAsia" w:ascii="宋体" w:hAnsi="宋体" w:eastAsia="宋体" w:cs="宋体"/>
          <w:color w:val="auto"/>
          <w:kern w:val="0"/>
          <w:sz w:val="22"/>
          <w:szCs w:val="22"/>
          <w:highlight w:val="none"/>
          <w:lang w:val="en-US" w:eastAsia="zh-CN"/>
        </w:rPr>
        <w:t>验收之日</w:t>
      </w:r>
      <w:r>
        <w:rPr>
          <w:rFonts w:hint="eastAsia" w:ascii="宋体" w:hAnsi="宋体" w:eastAsia="宋体" w:cs="宋体"/>
          <w:color w:val="auto"/>
          <w:kern w:val="0"/>
          <w:sz w:val="22"/>
          <w:szCs w:val="22"/>
          <w:highlight w:val="none"/>
        </w:rPr>
        <w:t>后，双方可协商重新签定系统维护条约。</w:t>
      </w:r>
    </w:p>
    <w:p>
      <w:pPr>
        <w:keepNext w:val="0"/>
        <w:keepLines w:val="0"/>
        <w:pageBreakBefore w:val="0"/>
        <w:widowControl/>
        <w:kinsoku/>
        <w:wordWrap/>
        <w:overflowPunct/>
        <w:topLinePunct w:val="0"/>
        <w:autoSpaceDE/>
        <w:autoSpaceDN/>
        <w:bidi w:val="0"/>
        <w:adjustRightInd/>
        <w:snapToGrid w:val="0"/>
        <w:spacing w:line="400" w:lineRule="exact"/>
        <w:ind w:left="0" w:right="0" w:rightChars="0"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本合同如有未尽事宜，双方协商解决，协商不成提交温州仲裁委员会仲裁</w:t>
      </w:r>
      <w:r>
        <w:rPr>
          <w:rFonts w:hint="eastAsia" w:ascii="宋体" w:hAnsi="宋体" w:eastAsia="宋体" w:cs="宋体"/>
          <w:color w:val="auto"/>
          <w:kern w:val="0"/>
          <w:sz w:val="22"/>
          <w:szCs w:val="22"/>
          <w:highlight w:val="none"/>
          <w:lang w:eastAsia="zh-CN"/>
        </w:rPr>
        <w:t>。</w:t>
      </w:r>
    </w:p>
    <w:p>
      <w:pPr>
        <w:keepNext w:val="0"/>
        <w:keepLines w:val="0"/>
        <w:pageBreakBefore w:val="0"/>
        <w:kinsoku/>
        <w:wordWrap/>
        <w:overflowPunct/>
        <w:topLinePunct w:val="0"/>
        <w:autoSpaceDE/>
        <w:autoSpaceDN/>
        <w:bidi w:val="0"/>
        <w:adjustRightInd/>
        <w:spacing w:line="400" w:lineRule="exact"/>
        <w:ind w:left="0" w:right="0" w:rightChars="0"/>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十</w:t>
      </w:r>
      <w:r>
        <w:rPr>
          <w:rFonts w:hint="eastAsia" w:ascii="宋体" w:hAnsi="宋体" w:eastAsia="宋体" w:cs="宋体"/>
          <w:b/>
          <w:color w:val="auto"/>
          <w:kern w:val="0"/>
          <w:sz w:val="22"/>
          <w:szCs w:val="22"/>
          <w:highlight w:val="none"/>
          <w:lang w:val="en-US" w:eastAsia="zh-CN"/>
        </w:rPr>
        <w:t>七</w:t>
      </w:r>
      <w:r>
        <w:rPr>
          <w:rFonts w:hint="eastAsia" w:ascii="宋体" w:hAnsi="宋体" w:eastAsia="宋体" w:cs="宋体"/>
          <w:b/>
          <w:color w:val="auto"/>
          <w:kern w:val="0"/>
          <w:sz w:val="22"/>
          <w:szCs w:val="22"/>
          <w:highlight w:val="none"/>
        </w:rPr>
        <w:t>、项目合同签章</w:t>
      </w:r>
    </w:p>
    <w:p>
      <w:pPr>
        <w:keepNext w:val="0"/>
        <w:keepLines w:val="0"/>
        <w:pageBreakBefore w:val="0"/>
        <w:kinsoku/>
        <w:wordWrap/>
        <w:overflowPunct/>
        <w:topLinePunct w:val="0"/>
        <w:autoSpaceDE/>
        <w:autoSpaceDN/>
        <w:bidi w:val="0"/>
        <w:adjustRightInd/>
        <w:spacing w:line="400" w:lineRule="exact"/>
        <w:ind w:left="0" w:right="0" w:rightChars="0" w:firstLine="391" w:firstLineChars="177"/>
        <w:textAlignment w:val="auto"/>
        <w:rPr>
          <w:rFonts w:hint="eastAsia" w:ascii="宋体" w:hAnsi="宋体" w:eastAsia="宋体" w:cs="宋体"/>
          <w:b/>
          <w:color w:val="auto"/>
          <w:kern w:val="0"/>
          <w:sz w:val="22"/>
          <w:szCs w:val="22"/>
          <w:highlight w:val="none"/>
        </w:rPr>
      </w:pPr>
    </w:p>
    <w:p>
      <w:pPr>
        <w:keepNext w:val="0"/>
        <w:keepLines w:val="0"/>
        <w:pageBreakBefore w:val="0"/>
        <w:widowControl/>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甲方：温州市公安局交通管理局           乙方：</w:t>
      </w:r>
      <w:r>
        <w:rPr>
          <w:rFonts w:hint="eastAsia" w:ascii="宋体" w:hAnsi="宋体" w:eastAsia="宋体" w:cs="宋体"/>
          <w:color w:val="auto"/>
          <w:kern w:val="0"/>
          <w:sz w:val="22"/>
          <w:szCs w:val="22"/>
          <w:highlight w:val="none"/>
          <w:lang w:val="en-US" w:eastAsia="zh-CN"/>
        </w:rPr>
        <w:t xml:space="preserve"> </w:t>
      </w:r>
    </w:p>
    <w:p>
      <w:pPr>
        <w:keepNext w:val="0"/>
        <w:keepLines w:val="0"/>
        <w:pageBreakBefore w:val="0"/>
        <w:widowControl/>
        <w:kinsoku/>
        <w:wordWrap/>
        <w:overflowPunct/>
        <w:topLinePunct w:val="0"/>
        <w:autoSpaceDE/>
        <w:autoSpaceDN/>
        <w:bidi w:val="0"/>
        <w:adjustRightInd/>
        <w:spacing w:line="400" w:lineRule="exact"/>
        <w:ind w:left="0" w:right="0" w:rightChars="0" w:firstLine="1100" w:firstLineChars="5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（印章）                                  （印章）</w:t>
      </w:r>
    </w:p>
    <w:p>
      <w:pPr>
        <w:keepNext w:val="0"/>
        <w:keepLines w:val="0"/>
        <w:pageBreakBefore w:val="0"/>
        <w:widowControl/>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法定（委托）代表人（签字）：         </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法定（委托）代表人（签字）：</w:t>
      </w:r>
    </w:p>
    <w:p>
      <w:pPr>
        <w:keepNext w:val="0"/>
        <w:keepLines w:val="0"/>
        <w:pageBreakBefore w:val="0"/>
        <w:widowControl/>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地址：</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kern w:val="0"/>
          <w:sz w:val="22"/>
          <w:szCs w:val="22"/>
          <w:highlight w:val="none"/>
        </w:rPr>
        <w:t xml:space="preserve">                 地址：</w:t>
      </w:r>
      <w:r>
        <w:rPr>
          <w:rFonts w:hint="eastAsia" w:ascii="宋体" w:hAnsi="宋体" w:eastAsia="宋体" w:cs="宋体"/>
          <w:color w:val="auto"/>
          <w:kern w:val="0"/>
          <w:sz w:val="22"/>
          <w:szCs w:val="22"/>
          <w:highlight w:val="none"/>
          <w:lang w:val="en-US" w:eastAsia="zh-CN"/>
        </w:rPr>
        <w:t xml:space="preserve"> </w:t>
      </w:r>
    </w:p>
    <w:p>
      <w:pPr>
        <w:keepNext w:val="0"/>
        <w:keepLines w:val="0"/>
        <w:pageBreakBefore w:val="0"/>
        <w:widowControl/>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电话：</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 xml:space="preserve">   电话：</w:t>
      </w:r>
      <w:r>
        <w:rPr>
          <w:rFonts w:hint="eastAsia" w:ascii="宋体" w:hAnsi="宋体" w:eastAsia="宋体" w:cs="宋体"/>
          <w:color w:val="auto"/>
          <w:kern w:val="0"/>
          <w:sz w:val="22"/>
          <w:szCs w:val="22"/>
          <w:highlight w:val="none"/>
          <w:lang w:val="en-US" w:eastAsia="zh-CN"/>
        </w:rPr>
        <w:t xml:space="preserve"> </w:t>
      </w:r>
    </w:p>
    <w:p>
      <w:pPr>
        <w:keepNext w:val="0"/>
        <w:keepLines w:val="0"/>
        <w:pageBreakBefore w:val="0"/>
        <w:widowControl/>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传真：</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传真：</w:t>
      </w:r>
      <w:r>
        <w:rPr>
          <w:rFonts w:hint="eastAsia" w:ascii="宋体" w:hAnsi="宋体" w:eastAsia="宋体" w:cs="宋体"/>
          <w:color w:val="auto"/>
          <w:kern w:val="0"/>
          <w:sz w:val="22"/>
          <w:szCs w:val="22"/>
          <w:highlight w:val="none"/>
          <w:lang w:val="en-US" w:eastAsia="zh-CN"/>
        </w:rPr>
        <w:t xml:space="preserve"> </w:t>
      </w:r>
    </w:p>
    <w:p>
      <w:pPr>
        <w:keepNext w:val="0"/>
        <w:keepLines w:val="0"/>
        <w:pageBreakBefore w:val="0"/>
        <w:widowControl/>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开户银行：                             开户银行：</w:t>
      </w:r>
    </w:p>
    <w:p>
      <w:pPr>
        <w:keepNext w:val="0"/>
        <w:keepLines w:val="0"/>
        <w:pageBreakBefore w:val="0"/>
        <w:widowControl/>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帐号：                                 帐号：</w:t>
      </w:r>
      <w:r>
        <w:rPr>
          <w:rFonts w:hint="eastAsia" w:ascii="宋体" w:hAnsi="宋体" w:eastAsia="宋体" w:cs="宋体"/>
          <w:color w:val="auto"/>
          <w:kern w:val="0"/>
          <w:sz w:val="22"/>
          <w:szCs w:val="22"/>
          <w:highlight w:val="none"/>
          <w:lang w:val="en-US" w:eastAsia="zh-CN"/>
        </w:rPr>
        <w:t xml:space="preserve"> </w:t>
      </w:r>
    </w:p>
    <w:p>
      <w:pPr>
        <w:keepNext w:val="0"/>
        <w:keepLines w:val="0"/>
        <w:pageBreakBefore w:val="0"/>
        <w:widowControl/>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签字日期：    年   月   日         </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 xml:space="preserve">  签字日期：    年   月   日 </w:t>
      </w:r>
    </w:p>
    <w:bookmarkEnd w:id="0"/>
    <w:bookmarkEnd w:id="1"/>
    <w:bookmarkEnd w:id="2"/>
    <w:bookmarkEnd w:id="3"/>
    <w:bookmarkEnd w:id="4"/>
    <w:bookmarkEnd w:id="5"/>
    <w:p>
      <w:pPr>
        <w:rPr>
          <w:rFonts w:hint="eastAsia" w:ascii="宋体" w:hAnsi="宋体" w:eastAsia="宋体" w:cs="宋体"/>
          <w:color w:val="auto"/>
          <w:sz w:val="44"/>
          <w:szCs w:val="44"/>
          <w:highlight w:val="none"/>
        </w:rPr>
      </w:pPr>
    </w:p>
    <w:p>
      <w:pPr>
        <w:jc w:val="center"/>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rPr>
        <w:br w:type="page"/>
      </w:r>
      <w:r>
        <w:rPr>
          <w:rFonts w:hint="eastAsia" w:ascii="宋体" w:hAnsi="宋体" w:eastAsia="宋体" w:cs="宋体"/>
          <w:b/>
          <w:color w:val="auto"/>
          <w:sz w:val="24"/>
          <w:szCs w:val="24"/>
          <w:highlight w:val="none"/>
          <w:lang w:val="zh-CN" w:eastAsia="zh-CN"/>
        </w:rPr>
        <w:t>标项</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eastAsia="zh-CN"/>
        </w:rPr>
        <w:t>2022年温州市电子警察系统项目拟签订的合同文本</w:t>
      </w:r>
    </w:p>
    <w:p>
      <w:pPr>
        <w:rPr>
          <w:rFonts w:hint="eastAsia" w:ascii="宋体" w:hAnsi="宋体" w:eastAsia="宋体" w:cs="宋体"/>
          <w:b/>
          <w:color w:val="auto"/>
          <w:sz w:val="32"/>
          <w:highlight w:val="none"/>
        </w:rPr>
      </w:pPr>
    </w:p>
    <w:p>
      <w:pPr>
        <w:jc w:val="center"/>
        <w:rPr>
          <w:rFonts w:hint="eastAsia" w:ascii="宋体" w:hAnsi="宋体" w:eastAsia="宋体" w:cs="宋体"/>
          <w:color w:val="auto"/>
          <w:sz w:val="22"/>
          <w:highlight w:val="none"/>
        </w:rPr>
      </w:pP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color w:val="auto"/>
          <w:highlight w:val="none"/>
        </w:rPr>
      </w:pPr>
      <w:r>
        <w:rPr>
          <w:rFonts w:hint="eastAsia" w:ascii="宋体" w:hAnsi="宋体" w:eastAsia="宋体" w:cs="宋体"/>
          <w:b/>
          <w:color w:val="auto"/>
          <w:sz w:val="36"/>
          <w:szCs w:val="36"/>
          <w:highlight w:val="none"/>
        </w:rPr>
        <w:t>（货物类）</w:t>
      </w:r>
    </w:p>
    <w:p>
      <w:pPr>
        <w:pStyle w:val="83"/>
        <w:ind w:firstLine="3566" w:firstLineChars="14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第一章 合同书</w:t>
      </w:r>
    </w:p>
    <w:p>
      <w:pPr>
        <w:pStyle w:val="83"/>
        <w:ind w:left="0" w:leftChars="0" w:firstLine="0" w:firstLineChars="0"/>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84"/>
        <w:spacing w:before="120" w:line="22" w:lineRule="atLeast"/>
        <w:rPr>
          <w:rFonts w:hint="eastAsia" w:ascii="宋体" w:hAnsi="宋体" w:eastAsia="宋体" w:cs="宋体"/>
          <w:color w:val="auto"/>
          <w:szCs w:val="24"/>
          <w:highlight w:val="none"/>
        </w:rPr>
      </w:pPr>
    </w:p>
    <w:p>
      <w:pPr>
        <w:pStyle w:val="84"/>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50" w:lineRule="exact"/>
        <w:ind w:firstLine="440" w:firstLineChars="200"/>
        <w:rPr>
          <w:rFonts w:hint="eastAsia" w:ascii="宋体" w:hAnsi="宋体" w:eastAsia="宋体" w:cs="宋体"/>
          <w:color w:val="auto"/>
          <w:sz w:val="22"/>
          <w:highlight w:val="none"/>
          <w:u w:val="single"/>
          <w:lang w:val="zh-CN"/>
        </w:rPr>
      </w:pPr>
    </w:p>
    <w:p>
      <w:pPr>
        <w:spacing w:line="350" w:lineRule="exact"/>
        <w:ind w:firstLine="440" w:firstLineChars="200"/>
        <w:rPr>
          <w:rFonts w:hint="eastAsia" w:ascii="宋体" w:hAnsi="宋体" w:eastAsia="宋体" w:cs="宋体"/>
          <w:color w:val="auto"/>
          <w:sz w:val="22"/>
          <w:highlight w:val="none"/>
          <w:u w:val="single"/>
          <w:lang w:val="zh-CN"/>
        </w:rPr>
      </w:pPr>
    </w:p>
    <w:p>
      <w:pPr>
        <w:spacing w:line="350" w:lineRule="exact"/>
        <w:ind w:firstLine="440" w:firstLineChars="200"/>
        <w:rPr>
          <w:rFonts w:hint="eastAsia" w:ascii="宋体" w:hAnsi="宋体" w:eastAsia="宋体" w:cs="宋体"/>
          <w:color w:val="auto"/>
          <w:sz w:val="22"/>
          <w:highlight w:val="none"/>
          <w:u w:val="single"/>
          <w:lang w:val="zh-CN"/>
        </w:rPr>
      </w:pPr>
    </w:p>
    <w:p>
      <w:pPr>
        <w:spacing w:line="350" w:lineRule="exact"/>
        <w:ind w:firstLine="440" w:firstLineChars="200"/>
        <w:rPr>
          <w:rFonts w:hint="eastAsia" w:ascii="宋体" w:hAnsi="宋体" w:eastAsia="宋体" w:cs="宋体"/>
          <w:color w:val="auto"/>
          <w:sz w:val="22"/>
          <w:highlight w:val="none"/>
          <w:u w:val="single"/>
          <w:lang w:val="zh-CN"/>
        </w:rPr>
      </w:pPr>
    </w:p>
    <w:p>
      <w:pPr>
        <w:spacing w:line="350" w:lineRule="exact"/>
        <w:ind w:firstLine="440" w:firstLineChars="200"/>
        <w:rPr>
          <w:rFonts w:hint="eastAsia" w:ascii="宋体" w:hAnsi="宋体" w:eastAsia="宋体" w:cs="宋体"/>
          <w:color w:val="auto"/>
          <w:sz w:val="22"/>
          <w:highlight w:val="none"/>
          <w:u w:val="single"/>
          <w:lang w:val="zh-CN"/>
        </w:rPr>
      </w:pPr>
    </w:p>
    <w:p>
      <w:pPr>
        <w:spacing w:line="350" w:lineRule="exact"/>
        <w:ind w:firstLine="440" w:firstLineChars="200"/>
        <w:rPr>
          <w:rFonts w:hint="eastAsia" w:ascii="宋体" w:hAnsi="宋体" w:eastAsia="宋体" w:cs="宋体"/>
          <w:color w:val="auto"/>
          <w:sz w:val="22"/>
          <w:highlight w:val="none"/>
          <w:u w:val="single"/>
          <w:lang w:val="zh-CN"/>
        </w:rPr>
      </w:pPr>
    </w:p>
    <w:p>
      <w:pPr>
        <w:spacing w:line="350" w:lineRule="exact"/>
        <w:ind w:firstLine="440" w:firstLineChars="200"/>
        <w:rPr>
          <w:rFonts w:hint="eastAsia" w:ascii="宋体" w:hAnsi="宋体" w:eastAsia="宋体" w:cs="宋体"/>
          <w:color w:val="auto"/>
          <w:sz w:val="22"/>
          <w:highlight w:val="none"/>
          <w:u w:val="single"/>
          <w:lang w:val="zh-CN"/>
        </w:rPr>
      </w:pPr>
    </w:p>
    <w:p>
      <w:pPr>
        <w:spacing w:line="350" w:lineRule="exact"/>
        <w:ind w:firstLine="440" w:firstLineChars="200"/>
        <w:rPr>
          <w:rFonts w:hint="eastAsia" w:ascii="宋体" w:hAnsi="宋体" w:eastAsia="宋体" w:cs="宋体"/>
          <w:color w:val="auto"/>
          <w:sz w:val="22"/>
          <w:highlight w:val="none"/>
          <w:u w:val="single"/>
          <w:lang w:val="zh-CN"/>
        </w:rPr>
      </w:pPr>
    </w:p>
    <w:p>
      <w:pPr>
        <w:spacing w:line="350" w:lineRule="exact"/>
        <w:ind w:firstLine="440" w:firstLineChars="200"/>
        <w:rPr>
          <w:rFonts w:hint="eastAsia" w:ascii="宋体" w:hAnsi="宋体" w:eastAsia="宋体" w:cs="宋体"/>
          <w:color w:val="auto"/>
          <w:sz w:val="22"/>
          <w:highlight w:val="none"/>
          <w:u w:val="single"/>
          <w:lang w:val="zh-CN"/>
        </w:rPr>
      </w:pP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lang w:val="zh-CN"/>
        </w:rPr>
        <w:t xml:space="preserve">        </w:t>
      </w:r>
      <w:r>
        <w:rPr>
          <w:rFonts w:hint="eastAsia" w:ascii="宋体" w:hAnsi="宋体" w:eastAsia="宋体" w:cs="宋体"/>
          <w:color w:val="auto"/>
          <w:sz w:val="22"/>
          <w:highlight w:val="none"/>
          <w:lang w:val="zh-CN"/>
        </w:rPr>
        <w:t>年</w:t>
      </w:r>
      <w:r>
        <w:rPr>
          <w:rFonts w:hint="eastAsia" w:ascii="宋体" w:hAnsi="宋体" w:eastAsia="宋体" w:cs="宋体"/>
          <w:color w:val="auto"/>
          <w:sz w:val="22"/>
          <w:highlight w:val="none"/>
          <w:u w:val="single"/>
          <w:lang w:val="zh-CN"/>
        </w:rPr>
        <w:t xml:space="preserve">    </w:t>
      </w:r>
      <w:r>
        <w:rPr>
          <w:rFonts w:hint="eastAsia" w:ascii="宋体" w:hAnsi="宋体" w:eastAsia="宋体" w:cs="宋体"/>
          <w:color w:val="auto"/>
          <w:sz w:val="22"/>
          <w:highlight w:val="none"/>
          <w:lang w:val="zh-CN"/>
        </w:rPr>
        <w:t>月</w:t>
      </w:r>
      <w:r>
        <w:rPr>
          <w:rFonts w:hint="eastAsia" w:ascii="宋体" w:hAnsi="宋体" w:eastAsia="宋体" w:cs="宋体"/>
          <w:color w:val="auto"/>
          <w:sz w:val="22"/>
          <w:highlight w:val="none"/>
          <w:u w:val="single"/>
          <w:lang w:val="zh-CN"/>
        </w:rPr>
        <w:t xml:space="preserve">    </w:t>
      </w:r>
      <w:r>
        <w:rPr>
          <w:rFonts w:hint="eastAsia" w:ascii="宋体" w:hAnsi="宋体" w:eastAsia="宋体" w:cs="宋体"/>
          <w:color w:val="auto"/>
          <w:sz w:val="22"/>
          <w:highlight w:val="none"/>
          <w:lang w:val="zh-CN"/>
        </w:rPr>
        <w:t>日</w:t>
      </w:r>
      <w:r>
        <w:rPr>
          <w:rFonts w:hint="eastAsia" w:ascii="宋体" w:hAnsi="宋体" w:eastAsia="宋体" w:cs="宋体"/>
          <w:color w:val="auto"/>
          <w:sz w:val="22"/>
          <w:highlight w:val="none"/>
        </w:rPr>
        <w:t>，</w:t>
      </w:r>
      <w:r>
        <w:rPr>
          <w:rFonts w:hint="eastAsia" w:ascii="宋体" w:hAnsi="宋体" w:eastAsia="宋体" w:cs="宋体"/>
          <w:color w:val="auto"/>
          <w:sz w:val="22"/>
          <w:highlight w:val="none"/>
          <w:u w:val="single"/>
        </w:rPr>
        <w:t xml:space="preserve">   温州市公安局交通管理局   </w:t>
      </w:r>
      <w:r>
        <w:rPr>
          <w:rFonts w:hint="eastAsia" w:ascii="宋体" w:hAnsi="宋体" w:eastAsia="宋体" w:cs="宋体"/>
          <w:color w:val="auto"/>
          <w:sz w:val="22"/>
          <w:highlight w:val="none"/>
        </w:rPr>
        <w:t>以</w:t>
      </w:r>
      <w:r>
        <w:rPr>
          <w:rFonts w:hint="eastAsia" w:ascii="宋体" w:hAnsi="宋体" w:eastAsia="宋体" w:cs="宋体"/>
          <w:color w:val="auto"/>
          <w:sz w:val="22"/>
          <w:highlight w:val="none"/>
          <w:u w:val="single"/>
        </w:rPr>
        <w:t xml:space="preserve">   （政府采购方式）  </w:t>
      </w:r>
      <w:r>
        <w:rPr>
          <w:rFonts w:hint="eastAsia" w:ascii="宋体" w:hAnsi="宋体" w:eastAsia="宋体" w:cs="宋体"/>
          <w:color w:val="auto"/>
          <w:sz w:val="22"/>
          <w:highlight w:val="none"/>
        </w:rPr>
        <w:t>对</w:t>
      </w:r>
      <w:r>
        <w:rPr>
          <w:rFonts w:hint="eastAsia" w:ascii="宋体" w:hAnsi="宋体" w:eastAsia="宋体" w:cs="宋体"/>
          <w:color w:val="auto"/>
          <w:sz w:val="22"/>
          <w:highlight w:val="none"/>
          <w:u w:val="single"/>
        </w:rPr>
        <w:t xml:space="preserve">   （同前页项目名称）   </w:t>
      </w:r>
      <w:r>
        <w:rPr>
          <w:rFonts w:hint="eastAsia" w:ascii="宋体" w:hAnsi="宋体" w:eastAsia="宋体" w:cs="宋体"/>
          <w:color w:val="auto"/>
          <w:sz w:val="22"/>
          <w:highlight w:val="none"/>
        </w:rPr>
        <w:t>项目进行了采购。经</w:t>
      </w:r>
      <w:r>
        <w:rPr>
          <w:rFonts w:hint="eastAsia" w:ascii="宋体" w:hAnsi="宋体" w:eastAsia="宋体" w:cs="宋体"/>
          <w:color w:val="auto"/>
          <w:sz w:val="22"/>
          <w:highlight w:val="none"/>
          <w:u w:val="single"/>
        </w:rPr>
        <w:t xml:space="preserve">   （相关评定主体名称）   </w:t>
      </w:r>
      <w:r>
        <w:rPr>
          <w:rFonts w:hint="eastAsia" w:ascii="宋体" w:hAnsi="宋体" w:eastAsia="宋体" w:cs="宋体"/>
          <w:color w:val="auto"/>
          <w:sz w:val="22"/>
          <w:highlight w:val="none"/>
        </w:rPr>
        <w:t>评定，</w:t>
      </w:r>
      <w:r>
        <w:rPr>
          <w:rFonts w:hint="eastAsia" w:ascii="宋体" w:hAnsi="宋体" w:eastAsia="宋体" w:cs="宋体"/>
          <w:color w:val="auto"/>
          <w:sz w:val="22"/>
          <w:highlight w:val="none"/>
          <w:u w:val="single"/>
        </w:rPr>
        <w:t xml:space="preserve">   （中标供应商名称）</w:t>
      </w:r>
      <w:r>
        <w:rPr>
          <w:rFonts w:hint="eastAsia" w:ascii="宋体" w:hAnsi="宋体" w:eastAsia="宋体" w:cs="宋体"/>
          <w:color w:val="auto"/>
          <w:sz w:val="22"/>
          <w:highlight w:val="none"/>
        </w:rPr>
        <w:t>为该项目中标供应商。现于中标通知书发出之日起三十日内，按照采购文件确定的事项签订本合同。</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2"/>
          <w:highlight w:val="none"/>
          <w:u w:val="single"/>
        </w:rPr>
        <w:t xml:space="preserve">   温州市公安局交通管理局   </w:t>
      </w:r>
      <w:r>
        <w:rPr>
          <w:rFonts w:hint="eastAsia" w:ascii="宋体" w:hAnsi="宋体" w:eastAsia="宋体" w:cs="宋体"/>
          <w:color w:val="auto"/>
          <w:sz w:val="22"/>
          <w:highlight w:val="none"/>
          <w:lang w:val="zh-CN"/>
        </w:rPr>
        <w:t>(以下简称：甲方)和</w:t>
      </w:r>
      <w:r>
        <w:rPr>
          <w:rFonts w:hint="eastAsia" w:ascii="宋体" w:hAnsi="宋体" w:eastAsia="宋体" w:cs="宋体"/>
          <w:color w:val="auto"/>
          <w:sz w:val="22"/>
          <w:highlight w:val="none"/>
          <w:u w:val="single"/>
        </w:rPr>
        <w:t xml:space="preserve">   （中标供应商名称）   </w:t>
      </w:r>
      <w:r>
        <w:rPr>
          <w:rFonts w:hint="eastAsia" w:ascii="宋体" w:hAnsi="宋体" w:eastAsia="宋体" w:cs="宋体"/>
          <w:color w:val="auto"/>
          <w:sz w:val="22"/>
          <w:highlight w:val="none"/>
          <w:lang w:val="zh-CN"/>
        </w:rPr>
        <w:t>(以下简称：乙方)协商一致，约定以下合同</w:t>
      </w:r>
      <w:r>
        <w:rPr>
          <w:rFonts w:hint="eastAsia" w:ascii="宋体" w:hAnsi="宋体" w:eastAsia="宋体" w:cs="宋体"/>
          <w:color w:val="auto"/>
          <w:sz w:val="22"/>
          <w:highlight w:val="none"/>
        </w:rPr>
        <w:t>条款，以兹共同遵守、全面履行。</w:t>
      </w:r>
    </w:p>
    <w:p>
      <w:pPr>
        <w:spacing w:line="350" w:lineRule="exact"/>
        <w:ind w:firstLine="442" w:firstLineChars="200"/>
        <w:outlineLvl w:val="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1.1 合同组成部分</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下列文件为本合同的组成部分报价，并构成一个整体，需综合解释、相互补充。如果下列文件内容出现不一致的情形，那么在保证按照采购文件确定的事项的前提下，组成本合同的多个文件的优先适用顺序如下：</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1.1.1 本合同及其补充合同、变更协议；</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1.1.2 中标通知书；</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1.1.3 投标文件（含澄清或者说明文件）；</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1.1.4 招标文件（含澄清或者修改文件）；</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1.1.5 其他相关采购文件。</w:t>
      </w:r>
    </w:p>
    <w:p>
      <w:pPr>
        <w:spacing w:line="350" w:lineRule="exact"/>
        <w:ind w:firstLine="442" w:firstLineChars="200"/>
        <w:outlineLvl w:val="0"/>
        <w:rPr>
          <w:rFonts w:hint="eastAsia" w:ascii="宋体" w:hAnsi="宋体" w:eastAsia="宋体" w:cs="宋体"/>
          <w:b/>
          <w:color w:val="auto"/>
          <w:sz w:val="22"/>
          <w:highlight w:val="none"/>
        </w:rPr>
      </w:pPr>
      <w:bookmarkStart w:id="20" w:name="_Toc27126"/>
      <w:bookmarkStart w:id="21" w:name="_Toc2021"/>
      <w:bookmarkStart w:id="22" w:name="_Toc21295"/>
      <w:bookmarkStart w:id="23" w:name="_Toc14992"/>
      <w:bookmarkStart w:id="24" w:name="_Toc23363"/>
      <w:bookmarkStart w:id="25" w:name="_Toc24300"/>
      <w:r>
        <w:rPr>
          <w:rFonts w:hint="eastAsia" w:ascii="宋体" w:hAnsi="宋体" w:eastAsia="宋体" w:cs="宋体"/>
          <w:b/>
          <w:color w:val="auto"/>
          <w:sz w:val="22"/>
          <w:highlight w:val="none"/>
        </w:rPr>
        <w:t>1.2 货物</w:t>
      </w:r>
      <w:bookmarkEnd w:id="20"/>
      <w:bookmarkEnd w:id="21"/>
      <w:bookmarkEnd w:id="22"/>
      <w:bookmarkEnd w:id="23"/>
      <w:bookmarkEnd w:id="24"/>
      <w:bookmarkEnd w:id="25"/>
    </w:p>
    <w:p>
      <w:pPr>
        <w:spacing w:line="35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1.2.1 货物名称：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pPr>
        <w:spacing w:line="35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1.2.2 货物数量：</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1.2.3 货物质量：</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pPr>
        <w:spacing w:line="350" w:lineRule="exact"/>
        <w:ind w:firstLine="442" w:firstLineChars="200"/>
        <w:outlineLvl w:val="0"/>
        <w:rPr>
          <w:rFonts w:hint="eastAsia" w:ascii="宋体" w:hAnsi="宋体" w:eastAsia="宋体" w:cs="宋体"/>
          <w:b/>
          <w:color w:val="auto"/>
          <w:sz w:val="22"/>
          <w:highlight w:val="none"/>
        </w:rPr>
      </w:pPr>
      <w:bookmarkStart w:id="26" w:name="_Toc17781"/>
      <w:bookmarkStart w:id="27" w:name="_Toc21631"/>
      <w:bookmarkStart w:id="28" w:name="_Toc6114"/>
      <w:bookmarkStart w:id="29" w:name="_Toc21551"/>
      <w:bookmarkStart w:id="30" w:name="_Toc5971"/>
      <w:bookmarkStart w:id="31" w:name="_Toc23292"/>
      <w:r>
        <w:rPr>
          <w:rFonts w:hint="eastAsia" w:ascii="宋体" w:hAnsi="宋体" w:eastAsia="宋体" w:cs="宋体"/>
          <w:b/>
          <w:color w:val="auto"/>
          <w:sz w:val="22"/>
          <w:highlight w:val="none"/>
        </w:rPr>
        <w:t>1.3 价款</w:t>
      </w:r>
      <w:bookmarkEnd w:id="26"/>
      <w:bookmarkEnd w:id="27"/>
      <w:bookmarkEnd w:id="28"/>
      <w:bookmarkEnd w:id="29"/>
      <w:bookmarkEnd w:id="30"/>
      <w:bookmarkEnd w:id="31"/>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本合同总价为：￥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元（大写：</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元人民币）。</w:t>
      </w:r>
    </w:p>
    <w:p>
      <w:pPr>
        <w:spacing w:line="35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分项价格：</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85"/>
              <w:spacing w:line="350" w:lineRule="exact"/>
              <w:ind w:firstLine="200"/>
              <w:jc w:val="center"/>
              <w:rPr>
                <w:rFonts w:hint="eastAsia" w:ascii="宋体" w:hAnsi="宋体" w:eastAsia="宋体" w:cs="宋体"/>
                <w:color w:val="auto"/>
                <w:sz w:val="22"/>
                <w:szCs w:val="22"/>
                <w:highlight w:val="none"/>
              </w:rPr>
            </w:pPr>
          </w:p>
        </w:tc>
      </w:tr>
    </w:tbl>
    <w:p>
      <w:pPr>
        <w:spacing w:line="350" w:lineRule="exact"/>
        <w:ind w:firstLine="442" w:firstLineChars="200"/>
        <w:outlineLvl w:val="0"/>
        <w:rPr>
          <w:rFonts w:hint="eastAsia" w:ascii="宋体" w:hAnsi="宋体" w:eastAsia="宋体" w:cs="宋体"/>
          <w:b/>
          <w:color w:val="auto"/>
          <w:sz w:val="22"/>
          <w:highlight w:val="none"/>
        </w:rPr>
      </w:pPr>
      <w:bookmarkStart w:id="32" w:name="_Toc1814"/>
      <w:bookmarkStart w:id="33" w:name="_Toc22618"/>
      <w:bookmarkStart w:id="34" w:name="_Toc10340"/>
      <w:bookmarkStart w:id="35" w:name="_Toc11452"/>
      <w:bookmarkStart w:id="36" w:name="_Toc24551"/>
      <w:bookmarkStart w:id="37" w:name="_Toc31833"/>
      <w:r>
        <w:rPr>
          <w:rFonts w:hint="eastAsia" w:ascii="宋体" w:hAnsi="宋体" w:eastAsia="宋体" w:cs="宋体"/>
          <w:b/>
          <w:color w:val="auto"/>
          <w:sz w:val="22"/>
          <w:highlight w:val="none"/>
        </w:rPr>
        <w:t>1.4 付款</w:t>
      </w:r>
      <w:bookmarkEnd w:id="32"/>
      <w:bookmarkEnd w:id="33"/>
      <w:bookmarkEnd w:id="34"/>
      <w:r>
        <w:rPr>
          <w:rFonts w:hint="eastAsia" w:ascii="宋体" w:hAnsi="宋体" w:eastAsia="宋体" w:cs="宋体"/>
          <w:b/>
          <w:color w:val="auto"/>
          <w:sz w:val="22"/>
          <w:highlight w:val="none"/>
        </w:rPr>
        <w:t>方式、时间和条件</w:t>
      </w:r>
      <w:bookmarkEnd w:id="35"/>
      <w:bookmarkEnd w:id="36"/>
      <w:bookmarkEnd w:id="37"/>
    </w:p>
    <w:p>
      <w:pPr>
        <w:spacing w:line="350" w:lineRule="exact"/>
        <w:ind w:firstLine="440" w:firstLineChars="200"/>
        <w:outlineLvl w:val="0"/>
        <w:rPr>
          <w:rFonts w:hint="eastAsia" w:ascii="宋体" w:hAnsi="宋体" w:eastAsia="宋体" w:cs="宋体"/>
          <w:color w:val="auto"/>
          <w:sz w:val="22"/>
          <w:highlight w:val="none"/>
        </w:rPr>
      </w:pPr>
      <w:bookmarkStart w:id="38" w:name="_Toc21789"/>
      <w:bookmarkStart w:id="39" w:name="_Toc11057"/>
      <w:bookmarkStart w:id="40" w:name="_Toc29007"/>
      <w:r>
        <w:rPr>
          <w:rFonts w:hint="eastAsia" w:ascii="宋体" w:hAnsi="宋体" w:eastAsia="宋体" w:cs="宋体"/>
          <w:color w:val="auto"/>
          <w:sz w:val="22"/>
          <w:highlight w:val="none"/>
        </w:rPr>
        <w:t>资金支付的方式、时间和条件详见</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w:t>
      </w:r>
      <w:bookmarkEnd w:id="38"/>
      <w:bookmarkEnd w:id="39"/>
      <w:bookmarkEnd w:id="40"/>
    </w:p>
    <w:p>
      <w:pPr>
        <w:spacing w:line="350" w:lineRule="exact"/>
        <w:ind w:firstLine="442" w:firstLineChars="200"/>
        <w:outlineLvl w:val="0"/>
        <w:rPr>
          <w:rFonts w:hint="eastAsia" w:ascii="宋体" w:hAnsi="宋体" w:eastAsia="宋体" w:cs="宋体"/>
          <w:b/>
          <w:color w:val="auto"/>
          <w:sz w:val="22"/>
          <w:highlight w:val="none"/>
        </w:rPr>
      </w:pPr>
      <w:bookmarkStart w:id="41" w:name="_Toc32071"/>
      <w:bookmarkStart w:id="42" w:name="_Toc5731"/>
      <w:bookmarkStart w:id="43" w:name="_Toc2846"/>
      <w:bookmarkStart w:id="44" w:name="_Toc19304"/>
      <w:bookmarkStart w:id="45" w:name="_Toc1568"/>
      <w:bookmarkStart w:id="46" w:name="_Toc5960"/>
      <w:r>
        <w:rPr>
          <w:rFonts w:hint="eastAsia" w:ascii="宋体" w:hAnsi="宋体" w:eastAsia="宋体" w:cs="宋体"/>
          <w:b/>
          <w:color w:val="auto"/>
          <w:sz w:val="22"/>
          <w:highlight w:val="none"/>
        </w:rPr>
        <w:t>1.5 货物交付期限、地点和方式</w:t>
      </w:r>
      <w:bookmarkEnd w:id="41"/>
      <w:bookmarkEnd w:id="42"/>
      <w:bookmarkEnd w:id="43"/>
      <w:bookmarkEnd w:id="44"/>
      <w:bookmarkEnd w:id="45"/>
      <w:bookmarkEnd w:id="46"/>
    </w:p>
    <w:p>
      <w:pPr>
        <w:spacing w:line="35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1.5.1 交付期限：详见</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1.5.2 交付地点：</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1.5.3 交付方式：</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w:t>
      </w:r>
    </w:p>
    <w:p>
      <w:pPr>
        <w:spacing w:line="350" w:lineRule="exact"/>
        <w:ind w:firstLine="442" w:firstLineChars="200"/>
        <w:outlineLvl w:val="0"/>
        <w:rPr>
          <w:rFonts w:hint="eastAsia" w:ascii="宋体" w:hAnsi="宋体" w:eastAsia="宋体" w:cs="宋体"/>
          <w:b/>
          <w:color w:val="auto"/>
          <w:sz w:val="22"/>
          <w:highlight w:val="none"/>
        </w:rPr>
      </w:pPr>
      <w:bookmarkStart w:id="47" w:name="_Toc19554"/>
      <w:bookmarkStart w:id="48" w:name="_Toc1024"/>
      <w:bookmarkStart w:id="49" w:name="_Toc22216"/>
      <w:bookmarkStart w:id="50" w:name="_Toc27250"/>
      <w:bookmarkStart w:id="51" w:name="_Toc21423"/>
      <w:bookmarkStart w:id="52" w:name="_Toc6100"/>
      <w:r>
        <w:rPr>
          <w:rFonts w:hint="eastAsia" w:ascii="宋体" w:hAnsi="宋体" w:eastAsia="宋体" w:cs="宋体"/>
          <w:b/>
          <w:color w:val="auto"/>
          <w:sz w:val="22"/>
          <w:highlight w:val="none"/>
        </w:rPr>
        <w:t>1.6 违约责任</w:t>
      </w:r>
      <w:bookmarkEnd w:id="47"/>
      <w:bookmarkEnd w:id="48"/>
      <w:bookmarkEnd w:id="49"/>
      <w:bookmarkEnd w:id="50"/>
      <w:bookmarkEnd w:id="51"/>
      <w:bookmarkEnd w:id="52"/>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1.6.1 除不可抗力外，如果乙方没有按照本合同约定的期限、地点和方式交付货物，那么甲方可要求乙方支付违约金，每延迟交付一天违约金按未交付货物价格的</w:t>
      </w:r>
      <w:r>
        <w:rPr>
          <w:rFonts w:hint="eastAsia" w:ascii="宋体" w:hAnsi="宋体" w:eastAsia="宋体" w:cs="宋体"/>
          <w:color w:val="auto"/>
          <w:sz w:val="22"/>
          <w:highlight w:val="none"/>
          <w:u w:val="single"/>
        </w:rPr>
        <w:t xml:space="preserve">  0.5  </w:t>
      </w:r>
      <w:r>
        <w:rPr>
          <w:rFonts w:hint="eastAsia" w:ascii="宋体" w:hAnsi="宋体" w:eastAsia="宋体" w:cs="宋体"/>
          <w:color w:val="auto"/>
          <w:sz w:val="22"/>
          <w:highlight w:val="none"/>
        </w:rPr>
        <w:t>%计算，最高限额为本合同总价的</w:t>
      </w:r>
      <w:r>
        <w:rPr>
          <w:rFonts w:hint="eastAsia" w:ascii="宋体" w:hAnsi="宋体" w:eastAsia="宋体" w:cs="宋体"/>
          <w:color w:val="auto"/>
          <w:sz w:val="22"/>
          <w:highlight w:val="none"/>
          <w:u w:val="single"/>
        </w:rPr>
        <w:t xml:space="preserve"> 20  </w:t>
      </w:r>
      <w:r>
        <w:rPr>
          <w:rFonts w:hint="eastAsia" w:ascii="宋体" w:hAnsi="宋体" w:eastAsia="宋体" w:cs="宋体"/>
          <w:color w:val="auto"/>
          <w:sz w:val="22"/>
          <w:highlight w:val="none"/>
        </w:rPr>
        <w:t>%；迟延交付货物的违约金计算数额达到前述最高限额之日起，甲方有权在要求乙方支付违约金的同时，书面通知乙方解除本合同；</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1.6.2 除不可抗力外，任何一方未能履行本合同约定的其他主要义务，经催告后在合理期限（原则上按10天以内）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1.6.4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1.6.5 如果出现政府采购监督管理部门在处理投诉事项期间，书面通知甲方暂停采购活动的情形，或者询问或质疑事项可能影响中标结果的，导致甲方中止履行合同的情形，均不视为甲方违约。</w:t>
      </w:r>
    </w:p>
    <w:p>
      <w:pPr>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1.6.5违约责任</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另有约定的，从其约定。</w:t>
      </w:r>
    </w:p>
    <w:p>
      <w:pPr>
        <w:spacing w:line="350" w:lineRule="exact"/>
        <w:ind w:firstLine="442" w:firstLineChars="200"/>
        <w:outlineLvl w:val="0"/>
        <w:rPr>
          <w:rFonts w:hint="eastAsia" w:ascii="宋体" w:hAnsi="宋体" w:eastAsia="宋体" w:cs="宋体"/>
          <w:b/>
          <w:color w:val="auto"/>
          <w:sz w:val="22"/>
          <w:highlight w:val="none"/>
        </w:rPr>
      </w:pPr>
      <w:bookmarkStart w:id="53" w:name="_Toc11928"/>
      <w:bookmarkStart w:id="54" w:name="_Toc6751"/>
      <w:bookmarkStart w:id="55" w:name="_Toc16021"/>
      <w:bookmarkStart w:id="56" w:name="_Toc15583"/>
      <w:bookmarkStart w:id="57" w:name="_Toc12396"/>
      <w:bookmarkStart w:id="58" w:name="_Toc28375"/>
      <w:r>
        <w:rPr>
          <w:rFonts w:hint="eastAsia" w:ascii="宋体" w:hAnsi="宋体" w:eastAsia="宋体" w:cs="宋体"/>
          <w:b/>
          <w:color w:val="auto"/>
          <w:sz w:val="22"/>
          <w:highlight w:val="none"/>
        </w:rPr>
        <w:t>1.7 合同争议的解决</w:t>
      </w:r>
      <w:bookmarkEnd w:id="53"/>
      <w:bookmarkEnd w:id="54"/>
      <w:bookmarkEnd w:id="55"/>
      <w:bookmarkEnd w:id="56"/>
      <w:bookmarkEnd w:id="57"/>
      <w:bookmarkEnd w:id="58"/>
    </w:p>
    <w:p>
      <w:pPr>
        <w:spacing w:line="35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2"/>
          <w:highlight w:val="none"/>
          <w:u w:val="single"/>
        </w:rPr>
        <w:t xml:space="preserve"> 合同专用条款  </w:t>
      </w:r>
      <w:r>
        <w:rPr>
          <w:rFonts w:hint="eastAsia" w:ascii="宋体" w:hAnsi="宋体" w:eastAsia="宋体" w:cs="宋体"/>
          <w:color w:val="auto"/>
          <w:sz w:val="22"/>
          <w:highlight w:val="none"/>
        </w:rPr>
        <w:t>条款规定的方式解决：</w:t>
      </w:r>
    </w:p>
    <w:p>
      <w:pPr>
        <w:spacing w:line="35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1.7.1 将争议提交</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仲裁委员会依申请仲裁时其现行有效的仲裁规则裁决；</w:t>
      </w:r>
    </w:p>
    <w:p>
      <w:pPr>
        <w:spacing w:line="35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1.7.2 向</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人民法院起诉。</w:t>
      </w:r>
    </w:p>
    <w:p>
      <w:pPr>
        <w:spacing w:line="350" w:lineRule="exact"/>
        <w:ind w:firstLine="442" w:firstLineChars="200"/>
        <w:outlineLvl w:val="0"/>
        <w:rPr>
          <w:rFonts w:hint="eastAsia" w:ascii="宋体" w:hAnsi="宋体" w:eastAsia="宋体" w:cs="宋体"/>
          <w:b/>
          <w:color w:val="auto"/>
          <w:sz w:val="22"/>
          <w:highlight w:val="none"/>
        </w:rPr>
      </w:pPr>
      <w:bookmarkStart w:id="59" w:name="_Toc7245"/>
      <w:bookmarkStart w:id="60" w:name="_Toc6240"/>
      <w:bookmarkStart w:id="61" w:name="_Toc15322"/>
      <w:bookmarkStart w:id="62" w:name="_Toc2485"/>
      <w:bookmarkStart w:id="63" w:name="_Toc11173"/>
      <w:bookmarkStart w:id="64" w:name="_Toc16221"/>
      <w:r>
        <w:rPr>
          <w:rFonts w:hint="eastAsia" w:ascii="宋体" w:hAnsi="宋体" w:eastAsia="宋体" w:cs="宋体"/>
          <w:b/>
          <w:color w:val="auto"/>
          <w:sz w:val="22"/>
          <w:highlight w:val="none"/>
        </w:rPr>
        <w:t>1.8 合同生效</w:t>
      </w:r>
      <w:bookmarkEnd w:id="59"/>
      <w:bookmarkEnd w:id="60"/>
      <w:bookmarkEnd w:id="61"/>
      <w:bookmarkEnd w:id="62"/>
      <w:bookmarkEnd w:id="63"/>
      <w:bookmarkEnd w:id="64"/>
    </w:p>
    <w:p>
      <w:pPr>
        <w:spacing w:line="350" w:lineRule="exact"/>
        <w:ind w:firstLine="440"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本合同自双方当事人盖章或者签字时生效。</w:t>
      </w:r>
    </w:p>
    <w:p>
      <w:pPr>
        <w:autoSpaceDE w:val="0"/>
        <w:autoSpaceDN w:val="0"/>
        <w:spacing w:line="350" w:lineRule="exact"/>
        <w:rPr>
          <w:rFonts w:hint="eastAsia" w:ascii="宋体" w:hAnsi="宋体" w:eastAsia="宋体" w:cs="宋体"/>
          <w:color w:val="auto"/>
          <w:sz w:val="22"/>
          <w:highlight w:val="none"/>
          <w:lang w:val="zh-CN"/>
        </w:rPr>
      </w:pPr>
      <w:r>
        <w:rPr>
          <w:rFonts w:hint="eastAsia" w:ascii="宋体" w:hAnsi="宋体" w:eastAsia="宋体" w:cs="宋体"/>
          <w:b/>
          <w:color w:val="auto"/>
          <w:sz w:val="22"/>
          <w:highlight w:val="none"/>
          <w:lang w:val="zh-CN"/>
        </w:rPr>
        <w:t>甲方</w:t>
      </w:r>
      <w:r>
        <w:rPr>
          <w:rFonts w:hint="eastAsia" w:ascii="宋体" w:hAnsi="宋体" w:eastAsia="宋体" w:cs="宋体"/>
          <w:color w:val="auto"/>
          <w:sz w:val="22"/>
          <w:highlight w:val="none"/>
          <w:lang w:val="zh-CN"/>
        </w:rPr>
        <w:t xml:space="preserve">：                             </w:t>
      </w:r>
      <w:r>
        <w:rPr>
          <w:rFonts w:hint="eastAsia" w:ascii="宋体" w:hAnsi="宋体" w:eastAsia="宋体" w:cs="宋体"/>
          <w:b/>
          <w:color w:val="auto"/>
          <w:sz w:val="22"/>
          <w:highlight w:val="none"/>
          <w:lang w:val="zh-CN"/>
        </w:rPr>
        <w:t xml:space="preserve">      乙方</w:t>
      </w:r>
      <w:r>
        <w:rPr>
          <w:rFonts w:hint="eastAsia" w:ascii="宋体" w:hAnsi="宋体" w:eastAsia="宋体" w:cs="宋体"/>
          <w:color w:val="auto"/>
          <w:sz w:val="22"/>
          <w:highlight w:val="none"/>
          <w:lang w:val="zh-CN"/>
        </w:rPr>
        <w:t>：</w:t>
      </w:r>
    </w:p>
    <w:p>
      <w:pPr>
        <w:autoSpaceDE w:val="0"/>
        <w:autoSpaceDN w:val="0"/>
        <w:spacing w:line="35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统一社会信用代码：                        统一社会信用代码或身份证号码：</w:t>
      </w:r>
    </w:p>
    <w:p>
      <w:pPr>
        <w:autoSpaceDE w:val="0"/>
        <w:autoSpaceDN w:val="0"/>
        <w:spacing w:line="350" w:lineRule="exact"/>
        <w:rPr>
          <w:rFonts w:hint="eastAsia" w:ascii="宋体" w:hAnsi="宋体" w:eastAsia="宋体" w:cs="宋体"/>
          <w:color w:val="auto"/>
          <w:sz w:val="22"/>
          <w:highlight w:val="none"/>
          <w:lang w:val="zh-CN"/>
        </w:rPr>
      </w:pPr>
    </w:p>
    <w:p>
      <w:pPr>
        <w:autoSpaceDE w:val="0"/>
        <w:autoSpaceDN w:val="0"/>
        <w:spacing w:line="35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住所：                                   住所：</w:t>
      </w:r>
    </w:p>
    <w:p>
      <w:pPr>
        <w:autoSpaceDE w:val="0"/>
        <w:autoSpaceDN w:val="0"/>
        <w:spacing w:line="35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法定代表人或                             法定代表人</w:t>
      </w:r>
    </w:p>
    <w:p>
      <w:pPr>
        <w:autoSpaceDE w:val="0"/>
        <w:autoSpaceDN w:val="0"/>
        <w:spacing w:line="35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 xml:space="preserve">授权代表（签字）：                        或授权代表（签字）: </w:t>
      </w:r>
    </w:p>
    <w:p>
      <w:pPr>
        <w:autoSpaceDE w:val="0"/>
        <w:autoSpaceDN w:val="0"/>
        <w:spacing w:line="35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联系人：                                 联系人：</w:t>
      </w:r>
    </w:p>
    <w:p>
      <w:pPr>
        <w:autoSpaceDE w:val="0"/>
        <w:autoSpaceDN w:val="0"/>
        <w:spacing w:line="35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约定送达地址：                           约定送达地址：</w:t>
      </w:r>
    </w:p>
    <w:p>
      <w:pPr>
        <w:autoSpaceDE w:val="0"/>
        <w:autoSpaceDN w:val="0"/>
        <w:spacing w:line="35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邮政编码：                               邮政编码：</w:t>
      </w:r>
    </w:p>
    <w:p>
      <w:pPr>
        <w:autoSpaceDE w:val="0"/>
        <w:autoSpaceDN w:val="0"/>
        <w:spacing w:line="35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 xml:space="preserve">电话:                                    电话: </w:t>
      </w:r>
    </w:p>
    <w:p>
      <w:pPr>
        <w:autoSpaceDE w:val="0"/>
        <w:autoSpaceDN w:val="0"/>
        <w:spacing w:line="35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传真:                                    传真:</w:t>
      </w:r>
    </w:p>
    <w:p>
      <w:pPr>
        <w:autoSpaceDE w:val="0"/>
        <w:autoSpaceDN w:val="0"/>
        <w:spacing w:line="35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val="zh-CN"/>
        </w:rPr>
        <w:t>电子邮箱：                               电子邮箱：</w:t>
      </w:r>
    </w:p>
    <w:p>
      <w:pPr>
        <w:autoSpaceDE w:val="0"/>
        <w:autoSpaceDN w:val="0"/>
        <w:spacing w:line="35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开户银行：                               开户银行： </w:t>
      </w:r>
    </w:p>
    <w:p>
      <w:pPr>
        <w:autoSpaceDE w:val="0"/>
        <w:autoSpaceDN w:val="0"/>
        <w:spacing w:line="35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开户名称：                               开户名称： </w:t>
      </w:r>
    </w:p>
    <w:p>
      <w:pPr>
        <w:autoSpaceDE w:val="0"/>
        <w:autoSpaceDN w:val="0"/>
        <w:spacing w:line="35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开户账号：</w:t>
      </w:r>
      <w:r>
        <w:rPr>
          <w:rFonts w:hint="eastAsia" w:ascii="宋体" w:hAnsi="宋体" w:eastAsia="宋体" w:cs="宋体"/>
          <w:color w:val="auto"/>
          <w:sz w:val="22"/>
          <w:highlight w:val="none"/>
          <w:lang w:val="zh-CN"/>
        </w:rPr>
        <w:t xml:space="preserve">                               </w:t>
      </w:r>
      <w:r>
        <w:rPr>
          <w:rFonts w:hint="eastAsia" w:ascii="宋体" w:hAnsi="宋体" w:eastAsia="宋体" w:cs="宋体"/>
          <w:color w:val="auto"/>
          <w:sz w:val="22"/>
          <w:highlight w:val="none"/>
        </w:rPr>
        <w:t>开户账号：</w:t>
      </w:r>
    </w:p>
    <w:p>
      <w:pPr>
        <w:pStyle w:val="83"/>
        <w:spacing w:line="560" w:lineRule="exact"/>
        <w:ind w:firstLine="2891" w:firstLineChars="1200"/>
        <w:rPr>
          <w:rFonts w:hint="eastAsia" w:ascii="宋体" w:hAnsi="宋体" w:eastAsia="宋体" w:cs="宋体"/>
          <w:b/>
          <w:color w:val="auto"/>
          <w:szCs w:val="24"/>
          <w:highlight w:val="none"/>
        </w:rPr>
      </w:pPr>
      <w:bookmarkStart w:id="65" w:name="_Toc331685783"/>
      <w:r>
        <w:rPr>
          <w:rFonts w:hint="eastAsia" w:ascii="宋体" w:hAnsi="宋体" w:eastAsia="宋体" w:cs="宋体"/>
          <w:b/>
          <w:color w:val="auto"/>
          <w:szCs w:val="24"/>
          <w:highlight w:val="none"/>
        </w:rPr>
        <w:t>第二章 合同一般条款</w:t>
      </w:r>
      <w:bookmarkEnd w:id="65"/>
    </w:p>
    <w:p>
      <w:pPr>
        <w:spacing w:line="360" w:lineRule="exact"/>
        <w:ind w:firstLine="442" w:firstLineChars="200"/>
        <w:outlineLvl w:val="0"/>
        <w:rPr>
          <w:rFonts w:hint="eastAsia" w:ascii="宋体" w:hAnsi="宋体" w:eastAsia="宋体" w:cs="宋体"/>
          <w:b/>
          <w:color w:val="auto"/>
          <w:sz w:val="22"/>
          <w:highlight w:val="none"/>
        </w:rPr>
      </w:pPr>
      <w:bookmarkStart w:id="66" w:name="_Toc5873"/>
      <w:bookmarkStart w:id="67" w:name="_Ref467379109"/>
      <w:bookmarkStart w:id="68" w:name="_Ref467378404"/>
      <w:bookmarkStart w:id="69" w:name="_Toc259093669"/>
      <w:bookmarkStart w:id="70" w:name="_Ref467378463"/>
      <w:bookmarkStart w:id="71" w:name="_Toc12315"/>
      <w:bookmarkStart w:id="72" w:name="_Ref467379094"/>
      <w:bookmarkStart w:id="73" w:name="_Toc19614"/>
      <w:bookmarkStart w:id="74" w:name="_Ref467379225"/>
      <w:bookmarkStart w:id="75" w:name="_Ref467378499"/>
      <w:bookmarkStart w:id="76" w:name="_Toc279701240"/>
      <w:bookmarkStart w:id="77" w:name="_Toc28763"/>
      <w:bookmarkStart w:id="78" w:name="_Toc16917"/>
      <w:bookmarkStart w:id="79" w:name="_Toc487900349"/>
      <w:bookmarkStart w:id="80" w:name="_Ref467379195"/>
      <w:bookmarkStart w:id="81" w:name="_Ref467379214"/>
      <w:bookmarkStart w:id="82" w:name="_Toc23270"/>
      <w:bookmarkStart w:id="83" w:name="_Ref467379101"/>
      <w:bookmarkStart w:id="84" w:name="_Ref467379205"/>
      <w:r>
        <w:rPr>
          <w:rFonts w:hint="eastAsia" w:ascii="宋体" w:hAnsi="宋体" w:eastAsia="宋体" w:cs="宋体"/>
          <w:b/>
          <w:color w:val="auto"/>
          <w:sz w:val="22"/>
          <w:highlight w:val="none"/>
        </w:rPr>
        <w:t>2.1 定义</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本合同中的下列词语应按以下内容进行解释：</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2.1.1 “合同”系指采购人和中标供应商签订的载明双方当事人所达成的协议，并包括所有的附件、附录和构成合同的其他文件。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2.1.2 “合同价”系指根据合同约定，中标供应商在完全履行合同义务后，采购人应支付给中标供应商的价格。</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2.1.3 “货物”系指中标供应商根据合同约定应向采购人交付的一切各种形态和种类的物品，包括原材料、燃料、设备、机械、仪表、备件、计算机软件、产品等，并包括工具、手册等其他相关资料。</w:t>
      </w:r>
    </w:p>
    <w:p>
      <w:pPr>
        <w:spacing w:line="360" w:lineRule="exact"/>
        <w:ind w:firstLine="440" w:firstLineChars="200"/>
        <w:rPr>
          <w:rFonts w:hint="eastAsia" w:ascii="宋体" w:hAnsi="宋体" w:eastAsia="宋体" w:cs="宋体"/>
          <w:color w:val="auto"/>
          <w:sz w:val="22"/>
          <w:highlight w:val="none"/>
        </w:rPr>
      </w:pPr>
      <w:bookmarkStart w:id="85" w:name="_Ref467378840"/>
      <w:r>
        <w:rPr>
          <w:rFonts w:hint="eastAsia" w:ascii="宋体" w:hAnsi="宋体" w:eastAsia="宋体" w:cs="宋体"/>
          <w:color w:val="auto"/>
          <w:sz w:val="22"/>
          <w:highlight w:val="none"/>
        </w:rPr>
        <w:t>2.1.4 “甲方”系指与中标供应商签署合同的采购人</w:t>
      </w:r>
      <w:bookmarkEnd w:id="85"/>
      <w:r>
        <w:rPr>
          <w:rFonts w:hint="eastAsia" w:ascii="宋体" w:hAnsi="宋体" w:eastAsia="宋体" w:cs="宋体"/>
          <w:color w:val="auto"/>
          <w:sz w:val="22"/>
          <w:highlight w:val="none"/>
        </w:rPr>
        <w:t>；采购人委托采购代理机构代表其与乙方签订合同的，采购人的授权委托书作为合同附件。</w:t>
      </w:r>
    </w:p>
    <w:p>
      <w:pPr>
        <w:spacing w:line="360" w:lineRule="exact"/>
        <w:ind w:firstLine="440" w:firstLineChars="200"/>
        <w:rPr>
          <w:rFonts w:hint="eastAsia" w:ascii="宋体" w:hAnsi="宋体" w:eastAsia="宋体" w:cs="宋体"/>
          <w:color w:val="auto"/>
          <w:sz w:val="22"/>
          <w:highlight w:val="none"/>
        </w:rPr>
      </w:pPr>
      <w:bookmarkStart w:id="86" w:name="_Ref467379400"/>
      <w:r>
        <w:rPr>
          <w:rFonts w:hint="eastAsia" w:ascii="宋体" w:hAnsi="宋体" w:eastAsia="宋体" w:cs="宋体"/>
          <w:color w:val="auto"/>
          <w:sz w:val="22"/>
          <w:highlight w:val="none"/>
        </w:rPr>
        <w:t>2.1.5 “乙方”系指根据合同约定交付货物的中标供应商</w:t>
      </w:r>
      <w:bookmarkEnd w:id="86"/>
      <w:r>
        <w:rPr>
          <w:rFonts w:hint="eastAsia" w:ascii="宋体" w:hAnsi="宋体" w:eastAsia="宋体" w:cs="宋体"/>
          <w:color w:val="auto"/>
          <w:sz w:val="22"/>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exact"/>
        <w:ind w:firstLine="440" w:firstLineChars="200"/>
        <w:rPr>
          <w:rFonts w:hint="eastAsia" w:ascii="宋体" w:hAnsi="宋体" w:eastAsia="宋体" w:cs="宋体"/>
          <w:color w:val="auto"/>
          <w:sz w:val="22"/>
          <w:highlight w:val="none"/>
        </w:rPr>
      </w:pPr>
      <w:bookmarkStart w:id="87" w:name="_Ref467379436"/>
      <w:r>
        <w:rPr>
          <w:rFonts w:hint="eastAsia" w:ascii="宋体" w:hAnsi="宋体" w:eastAsia="宋体" w:cs="宋体"/>
          <w:color w:val="auto"/>
          <w:sz w:val="22"/>
          <w:highlight w:val="none"/>
        </w:rPr>
        <w:t>2.1.6 “现场”系指合同约定货物将要运至或者安装的地点。</w:t>
      </w:r>
      <w:bookmarkEnd w:id="87"/>
    </w:p>
    <w:p>
      <w:pPr>
        <w:spacing w:line="360" w:lineRule="exact"/>
        <w:ind w:firstLine="442" w:firstLineChars="200"/>
        <w:outlineLvl w:val="0"/>
        <w:rPr>
          <w:rFonts w:hint="eastAsia" w:ascii="宋体" w:hAnsi="宋体" w:eastAsia="宋体" w:cs="宋体"/>
          <w:b/>
          <w:color w:val="auto"/>
          <w:sz w:val="22"/>
          <w:highlight w:val="none"/>
        </w:rPr>
      </w:pPr>
      <w:bookmarkStart w:id="88" w:name="_Toc13336"/>
      <w:bookmarkStart w:id="89" w:name="_Toc27635"/>
      <w:bookmarkStart w:id="90" w:name="_Toc15792"/>
      <w:bookmarkStart w:id="91" w:name="_Toc487900350"/>
      <w:bookmarkStart w:id="92" w:name="_Toc7029"/>
      <w:bookmarkStart w:id="93" w:name="_Toc5080"/>
      <w:bookmarkStart w:id="94" w:name="_Toc279701241"/>
      <w:bookmarkStart w:id="95" w:name="_Toc259093670"/>
      <w:bookmarkStart w:id="96" w:name="_Toc32504"/>
      <w:r>
        <w:rPr>
          <w:rFonts w:hint="eastAsia" w:ascii="宋体" w:hAnsi="宋体" w:eastAsia="宋体" w:cs="宋体"/>
          <w:b/>
          <w:color w:val="auto"/>
          <w:sz w:val="22"/>
          <w:highlight w:val="none"/>
        </w:rPr>
        <w:t>2.2 技术规范</w:t>
      </w:r>
      <w:bookmarkEnd w:id="88"/>
      <w:bookmarkEnd w:id="89"/>
      <w:bookmarkEnd w:id="90"/>
      <w:bookmarkEnd w:id="91"/>
      <w:bookmarkEnd w:id="92"/>
      <w:bookmarkEnd w:id="93"/>
      <w:bookmarkEnd w:id="94"/>
      <w:bookmarkEnd w:id="95"/>
      <w:bookmarkEnd w:id="96"/>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exact"/>
        <w:ind w:firstLine="442" w:firstLineChars="200"/>
        <w:outlineLvl w:val="0"/>
        <w:rPr>
          <w:rFonts w:hint="eastAsia" w:ascii="宋体" w:hAnsi="宋体" w:eastAsia="宋体" w:cs="宋体"/>
          <w:b/>
          <w:color w:val="auto"/>
          <w:sz w:val="22"/>
          <w:highlight w:val="none"/>
        </w:rPr>
      </w:pPr>
      <w:bookmarkStart w:id="97" w:name="_Toc27194"/>
      <w:bookmarkStart w:id="98" w:name="_Toc23231"/>
      <w:bookmarkStart w:id="99" w:name="_Toc31634"/>
      <w:bookmarkStart w:id="100" w:name="_Toc259093671"/>
      <w:bookmarkStart w:id="101" w:name="_Toc27853"/>
      <w:bookmarkStart w:id="102" w:name="_Toc487900351"/>
      <w:bookmarkStart w:id="103" w:name="_Toc32146"/>
      <w:bookmarkStart w:id="104" w:name="_Toc9829"/>
      <w:bookmarkStart w:id="105" w:name="_Toc279701242"/>
      <w:r>
        <w:rPr>
          <w:rFonts w:hint="eastAsia" w:ascii="宋体" w:hAnsi="宋体" w:eastAsia="宋体" w:cs="宋体"/>
          <w:b/>
          <w:color w:val="auto"/>
          <w:sz w:val="22"/>
          <w:highlight w:val="none"/>
        </w:rPr>
        <w:t>2.3 知识产权</w:t>
      </w:r>
      <w:bookmarkEnd w:id="97"/>
      <w:bookmarkEnd w:id="98"/>
      <w:bookmarkEnd w:id="99"/>
      <w:bookmarkEnd w:id="100"/>
      <w:bookmarkEnd w:id="101"/>
      <w:bookmarkEnd w:id="102"/>
      <w:bookmarkEnd w:id="103"/>
      <w:bookmarkEnd w:id="104"/>
      <w:bookmarkEnd w:id="105"/>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2.3.2具有知识产权的计算机软件等货物的知识产权归属，详见</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w:t>
      </w:r>
    </w:p>
    <w:p>
      <w:pPr>
        <w:spacing w:line="360" w:lineRule="exact"/>
        <w:ind w:firstLine="442" w:firstLineChars="200"/>
        <w:outlineLvl w:val="0"/>
        <w:rPr>
          <w:rFonts w:hint="eastAsia" w:ascii="宋体" w:hAnsi="宋体" w:eastAsia="宋体" w:cs="宋体"/>
          <w:b/>
          <w:color w:val="auto"/>
          <w:sz w:val="22"/>
          <w:highlight w:val="none"/>
        </w:rPr>
      </w:pPr>
      <w:bookmarkStart w:id="106" w:name="_Toc3901"/>
      <w:bookmarkStart w:id="107" w:name="_Toc2789"/>
      <w:bookmarkStart w:id="108" w:name="_Toc29149"/>
      <w:bookmarkStart w:id="109" w:name="_Toc4194"/>
      <w:bookmarkStart w:id="110" w:name="_Toc11932"/>
      <w:bookmarkStart w:id="111" w:name="_Toc11969"/>
      <w:r>
        <w:rPr>
          <w:rFonts w:hint="eastAsia" w:ascii="宋体" w:hAnsi="宋体" w:eastAsia="宋体" w:cs="宋体"/>
          <w:b/>
          <w:color w:val="auto"/>
          <w:sz w:val="22"/>
          <w:highlight w:val="none"/>
        </w:rPr>
        <w:t>2.4 包装和装运</w:t>
      </w:r>
      <w:bookmarkEnd w:id="106"/>
      <w:bookmarkEnd w:id="107"/>
      <w:bookmarkEnd w:id="108"/>
      <w:bookmarkEnd w:id="109"/>
      <w:bookmarkEnd w:id="110"/>
      <w:bookmarkEnd w:id="111"/>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2.4.1除</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2.4.2 装运货物的要求和通知，详见</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w:t>
      </w:r>
    </w:p>
    <w:p>
      <w:pPr>
        <w:spacing w:line="360" w:lineRule="exact"/>
        <w:ind w:firstLine="442" w:firstLineChars="200"/>
        <w:outlineLvl w:val="0"/>
        <w:rPr>
          <w:rFonts w:hint="eastAsia" w:ascii="宋体" w:hAnsi="宋体" w:eastAsia="宋体" w:cs="宋体"/>
          <w:b/>
          <w:color w:val="auto"/>
          <w:sz w:val="22"/>
          <w:highlight w:val="none"/>
        </w:rPr>
      </w:pPr>
      <w:bookmarkStart w:id="112" w:name="_Toc487900354"/>
      <w:bookmarkStart w:id="113" w:name="_Ref467379527"/>
      <w:bookmarkStart w:id="114" w:name="_Ref467379542"/>
      <w:bookmarkStart w:id="115" w:name="_Ref467378591"/>
      <w:bookmarkStart w:id="116" w:name="_Ref467379536"/>
      <w:bookmarkStart w:id="117" w:name="_Toc259093674"/>
      <w:bookmarkStart w:id="118" w:name="_Ref467378541"/>
      <w:bookmarkStart w:id="119" w:name="_Toc279701245"/>
      <w:bookmarkStart w:id="120" w:name="_Toc6744"/>
      <w:bookmarkStart w:id="121" w:name="_Toc23863"/>
      <w:bookmarkStart w:id="122" w:name="_Toc26182"/>
      <w:bookmarkStart w:id="123" w:name="_Toc19074"/>
      <w:bookmarkStart w:id="124" w:name="_Toc26647"/>
      <w:bookmarkStart w:id="125" w:name="_Toc30272"/>
      <w:r>
        <w:rPr>
          <w:rFonts w:hint="eastAsia" w:ascii="宋体" w:hAnsi="宋体" w:eastAsia="宋体" w:cs="宋体"/>
          <w:b/>
          <w:color w:val="auto"/>
          <w:sz w:val="22"/>
          <w:highlight w:val="none"/>
        </w:rPr>
        <w:t>2.</w:t>
      </w:r>
      <w:bookmarkEnd w:id="112"/>
      <w:bookmarkEnd w:id="113"/>
      <w:bookmarkEnd w:id="114"/>
      <w:bookmarkEnd w:id="115"/>
      <w:bookmarkEnd w:id="116"/>
      <w:bookmarkEnd w:id="117"/>
      <w:bookmarkEnd w:id="118"/>
      <w:bookmarkEnd w:id="119"/>
      <w:r>
        <w:rPr>
          <w:rFonts w:hint="eastAsia" w:ascii="宋体" w:hAnsi="宋体" w:eastAsia="宋体" w:cs="宋体"/>
          <w:b/>
          <w:color w:val="auto"/>
          <w:sz w:val="22"/>
          <w:highlight w:val="none"/>
        </w:rPr>
        <w:t>5 履约检查和问题反馈</w:t>
      </w:r>
      <w:bookmarkEnd w:id="120"/>
      <w:bookmarkEnd w:id="121"/>
      <w:bookmarkEnd w:id="122"/>
      <w:bookmarkEnd w:id="123"/>
      <w:bookmarkEnd w:id="124"/>
      <w:bookmarkEnd w:id="125"/>
    </w:p>
    <w:p>
      <w:pPr>
        <w:spacing w:line="360" w:lineRule="exact"/>
        <w:ind w:firstLine="440" w:firstLineChars="200"/>
        <w:rPr>
          <w:rFonts w:hint="eastAsia" w:ascii="宋体" w:hAnsi="宋体" w:eastAsia="宋体" w:cs="宋体"/>
          <w:color w:val="auto"/>
          <w:sz w:val="22"/>
          <w:highlight w:val="none"/>
        </w:rPr>
      </w:pPr>
      <w:bookmarkStart w:id="126" w:name="_Ref467379657"/>
      <w:r>
        <w:rPr>
          <w:rFonts w:hint="eastAsia" w:ascii="宋体" w:hAnsi="宋体" w:eastAsia="宋体" w:cs="宋体"/>
          <w:color w:val="auto"/>
          <w:sz w:val="22"/>
          <w:highlight w:val="none"/>
        </w:rPr>
        <w:t>2.5.1</w:t>
      </w:r>
      <w:bookmarkEnd w:id="126"/>
      <w:bookmarkStart w:id="127" w:name="_Toc186431854"/>
      <w:bookmarkStart w:id="128" w:name="_Toc279701247"/>
      <w:bookmarkStart w:id="129" w:name="_Ref467379807"/>
      <w:bookmarkStart w:id="130" w:name="_Ref467379793"/>
      <w:bookmarkStart w:id="131" w:name="_Toc259093676"/>
      <w:bookmarkStart w:id="132" w:name="_Toc487900357"/>
      <w:r>
        <w:rPr>
          <w:rFonts w:hint="eastAsia" w:ascii="宋体" w:hAnsi="宋体" w:eastAsia="宋体" w:cs="宋体"/>
          <w:color w:val="auto"/>
          <w:sz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2.5.2 合同履行期间，甲方有权将履行过程中出现的问题反馈给乙方，双方当事人应以书面形式约定需要完善和改进的内容</w:t>
      </w:r>
      <w:bookmarkEnd w:id="127"/>
      <w:bookmarkStart w:id="133" w:name="_Toc186431855"/>
      <w:r>
        <w:rPr>
          <w:rFonts w:hint="eastAsia" w:ascii="宋体" w:hAnsi="宋体" w:eastAsia="宋体" w:cs="宋体"/>
          <w:color w:val="auto"/>
          <w:sz w:val="22"/>
          <w:highlight w:val="none"/>
        </w:rPr>
        <w:t>。</w:t>
      </w:r>
    </w:p>
    <w:bookmarkEnd w:id="128"/>
    <w:bookmarkEnd w:id="129"/>
    <w:bookmarkEnd w:id="130"/>
    <w:bookmarkEnd w:id="131"/>
    <w:bookmarkEnd w:id="132"/>
    <w:bookmarkEnd w:id="133"/>
    <w:p>
      <w:pPr>
        <w:spacing w:line="360" w:lineRule="exact"/>
        <w:ind w:firstLine="442" w:firstLineChars="200"/>
        <w:outlineLvl w:val="0"/>
        <w:rPr>
          <w:rFonts w:hint="eastAsia" w:ascii="宋体" w:hAnsi="宋体" w:eastAsia="宋体" w:cs="宋体"/>
          <w:b/>
          <w:color w:val="auto"/>
          <w:sz w:val="22"/>
          <w:highlight w:val="none"/>
        </w:rPr>
      </w:pPr>
      <w:bookmarkStart w:id="134" w:name="_Toc487900358"/>
      <w:bookmarkStart w:id="135" w:name="_Ref467379923"/>
      <w:bookmarkStart w:id="136" w:name="_Ref467379852"/>
      <w:bookmarkStart w:id="137" w:name="_Toc279701248"/>
      <w:bookmarkStart w:id="138" w:name="_Toc259093677"/>
      <w:bookmarkStart w:id="139" w:name="_Ref467379863"/>
      <w:bookmarkStart w:id="140" w:name="_Toc774"/>
      <w:bookmarkStart w:id="141" w:name="_Toc17794"/>
      <w:bookmarkStart w:id="142" w:name="_Toc16110"/>
      <w:bookmarkStart w:id="143" w:name="_Toc16638"/>
      <w:bookmarkStart w:id="144" w:name="_Toc6921"/>
      <w:bookmarkStart w:id="145" w:name="_Toc3225"/>
      <w:r>
        <w:rPr>
          <w:rFonts w:hint="eastAsia" w:ascii="宋体" w:hAnsi="宋体" w:eastAsia="宋体" w:cs="宋体"/>
          <w:b/>
          <w:color w:val="auto"/>
          <w:sz w:val="22"/>
          <w:highlight w:val="none"/>
        </w:rPr>
        <w:t>2.6 技术资料</w:t>
      </w:r>
      <w:bookmarkEnd w:id="134"/>
      <w:bookmarkEnd w:id="135"/>
      <w:bookmarkEnd w:id="136"/>
      <w:bookmarkEnd w:id="137"/>
      <w:bookmarkEnd w:id="138"/>
      <w:bookmarkEnd w:id="139"/>
      <w:r>
        <w:rPr>
          <w:rFonts w:hint="eastAsia" w:ascii="宋体" w:hAnsi="宋体" w:eastAsia="宋体" w:cs="宋体"/>
          <w:b/>
          <w:color w:val="auto"/>
          <w:sz w:val="22"/>
          <w:highlight w:val="none"/>
        </w:rPr>
        <w:t>和保密义务</w:t>
      </w:r>
      <w:bookmarkEnd w:id="140"/>
      <w:bookmarkEnd w:id="141"/>
      <w:bookmarkEnd w:id="142"/>
      <w:bookmarkEnd w:id="143"/>
      <w:bookmarkEnd w:id="144"/>
      <w:bookmarkEnd w:id="145"/>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2.6.1 乙方有权依据合同约定和项目需要，向甲方了解有关情况，调阅有关资料等，甲方应予积极配合；</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2.6.2 乙方有义务妥善保管和保护由甲方提供的前款信息和资料等；</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2.6.4保密违约责任：乙方未尽到相关保密义务，致保密信息和资料泄露的，甲方有权终止合同，并追究其由此造成的一切损失及法律责任。</w:t>
      </w:r>
    </w:p>
    <w:p>
      <w:pPr>
        <w:spacing w:line="360" w:lineRule="exact"/>
        <w:ind w:firstLine="442" w:firstLineChars="200"/>
        <w:outlineLvl w:val="0"/>
        <w:rPr>
          <w:rFonts w:hint="eastAsia" w:ascii="宋体" w:hAnsi="宋体" w:eastAsia="宋体" w:cs="宋体"/>
          <w:b/>
          <w:color w:val="auto"/>
          <w:sz w:val="22"/>
          <w:highlight w:val="none"/>
        </w:rPr>
      </w:pPr>
      <w:bookmarkStart w:id="146" w:name="_Toc28670"/>
      <w:bookmarkStart w:id="147" w:name="_Toc19011"/>
      <w:bookmarkStart w:id="148" w:name="_Toc17512"/>
      <w:bookmarkStart w:id="149" w:name="_Toc7860"/>
      <w:r>
        <w:rPr>
          <w:rFonts w:hint="eastAsia" w:ascii="宋体" w:hAnsi="宋体" w:eastAsia="宋体" w:cs="宋体"/>
          <w:b/>
          <w:color w:val="auto"/>
          <w:sz w:val="22"/>
          <w:highlight w:val="none"/>
        </w:rPr>
        <w:t>2.7 质量保证</w:t>
      </w:r>
      <w:bookmarkEnd w:id="146"/>
      <w:bookmarkEnd w:id="147"/>
      <w:bookmarkEnd w:id="148"/>
      <w:bookmarkEnd w:id="149"/>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2.7.1 乙方应建立和完善履行合同的内部质量保证体系，并提供相关内部规章制度给甲方，以便甲方进行监督检查；</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2.7.2 乙方应保证履行合同的人员数量和素质、软件和硬件设备的配置、场地、环境和设施等满足全面履行合同的要求，并应接受甲方的监督检查。</w:t>
      </w:r>
    </w:p>
    <w:p>
      <w:pPr>
        <w:spacing w:line="360" w:lineRule="exact"/>
        <w:ind w:firstLine="442" w:firstLineChars="200"/>
        <w:outlineLvl w:val="0"/>
        <w:rPr>
          <w:rFonts w:hint="eastAsia" w:ascii="宋体" w:hAnsi="宋体" w:eastAsia="宋体" w:cs="宋体"/>
          <w:b/>
          <w:color w:val="auto"/>
          <w:sz w:val="22"/>
          <w:highlight w:val="none"/>
        </w:rPr>
      </w:pPr>
      <w:bookmarkStart w:id="150" w:name="_Toc17244"/>
      <w:bookmarkStart w:id="151" w:name="_Toc30094"/>
      <w:bookmarkStart w:id="152" w:name="_Toc21595"/>
      <w:bookmarkStart w:id="153" w:name="_Toc21782"/>
      <w:bookmarkStart w:id="154" w:name="_Toc279701252"/>
      <w:bookmarkStart w:id="155" w:name="_Toc487900362"/>
      <w:bookmarkStart w:id="156" w:name="_Toc259093681"/>
      <w:r>
        <w:rPr>
          <w:rFonts w:hint="eastAsia" w:ascii="宋体" w:hAnsi="宋体" w:eastAsia="宋体" w:cs="宋体"/>
          <w:b/>
          <w:color w:val="auto"/>
          <w:sz w:val="22"/>
          <w:highlight w:val="none"/>
        </w:rPr>
        <w:t>2.8 货物的风险负担</w:t>
      </w:r>
      <w:bookmarkEnd w:id="150"/>
      <w:bookmarkEnd w:id="151"/>
      <w:bookmarkEnd w:id="152"/>
      <w:bookmarkEnd w:id="153"/>
    </w:p>
    <w:p>
      <w:pPr>
        <w:spacing w:line="360" w:lineRule="exact"/>
        <w:ind w:firstLine="440"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货物或者在途货物或者交付给第一承运人后的货物毁损、灭失的风险负担详见</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w:t>
      </w:r>
    </w:p>
    <w:p>
      <w:pPr>
        <w:spacing w:line="360" w:lineRule="exact"/>
        <w:ind w:firstLine="442" w:firstLineChars="200"/>
        <w:outlineLvl w:val="0"/>
        <w:rPr>
          <w:rFonts w:hint="eastAsia" w:ascii="宋体" w:hAnsi="宋体" w:eastAsia="宋体" w:cs="宋体"/>
          <w:b/>
          <w:color w:val="auto"/>
          <w:sz w:val="22"/>
          <w:highlight w:val="none"/>
        </w:rPr>
      </w:pPr>
      <w:bookmarkStart w:id="157" w:name="_Toc14055"/>
      <w:bookmarkStart w:id="158" w:name="_Toc21812"/>
      <w:bookmarkStart w:id="159" w:name="_Toc7389"/>
      <w:bookmarkStart w:id="160" w:name="_Toc1178"/>
      <w:r>
        <w:rPr>
          <w:rFonts w:hint="eastAsia" w:ascii="宋体" w:hAnsi="宋体" w:eastAsia="宋体" w:cs="宋体"/>
          <w:b/>
          <w:color w:val="auto"/>
          <w:sz w:val="22"/>
          <w:highlight w:val="none"/>
        </w:rPr>
        <w:t>2.9 延迟交货</w:t>
      </w:r>
      <w:bookmarkEnd w:id="154"/>
      <w:bookmarkEnd w:id="155"/>
      <w:bookmarkEnd w:id="156"/>
      <w:bookmarkEnd w:id="157"/>
      <w:bookmarkEnd w:id="158"/>
      <w:bookmarkEnd w:id="159"/>
      <w:bookmarkEnd w:id="160"/>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exact"/>
        <w:ind w:firstLine="442" w:firstLineChars="200"/>
        <w:outlineLvl w:val="0"/>
        <w:rPr>
          <w:rFonts w:hint="eastAsia" w:ascii="宋体" w:hAnsi="宋体" w:eastAsia="宋体" w:cs="宋体"/>
          <w:b/>
          <w:color w:val="auto"/>
          <w:sz w:val="22"/>
          <w:highlight w:val="none"/>
        </w:rPr>
      </w:pPr>
      <w:bookmarkStart w:id="161" w:name="_Toc7502"/>
      <w:bookmarkStart w:id="162" w:name="_Toc1926"/>
      <w:bookmarkStart w:id="163" w:name="_Toc12868"/>
      <w:bookmarkStart w:id="164" w:name="_Toc11358"/>
      <w:bookmarkStart w:id="165" w:name="_Toc259093683"/>
      <w:bookmarkStart w:id="166" w:name="_Toc487900364"/>
      <w:bookmarkStart w:id="167" w:name="_Toc279701254"/>
      <w:bookmarkStart w:id="168" w:name="_Ref467378121"/>
      <w:r>
        <w:rPr>
          <w:rFonts w:hint="eastAsia" w:ascii="宋体" w:hAnsi="宋体" w:eastAsia="宋体" w:cs="宋体"/>
          <w:b/>
          <w:color w:val="auto"/>
          <w:sz w:val="22"/>
          <w:highlight w:val="none"/>
        </w:rPr>
        <w:t>2.10 合同变更</w:t>
      </w:r>
      <w:bookmarkEnd w:id="161"/>
      <w:bookmarkEnd w:id="162"/>
      <w:bookmarkEnd w:id="163"/>
      <w:bookmarkEnd w:id="164"/>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合同继续履行将损害国家利益和社会公共利益的，双方当事人应当以书面形式变更合同。有过错的一方应当承担赔偿责任，双方当事人都有过错的，各自承担相应的责任。</w:t>
      </w:r>
      <w:bookmarkStart w:id="169" w:name="_Toc259093688"/>
      <w:bookmarkStart w:id="170" w:name="_Toc487900369"/>
      <w:bookmarkStart w:id="171" w:name="_Toc279701259"/>
    </w:p>
    <w:p>
      <w:pPr>
        <w:spacing w:line="360" w:lineRule="exact"/>
        <w:ind w:firstLine="442" w:firstLineChars="200"/>
        <w:outlineLvl w:val="0"/>
        <w:rPr>
          <w:rFonts w:hint="eastAsia" w:ascii="宋体" w:hAnsi="宋体" w:eastAsia="宋体" w:cs="宋体"/>
          <w:b/>
          <w:color w:val="auto"/>
          <w:sz w:val="22"/>
          <w:highlight w:val="none"/>
        </w:rPr>
      </w:pPr>
      <w:bookmarkStart w:id="172" w:name="_Toc10366"/>
      <w:bookmarkStart w:id="173" w:name="_Toc179"/>
      <w:bookmarkStart w:id="174" w:name="_Toc23878"/>
      <w:bookmarkStart w:id="175" w:name="_Toc22955"/>
      <w:bookmarkStart w:id="176" w:name="_Toc15237"/>
      <w:bookmarkStart w:id="177" w:name="_Toc13440"/>
      <w:r>
        <w:rPr>
          <w:rFonts w:hint="eastAsia" w:ascii="宋体" w:hAnsi="宋体" w:eastAsia="宋体" w:cs="宋体"/>
          <w:b/>
          <w:color w:val="auto"/>
          <w:sz w:val="22"/>
          <w:highlight w:val="none"/>
        </w:rPr>
        <w:t>2.11 合同</w:t>
      </w:r>
      <w:bookmarkEnd w:id="169"/>
      <w:bookmarkEnd w:id="170"/>
      <w:bookmarkEnd w:id="171"/>
      <w:r>
        <w:rPr>
          <w:rFonts w:hint="eastAsia" w:ascii="宋体" w:hAnsi="宋体" w:eastAsia="宋体" w:cs="宋体"/>
          <w:b/>
          <w:color w:val="auto"/>
          <w:sz w:val="22"/>
          <w:highlight w:val="none"/>
        </w:rPr>
        <w:t>转包和分包</w:t>
      </w:r>
      <w:bookmarkEnd w:id="172"/>
      <w:bookmarkEnd w:id="173"/>
      <w:bookmarkEnd w:id="174"/>
      <w:bookmarkEnd w:id="175"/>
      <w:bookmarkEnd w:id="176"/>
      <w:bookmarkEnd w:id="177"/>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2.11.1转包：合同的权利义务依法不得转包；分包：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2.11.2乙方采取分包方式履行合同的，甲方可直接向分包供应商支付款项。</w:t>
      </w:r>
    </w:p>
    <w:p>
      <w:pPr>
        <w:spacing w:line="360" w:lineRule="exact"/>
        <w:ind w:firstLine="442" w:firstLineChars="200"/>
        <w:outlineLvl w:val="0"/>
        <w:rPr>
          <w:rFonts w:hint="eastAsia" w:ascii="宋体" w:hAnsi="宋体" w:eastAsia="宋体" w:cs="宋体"/>
          <w:b/>
          <w:color w:val="auto"/>
          <w:sz w:val="22"/>
          <w:highlight w:val="none"/>
        </w:rPr>
      </w:pPr>
      <w:bookmarkStart w:id="178" w:name="_Toc6282"/>
      <w:bookmarkStart w:id="179" w:name="_Toc16508"/>
      <w:bookmarkStart w:id="180" w:name="_Toc14066"/>
      <w:bookmarkStart w:id="181" w:name="_Toc25454"/>
      <w:bookmarkStart w:id="182" w:name="_Toc13566"/>
      <w:bookmarkStart w:id="183" w:name="_Toc17996"/>
      <w:r>
        <w:rPr>
          <w:rFonts w:hint="eastAsia" w:ascii="宋体" w:hAnsi="宋体" w:eastAsia="宋体" w:cs="宋体"/>
          <w:b/>
          <w:color w:val="auto"/>
          <w:sz w:val="22"/>
          <w:highlight w:val="none"/>
        </w:rPr>
        <w:t>2.12 不可抗力</w:t>
      </w:r>
      <w:bookmarkEnd w:id="178"/>
      <w:bookmarkEnd w:id="179"/>
      <w:bookmarkEnd w:id="180"/>
      <w:bookmarkEnd w:id="181"/>
      <w:bookmarkEnd w:id="182"/>
      <w:bookmarkEnd w:id="183"/>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2.12.1如果任何一方遭遇法律规定的不可抗力，致使合同履行受阻时，履行合同的期限应予延长，延长的期限应相当于不可抗力所影响的时间；</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2.12.2 因不可抗力致使不能实现合同目的的，当事人可以解除合同；</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2.12.3 因不可抗力致使合同有变更必要的，双方当事人应在</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约定时间内以书面形式变更合同；</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2.12.4受不可抗力影响的一方在不可抗力发生后，应在</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约定时间内以书面形式通知对方当事人，并在</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约定时间内，将有关部门出具的证明文件送达对方当事人。</w:t>
      </w:r>
    </w:p>
    <w:p>
      <w:pPr>
        <w:spacing w:line="360" w:lineRule="exact"/>
        <w:ind w:firstLine="442" w:firstLineChars="200"/>
        <w:outlineLvl w:val="0"/>
        <w:rPr>
          <w:rFonts w:hint="eastAsia" w:ascii="宋体" w:hAnsi="宋体" w:eastAsia="宋体" w:cs="宋体"/>
          <w:b/>
          <w:color w:val="auto"/>
          <w:sz w:val="22"/>
          <w:highlight w:val="none"/>
        </w:rPr>
      </w:pPr>
      <w:bookmarkStart w:id="184" w:name="_Toc487900365"/>
      <w:bookmarkStart w:id="185" w:name="_Toc689"/>
      <w:bookmarkStart w:id="186" w:name="_Toc30676"/>
      <w:bookmarkStart w:id="187" w:name="_Toc28692"/>
      <w:bookmarkStart w:id="188" w:name="_Toc279701255"/>
      <w:bookmarkStart w:id="189" w:name="_Toc2572"/>
      <w:bookmarkStart w:id="190" w:name="_Toc27483"/>
      <w:bookmarkStart w:id="191" w:name="_Toc259093684"/>
      <w:bookmarkStart w:id="192" w:name="_Toc6969"/>
      <w:r>
        <w:rPr>
          <w:rFonts w:hint="eastAsia" w:ascii="宋体" w:hAnsi="宋体" w:eastAsia="宋体" w:cs="宋体"/>
          <w:b/>
          <w:color w:val="auto"/>
          <w:sz w:val="22"/>
          <w:highlight w:val="none"/>
        </w:rPr>
        <w:t>2.13 税费</w:t>
      </w:r>
      <w:bookmarkEnd w:id="184"/>
      <w:bookmarkEnd w:id="185"/>
      <w:bookmarkEnd w:id="186"/>
      <w:bookmarkEnd w:id="187"/>
      <w:bookmarkEnd w:id="188"/>
      <w:bookmarkEnd w:id="189"/>
      <w:bookmarkEnd w:id="190"/>
      <w:bookmarkEnd w:id="191"/>
      <w:bookmarkEnd w:id="192"/>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与合同有关的一切税费，均按照中华人民共和国法律的相关规定。</w:t>
      </w:r>
    </w:p>
    <w:p>
      <w:pPr>
        <w:spacing w:line="360" w:lineRule="exact"/>
        <w:ind w:firstLine="442" w:firstLineChars="200"/>
        <w:outlineLvl w:val="0"/>
        <w:rPr>
          <w:rFonts w:hint="eastAsia" w:ascii="宋体" w:hAnsi="宋体" w:eastAsia="宋体" w:cs="宋体"/>
          <w:b/>
          <w:color w:val="auto"/>
          <w:sz w:val="22"/>
          <w:highlight w:val="none"/>
        </w:rPr>
      </w:pPr>
      <w:bookmarkStart w:id="193" w:name="_Toc8298"/>
      <w:bookmarkStart w:id="194" w:name="_Toc259093687"/>
      <w:bookmarkStart w:id="195" w:name="_Toc30363"/>
      <w:bookmarkStart w:id="196" w:name="_Toc487900368"/>
      <w:bookmarkStart w:id="197" w:name="_Toc7102"/>
      <w:bookmarkStart w:id="198" w:name="_Toc28545"/>
      <w:bookmarkStart w:id="199" w:name="_Toc16959"/>
      <w:bookmarkStart w:id="200" w:name="_Toc19338"/>
      <w:bookmarkStart w:id="201" w:name="_Toc279701258"/>
      <w:r>
        <w:rPr>
          <w:rFonts w:hint="eastAsia" w:ascii="宋体" w:hAnsi="宋体" w:eastAsia="宋体" w:cs="宋体"/>
          <w:b/>
          <w:color w:val="auto"/>
          <w:sz w:val="22"/>
          <w:highlight w:val="none"/>
        </w:rPr>
        <w:t>2.14乙方破产</w:t>
      </w:r>
      <w:bookmarkEnd w:id="193"/>
      <w:bookmarkEnd w:id="194"/>
      <w:bookmarkEnd w:id="195"/>
      <w:bookmarkEnd w:id="196"/>
      <w:bookmarkEnd w:id="197"/>
      <w:bookmarkEnd w:id="198"/>
      <w:bookmarkEnd w:id="199"/>
      <w:bookmarkEnd w:id="200"/>
      <w:bookmarkEnd w:id="201"/>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exact"/>
        <w:ind w:firstLine="442" w:firstLineChars="200"/>
        <w:outlineLvl w:val="0"/>
        <w:rPr>
          <w:rFonts w:hint="eastAsia" w:ascii="宋体" w:hAnsi="宋体" w:eastAsia="宋体" w:cs="宋体"/>
          <w:b/>
          <w:color w:val="auto"/>
          <w:sz w:val="22"/>
          <w:highlight w:val="none"/>
        </w:rPr>
      </w:pPr>
      <w:bookmarkStart w:id="202" w:name="_Toc29333"/>
      <w:bookmarkStart w:id="203" w:name="_Toc27662"/>
      <w:bookmarkStart w:id="204" w:name="_Toc15387"/>
      <w:bookmarkStart w:id="205" w:name="_Toc6134"/>
      <w:bookmarkStart w:id="206" w:name="_Toc4535"/>
      <w:bookmarkStart w:id="207" w:name="_Toc1348"/>
      <w:r>
        <w:rPr>
          <w:rFonts w:hint="eastAsia" w:ascii="宋体" w:hAnsi="宋体" w:eastAsia="宋体" w:cs="宋体"/>
          <w:b/>
          <w:color w:val="auto"/>
          <w:sz w:val="22"/>
          <w:highlight w:val="none"/>
        </w:rPr>
        <w:t>2.15 合同中止、终止</w:t>
      </w:r>
      <w:bookmarkEnd w:id="202"/>
      <w:bookmarkEnd w:id="203"/>
      <w:bookmarkEnd w:id="204"/>
      <w:bookmarkEnd w:id="205"/>
      <w:bookmarkEnd w:id="206"/>
      <w:bookmarkEnd w:id="207"/>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2.15.1 双方当事人不得擅自中止或者终止合同；</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2.15.2合同继续履行将损害国家利益和社会公共利益的，双方当事人应当中止或者终止合同。有过错的一方应当承担赔偿责任，双方当事人都有过错的，各自承担相应的责任。</w:t>
      </w:r>
    </w:p>
    <w:p>
      <w:pPr>
        <w:spacing w:line="360" w:lineRule="exact"/>
        <w:ind w:firstLine="442" w:firstLineChars="200"/>
        <w:outlineLvl w:val="0"/>
        <w:rPr>
          <w:rFonts w:hint="eastAsia" w:ascii="宋体" w:hAnsi="宋体" w:eastAsia="宋体" w:cs="宋体"/>
          <w:b/>
          <w:color w:val="auto"/>
          <w:sz w:val="22"/>
          <w:highlight w:val="none"/>
        </w:rPr>
      </w:pPr>
      <w:bookmarkStart w:id="208" w:name="_Toc29182"/>
      <w:bookmarkStart w:id="209" w:name="_Toc12327"/>
      <w:bookmarkStart w:id="210" w:name="_Toc1302"/>
      <w:bookmarkStart w:id="211" w:name="_Toc14563"/>
      <w:bookmarkStart w:id="212" w:name="_Toc1125"/>
      <w:bookmarkStart w:id="213" w:name="_Toc6596"/>
      <w:r>
        <w:rPr>
          <w:rFonts w:hint="eastAsia" w:ascii="宋体" w:hAnsi="宋体" w:eastAsia="宋体" w:cs="宋体"/>
          <w:b/>
          <w:color w:val="auto"/>
          <w:sz w:val="22"/>
          <w:highlight w:val="none"/>
        </w:rPr>
        <w:t>2.16检验和验收</w:t>
      </w:r>
      <w:bookmarkEnd w:id="208"/>
      <w:bookmarkEnd w:id="209"/>
      <w:bookmarkEnd w:id="210"/>
      <w:bookmarkEnd w:id="211"/>
      <w:bookmarkEnd w:id="212"/>
      <w:bookmarkEnd w:id="213"/>
    </w:p>
    <w:p>
      <w:pPr>
        <w:tabs>
          <w:tab w:val="left" w:pos="360"/>
          <w:tab w:val="left" w:pos="540"/>
          <w:tab w:val="left" w:pos="108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2.16.1货物交付前，乙方应对货物的质量、数量等方面进行详细、全面的检验，并向甲方出具证明货物符合合同约定的文件。</w:t>
      </w:r>
    </w:p>
    <w:p>
      <w:pPr>
        <w:tabs>
          <w:tab w:val="left" w:pos="360"/>
          <w:tab w:val="left" w:pos="540"/>
          <w:tab w:val="left" w:pos="108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exact"/>
        <w:ind w:firstLine="440" w:firstLineChars="200"/>
        <w:rPr>
          <w:rFonts w:hint="eastAsia" w:ascii="宋体" w:hAnsi="宋体" w:eastAsia="宋体" w:cs="宋体"/>
          <w:i/>
          <w:color w:val="auto"/>
          <w:sz w:val="22"/>
          <w:highlight w:val="none"/>
        </w:rPr>
      </w:pPr>
      <w:r>
        <w:rPr>
          <w:rFonts w:hint="eastAsia" w:ascii="宋体" w:hAnsi="宋体" w:eastAsia="宋体" w:cs="宋体"/>
          <w:color w:val="auto"/>
          <w:sz w:val="22"/>
          <w:highlight w:val="none"/>
        </w:rPr>
        <w:t>2.16.3 检验和验收标准、程序等具体内容以及前述验收书的效力详见</w:t>
      </w:r>
      <w:r>
        <w:rPr>
          <w:rFonts w:hint="eastAsia" w:ascii="宋体" w:hAnsi="宋体" w:eastAsia="宋体" w:cs="宋体"/>
          <w:b/>
          <w:i/>
          <w:color w:val="auto"/>
          <w:sz w:val="22"/>
          <w:highlight w:val="none"/>
          <w:u w:val="single"/>
        </w:rPr>
        <w:t>合同专用条款</w:t>
      </w:r>
      <w:r>
        <w:rPr>
          <w:rFonts w:hint="eastAsia" w:ascii="宋体" w:hAnsi="宋体" w:eastAsia="宋体" w:cs="宋体"/>
          <w:i/>
          <w:color w:val="auto"/>
          <w:sz w:val="22"/>
          <w:highlight w:val="none"/>
        </w:rPr>
        <w:t>。</w:t>
      </w:r>
    </w:p>
    <w:p>
      <w:pPr>
        <w:tabs>
          <w:tab w:val="left" w:pos="360"/>
          <w:tab w:val="left" w:pos="540"/>
          <w:tab w:val="left" w:pos="108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2.16.</w:t>
      </w:r>
      <w:r>
        <w:rPr>
          <w:rFonts w:hint="eastAsia" w:ascii="宋体" w:hAnsi="宋体" w:eastAsia="宋体" w:cs="宋体"/>
          <w:color w:val="auto"/>
          <w:sz w:val="22"/>
          <w:highlight w:val="none"/>
          <w:lang w:eastAsia="zh-CN"/>
        </w:rPr>
        <w:t>4</w:t>
      </w:r>
      <w:r>
        <w:rPr>
          <w:rFonts w:hint="eastAsia" w:ascii="宋体" w:hAnsi="宋体" w:eastAsia="宋体" w:cs="宋体"/>
          <w:color w:val="auto"/>
          <w:sz w:val="22"/>
          <w:highlight w:val="none"/>
        </w:rPr>
        <w:t xml:space="preserve"> </w:t>
      </w:r>
      <w:r>
        <w:rPr>
          <w:rFonts w:hint="eastAsia" w:ascii="宋体" w:hAnsi="宋体" w:eastAsia="宋体" w:cs="宋体"/>
          <w:color w:val="auto"/>
          <w:kern w:val="0"/>
          <w:sz w:val="22"/>
          <w:szCs w:val="22"/>
          <w:highlight w:val="none"/>
        </w:rPr>
        <w:t>履约验收费用由</w:t>
      </w:r>
      <w:r>
        <w:rPr>
          <w:rFonts w:hint="eastAsia" w:ascii="宋体" w:hAnsi="宋体" w:eastAsia="宋体" w:cs="宋体"/>
          <w:color w:val="auto"/>
          <w:kern w:val="0"/>
          <w:sz w:val="22"/>
          <w:szCs w:val="22"/>
          <w:highlight w:val="none"/>
          <w:lang w:val="en-US" w:eastAsia="zh-CN"/>
        </w:rPr>
        <w:t>乙方</w:t>
      </w:r>
      <w:r>
        <w:rPr>
          <w:rFonts w:hint="eastAsia" w:ascii="宋体" w:hAnsi="宋体" w:eastAsia="宋体" w:cs="宋体"/>
          <w:color w:val="auto"/>
          <w:kern w:val="0"/>
          <w:sz w:val="22"/>
          <w:szCs w:val="22"/>
          <w:highlight w:val="none"/>
        </w:rPr>
        <w:t>承担</w:t>
      </w:r>
      <w:r>
        <w:rPr>
          <w:rFonts w:hint="eastAsia" w:ascii="宋体" w:hAnsi="宋体" w:eastAsia="宋体" w:cs="宋体"/>
          <w:color w:val="auto"/>
          <w:kern w:val="0"/>
          <w:sz w:val="22"/>
          <w:szCs w:val="22"/>
          <w:highlight w:val="none"/>
          <w:lang w:eastAsia="zh-CN"/>
        </w:rPr>
        <w:t>。</w:t>
      </w:r>
    </w:p>
    <w:bookmarkEnd w:id="165"/>
    <w:bookmarkEnd w:id="166"/>
    <w:bookmarkEnd w:id="167"/>
    <w:bookmarkEnd w:id="168"/>
    <w:p>
      <w:pPr>
        <w:spacing w:line="360" w:lineRule="exact"/>
        <w:ind w:firstLine="442" w:firstLineChars="200"/>
        <w:outlineLvl w:val="0"/>
        <w:rPr>
          <w:rFonts w:hint="eastAsia" w:ascii="宋体" w:hAnsi="宋体" w:eastAsia="宋体" w:cs="宋体"/>
          <w:b/>
          <w:color w:val="auto"/>
          <w:sz w:val="22"/>
          <w:highlight w:val="none"/>
        </w:rPr>
      </w:pPr>
      <w:bookmarkStart w:id="214" w:name="_Toc259093690"/>
      <w:bookmarkStart w:id="215" w:name="_Toc279701261"/>
      <w:bookmarkStart w:id="216" w:name="_Toc487900371"/>
      <w:bookmarkStart w:id="217" w:name="_Toc25182"/>
      <w:bookmarkStart w:id="218" w:name="_Toc20581"/>
      <w:bookmarkStart w:id="219" w:name="_Toc28474"/>
      <w:bookmarkStart w:id="220" w:name="_Toc17352"/>
      <w:bookmarkStart w:id="221" w:name="_Toc19604"/>
      <w:bookmarkStart w:id="222" w:name="_Toc11284"/>
      <w:r>
        <w:rPr>
          <w:rFonts w:hint="eastAsia" w:ascii="宋体" w:hAnsi="宋体" w:eastAsia="宋体" w:cs="宋体"/>
          <w:b/>
          <w:color w:val="auto"/>
          <w:sz w:val="22"/>
          <w:highlight w:val="none"/>
        </w:rPr>
        <w:t>2.17 通知</w:t>
      </w:r>
      <w:bookmarkEnd w:id="214"/>
      <w:bookmarkEnd w:id="215"/>
      <w:bookmarkEnd w:id="216"/>
      <w:r>
        <w:rPr>
          <w:rFonts w:hint="eastAsia" w:ascii="宋体" w:hAnsi="宋体" w:eastAsia="宋体" w:cs="宋体"/>
          <w:b/>
          <w:color w:val="auto"/>
          <w:sz w:val="22"/>
          <w:highlight w:val="none"/>
        </w:rPr>
        <w:t>和送达</w:t>
      </w:r>
      <w:bookmarkEnd w:id="217"/>
      <w:bookmarkEnd w:id="218"/>
      <w:bookmarkEnd w:id="219"/>
      <w:bookmarkEnd w:id="220"/>
      <w:bookmarkEnd w:id="221"/>
      <w:bookmarkEnd w:id="222"/>
    </w:p>
    <w:p>
      <w:pPr>
        <w:spacing w:line="360" w:lineRule="exact"/>
        <w:ind w:firstLine="440" w:firstLineChars="200"/>
        <w:rPr>
          <w:rFonts w:hint="eastAsia" w:ascii="宋体" w:hAnsi="宋体" w:eastAsia="宋体" w:cs="宋体"/>
          <w:color w:val="auto"/>
          <w:sz w:val="22"/>
          <w:highlight w:val="none"/>
        </w:rPr>
      </w:pPr>
      <w:bookmarkStart w:id="223" w:name="_Toc6698"/>
      <w:bookmarkStart w:id="224" w:name="_Toc3135"/>
      <w:bookmarkStart w:id="225" w:name="_Toc487900372"/>
      <w:bookmarkStart w:id="226" w:name="_Toc259093691"/>
      <w:bookmarkStart w:id="227" w:name="_Toc279701262"/>
      <w:r>
        <w:rPr>
          <w:rFonts w:hint="eastAsia" w:ascii="宋体" w:hAnsi="宋体" w:eastAsia="宋体" w:cs="宋体"/>
          <w:color w:val="auto"/>
          <w:sz w:val="22"/>
          <w:highlight w:val="none"/>
        </w:rPr>
        <w:t xml:space="preserve">2.17.1任何一方因履行合同而以合同第一部分尾部所列明的传真或电子邮件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发出的所有通知、文件、材料，均视为已向对方当事人送达；任何一方变更上述送达方式或者地址的，应于</w:t>
      </w: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rPr>
        <w:t>个工作日内书面通知对方当事人，在对方当事人收到有关变更通知之前，变更前的约定送达方式或者地址仍视为有效。</w:t>
      </w:r>
      <w:bookmarkEnd w:id="223"/>
      <w:bookmarkEnd w:id="224"/>
    </w:p>
    <w:p>
      <w:pPr>
        <w:spacing w:line="360" w:lineRule="exact"/>
        <w:ind w:firstLine="440" w:firstLineChars="200"/>
        <w:rPr>
          <w:rFonts w:hint="eastAsia" w:ascii="宋体" w:hAnsi="宋体" w:eastAsia="宋体" w:cs="宋体"/>
          <w:color w:val="auto"/>
          <w:sz w:val="22"/>
          <w:highlight w:val="none"/>
        </w:rPr>
      </w:pPr>
      <w:bookmarkStart w:id="228" w:name="_Toc23128"/>
      <w:bookmarkStart w:id="229" w:name="_Toc23294"/>
      <w:r>
        <w:rPr>
          <w:rFonts w:hint="eastAsia" w:ascii="宋体" w:hAnsi="宋体" w:eastAsia="宋体" w:cs="宋体"/>
          <w:color w:val="auto"/>
          <w:sz w:val="22"/>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8"/>
      <w:bookmarkEnd w:id="229"/>
    </w:p>
    <w:p>
      <w:pPr>
        <w:spacing w:line="360" w:lineRule="exact"/>
        <w:ind w:firstLine="442" w:firstLineChars="200"/>
        <w:outlineLvl w:val="0"/>
        <w:rPr>
          <w:rFonts w:hint="eastAsia" w:ascii="宋体" w:hAnsi="宋体" w:eastAsia="宋体" w:cs="宋体"/>
          <w:b/>
          <w:color w:val="auto"/>
          <w:sz w:val="22"/>
          <w:highlight w:val="none"/>
        </w:rPr>
      </w:pPr>
      <w:bookmarkStart w:id="230" w:name="_Toc30599"/>
      <w:bookmarkStart w:id="231" w:name="_Toc23293"/>
      <w:bookmarkStart w:id="232" w:name="_Toc18540"/>
      <w:bookmarkStart w:id="233" w:name="_Toc9204"/>
      <w:bookmarkStart w:id="234" w:name="_Toc4355"/>
      <w:bookmarkStart w:id="235" w:name="_Toc8254"/>
      <w:r>
        <w:rPr>
          <w:rFonts w:hint="eastAsia" w:ascii="宋体" w:hAnsi="宋体" w:eastAsia="宋体" w:cs="宋体"/>
          <w:b/>
          <w:color w:val="auto"/>
          <w:sz w:val="22"/>
          <w:highlight w:val="none"/>
        </w:rPr>
        <w:t>2.18 计量单位</w:t>
      </w:r>
      <w:bookmarkEnd w:id="225"/>
      <w:bookmarkEnd w:id="226"/>
      <w:bookmarkEnd w:id="227"/>
      <w:bookmarkEnd w:id="230"/>
      <w:bookmarkEnd w:id="231"/>
      <w:bookmarkEnd w:id="232"/>
      <w:bookmarkEnd w:id="233"/>
      <w:bookmarkEnd w:id="234"/>
      <w:bookmarkEnd w:id="235"/>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除技术规范中另有规定外，合同的计量单位均使用国家法定计量单位。</w:t>
      </w:r>
    </w:p>
    <w:p>
      <w:pPr>
        <w:spacing w:line="360" w:lineRule="exact"/>
        <w:ind w:firstLine="442" w:firstLineChars="200"/>
        <w:outlineLvl w:val="0"/>
        <w:rPr>
          <w:rFonts w:hint="eastAsia" w:ascii="宋体" w:hAnsi="宋体" w:eastAsia="宋体" w:cs="宋体"/>
          <w:b/>
          <w:color w:val="auto"/>
          <w:sz w:val="22"/>
          <w:highlight w:val="none"/>
        </w:rPr>
      </w:pPr>
      <w:bookmarkStart w:id="236" w:name="_Toc487900373"/>
      <w:bookmarkStart w:id="237" w:name="_Toc18567"/>
      <w:bookmarkStart w:id="238" w:name="_Toc259093692"/>
      <w:bookmarkStart w:id="239" w:name="_Toc9265"/>
      <w:bookmarkStart w:id="240" w:name="_Toc24258"/>
      <w:bookmarkStart w:id="241" w:name="_Toc22608"/>
      <w:bookmarkStart w:id="242" w:name="_Toc279701263"/>
      <w:bookmarkStart w:id="243" w:name="_Toc10330"/>
      <w:bookmarkStart w:id="244" w:name="_Toc12773"/>
      <w:r>
        <w:rPr>
          <w:rFonts w:hint="eastAsia" w:ascii="宋体" w:hAnsi="宋体" w:eastAsia="宋体" w:cs="宋体"/>
          <w:b/>
          <w:color w:val="auto"/>
          <w:sz w:val="22"/>
          <w:highlight w:val="none"/>
        </w:rPr>
        <w:t>2.19 合同使用的文字和适用的法律</w:t>
      </w:r>
      <w:bookmarkEnd w:id="236"/>
      <w:bookmarkEnd w:id="237"/>
      <w:bookmarkEnd w:id="238"/>
      <w:bookmarkEnd w:id="239"/>
      <w:bookmarkEnd w:id="240"/>
      <w:bookmarkEnd w:id="241"/>
      <w:bookmarkEnd w:id="242"/>
      <w:bookmarkEnd w:id="243"/>
      <w:bookmarkEnd w:id="244"/>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2.19.1 合同使用汉语书就、变更和解释；</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2.19.2 合同适用中华人民共和国法律。</w:t>
      </w:r>
    </w:p>
    <w:p>
      <w:pPr>
        <w:spacing w:line="360" w:lineRule="exact"/>
        <w:ind w:firstLine="442" w:firstLineChars="200"/>
        <w:rPr>
          <w:rFonts w:hint="eastAsia" w:ascii="宋体" w:hAnsi="宋体" w:eastAsia="宋体" w:cs="宋体"/>
          <w:color w:val="auto"/>
          <w:sz w:val="22"/>
          <w:highlight w:val="none"/>
        </w:rPr>
      </w:pPr>
      <w:bookmarkStart w:id="245" w:name="_Toc16108"/>
      <w:bookmarkStart w:id="246" w:name="_Toc3148"/>
      <w:bookmarkStart w:id="247" w:name="_Toc16673"/>
      <w:bookmarkStart w:id="248" w:name="_Toc12004"/>
      <w:bookmarkStart w:id="249" w:name="_Toc279701264"/>
      <w:bookmarkStart w:id="250" w:name="_Toc259093693"/>
      <w:bookmarkStart w:id="251" w:name="_Toc19482"/>
      <w:bookmarkStart w:id="252" w:name="_Toc19659"/>
      <w:bookmarkStart w:id="253" w:name="_Toc487900374"/>
      <w:r>
        <w:rPr>
          <w:rFonts w:hint="eastAsia" w:ascii="宋体" w:hAnsi="宋体" w:eastAsia="宋体" w:cs="宋体"/>
          <w:b/>
          <w:color w:val="auto"/>
          <w:sz w:val="22"/>
          <w:highlight w:val="none"/>
        </w:rPr>
        <w:t xml:space="preserve">2.20 </w:t>
      </w:r>
      <w:bookmarkEnd w:id="245"/>
      <w:bookmarkEnd w:id="246"/>
      <w:bookmarkEnd w:id="247"/>
      <w:bookmarkEnd w:id="248"/>
      <w:bookmarkEnd w:id="249"/>
      <w:bookmarkEnd w:id="250"/>
      <w:bookmarkEnd w:id="251"/>
      <w:bookmarkEnd w:id="252"/>
      <w:r>
        <w:rPr>
          <w:rFonts w:hint="eastAsia" w:ascii="宋体" w:hAnsi="宋体" w:eastAsia="宋体" w:cs="宋体"/>
          <w:color w:val="auto"/>
          <w:sz w:val="22"/>
          <w:highlight w:val="none"/>
        </w:rPr>
        <w:t>对于因甲方原因导致变更、中止或者终止政府采购合同的，甲方应当依照合同约定对供应商受到的损失予以赔偿或者补偿。</w:t>
      </w:r>
    </w:p>
    <w:bookmarkEnd w:id="253"/>
    <w:p>
      <w:pPr>
        <w:spacing w:line="360" w:lineRule="exact"/>
        <w:ind w:firstLine="442" w:firstLineChars="200"/>
        <w:outlineLvl w:val="0"/>
        <w:rPr>
          <w:rFonts w:hint="eastAsia" w:ascii="宋体" w:hAnsi="宋体" w:eastAsia="宋体" w:cs="宋体"/>
          <w:b/>
          <w:color w:val="auto"/>
          <w:sz w:val="22"/>
          <w:highlight w:val="none"/>
        </w:rPr>
      </w:pPr>
      <w:bookmarkStart w:id="254" w:name="_Toc19890"/>
      <w:bookmarkStart w:id="255" w:name="_Toc2384"/>
      <w:bookmarkStart w:id="256" w:name="_Toc12345"/>
      <w:bookmarkStart w:id="257" w:name="_Toc14604"/>
      <w:bookmarkStart w:id="258" w:name="_Toc14001"/>
      <w:bookmarkStart w:id="259" w:name="_Toc6885"/>
      <w:r>
        <w:rPr>
          <w:rFonts w:hint="eastAsia" w:ascii="宋体" w:hAnsi="宋体" w:eastAsia="宋体" w:cs="宋体"/>
          <w:b/>
          <w:color w:val="auto"/>
          <w:sz w:val="22"/>
          <w:highlight w:val="none"/>
        </w:rPr>
        <w:t>2.2</w:t>
      </w: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合同份数</w:t>
      </w:r>
      <w:bookmarkEnd w:id="254"/>
      <w:bookmarkEnd w:id="255"/>
      <w:bookmarkEnd w:id="256"/>
      <w:bookmarkEnd w:id="257"/>
      <w:bookmarkEnd w:id="258"/>
      <w:bookmarkEnd w:id="259"/>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合同份数按</w:t>
      </w:r>
      <w:r>
        <w:rPr>
          <w:rFonts w:hint="eastAsia" w:ascii="宋体" w:hAnsi="宋体" w:eastAsia="宋体" w:cs="宋体"/>
          <w:b/>
          <w:i/>
          <w:color w:val="auto"/>
          <w:sz w:val="22"/>
          <w:highlight w:val="none"/>
          <w:u w:val="single"/>
        </w:rPr>
        <w:t>合同专用条款</w:t>
      </w:r>
      <w:r>
        <w:rPr>
          <w:rFonts w:hint="eastAsia" w:ascii="宋体" w:hAnsi="宋体" w:eastAsia="宋体" w:cs="宋体"/>
          <w:color w:val="auto"/>
          <w:sz w:val="22"/>
          <w:highlight w:val="none"/>
        </w:rPr>
        <w:t>规定，每份均具有同等法律效力。</w:t>
      </w:r>
    </w:p>
    <w:p>
      <w:pPr>
        <w:spacing w:line="480" w:lineRule="auto"/>
        <w:jc w:val="center"/>
        <w:textAlignment w:val="center"/>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bookmarkStart w:id="260" w:name="_Toc27653"/>
      <w:bookmarkStart w:id="261" w:name="_Toc3732"/>
      <w:bookmarkStart w:id="262" w:name="_Toc20824"/>
      <w:r>
        <w:rPr>
          <w:rFonts w:hint="eastAsia" w:ascii="宋体" w:hAnsi="宋体" w:eastAsia="宋体" w:cs="宋体"/>
          <w:b/>
          <w:color w:val="auto"/>
          <w:sz w:val="24"/>
          <w:highlight w:val="none"/>
        </w:rPr>
        <w:t>第三章  合同专用条款</w:t>
      </w:r>
      <w:bookmarkEnd w:id="260"/>
      <w:bookmarkEnd w:id="261"/>
      <w:bookmarkEnd w:id="262"/>
    </w:p>
    <w:p>
      <w:pPr>
        <w:spacing w:line="3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1"/>
        <w:tblW w:w="9762" w:type="dxa"/>
        <w:tblInd w:w="-29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44"/>
        <w:gridCol w:w="8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1144" w:type="dxa"/>
            <w:tcBorders>
              <w:left w:val="single" w:color="auto" w:sz="4" w:space="0"/>
            </w:tcBorders>
            <w:vAlign w:val="center"/>
          </w:tcPr>
          <w:p>
            <w:pPr>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条款号</w:t>
            </w:r>
          </w:p>
        </w:tc>
        <w:tc>
          <w:tcPr>
            <w:tcW w:w="8618" w:type="dxa"/>
            <w:vAlign w:val="center"/>
          </w:tcPr>
          <w:p>
            <w:pPr>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1.4</w:t>
            </w:r>
          </w:p>
        </w:tc>
        <w:tc>
          <w:tcPr>
            <w:tcW w:w="8618" w:type="dxa"/>
            <w:vAlign w:val="center"/>
          </w:tcPr>
          <w:p>
            <w:pPr>
              <w:spacing w:line="360" w:lineRule="exact"/>
              <w:rPr>
                <w:rFonts w:hint="eastAsia" w:ascii="宋体" w:hAnsi="宋体" w:eastAsia="宋体" w:cs="宋体"/>
                <w:color w:val="auto"/>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1.5.1</w:t>
            </w:r>
          </w:p>
        </w:tc>
        <w:tc>
          <w:tcPr>
            <w:tcW w:w="8618" w:type="dxa"/>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交</w:t>
            </w:r>
            <w:r>
              <w:rPr>
                <w:rFonts w:hint="eastAsia" w:ascii="宋体" w:hAnsi="宋体" w:eastAsia="宋体" w:cs="宋体"/>
                <w:color w:val="auto"/>
                <w:spacing w:val="-4"/>
                <w:sz w:val="22"/>
                <w:highlight w:val="none"/>
              </w:rPr>
              <w:t>付</w:t>
            </w:r>
            <w:r>
              <w:rPr>
                <w:rFonts w:hint="eastAsia" w:ascii="宋体" w:hAnsi="宋体" w:eastAsia="宋体" w:cs="宋体"/>
                <w:color w:val="auto"/>
                <w:spacing w:val="-3"/>
                <w:sz w:val="22"/>
                <w:highlight w:val="none"/>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1.5.2</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18"/>
                <w:sz w:val="22"/>
                <w:highlight w:val="none"/>
              </w:rPr>
              <w:t>交</w:t>
            </w:r>
            <w:r>
              <w:rPr>
                <w:rFonts w:hint="eastAsia" w:ascii="宋体" w:hAnsi="宋体" w:eastAsia="宋体" w:cs="宋体"/>
                <w:color w:val="auto"/>
                <w:spacing w:val="-9"/>
                <w:sz w:val="22"/>
                <w:highlight w:val="none"/>
              </w:rPr>
              <w:t xml:space="preserve">付地点： </w:t>
            </w:r>
            <w:r>
              <w:rPr>
                <w:rFonts w:hint="eastAsia" w:ascii="宋体" w:hAnsi="宋体" w:eastAsia="宋体" w:cs="宋体"/>
                <w:color w:val="auto"/>
                <w:spacing w:val="-9"/>
                <w:sz w:val="22"/>
                <w:highlight w:val="none"/>
                <w:u w:val="single"/>
              </w:rPr>
              <w:t>按甲方指定地点</w:t>
            </w:r>
            <w:r>
              <w:rPr>
                <w:rFonts w:hint="eastAsia" w:ascii="宋体" w:hAnsi="宋体" w:eastAsia="宋体" w:cs="宋体"/>
                <w:color w:val="auto"/>
                <w:spacing w:val="-9"/>
                <w:sz w:val="22"/>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1.5.3</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18"/>
                <w:sz w:val="22"/>
                <w:highlight w:val="none"/>
              </w:rPr>
              <w:t>交</w:t>
            </w:r>
            <w:r>
              <w:rPr>
                <w:rFonts w:hint="eastAsia" w:ascii="宋体" w:hAnsi="宋体" w:eastAsia="宋体" w:cs="宋体"/>
                <w:color w:val="auto"/>
                <w:spacing w:val="-9"/>
                <w:sz w:val="22"/>
                <w:highlight w:val="none"/>
              </w:rPr>
              <w:t xml:space="preserve">付方式： </w:t>
            </w:r>
            <w:r>
              <w:rPr>
                <w:rFonts w:hint="eastAsia" w:ascii="宋体" w:hAnsi="宋体" w:eastAsia="宋体" w:cs="宋体"/>
                <w:color w:val="auto"/>
                <w:spacing w:val="-9"/>
                <w:sz w:val="22"/>
                <w:highlight w:val="none"/>
                <w:u w:val="single"/>
              </w:rPr>
              <w:t>按甲方指定方式</w:t>
            </w:r>
            <w:r>
              <w:rPr>
                <w:rFonts w:hint="eastAsia" w:ascii="宋体" w:hAnsi="宋体" w:eastAsia="宋体" w:cs="宋体"/>
                <w:color w:val="auto"/>
                <w:spacing w:val="-9"/>
                <w:sz w:val="22"/>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1.6.5</w:t>
            </w:r>
          </w:p>
        </w:tc>
        <w:tc>
          <w:tcPr>
            <w:tcW w:w="8618" w:type="dxa"/>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8"/>
                <w:sz w:val="22"/>
                <w:highlight w:val="none"/>
              </w:rPr>
              <w:t>违</w:t>
            </w:r>
            <w:r>
              <w:rPr>
                <w:rFonts w:hint="eastAsia" w:ascii="宋体" w:hAnsi="宋体" w:eastAsia="宋体" w:cs="宋体"/>
                <w:color w:val="auto"/>
                <w:spacing w:val="-5"/>
                <w:sz w:val="22"/>
                <w:highlight w:val="none"/>
              </w:rPr>
              <w:t>约责任</w:t>
            </w:r>
            <w:r>
              <w:rPr>
                <w:rFonts w:hint="eastAsia" w:ascii="宋体" w:hAnsi="宋体" w:eastAsia="宋体" w:cs="宋体"/>
                <w:color w:val="auto"/>
                <w:spacing w:val="-5"/>
                <w:sz w:val="22"/>
                <w:highlight w:val="none"/>
                <w:u w:val="single"/>
              </w:rPr>
              <w:t xml:space="preserve">     /    </w:t>
            </w:r>
            <w:r>
              <w:rPr>
                <w:rFonts w:hint="eastAsia" w:ascii="宋体" w:hAnsi="宋体" w:eastAsia="宋体" w:cs="宋体"/>
                <w:color w:val="auto"/>
                <w:spacing w:val="-5"/>
                <w:sz w:val="22"/>
                <w:highlight w:val="none"/>
              </w:rPr>
              <w:t xml:space="preserve"> 另有约定的，从其约定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1.7</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10"/>
                <w:sz w:val="22"/>
                <w:highlight w:val="none"/>
              </w:rPr>
              <w:t>合</w:t>
            </w:r>
            <w:r>
              <w:rPr>
                <w:rFonts w:hint="eastAsia" w:ascii="宋体" w:hAnsi="宋体" w:eastAsia="宋体" w:cs="宋体"/>
                <w:color w:val="auto"/>
                <w:spacing w:val="-6"/>
                <w:sz w:val="22"/>
                <w:highlight w:val="none"/>
              </w:rPr>
              <w:t>同争议的解决：本合同履行过程中发生的任何争议，双方当事人均可通过和解</w:t>
            </w:r>
            <w:r>
              <w:rPr>
                <w:rFonts w:hint="eastAsia" w:ascii="宋体" w:hAnsi="宋体" w:eastAsia="宋体" w:cs="宋体"/>
                <w:color w:val="auto"/>
                <w:sz w:val="22"/>
                <w:highlight w:val="none"/>
              </w:rPr>
              <w:t xml:space="preserve"> </w:t>
            </w:r>
            <w:r>
              <w:rPr>
                <w:rFonts w:hint="eastAsia" w:ascii="宋体" w:hAnsi="宋体" w:eastAsia="宋体" w:cs="宋体"/>
                <w:color w:val="auto"/>
                <w:spacing w:val="6"/>
                <w:sz w:val="22"/>
                <w:highlight w:val="none"/>
              </w:rPr>
              <w:t>或者调解解决；不愿</w:t>
            </w:r>
            <w:r>
              <w:rPr>
                <w:rFonts w:hint="eastAsia" w:ascii="宋体" w:hAnsi="宋体" w:eastAsia="宋体" w:cs="宋体"/>
                <w:color w:val="auto"/>
                <w:spacing w:val="4"/>
                <w:sz w:val="22"/>
                <w:highlight w:val="none"/>
              </w:rPr>
              <w:t>和</w:t>
            </w:r>
            <w:r>
              <w:rPr>
                <w:rFonts w:hint="eastAsia" w:ascii="宋体" w:hAnsi="宋体" w:eastAsia="宋体" w:cs="宋体"/>
                <w:color w:val="auto"/>
                <w:spacing w:val="3"/>
                <w:sz w:val="22"/>
                <w:highlight w:val="none"/>
              </w:rPr>
              <w:t>解、调解或者和解、调解不成的，可以选择以下第</w:t>
            </w:r>
            <w:r>
              <w:rPr>
                <w:rFonts w:hint="eastAsia" w:ascii="宋体" w:hAnsi="宋体" w:eastAsia="宋体" w:cs="宋体"/>
                <w:color w:val="auto"/>
                <w:spacing w:val="3"/>
                <w:sz w:val="22"/>
                <w:highlight w:val="none"/>
                <w:u w:val="single"/>
              </w:rPr>
              <w:t>17.2</w:t>
            </w:r>
            <w:r>
              <w:rPr>
                <w:rFonts w:hint="eastAsia" w:ascii="宋体" w:hAnsi="宋体" w:eastAsia="宋体" w:cs="宋体"/>
                <w:color w:val="auto"/>
                <w:spacing w:val="-6"/>
                <w:sz w:val="22"/>
                <w:highlight w:val="none"/>
              </w:rPr>
              <w:t>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1.7.1</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1"/>
                <w:sz w:val="22"/>
                <w:highlight w:val="none"/>
              </w:rPr>
              <w:t>将争议提交</w:t>
            </w:r>
            <w:r>
              <w:rPr>
                <w:rFonts w:hint="eastAsia" w:ascii="宋体" w:hAnsi="宋体" w:eastAsia="宋体" w:cs="宋体"/>
                <w:color w:val="auto"/>
                <w:spacing w:val="-1"/>
                <w:sz w:val="22"/>
                <w:highlight w:val="none"/>
                <w:u w:val="single"/>
              </w:rPr>
              <w:t>/</w:t>
            </w:r>
            <w:r>
              <w:rPr>
                <w:rFonts w:hint="eastAsia" w:ascii="宋体" w:hAnsi="宋体" w:eastAsia="宋体" w:cs="宋体"/>
                <w:color w:val="auto"/>
                <w:spacing w:val="-1"/>
                <w:sz w:val="22"/>
                <w:highlight w:val="none"/>
              </w:rPr>
              <w:t>仲裁委员会依申请仲裁时</w:t>
            </w:r>
            <w:r>
              <w:rPr>
                <w:rFonts w:hint="eastAsia" w:ascii="宋体" w:hAnsi="宋体" w:eastAsia="宋体" w:cs="宋体"/>
                <w:color w:val="auto"/>
                <w:sz w:val="22"/>
                <w:highlight w:val="none"/>
              </w:rPr>
              <w:t>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1.7.2</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8"/>
                <w:sz w:val="22"/>
                <w:highlight w:val="none"/>
              </w:rPr>
              <w:t>向</w:t>
            </w:r>
            <w:r>
              <w:rPr>
                <w:rFonts w:hint="eastAsia" w:ascii="宋体" w:hAnsi="宋体" w:eastAsia="宋体" w:cs="宋体"/>
                <w:color w:val="auto"/>
                <w:spacing w:val="-8"/>
                <w:sz w:val="22"/>
                <w:highlight w:val="none"/>
                <w:u w:val="single"/>
              </w:rPr>
              <w:t>甲</w:t>
            </w:r>
            <w:r>
              <w:rPr>
                <w:rFonts w:hint="eastAsia" w:ascii="宋体" w:hAnsi="宋体" w:eastAsia="宋体" w:cs="宋体"/>
                <w:color w:val="auto"/>
                <w:spacing w:val="-6"/>
                <w:sz w:val="22"/>
                <w:highlight w:val="none"/>
                <w:u w:val="single"/>
              </w:rPr>
              <w:t>方</w:t>
            </w:r>
            <w:r>
              <w:rPr>
                <w:rFonts w:hint="eastAsia" w:ascii="宋体" w:hAnsi="宋体" w:eastAsia="宋体" w:cs="宋体"/>
                <w:color w:val="auto"/>
                <w:spacing w:val="-4"/>
                <w:sz w:val="22"/>
                <w:highlight w:val="none"/>
                <w:u w:val="single"/>
              </w:rPr>
              <w:t>所在地</w:t>
            </w:r>
            <w:r>
              <w:rPr>
                <w:rFonts w:hint="eastAsia" w:ascii="宋体" w:hAnsi="宋体" w:eastAsia="宋体" w:cs="宋体"/>
                <w:color w:val="auto"/>
                <w:spacing w:val="-4"/>
                <w:sz w:val="22"/>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2.3.2</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8"/>
                <w:sz w:val="22"/>
                <w:highlight w:val="none"/>
              </w:rPr>
              <w:t>具有知</w:t>
            </w:r>
            <w:r>
              <w:rPr>
                <w:rFonts w:hint="eastAsia" w:ascii="宋体" w:hAnsi="宋体" w:eastAsia="宋体" w:cs="宋体"/>
                <w:color w:val="auto"/>
                <w:spacing w:val="-5"/>
                <w:sz w:val="22"/>
                <w:highlight w:val="none"/>
              </w:rPr>
              <w:t>识</w:t>
            </w:r>
            <w:r>
              <w:rPr>
                <w:rFonts w:hint="eastAsia" w:ascii="宋体" w:hAnsi="宋体" w:eastAsia="宋体" w:cs="宋体"/>
                <w:color w:val="auto"/>
                <w:spacing w:val="-4"/>
                <w:sz w:val="22"/>
                <w:highlight w:val="none"/>
              </w:rPr>
              <w:t>产权的计算机软件等货物的知识产权归属，</w:t>
            </w:r>
            <w:r>
              <w:rPr>
                <w:rFonts w:hint="eastAsia" w:ascii="宋体" w:hAnsi="宋体" w:eastAsia="宋体" w:cs="宋体"/>
                <w:color w:val="auto"/>
                <w:spacing w:val="-4"/>
                <w:sz w:val="22"/>
                <w:highlight w:val="none"/>
                <w:u w:val="single"/>
              </w:rPr>
              <w:t>归属采购人</w:t>
            </w:r>
            <w:r>
              <w:rPr>
                <w:rFonts w:hint="eastAsia" w:ascii="宋体" w:hAnsi="宋体" w:eastAsia="宋体" w:cs="宋体"/>
                <w:color w:val="auto"/>
                <w:spacing w:val="-4"/>
                <w:sz w:val="22"/>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2.4.1</w:t>
            </w:r>
          </w:p>
        </w:tc>
        <w:tc>
          <w:tcPr>
            <w:tcW w:w="8618" w:type="dxa"/>
          </w:tcPr>
          <w:p>
            <w:pPr>
              <w:spacing w:line="360" w:lineRule="exact"/>
              <w:ind w:firstLine="11"/>
              <w:jc w:val="left"/>
              <w:rPr>
                <w:rFonts w:hint="eastAsia" w:ascii="宋体" w:hAnsi="宋体" w:eastAsia="宋体" w:cs="宋体"/>
                <w:color w:val="auto"/>
                <w:spacing w:val="4"/>
                <w:sz w:val="22"/>
                <w:highlight w:val="none"/>
              </w:rPr>
            </w:pPr>
            <w:r>
              <w:rPr>
                <w:rFonts w:hint="eastAsia" w:ascii="宋体" w:hAnsi="宋体" w:eastAsia="宋体" w:cs="宋体"/>
                <w:color w:val="auto"/>
                <w:spacing w:val="4"/>
                <w:sz w:val="22"/>
                <w:highlight w:val="none"/>
              </w:rPr>
              <w:t>除</w:t>
            </w:r>
            <w:r>
              <w:rPr>
                <w:rFonts w:hint="eastAsia" w:ascii="宋体" w:hAnsi="宋体" w:eastAsia="宋体" w:cs="宋体"/>
                <w:color w:val="auto"/>
                <w:spacing w:val="4"/>
                <w:sz w:val="22"/>
                <w:highlight w:val="none"/>
                <w:u w:val="single"/>
              </w:rPr>
              <w:t xml:space="preserve">  /   </w:t>
            </w:r>
            <w:r>
              <w:rPr>
                <w:rFonts w:hint="eastAsia" w:ascii="宋体" w:hAnsi="宋体" w:eastAsia="宋体" w:cs="宋体"/>
                <w:color w:val="auto"/>
                <w:spacing w:val="4"/>
                <w:sz w:val="22"/>
                <w:highlight w:val="none"/>
              </w:rPr>
              <w:t xml:space="preserve"> 另有约</w:t>
            </w:r>
            <w:r>
              <w:rPr>
                <w:rFonts w:hint="eastAsia" w:ascii="宋体" w:hAnsi="宋体" w:eastAsia="宋体" w:cs="宋体"/>
                <w:color w:val="auto"/>
                <w:spacing w:val="2"/>
                <w:sz w:val="22"/>
                <w:highlight w:val="none"/>
              </w:rPr>
              <w:t>定外，乙方交付的全部货物，均应采用本行业通用的方式进行包装，</w:t>
            </w:r>
            <w:r>
              <w:rPr>
                <w:rFonts w:hint="eastAsia" w:ascii="宋体" w:hAnsi="宋体" w:eastAsia="宋体" w:cs="宋体"/>
                <w:color w:val="auto"/>
                <w:spacing w:val="14"/>
                <w:sz w:val="22"/>
                <w:highlight w:val="none"/>
              </w:rPr>
              <w:t>用方式</w:t>
            </w:r>
            <w:r>
              <w:rPr>
                <w:rFonts w:hint="eastAsia" w:ascii="宋体" w:hAnsi="宋体" w:eastAsia="宋体" w:cs="宋体"/>
                <w:color w:val="auto"/>
                <w:spacing w:val="11"/>
                <w:sz w:val="22"/>
                <w:highlight w:val="none"/>
              </w:rPr>
              <w:t>的</w:t>
            </w:r>
            <w:r>
              <w:rPr>
                <w:rFonts w:hint="eastAsia" w:ascii="宋体" w:hAnsi="宋体" w:eastAsia="宋体" w:cs="宋体"/>
                <w:color w:val="auto"/>
                <w:spacing w:val="7"/>
                <w:sz w:val="22"/>
                <w:highlight w:val="none"/>
              </w:rPr>
              <w:t>，应当采取足以保护货物的包装方式，且该包装应符合国家有关包装的</w:t>
            </w:r>
            <w:r>
              <w:rPr>
                <w:rFonts w:hint="eastAsia" w:ascii="宋体" w:hAnsi="宋体" w:eastAsia="宋体" w:cs="宋体"/>
                <w:color w:val="auto"/>
                <w:sz w:val="22"/>
                <w:highlight w:val="none"/>
              </w:rPr>
              <w:t xml:space="preserve"> </w:t>
            </w:r>
            <w:r>
              <w:rPr>
                <w:rFonts w:hint="eastAsia" w:ascii="宋体" w:hAnsi="宋体" w:eastAsia="宋体" w:cs="宋体"/>
                <w:color w:val="auto"/>
                <w:spacing w:val="14"/>
                <w:sz w:val="22"/>
                <w:highlight w:val="none"/>
              </w:rPr>
              <w:t>法规的</w:t>
            </w:r>
            <w:r>
              <w:rPr>
                <w:rFonts w:hint="eastAsia" w:ascii="宋体" w:hAnsi="宋体" w:eastAsia="宋体" w:cs="宋体"/>
                <w:color w:val="auto"/>
                <w:spacing w:val="11"/>
                <w:sz w:val="22"/>
                <w:highlight w:val="none"/>
              </w:rPr>
              <w:t>规</w:t>
            </w:r>
            <w:r>
              <w:rPr>
                <w:rFonts w:hint="eastAsia" w:ascii="宋体" w:hAnsi="宋体" w:eastAsia="宋体" w:cs="宋体"/>
                <w:color w:val="auto"/>
                <w:spacing w:val="7"/>
                <w:sz w:val="22"/>
                <w:highlight w:val="none"/>
              </w:rPr>
              <w:t>定。如有必要，包装应适用于远距离运输、防潮、防震、防锈和防粗暴</w:t>
            </w:r>
            <w:r>
              <w:rPr>
                <w:rFonts w:hint="eastAsia" w:ascii="宋体" w:hAnsi="宋体" w:eastAsia="宋体" w:cs="宋体"/>
                <w:color w:val="auto"/>
                <w:sz w:val="22"/>
                <w:highlight w:val="none"/>
              </w:rPr>
              <w:t xml:space="preserve"> </w:t>
            </w:r>
            <w:r>
              <w:rPr>
                <w:rFonts w:hint="eastAsia" w:ascii="宋体" w:hAnsi="宋体" w:eastAsia="宋体" w:cs="宋体"/>
                <w:color w:val="auto"/>
                <w:spacing w:val="8"/>
                <w:sz w:val="22"/>
                <w:highlight w:val="none"/>
              </w:rPr>
              <w:t>确</w:t>
            </w:r>
            <w:r>
              <w:rPr>
                <w:rFonts w:hint="eastAsia" w:ascii="宋体" w:hAnsi="宋体" w:eastAsia="宋体" w:cs="宋体"/>
                <w:color w:val="auto"/>
                <w:spacing w:val="7"/>
                <w:sz w:val="22"/>
                <w:highlight w:val="none"/>
              </w:rPr>
              <w:t>保</w:t>
            </w:r>
            <w:r>
              <w:rPr>
                <w:rFonts w:hint="eastAsia" w:ascii="宋体" w:hAnsi="宋体" w:eastAsia="宋体" w:cs="宋体"/>
                <w:color w:val="auto"/>
                <w:spacing w:val="4"/>
                <w:sz w:val="22"/>
                <w:highlight w:val="none"/>
              </w:rPr>
              <w:t>货物安全无损地运抵现场。</w:t>
            </w:r>
          </w:p>
          <w:p>
            <w:pPr>
              <w:spacing w:line="360" w:lineRule="exact"/>
              <w:ind w:firstLine="11"/>
              <w:rPr>
                <w:rFonts w:hint="eastAsia" w:ascii="宋体" w:hAnsi="宋体" w:eastAsia="宋体" w:cs="宋体"/>
                <w:color w:val="auto"/>
                <w:sz w:val="22"/>
                <w:highlight w:val="none"/>
              </w:rPr>
            </w:pPr>
            <w:r>
              <w:rPr>
                <w:rFonts w:hint="eastAsia" w:ascii="宋体" w:hAnsi="宋体" w:eastAsia="宋体" w:cs="宋体"/>
                <w:color w:val="auto"/>
                <w:spacing w:val="-4"/>
                <w:sz w:val="22"/>
                <w:highlight w:val="none"/>
              </w:rPr>
              <w:t>由于包装不善</w:t>
            </w:r>
            <w:r>
              <w:rPr>
                <w:rFonts w:hint="eastAsia" w:ascii="宋体" w:hAnsi="宋体" w:eastAsia="宋体" w:cs="宋体"/>
                <w:color w:val="auto"/>
                <w:spacing w:val="-3"/>
                <w:sz w:val="22"/>
                <w:highlight w:val="none"/>
              </w:rPr>
              <w:t>所</w:t>
            </w:r>
            <w:r>
              <w:rPr>
                <w:rFonts w:hint="eastAsia" w:ascii="宋体" w:hAnsi="宋体" w:eastAsia="宋体" w:cs="宋体"/>
                <w:color w:val="auto"/>
                <w:spacing w:val="-2"/>
                <w:sz w:val="22"/>
                <w:highlight w:val="none"/>
              </w:rPr>
              <w:t>引起的货物锈蚀、损坏和损失等一切风险均由乙方承担。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2.4.2</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14"/>
                <w:sz w:val="22"/>
                <w:highlight w:val="none"/>
              </w:rPr>
              <w:t>装</w:t>
            </w:r>
            <w:r>
              <w:rPr>
                <w:rFonts w:hint="eastAsia" w:ascii="宋体" w:hAnsi="宋体" w:eastAsia="宋体" w:cs="宋体"/>
                <w:color w:val="auto"/>
                <w:spacing w:val="-9"/>
                <w:sz w:val="22"/>
                <w:highlight w:val="none"/>
              </w:rPr>
              <w:t>运</w:t>
            </w:r>
            <w:r>
              <w:rPr>
                <w:rFonts w:hint="eastAsia" w:ascii="宋体" w:hAnsi="宋体" w:eastAsia="宋体" w:cs="宋体"/>
                <w:color w:val="auto"/>
                <w:spacing w:val="-7"/>
                <w:sz w:val="22"/>
                <w:highlight w:val="none"/>
              </w:rPr>
              <w:t xml:space="preserve">货物的要求和通知， </w:t>
            </w:r>
            <w:r>
              <w:rPr>
                <w:rFonts w:hint="eastAsia" w:ascii="宋体" w:hAnsi="宋体" w:eastAsia="宋体" w:cs="宋体"/>
                <w:color w:val="auto"/>
                <w:spacing w:val="-7"/>
                <w:sz w:val="22"/>
                <w:highlight w:val="none"/>
                <w:u w:val="single"/>
              </w:rPr>
              <w:t>按甲方要求</w:t>
            </w:r>
            <w:r>
              <w:rPr>
                <w:rFonts w:hint="eastAsia" w:ascii="宋体" w:hAnsi="宋体" w:eastAsia="宋体" w:cs="宋体"/>
                <w:color w:val="auto"/>
                <w:spacing w:val="-7"/>
                <w:sz w:val="22"/>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1144" w:type="dxa"/>
            <w:tcBorders>
              <w:left w:val="single" w:color="auto" w:sz="4" w:space="0"/>
            </w:tcBorders>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2.8</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4"/>
                <w:sz w:val="22"/>
                <w:highlight w:val="none"/>
              </w:rPr>
              <w:t>货物或者在途货物或者</w:t>
            </w:r>
            <w:r>
              <w:rPr>
                <w:rFonts w:hint="eastAsia" w:ascii="宋体" w:hAnsi="宋体" w:eastAsia="宋体" w:cs="宋体"/>
                <w:color w:val="auto"/>
                <w:spacing w:val="-2"/>
                <w:sz w:val="22"/>
                <w:highlight w:val="none"/>
              </w:rPr>
              <w:t xml:space="preserve">交付给第一承运人后的货物毁损、灭失的风险负担 </w:t>
            </w:r>
            <w:r>
              <w:rPr>
                <w:rFonts w:hint="eastAsia" w:ascii="宋体" w:hAnsi="宋体" w:eastAsia="宋体" w:cs="宋体"/>
                <w:color w:val="auto"/>
                <w:spacing w:val="-2"/>
                <w:sz w:val="22"/>
                <w:highlight w:val="none"/>
                <w:u w:val="single"/>
              </w:rPr>
              <w:t>均由乙</w:t>
            </w:r>
            <w:r>
              <w:rPr>
                <w:rFonts w:hint="eastAsia" w:ascii="宋体" w:hAnsi="宋体" w:eastAsia="宋体" w:cs="宋体"/>
                <w:color w:val="auto"/>
                <w:spacing w:val="-5"/>
                <w:sz w:val="22"/>
                <w:highlight w:val="none"/>
                <w:u w:val="single"/>
              </w:rPr>
              <w:t>方</w:t>
            </w:r>
            <w:r>
              <w:rPr>
                <w:rFonts w:hint="eastAsia" w:ascii="宋体" w:hAnsi="宋体" w:eastAsia="宋体" w:cs="宋体"/>
                <w:color w:val="auto"/>
                <w:spacing w:val="-4"/>
                <w:sz w:val="22"/>
                <w:highlight w:val="none"/>
                <w:u w:val="single"/>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2.12.3</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12"/>
                <w:sz w:val="22"/>
                <w:highlight w:val="none"/>
              </w:rPr>
              <w:t>因不</w:t>
            </w:r>
            <w:r>
              <w:rPr>
                <w:rFonts w:hint="eastAsia" w:ascii="宋体" w:hAnsi="宋体" w:eastAsia="宋体" w:cs="宋体"/>
                <w:color w:val="auto"/>
                <w:spacing w:val="-8"/>
                <w:sz w:val="22"/>
                <w:highlight w:val="none"/>
              </w:rPr>
              <w:t>可</w:t>
            </w:r>
            <w:r>
              <w:rPr>
                <w:rFonts w:hint="eastAsia" w:ascii="宋体" w:hAnsi="宋体" w:eastAsia="宋体" w:cs="宋体"/>
                <w:color w:val="auto"/>
                <w:spacing w:val="-6"/>
                <w:sz w:val="22"/>
                <w:highlight w:val="none"/>
              </w:rPr>
              <w:t xml:space="preserve">抗力致使合同有变更必要的，双方当事人应在 </w:t>
            </w:r>
            <w:r>
              <w:rPr>
                <w:rFonts w:hint="eastAsia" w:ascii="宋体" w:hAnsi="宋体" w:eastAsia="宋体" w:cs="宋体"/>
                <w:color w:val="auto"/>
                <w:spacing w:val="-6"/>
                <w:sz w:val="22"/>
                <w:highlight w:val="none"/>
                <w:u w:val="single"/>
              </w:rPr>
              <w:t xml:space="preserve"> /</w:t>
            </w:r>
            <w:r>
              <w:rPr>
                <w:rFonts w:hint="eastAsia" w:ascii="宋体" w:hAnsi="宋体" w:eastAsia="宋体" w:cs="宋体"/>
                <w:color w:val="auto"/>
                <w:spacing w:val="-6"/>
                <w:sz w:val="22"/>
                <w:highlight w:val="none"/>
              </w:rPr>
              <w:t>约定时间内以书面形式变更</w:t>
            </w:r>
            <w:r>
              <w:rPr>
                <w:rFonts w:hint="eastAsia" w:ascii="宋体" w:hAnsi="宋体" w:eastAsia="宋体" w:cs="宋体"/>
                <w:color w:val="auto"/>
                <w:spacing w:val="-19"/>
                <w:sz w:val="22"/>
                <w:highlight w:val="none"/>
              </w:rPr>
              <w:t>合</w:t>
            </w:r>
            <w:r>
              <w:rPr>
                <w:rFonts w:hint="eastAsia" w:ascii="宋体" w:hAnsi="宋体" w:eastAsia="宋体" w:cs="宋体"/>
                <w:color w:val="auto"/>
                <w:spacing w:val="-16"/>
                <w:sz w:val="22"/>
                <w:highlight w:val="none"/>
              </w:rPr>
              <w:t>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2.12.4</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4"/>
                <w:sz w:val="22"/>
                <w:highlight w:val="none"/>
              </w:rPr>
              <w:t>受不可抗力影响的一方在不可</w:t>
            </w:r>
            <w:r>
              <w:rPr>
                <w:rFonts w:hint="eastAsia" w:ascii="宋体" w:hAnsi="宋体" w:eastAsia="宋体" w:cs="宋体"/>
                <w:color w:val="auto"/>
                <w:spacing w:val="-2"/>
                <w:sz w:val="22"/>
                <w:highlight w:val="none"/>
              </w:rPr>
              <w:t xml:space="preserve">抗力发生后，应在 </w:t>
            </w:r>
            <w:r>
              <w:rPr>
                <w:rFonts w:hint="eastAsia" w:ascii="宋体" w:hAnsi="宋体" w:eastAsia="宋体" w:cs="宋体"/>
                <w:color w:val="auto"/>
                <w:spacing w:val="-2"/>
                <w:sz w:val="22"/>
                <w:highlight w:val="none"/>
                <w:u w:val="single"/>
              </w:rPr>
              <w:t>7 天</w:t>
            </w:r>
            <w:r>
              <w:rPr>
                <w:rFonts w:hint="eastAsia" w:ascii="宋体" w:hAnsi="宋体" w:eastAsia="宋体" w:cs="宋体"/>
                <w:color w:val="auto"/>
                <w:spacing w:val="-2"/>
                <w:sz w:val="22"/>
                <w:highlight w:val="none"/>
              </w:rPr>
              <w:t xml:space="preserve"> 内以书面形式通知对方当事</w:t>
            </w:r>
            <w:r>
              <w:rPr>
                <w:rFonts w:hint="eastAsia" w:ascii="宋体" w:hAnsi="宋体" w:eastAsia="宋体" w:cs="宋体"/>
                <w:color w:val="auto"/>
                <w:spacing w:val="-10"/>
                <w:sz w:val="22"/>
                <w:highlight w:val="none"/>
              </w:rPr>
              <w:t>人，并</w:t>
            </w:r>
            <w:r>
              <w:rPr>
                <w:rFonts w:hint="eastAsia" w:ascii="宋体" w:hAnsi="宋体" w:eastAsia="宋体" w:cs="宋体"/>
                <w:color w:val="auto"/>
                <w:spacing w:val="-7"/>
                <w:sz w:val="22"/>
                <w:highlight w:val="none"/>
              </w:rPr>
              <w:t>在</w:t>
            </w:r>
            <w:r>
              <w:rPr>
                <w:rFonts w:hint="eastAsia" w:ascii="宋体" w:hAnsi="宋体" w:eastAsia="宋体" w:cs="宋体"/>
                <w:color w:val="auto"/>
                <w:spacing w:val="-5"/>
                <w:sz w:val="22"/>
                <w:highlight w:val="none"/>
              </w:rPr>
              <w:t xml:space="preserve"> </w:t>
            </w:r>
            <w:r>
              <w:rPr>
                <w:rFonts w:hint="eastAsia" w:ascii="宋体" w:hAnsi="宋体" w:eastAsia="宋体" w:cs="宋体"/>
                <w:color w:val="auto"/>
                <w:spacing w:val="-5"/>
                <w:sz w:val="22"/>
                <w:highlight w:val="none"/>
                <w:u w:val="single"/>
              </w:rPr>
              <w:t>7 天</w:t>
            </w:r>
            <w:r>
              <w:rPr>
                <w:rFonts w:hint="eastAsia" w:ascii="宋体" w:hAnsi="宋体" w:eastAsia="宋体" w:cs="宋体"/>
                <w:color w:val="auto"/>
                <w:spacing w:val="-5"/>
                <w:sz w:val="22"/>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44" w:type="dxa"/>
            <w:tcBorders>
              <w:lef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2.16.3</w:t>
            </w:r>
          </w:p>
        </w:tc>
        <w:tc>
          <w:tcPr>
            <w:tcW w:w="8618" w:type="dxa"/>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pacing w:val="-2"/>
                <w:sz w:val="22"/>
                <w:highlight w:val="none"/>
              </w:rPr>
              <w:t>以采购内容技术要求及投标人投标响应标准</w:t>
            </w:r>
            <w:r>
              <w:rPr>
                <w:rFonts w:hint="eastAsia" w:ascii="宋体" w:hAnsi="宋体" w:eastAsia="宋体" w:cs="宋体"/>
                <w:color w:val="auto"/>
                <w:spacing w:val="-1"/>
                <w:sz w:val="22"/>
                <w:highlight w:val="none"/>
              </w:rPr>
              <w:t>执</w:t>
            </w:r>
            <w:r>
              <w:rPr>
                <w:rFonts w:hint="eastAsia" w:ascii="宋体" w:hAnsi="宋体" w:eastAsia="宋体" w:cs="宋体"/>
                <w:color w:val="auto"/>
                <w:sz w:val="22"/>
                <w:highlight w:val="none"/>
              </w:rPr>
              <w:t>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44" w:type="dxa"/>
            <w:tcBorders>
              <w:left w:val="single" w:color="auto" w:sz="4" w:space="0"/>
            </w:tcBorders>
            <w:vAlign w:val="center"/>
          </w:tcPr>
          <w:p>
            <w:pPr>
              <w:spacing w:line="360" w:lineRule="exact"/>
              <w:ind w:firstLine="220" w:firstLineChars="100"/>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highlight w:val="none"/>
              </w:rPr>
              <w:t>2.2</w:t>
            </w:r>
            <w:r>
              <w:rPr>
                <w:rFonts w:hint="eastAsia" w:ascii="宋体" w:hAnsi="宋体" w:eastAsia="宋体" w:cs="宋体"/>
                <w:color w:val="auto"/>
                <w:sz w:val="22"/>
                <w:highlight w:val="none"/>
                <w:lang w:val="en-US" w:eastAsia="zh-CN"/>
              </w:rPr>
              <w:t>1</w:t>
            </w:r>
          </w:p>
        </w:tc>
        <w:tc>
          <w:tcPr>
            <w:tcW w:w="8618" w:type="dxa"/>
            <w:vAlign w:val="center"/>
          </w:tcPr>
          <w:p>
            <w:pPr>
              <w:spacing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4"/>
                <w:sz w:val="22"/>
                <w:highlight w:val="none"/>
              </w:rPr>
              <w:t>一</w:t>
            </w:r>
            <w:r>
              <w:rPr>
                <w:rFonts w:hint="eastAsia" w:ascii="宋体" w:hAnsi="宋体" w:eastAsia="宋体" w:cs="宋体"/>
                <w:color w:val="auto"/>
                <w:spacing w:val="-2"/>
                <w:sz w:val="22"/>
                <w:highlight w:val="none"/>
              </w:rPr>
              <w:t>式七份，双方各执三份，一份由代理机构备案使用。</w:t>
            </w:r>
          </w:p>
        </w:tc>
      </w:tr>
    </w:tbl>
    <w:p>
      <w:pPr>
        <w:spacing w:line="360" w:lineRule="exact"/>
        <w:ind w:firstLine="480" w:firstLineChars="200"/>
        <w:rPr>
          <w:rFonts w:hint="eastAsia" w:ascii="宋体" w:hAnsi="宋体" w:eastAsia="宋体" w:cs="宋体"/>
          <w:color w:val="auto"/>
          <w:sz w:val="24"/>
          <w:highlight w:val="none"/>
        </w:rPr>
      </w:pPr>
    </w:p>
    <w:p>
      <w:pPr>
        <w:spacing w:line="560" w:lineRule="exact"/>
        <w:jc w:val="center"/>
        <w:rPr>
          <w:rFonts w:hint="eastAsia" w:ascii="宋体" w:hAnsi="宋体" w:eastAsia="宋体" w:cs="宋体"/>
          <w:color w:val="auto"/>
          <w:sz w:val="44"/>
          <w:szCs w:val="44"/>
          <w:highlight w:val="none"/>
        </w:rPr>
      </w:pPr>
    </w:p>
    <w:p>
      <w:pPr>
        <w:spacing w:line="560" w:lineRule="exact"/>
        <w:jc w:val="center"/>
        <w:rPr>
          <w:rFonts w:hint="eastAsia" w:ascii="宋体" w:hAnsi="宋体" w:eastAsia="宋体" w:cs="宋体"/>
          <w:color w:val="auto"/>
          <w:sz w:val="44"/>
          <w:szCs w:val="44"/>
          <w:highlight w:val="none"/>
        </w:rPr>
      </w:pPr>
    </w:p>
    <w:p>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pPr>
        <w:spacing w:line="56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保密协议书（参考格式）</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（公安机关单位名称）</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（合作单位名称）</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为确保公安机关提供的人员、设备等信息在使用、管理中的安全保密，根据《公安机关**工作秘密具体范围的规定》等法律规定，现就相关保密事宜达成如下协议：</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公安机关依法强制采集的社会信息及公安内部单位信息为**工作秘密。为促进社会管理工作，对外提供的任何信息及公民个人隐私，乙方确保在使用、管理甲方提供的信息过程中采取同等强度的保密措施，并对所知信息承担同等的法律责任和义务。</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二、未经甲方许可，乙方不得将从甲方获取的任何信息向第三方机构、个人提供或与第三方机构、个人共享。并对该专有信息提供管理良好的安全保密措施。</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三、乙方由甲方获取的任何信息在使用、管理中不得泄露信息来源。</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四、乙方为完成项目工作，承诺查询到与甲方告知的任何信息仅限于此专项工作中使用，不得向任何其他团体、个人透露相关信息。</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五、甲方有权加强对乙方及参与本项目工作员工的安全保密监管，及时发现安全保密隐患和问题。乙方应配合甲方对乙方有关人员进行审查、教育培训，及时调整不合适的人员。</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六、乙方必须在签定本保密协议后，才可使用甲方提供的有关专有信息，建设“</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七、建设涉密信息系统，乙方须具有国家保密工作部门核发的《资质证书》作为附件，制定甲方认可的安全保密管理方案，并采用适当的安全保密技术和措施对涉密系统进行集成。</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乙方不能将甲方的专有信息用于其它任何目的。除乙方直接参与本项工程的职员之外，不将专有信息透露给其它任何人。乙方及其参与本项工作的员工严禁在系统建设中私设“后门”，非法访问系统。否则，将追究乙方的刑事责任。乙方应当告知并采取有效措施要求参与本项工作的员工遵守本协议规定。</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九、乙方发现保密范围内的有关事项已经泄露或可能泄露时应当报告甲方，并及时采取补救措施。</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十、当甲方要求乙方交回专有信息时，乙方应当立即交回所有书面的或其他形式的专有信息以及所有描述和概括该专有信息的文件资料，不能以任何形式保留或擅自处理。</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十一、乙方或参与本项工作之员工违反本协议规定，造成泄密事件，乙方应承担有关法律责任，并赔偿相应经济损失（详见主合同保密条款）。</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自本协议生效之日起，双方的合作交流都要符合本协议的条款。除非甲方通过书面通知明确说明对本协议所涉及的某项专有信息予以解密或同意共享，乙方必须按照本协议所承担的保密义务对在建设本系统中掌握的专有信息进行保密，保密期限为永久并不受本协议有效期限的限制。</w:t>
      </w:r>
    </w:p>
    <w:p>
      <w:pPr>
        <w:adjustRightIn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十三、本协议双方签字盖章后生效。本协议一式贰份，甲乙双方各执一份。</w:t>
      </w:r>
    </w:p>
    <w:p>
      <w:pPr>
        <w:spacing w:line="560" w:lineRule="exact"/>
        <w:ind w:left="-420" w:leftChars="-200" w:right="-420" w:rightChars="-200" w:firstLine="480" w:firstLineChars="200"/>
        <w:rPr>
          <w:rFonts w:hint="eastAsia" w:ascii="宋体" w:hAnsi="宋体" w:eastAsia="宋体" w:cs="宋体"/>
          <w:color w:val="auto"/>
          <w:sz w:val="24"/>
          <w:highlight w:val="none"/>
        </w:rPr>
      </w:pPr>
    </w:p>
    <w:p>
      <w:pPr>
        <w:spacing w:line="560" w:lineRule="exact"/>
        <w:ind w:left="-420" w:leftChars="-200" w:right="-420" w:rightChars="-200" w:firstLine="480" w:firstLineChars="200"/>
        <w:rPr>
          <w:rFonts w:hint="eastAsia" w:ascii="宋体" w:hAnsi="宋体" w:eastAsia="宋体" w:cs="宋体"/>
          <w:color w:val="auto"/>
          <w:sz w:val="24"/>
          <w:highlight w:val="none"/>
        </w:rPr>
      </w:pPr>
    </w:p>
    <w:p>
      <w:pPr>
        <w:spacing w:line="560" w:lineRule="exact"/>
        <w:ind w:left="-420" w:leftChars="-200" w:right="-420" w:rightChars="-200" w:firstLine="480" w:firstLineChars="200"/>
        <w:rPr>
          <w:rFonts w:hint="eastAsia" w:ascii="宋体" w:hAnsi="宋体" w:eastAsia="宋体" w:cs="宋体"/>
          <w:color w:val="auto"/>
          <w:sz w:val="24"/>
          <w:highlight w:val="none"/>
        </w:rPr>
      </w:pPr>
    </w:p>
    <w:p>
      <w:pP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pPr>
        <w:spacing w:line="560" w:lineRule="exact"/>
        <w:ind w:left="-420" w:leftChars="-200" w:right="-420" w:rightChars="-200" w:firstLine="480" w:firstLineChars="200"/>
        <w:rPr>
          <w:rFonts w:hint="eastAsia" w:ascii="宋体" w:hAnsi="宋体" w:eastAsia="宋体" w:cs="宋体"/>
          <w:color w:val="auto"/>
          <w:sz w:val="24"/>
          <w:highlight w:val="none"/>
        </w:rPr>
      </w:pPr>
    </w:p>
    <w:p>
      <w:pP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授权代表签字：                授权代表签字：</w:t>
      </w:r>
    </w:p>
    <w:p>
      <w:pPr>
        <w:spacing w:line="560" w:lineRule="exact"/>
        <w:ind w:left="-420" w:leftChars="-200" w:right="-420" w:rightChars="-200" w:firstLine="480" w:firstLineChars="200"/>
        <w:rPr>
          <w:rFonts w:hint="eastAsia" w:ascii="宋体" w:hAnsi="宋体" w:eastAsia="宋体" w:cs="宋体"/>
          <w:color w:val="auto"/>
          <w:sz w:val="24"/>
          <w:highlight w:val="none"/>
        </w:rPr>
      </w:pPr>
    </w:p>
    <w:p>
      <w:pP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pPr>
        <w:spacing w:line="360" w:lineRule="exact"/>
        <w:ind w:left="27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p>
    <w:p>
      <w:pPr>
        <w:tabs>
          <w:tab w:val="left" w:pos="4286"/>
        </w:tabs>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p>
    <w:p>
      <w:pPr>
        <w:rPr>
          <w:rFonts w:hint="eastAsia" w:ascii="宋体" w:hAnsi="宋体" w:eastAsia="宋体" w:cs="宋体"/>
          <w:b/>
          <w:color w:val="auto"/>
          <w:sz w:val="32"/>
          <w:highlight w:val="none"/>
        </w:rPr>
      </w:pPr>
    </w:p>
    <w:p>
      <w:pPr>
        <w:pStyle w:val="2"/>
        <w:rPr>
          <w:rFonts w:hint="eastAsia"/>
          <w:color w:val="auto"/>
          <w:highlight w:val="none"/>
        </w:rPr>
      </w:pPr>
    </w:p>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tabs>
          <w:tab w:val="left" w:pos="4286"/>
        </w:tabs>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第四部分    附件</w:t>
      </w:r>
    </w:p>
    <w:p>
      <w:pPr>
        <w:snapToGrid w:val="0"/>
        <w:spacing w:before="120" w:beforeLines="50" w:after="50"/>
        <w:jc w:val="center"/>
        <w:outlineLvl w:val="1"/>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一、报价文件部分格式</w:t>
      </w: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t>投标报价文件封面格式：</w:t>
      </w:r>
    </w:p>
    <w:p>
      <w:pPr>
        <w:snapToGrid w:val="0"/>
        <w:spacing w:line="400" w:lineRule="exact"/>
        <w:jc w:val="both"/>
        <w:outlineLvl w:val="1"/>
        <w:rPr>
          <w:rFonts w:hint="eastAsia" w:ascii="宋体" w:hAnsi="宋体" w:eastAsia="宋体" w:cs="宋体"/>
          <w:b/>
          <w:bCs/>
          <w:color w:val="auto"/>
          <w:sz w:val="24"/>
          <w:szCs w:val="20"/>
          <w:highlight w:val="none"/>
        </w:rPr>
      </w:pPr>
    </w:p>
    <w:p>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ind w:left="-850" w:leftChars="-405"/>
                              <w:rPr>
                                <w:rFonts w:ascii="宋体" w:hAnsi="宋体"/>
                                <w:sz w:val="24"/>
                                <w:szCs w:val="20"/>
                              </w:rPr>
                            </w:pPr>
                          </w:p>
                          <w:p>
                            <w:pPr>
                              <w:pStyle w:val="30"/>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lang w:eastAsia="zh-CN"/>
                              </w:rPr>
                              <w:t>标项名称</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hint="eastAsia" w:ascii="宋体" w:hAnsi="宋体"/>
                                <w:bCs/>
                                <w:sz w:val="24"/>
                                <w:lang w:val="en-US" w:eastAsia="zh-CN"/>
                              </w:rPr>
                            </w:pPr>
                            <w:r>
                              <w:rPr>
                                <w:rFonts w:hint="eastAsia" w:ascii="宋体" w:hAnsi="宋体"/>
                                <w:bCs/>
                                <w:sz w:val="24"/>
                                <w:lang w:val="en-US" w:eastAsia="zh-CN"/>
                              </w:rPr>
                              <w:t>标项名称：</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BMMyBgAAgAAOAQAAA4AAABkcnMvZTJvRG9jLnhtbK1T yW7bMBC9F+g/ELzXUhw7SQXLQVvXvRRdkPYDxlwkAtxA0pb89x1SjrO0Bx+qAzUcPr6ZeTNc3Y9G k4MIUTnb0qtZTYmwzHFlu5b+/rV9d0dJTGA5aGdFS48i0vv12zerwTdi7nqnuQgESWxsBt/SPiXf VFVkvTAQZ84Li4fSBQMJt6GreIAB2Y2u5nV9Uw0ucB8cEzGidzMd0hNjuITQSamY2Di2N8KmiTUI DQlLir3yka5LtlIKlr5LGUUiuqVYaSorBkF7l9dqvYKmC+B7xU4pwCUpvKrJgLIY9Ey1gQRkH9Rf VEax4KKTacacqaZCiiJYxVX9SpuHHrwotaDU0Z9Fj/+Pln07/AhE8ZbeUmLBYMN/7oGTDyG4gcyz PoOPDcIePALT+NGNODWP/ojOXPYog8l/LIjgOap7PKsrxkQYOpf17c3dfEkJw7Pr68ViuVhmnurp ug8xfRHOkGy0NGD7iqpw+BrTBH2E5GjRacW3SuuyCd3ukw7kANjqbflO7C9g2pKhpe+XJRHA+ZU4 N5iT8ahBtF2J9+JGfE5cl+9fxDmxDcR+SqAwZBg0RiURitUL4J8tJ+noUWeLz4vmZIzglGiBrzFb BZlA6UuQqJ22KGHu0dSLbKVxNyJNNneOH7Fvex9U16OkpXMFjgNVtD8Nf57Y5/tC+vTg138A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cgQAAFtD b250ZW50X1R5cGVzXS54bWxQSwECFAAKAAAAAACHTuJAAAAAAAAAAAAAAAAABgAAAAAAAAAAABAA AABUAwAAX3JlbHMvUEsBAhQAFAAAAAgAh07iQIoUZjzRAAAAlAEAAAsAAAAAAAAAAQAgAAAAeAMA AF9yZWxzLy5yZWxzUEsBAhQACgAAAAAAh07iQAAAAAAAAAAAAAAAAAQAAAAAAAAAAAAQAAAAAAAA AGRycy9QSwECFAAUAAAACACHTuJAM6LEN9kAAAAJAQAADwAAAAAAAAABACAAAAAiAAAAZHJzL2Rv d25yZXYueG1sUEsBAhQAFAAAAAgAh07iQBMMyBgAAgAAOAQAAA4AAAAAAAAAAQAgAAAAKAEAAGRy cy9lMm9Eb2MueG1sUEsFBgAAAAAGAAYAWQEAAJoFAAAAAA== ">
                <v:fill on="t" focussize="0,0"/>
                <v:stroke color="#000000" joinstyle="miter"/>
                <v:imagedata o:title=""/>
                <o:lock v:ext="edit" aspectratio="f"/>
                <v:textbox>
                  <w:txbxContent>
                    <w:p>
                      <w:pPr>
                        <w:snapToGrid w:val="0"/>
                        <w:spacing w:before="120" w:beforeLines="50" w:after="50"/>
                        <w:ind w:left="-850" w:leftChars="-405"/>
                        <w:rPr>
                          <w:rFonts w:ascii="宋体" w:hAnsi="宋体"/>
                          <w:sz w:val="24"/>
                          <w:szCs w:val="20"/>
                        </w:rPr>
                      </w:pPr>
                    </w:p>
                    <w:p>
                      <w:pPr>
                        <w:pStyle w:val="30"/>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lang w:eastAsia="zh-CN"/>
                        </w:rPr>
                        <w:t>标项名称</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hint="eastAsia" w:ascii="宋体" w:hAnsi="宋体"/>
                          <w:bCs/>
                          <w:sz w:val="24"/>
                          <w:lang w:val="en-US" w:eastAsia="zh-CN"/>
                        </w:rPr>
                      </w:pPr>
                      <w:r>
                        <w:rPr>
                          <w:rFonts w:hint="eastAsia" w:ascii="宋体" w:hAnsi="宋体"/>
                          <w:bCs/>
                          <w:sz w:val="24"/>
                          <w:lang w:val="en-US" w:eastAsia="zh-CN"/>
                        </w:rPr>
                        <w:t>标项名称：</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hint="eastAsia" w:ascii="宋体" w:hAnsi="宋体" w:eastAsia="宋体" w:cs="宋体"/>
          <w:color w:val="auto"/>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w:t>
      </w:r>
    </w:p>
    <w:p>
      <w:pPr>
        <w:spacing w:line="400" w:lineRule="exact"/>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开标一览表</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标项1</w:t>
      </w:r>
      <w:r>
        <w:rPr>
          <w:rFonts w:hint="eastAsia" w:ascii="宋体" w:hAnsi="宋体" w:cs="宋体"/>
          <w:b/>
          <w:color w:val="auto"/>
          <w:sz w:val="28"/>
          <w:szCs w:val="28"/>
          <w:highlight w:val="none"/>
          <w:lang w:eastAsia="zh-CN"/>
        </w:rPr>
        <w:t>）</w:t>
      </w:r>
    </w:p>
    <w:p>
      <w:pPr>
        <w:spacing w:line="400" w:lineRule="exact"/>
        <w:rPr>
          <w:rFonts w:hint="eastAsia" w:ascii="宋体" w:hAnsi="宋体" w:eastAsia="宋体" w:cs="宋体"/>
          <w:color w:val="auto"/>
          <w:sz w:val="22"/>
          <w:highlight w:val="none"/>
          <w:lang w:val="en-US" w:eastAsia="zh-CN"/>
        </w:rPr>
      </w:pP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标项</w:t>
      </w:r>
      <w:r>
        <w:rPr>
          <w:rFonts w:hint="eastAsia" w:ascii="宋体" w:hAnsi="宋体" w:eastAsia="宋体" w:cs="宋体"/>
          <w:color w:val="auto"/>
          <w:sz w:val="22"/>
          <w:highlight w:val="none"/>
        </w:rPr>
        <w:t>名称：</w:t>
      </w:r>
      <w:r>
        <w:rPr>
          <w:rFonts w:hint="eastAsia" w:ascii="宋体" w:hAnsi="宋体" w:eastAsia="宋体" w:cs="宋体"/>
          <w:b w:val="0"/>
          <w:bCs/>
          <w:color w:val="auto"/>
          <w:sz w:val="22"/>
          <w:szCs w:val="22"/>
          <w:highlight w:val="none"/>
        </w:rPr>
        <w:t>2022年温州市交管信控系统项目</w:t>
      </w:r>
      <w:r>
        <w:rPr>
          <w:rFonts w:hint="eastAsia" w:ascii="宋体" w:hAnsi="宋体" w:eastAsia="宋体" w:cs="宋体"/>
          <w:color w:val="auto"/>
          <w:sz w:val="22"/>
          <w:highlight w:val="none"/>
        </w:rPr>
        <w:t xml:space="preserve">                                 单位：人民币（元） </w:t>
      </w:r>
    </w:p>
    <w:tbl>
      <w:tblPr>
        <w:tblStyle w:val="31"/>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463"/>
        <w:gridCol w:w="1116"/>
        <w:gridCol w:w="904"/>
        <w:gridCol w:w="1813"/>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pStyle w:val="16"/>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463" w:type="dxa"/>
            <w:vAlign w:val="center"/>
          </w:tcPr>
          <w:p>
            <w:pPr>
              <w:pStyle w:val="16"/>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报价内容</w:t>
            </w:r>
          </w:p>
        </w:tc>
        <w:tc>
          <w:tcPr>
            <w:tcW w:w="1116" w:type="dxa"/>
            <w:vAlign w:val="center"/>
          </w:tcPr>
          <w:p>
            <w:pPr>
              <w:pStyle w:val="16"/>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904" w:type="dxa"/>
            <w:vAlign w:val="center"/>
          </w:tcPr>
          <w:p>
            <w:pPr>
              <w:pStyle w:val="16"/>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1813" w:type="dxa"/>
            <w:vAlign w:val="center"/>
          </w:tcPr>
          <w:p>
            <w:pPr>
              <w:pStyle w:val="16"/>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投标报价</w:t>
            </w:r>
          </w:p>
        </w:tc>
        <w:tc>
          <w:tcPr>
            <w:tcW w:w="1513" w:type="dxa"/>
            <w:vAlign w:val="center"/>
          </w:tcPr>
          <w:p>
            <w:pPr>
              <w:pStyle w:val="16"/>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spacing w:line="34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2463" w:type="dxa"/>
            <w:vAlign w:val="center"/>
          </w:tcPr>
          <w:p>
            <w:pPr>
              <w:spacing w:line="40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SCATS信号项目系统设备部分</w:t>
            </w:r>
          </w:p>
        </w:tc>
        <w:tc>
          <w:tcPr>
            <w:tcW w:w="1116" w:type="dxa"/>
            <w:vAlign w:val="center"/>
          </w:tcPr>
          <w:p>
            <w:pPr>
              <w:spacing w:line="40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项</w:t>
            </w:r>
          </w:p>
        </w:tc>
        <w:tc>
          <w:tcPr>
            <w:tcW w:w="904" w:type="dxa"/>
            <w:vAlign w:val="center"/>
          </w:tcPr>
          <w:p>
            <w:pPr>
              <w:spacing w:line="40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1813" w:type="dxa"/>
            <w:vAlign w:val="center"/>
          </w:tcPr>
          <w:p>
            <w:pPr>
              <w:pStyle w:val="16"/>
              <w:spacing w:line="400" w:lineRule="exact"/>
              <w:jc w:val="center"/>
              <w:rPr>
                <w:rFonts w:hint="eastAsia" w:ascii="宋体" w:hAnsi="宋体" w:eastAsia="宋体" w:cs="宋体"/>
                <w:color w:val="auto"/>
                <w:sz w:val="22"/>
                <w:highlight w:val="none"/>
              </w:rPr>
            </w:pPr>
          </w:p>
        </w:tc>
        <w:tc>
          <w:tcPr>
            <w:tcW w:w="1513" w:type="dxa"/>
            <w:vAlign w:val="center"/>
          </w:tcPr>
          <w:p>
            <w:pPr>
              <w:pStyle w:val="16"/>
              <w:spacing w:line="40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spacing w:line="34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w:t>
            </w:r>
          </w:p>
        </w:tc>
        <w:tc>
          <w:tcPr>
            <w:tcW w:w="2463" w:type="dxa"/>
            <w:vAlign w:val="center"/>
          </w:tcPr>
          <w:p>
            <w:pPr>
              <w:spacing w:line="40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SCATS信号项目基础土建部分</w:t>
            </w:r>
          </w:p>
        </w:tc>
        <w:tc>
          <w:tcPr>
            <w:tcW w:w="1116" w:type="dxa"/>
            <w:vAlign w:val="center"/>
          </w:tcPr>
          <w:p>
            <w:pPr>
              <w:spacing w:line="40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项</w:t>
            </w:r>
          </w:p>
        </w:tc>
        <w:tc>
          <w:tcPr>
            <w:tcW w:w="904" w:type="dxa"/>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highlight w:val="none"/>
                <w:lang w:val="en-US" w:eastAsia="zh-CN"/>
              </w:rPr>
              <w:t>1</w:t>
            </w:r>
          </w:p>
        </w:tc>
        <w:tc>
          <w:tcPr>
            <w:tcW w:w="1813" w:type="dxa"/>
            <w:vAlign w:val="center"/>
          </w:tcPr>
          <w:p>
            <w:pPr>
              <w:pStyle w:val="16"/>
              <w:spacing w:line="400" w:lineRule="exact"/>
              <w:jc w:val="center"/>
              <w:rPr>
                <w:rFonts w:hint="eastAsia" w:ascii="宋体" w:hAnsi="宋体" w:eastAsia="宋体" w:cs="宋体"/>
                <w:color w:val="auto"/>
                <w:sz w:val="22"/>
                <w:highlight w:val="none"/>
              </w:rPr>
            </w:pPr>
          </w:p>
        </w:tc>
        <w:tc>
          <w:tcPr>
            <w:tcW w:w="1513" w:type="dxa"/>
            <w:vAlign w:val="center"/>
          </w:tcPr>
          <w:p>
            <w:pPr>
              <w:pStyle w:val="16"/>
              <w:spacing w:line="40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5" w:type="dxa"/>
            <w:vAlign w:val="center"/>
          </w:tcPr>
          <w:p>
            <w:pPr>
              <w:pStyle w:val="16"/>
              <w:spacing w:line="400" w:lineRule="exact"/>
              <w:jc w:val="center"/>
              <w:rPr>
                <w:rFonts w:hint="eastAsia" w:ascii="宋体" w:hAnsi="宋体" w:eastAsia="宋体" w:cs="宋体"/>
                <w:color w:val="auto"/>
                <w:sz w:val="22"/>
                <w:highlight w:val="none"/>
              </w:rPr>
            </w:pPr>
            <w:r>
              <w:rPr>
                <w:rFonts w:hint="eastAsia" w:ascii="宋体" w:hAnsi="宋体" w:eastAsia="宋体" w:cs="宋体"/>
                <w:b/>
                <w:color w:val="auto"/>
                <w:sz w:val="22"/>
                <w:highlight w:val="none"/>
              </w:rPr>
              <w:t>投标总报价（元）</w:t>
            </w:r>
          </w:p>
        </w:tc>
        <w:tc>
          <w:tcPr>
            <w:tcW w:w="7809" w:type="dxa"/>
            <w:gridSpan w:val="5"/>
            <w:vAlign w:val="center"/>
          </w:tcPr>
          <w:p>
            <w:pPr>
              <w:pStyle w:val="16"/>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小写：</w:t>
            </w:r>
          </w:p>
          <w:p>
            <w:pPr>
              <w:pStyle w:val="16"/>
              <w:spacing w:line="400" w:lineRule="exact"/>
              <w:rPr>
                <w:rFonts w:hint="eastAsia" w:ascii="宋体" w:hAnsi="宋体" w:eastAsia="宋体" w:cs="宋体"/>
                <w:color w:val="auto"/>
                <w:sz w:val="22"/>
                <w:highlight w:val="none"/>
              </w:rPr>
            </w:pPr>
            <w:r>
              <w:rPr>
                <w:rFonts w:hint="eastAsia" w:ascii="宋体" w:hAnsi="宋体" w:eastAsia="宋体" w:cs="宋体"/>
                <w:b/>
                <w:color w:val="auto"/>
                <w:sz w:val="22"/>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5" w:type="dxa"/>
            <w:vAlign w:val="center"/>
          </w:tcPr>
          <w:p>
            <w:pPr>
              <w:pStyle w:val="16"/>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交付时间：</w:t>
            </w:r>
          </w:p>
        </w:tc>
        <w:tc>
          <w:tcPr>
            <w:tcW w:w="7809" w:type="dxa"/>
            <w:gridSpan w:val="5"/>
            <w:vAlign w:val="center"/>
          </w:tcPr>
          <w:p>
            <w:pPr>
              <w:pStyle w:val="16"/>
              <w:spacing w:line="400" w:lineRule="exact"/>
              <w:rPr>
                <w:rFonts w:hint="eastAsia" w:ascii="宋体" w:hAnsi="宋体" w:eastAsia="宋体" w:cs="宋体"/>
                <w:b/>
                <w:color w:val="auto"/>
                <w:sz w:val="22"/>
                <w:highlight w:val="none"/>
              </w:rPr>
            </w:pPr>
          </w:p>
        </w:tc>
      </w:tr>
    </w:tbl>
    <w:p>
      <w:pPr>
        <w:spacing w:line="400" w:lineRule="exact"/>
        <w:rPr>
          <w:rFonts w:hint="eastAsia" w:ascii="宋体" w:hAnsi="宋体" w:eastAsia="宋体" w:cs="宋体"/>
          <w:color w:val="auto"/>
          <w:sz w:val="22"/>
          <w:highlight w:val="none"/>
        </w:rPr>
      </w:pPr>
    </w:p>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p>
      <w:pPr>
        <w:numPr>
          <w:ilvl w:val="0"/>
          <w:numId w:val="7"/>
        </w:numPr>
        <w:spacing w:line="380" w:lineRule="exact"/>
        <w:ind w:left="0" w:leftChars="0" w:firstLine="40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此栏内投标</w:t>
      </w:r>
      <w:r>
        <w:rPr>
          <w:rFonts w:hint="eastAsia" w:ascii="宋体" w:hAnsi="宋体" w:eastAsia="宋体" w:cs="宋体"/>
          <w:color w:val="auto"/>
          <w:sz w:val="22"/>
          <w:highlight w:val="none"/>
          <w:lang w:val="en-US" w:eastAsia="zh-CN"/>
        </w:rPr>
        <w:t>总</w:t>
      </w:r>
      <w:r>
        <w:rPr>
          <w:rFonts w:hint="eastAsia" w:ascii="宋体" w:hAnsi="宋体" w:eastAsia="宋体" w:cs="宋体"/>
          <w:color w:val="auto"/>
          <w:sz w:val="22"/>
          <w:highlight w:val="none"/>
        </w:rPr>
        <w:t>报价应与“投标报价明细表”中投标总价相一致。</w:t>
      </w:r>
    </w:p>
    <w:p>
      <w:pPr>
        <w:numPr>
          <w:ilvl w:val="0"/>
          <w:numId w:val="7"/>
        </w:numPr>
        <w:spacing w:line="380" w:lineRule="exact"/>
        <w:ind w:left="0" w:leftChars="0" w:firstLine="400" w:firstLineChars="0"/>
        <w:rPr>
          <w:rFonts w:hint="eastAsia" w:ascii="宋体" w:hAnsi="宋体" w:eastAsia="宋体" w:cs="宋体"/>
          <w:color w:val="auto"/>
          <w:kern w:val="0"/>
          <w:sz w:val="22"/>
          <w:highlight w:val="none"/>
          <w:u w:val="single"/>
          <w:lang w:val="en-US" w:eastAsia="zh-CN"/>
        </w:rPr>
      </w:pPr>
      <w:r>
        <w:rPr>
          <w:rFonts w:hint="eastAsia" w:ascii="宋体" w:hAnsi="宋体" w:cs="宋体"/>
          <w:color w:val="auto"/>
          <w:sz w:val="22"/>
          <w:highlight w:val="none"/>
        </w:rPr>
        <w:t>投标人的报价应包括完成本项目全部供货及合同义务可能发生的全部费用，即货物的供货、包装、运输、装卸、安装调试、勘察设计费、管理费、质保期内软件升级、汇率风险、采购代理服务费、售后服务、材料税费、搬运费、税费（含税货物）以及完成合同所需的一切本身和不可或缺的所有工作开支、政策性文件规定，合同包含的所有风险、</w:t>
      </w:r>
      <w:r>
        <w:rPr>
          <w:rFonts w:hint="eastAsia" w:ascii="宋体" w:hAnsi="宋体" w:cs="宋体"/>
          <w:color w:val="auto"/>
          <w:sz w:val="22"/>
          <w:highlight w:val="none"/>
          <w:u w:val="none"/>
        </w:rPr>
        <w:t>责任等相关各项其他可能产生的全部费用。</w:t>
      </w:r>
      <w:r>
        <w:rPr>
          <w:rFonts w:hint="eastAsia" w:ascii="宋体" w:hAnsi="宋体" w:eastAsia="宋体" w:cs="宋体"/>
          <w:color w:val="auto"/>
          <w:sz w:val="22"/>
          <w:highlight w:val="none"/>
          <w:u w:val="none"/>
          <w:lang w:val="en-US" w:eastAsia="zh-CN"/>
        </w:rPr>
        <w:t>SCATS信号项目系统设备部分</w:t>
      </w:r>
      <w:r>
        <w:rPr>
          <w:rFonts w:hint="eastAsia" w:ascii="宋体" w:hAnsi="宋体" w:cs="宋体"/>
          <w:color w:val="auto"/>
          <w:sz w:val="22"/>
          <w:highlight w:val="none"/>
          <w:u w:val="none"/>
        </w:rPr>
        <w:t>实行固定费用总包干，投标人应根据上述因素自行考虑含入投标总价</w:t>
      </w:r>
      <w:r>
        <w:rPr>
          <w:rFonts w:hint="eastAsia" w:ascii="宋体" w:hAnsi="宋体" w:cs="宋体"/>
          <w:color w:val="auto"/>
          <w:sz w:val="22"/>
          <w:highlight w:val="none"/>
          <w:u w:val="none"/>
          <w:lang w:eastAsia="zh-CN"/>
        </w:rPr>
        <w:t>。</w:t>
      </w:r>
      <w:r>
        <w:rPr>
          <w:rFonts w:hint="eastAsia" w:ascii="宋体" w:hAnsi="宋体" w:eastAsia="宋体" w:cs="宋体"/>
          <w:color w:val="auto"/>
          <w:sz w:val="22"/>
          <w:highlight w:val="none"/>
          <w:u w:val="none"/>
          <w:lang w:val="en-US" w:eastAsia="zh-CN"/>
        </w:rPr>
        <w:t>SCATS信号项目基础土建部分</w:t>
      </w:r>
      <w:r>
        <w:rPr>
          <w:rFonts w:hint="eastAsia" w:ascii="宋体" w:hAnsi="宋体" w:cs="宋体"/>
          <w:color w:val="auto"/>
          <w:sz w:val="22"/>
          <w:szCs w:val="22"/>
          <w:highlight w:val="none"/>
          <w:u w:val="none"/>
          <w:lang w:eastAsia="zh-CN"/>
        </w:rPr>
        <w:t>经审计</w:t>
      </w:r>
      <w:r>
        <w:rPr>
          <w:rFonts w:hint="eastAsia" w:ascii="宋体" w:hAnsi="宋体" w:eastAsia="宋体" w:cs="宋体"/>
          <w:color w:val="auto"/>
          <w:sz w:val="22"/>
          <w:szCs w:val="22"/>
          <w:highlight w:val="none"/>
          <w:u w:val="none"/>
          <w:lang w:val="en-US" w:eastAsia="zh-CN"/>
        </w:rPr>
        <w:t>决算</w:t>
      </w:r>
      <w:r>
        <w:rPr>
          <w:rFonts w:hint="eastAsia" w:ascii="宋体" w:hAnsi="宋体" w:eastAsia="宋体" w:cs="宋体"/>
          <w:color w:val="auto"/>
          <w:sz w:val="22"/>
          <w:szCs w:val="22"/>
          <w:highlight w:val="none"/>
          <w:u w:val="none"/>
        </w:rPr>
        <w:t>后</w:t>
      </w:r>
      <w:r>
        <w:rPr>
          <w:rFonts w:hint="eastAsia" w:ascii="宋体" w:hAnsi="宋体" w:cs="宋体"/>
          <w:color w:val="auto"/>
          <w:sz w:val="22"/>
          <w:szCs w:val="22"/>
          <w:highlight w:val="none"/>
          <w:u w:val="none"/>
          <w:lang w:val="en-US" w:eastAsia="zh-CN"/>
        </w:rPr>
        <w:t>按实结算</w:t>
      </w:r>
      <w:r>
        <w:rPr>
          <w:rFonts w:hint="eastAsia" w:ascii="宋体" w:hAnsi="宋体" w:cs="宋体"/>
          <w:color w:val="auto"/>
          <w:sz w:val="22"/>
          <w:highlight w:val="none"/>
          <w:u w:val="none"/>
        </w:rPr>
        <w:t>。</w:t>
      </w:r>
    </w:p>
    <w:p>
      <w:pPr>
        <w:numPr>
          <w:ilvl w:val="0"/>
          <w:numId w:val="7"/>
        </w:numPr>
        <w:spacing w:line="380" w:lineRule="exact"/>
        <w:ind w:left="0" w:leftChars="0" w:firstLine="400" w:firstLineChars="0"/>
        <w:rPr>
          <w:rFonts w:hint="eastAsia" w:ascii="宋体" w:hAnsi="宋体" w:eastAsia="宋体" w:cs="宋体"/>
          <w:color w:val="auto"/>
          <w:kern w:val="0"/>
          <w:sz w:val="22"/>
          <w:highlight w:val="none"/>
          <w:u w:val="single"/>
          <w:lang w:val="en-US" w:eastAsia="zh-CN"/>
        </w:rPr>
      </w:pPr>
      <w:r>
        <w:rPr>
          <w:rFonts w:hint="eastAsia" w:ascii="宋体" w:hAnsi="宋体" w:eastAsia="宋体" w:cs="宋体"/>
          <w:color w:val="auto"/>
          <w:kern w:val="0"/>
          <w:sz w:val="22"/>
          <w:highlight w:val="none"/>
          <w:u w:val="single"/>
          <w:lang w:val="en-US" w:eastAsia="zh-CN"/>
        </w:rPr>
        <w:t>▲预算金额：</w:t>
      </w:r>
      <w:r>
        <w:rPr>
          <w:rFonts w:hint="eastAsia" w:ascii="宋体" w:hAnsi="宋体" w:cs="宋体"/>
          <w:color w:val="auto"/>
          <w:kern w:val="0"/>
          <w:sz w:val="22"/>
          <w:highlight w:val="none"/>
          <w:u w:val="single"/>
          <w:lang w:val="en-US" w:eastAsia="zh-CN"/>
        </w:rPr>
        <w:t>116707</w:t>
      </w:r>
      <w:r>
        <w:rPr>
          <w:rFonts w:hint="eastAsia" w:ascii="宋体" w:hAnsi="宋体" w:eastAsia="宋体" w:cs="宋体"/>
          <w:color w:val="auto"/>
          <w:kern w:val="0"/>
          <w:sz w:val="22"/>
          <w:highlight w:val="none"/>
          <w:u w:val="single"/>
          <w:lang w:val="en-US" w:eastAsia="zh-CN"/>
        </w:rPr>
        <w:t>50元，最高限价：</w:t>
      </w:r>
      <w:r>
        <w:rPr>
          <w:rFonts w:hint="eastAsia" w:ascii="宋体" w:hAnsi="宋体" w:cs="宋体"/>
          <w:color w:val="auto"/>
          <w:kern w:val="0"/>
          <w:sz w:val="22"/>
          <w:highlight w:val="none"/>
          <w:u w:val="single"/>
          <w:lang w:val="en-US" w:eastAsia="zh-CN"/>
        </w:rPr>
        <w:t>11667750</w:t>
      </w:r>
      <w:r>
        <w:rPr>
          <w:rFonts w:hint="eastAsia" w:ascii="宋体" w:hAnsi="宋体" w:eastAsia="宋体" w:cs="宋体"/>
          <w:color w:val="auto"/>
          <w:kern w:val="0"/>
          <w:sz w:val="22"/>
          <w:highlight w:val="none"/>
          <w:u w:val="single"/>
          <w:lang w:val="en-US" w:eastAsia="zh-CN"/>
        </w:rPr>
        <w:t>元。其中SCATS信号项目系统设备部分</w:t>
      </w:r>
      <w:r>
        <w:rPr>
          <w:rFonts w:hint="eastAsia" w:ascii="宋体" w:hAnsi="宋体" w:cs="宋体"/>
          <w:color w:val="auto"/>
          <w:kern w:val="0"/>
          <w:sz w:val="22"/>
          <w:highlight w:val="none"/>
          <w:u w:val="single"/>
          <w:lang w:val="en-US" w:eastAsia="zh-CN"/>
        </w:rPr>
        <w:t>最高限价</w:t>
      </w:r>
      <w:r>
        <w:rPr>
          <w:rFonts w:hint="eastAsia" w:ascii="宋体" w:hAnsi="宋体" w:eastAsia="宋体" w:cs="宋体"/>
          <w:color w:val="auto"/>
          <w:kern w:val="0"/>
          <w:sz w:val="22"/>
          <w:highlight w:val="none"/>
          <w:u w:val="single"/>
          <w:lang w:val="en-US" w:eastAsia="zh-CN"/>
        </w:rPr>
        <w:t>金额8344250元；SCATS信号项目基础土建部分</w:t>
      </w:r>
      <w:r>
        <w:rPr>
          <w:rFonts w:hint="eastAsia" w:ascii="宋体" w:hAnsi="宋体" w:cs="宋体"/>
          <w:color w:val="auto"/>
          <w:kern w:val="0"/>
          <w:sz w:val="22"/>
          <w:highlight w:val="none"/>
          <w:u w:val="single"/>
          <w:lang w:val="en-US" w:eastAsia="zh-CN"/>
        </w:rPr>
        <w:t>最高限价</w:t>
      </w:r>
      <w:r>
        <w:rPr>
          <w:rFonts w:hint="eastAsia" w:ascii="宋体" w:hAnsi="宋体" w:eastAsia="宋体" w:cs="宋体"/>
          <w:color w:val="auto"/>
          <w:kern w:val="0"/>
          <w:sz w:val="22"/>
          <w:highlight w:val="none"/>
          <w:u w:val="single"/>
          <w:lang w:val="en-US" w:eastAsia="zh-CN"/>
        </w:rPr>
        <w:t>金额</w:t>
      </w:r>
      <w:r>
        <w:rPr>
          <w:rFonts w:hint="eastAsia" w:ascii="宋体" w:hAnsi="宋体" w:cs="宋体"/>
          <w:color w:val="auto"/>
          <w:kern w:val="0"/>
          <w:sz w:val="22"/>
          <w:highlight w:val="none"/>
          <w:u w:val="single"/>
          <w:lang w:val="en-US" w:eastAsia="zh-CN"/>
        </w:rPr>
        <w:t>3323500</w:t>
      </w:r>
      <w:r>
        <w:rPr>
          <w:rFonts w:hint="eastAsia" w:ascii="宋体" w:hAnsi="宋体" w:eastAsia="宋体" w:cs="宋体"/>
          <w:color w:val="auto"/>
          <w:kern w:val="0"/>
          <w:sz w:val="22"/>
          <w:highlight w:val="none"/>
          <w:u w:val="single"/>
          <w:lang w:val="en-US" w:eastAsia="zh-CN"/>
        </w:rPr>
        <w:t>元(决算价格报财政部门核算后，按实结算)；如投标人报价超过对应</w:t>
      </w:r>
      <w:r>
        <w:rPr>
          <w:rFonts w:hint="eastAsia" w:ascii="宋体" w:hAnsi="宋体" w:cs="宋体"/>
          <w:color w:val="auto"/>
          <w:kern w:val="0"/>
          <w:sz w:val="22"/>
          <w:highlight w:val="none"/>
          <w:u w:val="single"/>
          <w:lang w:val="en-US" w:eastAsia="zh-CN"/>
        </w:rPr>
        <w:t>最高限价</w:t>
      </w:r>
      <w:r>
        <w:rPr>
          <w:rFonts w:hint="eastAsia" w:ascii="宋体" w:hAnsi="宋体" w:eastAsia="宋体" w:cs="宋体"/>
          <w:color w:val="auto"/>
          <w:kern w:val="0"/>
          <w:sz w:val="22"/>
          <w:highlight w:val="none"/>
          <w:u w:val="single"/>
          <w:lang w:val="en-US" w:eastAsia="zh-CN"/>
        </w:rPr>
        <w:t>金额的投标无效。</w:t>
      </w:r>
    </w:p>
    <w:p>
      <w:pPr>
        <w:widowControl/>
        <w:spacing w:line="400" w:lineRule="exact"/>
        <w:rPr>
          <w:rFonts w:hint="eastAsia" w:ascii="宋体" w:hAnsi="宋体" w:eastAsia="宋体" w:cs="宋体"/>
          <w:color w:val="auto"/>
          <w:kern w:val="0"/>
          <w:sz w:val="22"/>
          <w:highlight w:val="none"/>
        </w:rPr>
      </w:pPr>
    </w:p>
    <w:p>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w:t>
      </w:r>
    </w:p>
    <w:p>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8"/>
          <w:szCs w:val="28"/>
          <w:highlight w:val="none"/>
        </w:rPr>
        <w:t>开标一览表</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标项2</w:t>
      </w:r>
      <w:r>
        <w:rPr>
          <w:rFonts w:hint="eastAsia" w:ascii="宋体" w:hAnsi="宋体" w:eastAsia="宋体" w:cs="宋体"/>
          <w:b/>
          <w:color w:val="auto"/>
          <w:sz w:val="28"/>
          <w:szCs w:val="28"/>
          <w:highlight w:val="none"/>
          <w:lang w:eastAsia="zh-CN"/>
        </w:rPr>
        <w:t>）</w:t>
      </w:r>
    </w:p>
    <w:p>
      <w:pPr>
        <w:jc w:val="left"/>
        <w:rPr>
          <w:rFonts w:hint="eastAsia" w:ascii="宋体" w:hAnsi="宋体" w:cs="宋体"/>
          <w:b/>
          <w:color w:val="auto"/>
          <w:sz w:val="24"/>
          <w:szCs w:val="24"/>
          <w:highlight w:val="none"/>
          <w:lang w:val="en-US" w:eastAsia="zh-CN"/>
        </w:rPr>
      </w:pPr>
    </w:p>
    <w:p>
      <w:pPr>
        <w:jc w:val="left"/>
        <w:rPr>
          <w:rFonts w:hint="eastAsia" w:ascii="宋体" w:hAnsi="宋体" w:cs="宋体"/>
          <w:b/>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标项</w:t>
      </w:r>
      <w:r>
        <w:rPr>
          <w:rFonts w:hint="eastAsia" w:ascii="宋体" w:hAnsi="宋体" w:eastAsia="宋体" w:cs="宋体"/>
          <w:b w:val="0"/>
          <w:bCs/>
          <w:color w:val="auto"/>
          <w:sz w:val="22"/>
          <w:szCs w:val="22"/>
          <w:highlight w:val="none"/>
        </w:rPr>
        <w:t>名称：</w:t>
      </w:r>
      <w:r>
        <w:rPr>
          <w:rFonts w:hint="eastAsia" w:ascii="宋体" w:hAnsi="宋体" w:eastAsia="宋体" w:cs="宋体"/>
          <w:b w:val="0"/>
          <w:bCs/>
          <w:color w:val="auto"/>
          <w:sz w:val="22"/>
          <w:szCs w:val="22"/>
          <w:highlight w:val="none"/>
          <w:lang w:val="zh-CN" w:eastAsia="zh-CN"/>
        </w:rPr>
        <w:t>2022年温州市电子警察系统项目</w:t>
      </w:r>
      <w:r>
        <w:rPr>
          <w:rFonts w:hint="eastAsia" w:ascii="宋体" w:hAnsi="宋体" w:eastAsia="宋体" w:cs="宋体"/>
          <w:b w:val="0"/>
          <w:bCs/>
          <w:color w:val="auto"/>
          <w:sz w:val="22"/>
          <w:szCs w:val="22"/>
          <w:highlight w:val="none"/>
        </w:rPr>
        <w:t xml:space="preserve">                      单位：人民币（元） </w:t>
      </w:r>
    </w:p>
    <w:tbl>
      <w:tblPr>
        <w:tblStyle w:val="31"/>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463"/>
        <w:gridCol w:w="1116"/>
        <w:gridCol w:w="904"/>
        <w:gridCol w:w="1813"/>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报价内容</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数量</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投标报价</w:t>
            </w:r>
          </w:p>
        </w:tc>
        <w:tc>
          <w:tcPr>
            <w:tcW w:w="151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tc>
        <w:tc>
          <w:tcPr>
            <w:tcW w:w="151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57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投标总报价（元）</w:t>
            </w:r>
          </w:p>
        </w:tc>
        <w:tc>
          <w:tcPr>
            <w:tcW w:w="780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小写：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交付时间：</w:t>
            </w:r>
          </w:p>
        </w:tc>
        <w:tc>
          <w:tcPr>
            <w:tcW w:w="780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投标总报价是指投标人在正确地完全履行合同义务后采购人应支付给投标人所有的货物价款，即货物的供货、包装、运输、装卸、安装调试、勘察设计费、管理费、质保期内软件升级、汇率风险、采购代理服务费、售后服务、材料税费、搬运费、税费（含税货物）以及完成合同所需的一切本身和不可或缺的所有工作开支、政策性文件规定，合同包含的所有风险、责任等相关各项其他可能产生的全部费用。实行固定费用总包干，投标人应根据上述因素自行考虑含入投标总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2、此栏内投标总报价应与“投标报价明细表”中投标总价相一致。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投标人全称(电子签章)：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法定代表人或授权代表(签字或盖章)：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linePitch="312" w:charSpace="0"/>
        </w:sect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pPr>
        <w:pStyle w:val="16"/>
        <w:snapToGrid w:val="0"/>
        <w:spacing w:line="400" w:lineRule="exact"/>
        <w:jc w:val="center"/>
        <w:rPr>
          <w:rFonts w:hint="eastAsia" w:ascii="宋体" w:hAnsi="宋体" w:eastAsia="宋体" w:cs="宋体"/>
          <w:b/>
          <w:color w:val="auto"/>
          <w:highlight w:val="none"/>
          <w:lang w:eastAsia="zh-CN"/>
        </w:rPr>
      </w:pPr>
      <w:r>
        <w:rPr>
          <w:rFonts w:hint="eastAsia" w:ascii="宋体" w:hAnsi="宋体" w:eastAsia="宋体" w:cs="宋体"/>
          <w:b/>
          <w:color w:val="auto"/>
          <w:sz w:val="28"/>
          <w:szCs w:val="28"/>
          <w:highlight w:val="none"/>
        </w:rPr>
        <w:t>投标报价明细表</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标项1</w:t>
      </w:r>
      <w:r>
        <w:rPr>
          <w:rFonts w:hint="eastAsia" w:ascii="宋体" w:hAnsi="宋体" w:eastAsia="宋体" w:cs="宋体"/>
          <w:b/>
          <w:color w:val="auto"/>
          <w:sz w:val="28"/>
          <w:szCs w:val="28"/>
          <w:highlight w:val="none"/>
          <w:lang w:eastAsia="zh-CN"/>
        </w:rPr>
        <w:t>）</w:t>
      </w:r>
    </w:p>
    <w:p>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标项</w:t>
      </w:r>
      <w:r>
        <w:rPr>
          <w:rFonts w:hint="eastAsia" w:ascii="宋体" w:hAnsi="宋体" w:eastAsia="宋体" w:cs="宋体"/>
          <w:color w:val="auto"/>
          <w:sz w:val="22"/>
          <w:szCs w:val="22"/>
          <w:highlight w:val="none"/>
        </w:rPr>
        <w:t>名称：</w:t>
      </w:r>
      <w:r>
        <w:rPr>
          <w:rFonts w:hint="eastAsia" w:ascii="宋体" w:hAnsi="宋体" w:eastAsia="宋体" w:cs="宋体"/>
          <w:b w:val="0"/>
          <w:bCs/>
          <w:color w:val="auto"/>
          <w:sz w:val="22"/>
          <w:szCs w:val="22"/>
          <w:highlight w:val="none"/>
        </w:rPr>
        <w:t>2022年温州市交管信控系统项目</w:t>
      </w:r>
      <w:r>
        <w:rPr>
          <w:rFonts w:hint="eastAsia" w:ascii="宋体" w:hAnsi="宋体" w:eastAsia="宋体" w:cs="宋体"/>
          <w:color w:val="auto"/>
          <w:sz w:val="22"/>
          <w:szCs w:val="22"/>
          <w:highlight w:val="none"/>
        </w:rPr>
        <w:t xml:space="preserve">                    项目编号：       </w:t>
      </w:r>
    </w:p>
    <w:tbl>
      <w:tblPr>
        <w:tblStyle w:val="31"/>
        <w:tblW w:w="14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3"/>
        <w:gridCol w:w="1318"/>
        <w:gridCol w:w="3315"/>
        <w:gridCol w:w="1000"/>
        <w:gridCol w:w="733"/>
        <w:gridCol w:w="1134"/>
        <w:gridCol w:w="1051"/>
        <w:gridCol w:w="722"/>
        <w:gridCol w:w="1301"/>
        <w:gridCol w:w="1302"/>
        <w:gridCol w:w="1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z w:val="22"/>
                <w:szCs w:val="22"/>
                <w:highlight w:val="none"/>
              </w:rPr>
              <w:t>序号</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z w:val="22"/>
                <w:szCs w:val="22"/>
                <w:highlight w:val="none"/>
              </w:rPr>
              <w:t>货物名称</w:t>
            </w:r>
          </w:p>
        </w:tc>
        <w:tc>
          <w:tcPr>
            <w:tcW w:w="10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制造商</w:t>
            </w: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规格型号</w:t>
            </w:r>
          </w:p>
        </w:tc>
        <w:tc>
          <w:tcPr>
            <w:tcW w:w="105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p>
            <w:pPr>
              <w:tabs>
                <w:tab w:val="left" w:pos="1418"/>
              </w:tabs>
              <w:snapToGrid w:val="0"/>
              <w:spacing w:line="40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z w:val="22"/>
                <w:szCs w:val="22"/>
                <w:highlight w:val="none"/>
              </w:rPr>
              <w:t>（元）</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金额</w:t>
            </w:r>
          </w:p>
          <w:p>
            <w:pPr>
              <w:tabs>
                <w:tab w:val="left" w:pos="1418"/>
              </w:tabs>
              <w:snapToGrid w:val="0"/>
              <w:spacing w:line="40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z w:val="22"/>
                <w:szCs w:val="22"/>
                <w:highlight w:val="none"/>
              </w:rPr>
              <w:t>（元）</w:t>
            </w: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068" w:type="dxa"/>
            <w:gridSpan w:val="11"/>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w:t>
            </w:r>
            <w:r>
              <w:rPr>
                <w:rFonts w:hint="eastAsia" w:ascii="宋体" w:hAnsi="宋体" w:eastAsia="宋体" w:cs="宋体"/>
                <w:b/>
                <w:color w:val="auto"/>
                <w:sz w:val="22"/>
                <w:szCs w:val="22"/>
                <w:highlight w:val="none"/>
                <w:lang w:val="en-US" w:eastAsia="zh-CN"/>
              </w:rPr>
              <w:t>SCATS信号项目系统设备部分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1</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SCATS集中协调式信号机(16灯组，含机箱)</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套</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集中协调控制软件</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信号灯倒计时芯片</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路口</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光网设备</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套</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路口工业级交换机</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台</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6</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防雷器</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台</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稳压器</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台</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区域控制主机</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台</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车辆特征智能识别及检索系统</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项</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信号专网网络服务费</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点</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系统安装部署、对接调试服务</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项</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46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项目建设管理费</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项</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hint="eastAsia" w:ascii="宋体" w:hAnsi="宋体" w:eastAsia="宋体" w:cs="宋体"/>
                <w:color w:val="auto"/>
                <w:spacing w:val="2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含货物包装、运输、装卸、保险、培训以及所有风险责任等各项费用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057" w:type="dxa"/>
            <w:gridSpan w:val="9"/>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b/>
                <w:color w:val="auto"/>
                <w:sz w:val="22"/>
                <w:szCs w:val="22"/>
                <w:highlight w:val="none"/>
                <w:lang w:val="en-US" w:eastAsia="zh-CN"/>
              </w:rPr>
              <w:t>SCATS信号项目系统设备部分小计</w:t>
            </w: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068" w:type="dxa"/>
            <w:gridSpan w:val="11"/>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b/>
                <w:color w:val="auto"/>
                <w:sz w:val="22"/>
                <w:szCs w:val="22"/>
                <w:highlight w:val="none"/>
                <w:lang w:val="en-US" w:eastAsia="zh-CN"/>
              </w:rPr>
              <w:t>二、SCATS信号项目基础土建部分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318"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SCATS智能信系统辅材</w:t>
            </w: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KVV22-12*1.5</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14640</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KVV22-3*1.5</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17430</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单模4芯光缆 </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2955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RVV3*2.5  </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bottom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线缆穿线、接线施工</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31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SCATS智能信系统安装调试费</w:t>
            </w: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both"/>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含前端信号板卡、信号机箱、防雷器、稳压器、交换机、光网设备、服务器等所有设备的安装、调测、信号平台对接上线、试运行等费用。</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318"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SCATS智能信号系统基础土建施工</w:t>
            </w: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1#手孔，井150mm厚C15混凝土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240mm厚砌砖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井内外壁水泥抹面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840*450mm井盖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包括配件、模板、挖、填、运土方</w:t>
            </w:r>
            <w:r>
              <w:rPr>
                <w:rFonts w:hint="eastAsia" w:ascii="宋体" w:hAnsi="宋体" w:eastAsia="宋体" w:cs="宋体"/>
                <w:color w:val="auto"/>
                <w:sz w:val="22"/>
                <w:szCs w:val="22"/>
                <w:highlight w:val="none"/>
                <w:lang w:eastAsia="zh-CN"/>
              </w:rPr>
              <w:t>。</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color w:val="auto"/>
                <w:kern w:val="2"/>
                <w:sz w:val="22"/>
                <w:szCs w:val="22"/>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color w:val="auto"/>
                <w:kern w:val="2"/>
                <w:sz w:val="22"/>
                <w:szCs w:val="22"/>
                <w:highlight w:val="none"/>
                <w:lang w:val="en-US" w:eastAsia="zh-CN" w:bidi="ar-SA"/>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48</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座</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color w:val="auto"/>
                <w:kern w:val="2"/>
                <w:sz w:val="22"/>
                <w:szCs w:val="22"/>
                <w:highlight w:val="none"/>
                <w:lang w:val="en-US" w:eastAsia="zh-CN" w:bidi="ar-SA"/>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2#手孔井，150mm厚C15混凝土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240mm厚砌砖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井内外壁水泥抹面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950*840mm井盖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包括配件、模板、挖、填、运土方</w:t>
            </w:r>
            <w:r>
              <w:rPr>
                <w:rFonts w:hint="eastAsia" w:ascii="宋体" w:hAnsi="宋体" w:eastAsia="宋体" w:cs="宋体"/>
                <w:color w:val="auto"/>
                <w:sz w:val="22"/>
                <w:szCs w:val="22"/>
                <w:highlight w:val="none"/>
                <w:lang w:eastAsia="zh-CN"/>
              </w:rPr>
              <w:t>。</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rPr>
              <w:t>座</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非开挖段，2*PE110(壁厚7cm)，含泥浆外运</w:t>
            </w:r>
            <w:r>
              <w:rPr>
                <w:rFonts w:hint="eastAsia" w:ascii="宋体" w:hAnsi="宋体" w:eastAsia="宋体" w:cs="宋体"/>
                <w:color w:val="auto"/>
                <w:sz w:val="22"/>
                <w:szCs w:val="22"/>
                <w:highlight w:val="none"/>
                <w:lang w:eastAsia="zh-CN"/>
              </w:rPr>
              <w:t>。</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984</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KPC115波纹管</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156</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车行道开挖及修复</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82.5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人行道开挖及修复</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1548.75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绿化带开挖及修复</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577.5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bidi="ar-SA"/>
              </w:rPr>
              <w:t>PE110，埋地敷设</w:t>
            </w:r>
            <w:r>
              <w:rPr>
                <w:rFonts w:hint="eastAsia" w:ascii="宋体" w:hAnsi="宋体" w:eastAsia="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bidi="ar-SA"/>
              </w:rPr>
              <w:t>总埋深0.7m</w:t>
            </w:r>
            <w:r>
              <w:rPr>
                <w:rFonts w:hint="eastAsia" w:ascii="宋体" w:hAnsi="宋体" w:eastAsia="宋体" w:cs="宋体"/>
                <w:color w:val="auto"/>
                <w:kern w:val="2"/>
                <w:sz w:val="22"/>
                <w:szCs w:val="22"/>
                <w:highlight w:val="none"/>
                <w:lang w:val="en-US" w:eastAsia="zh-CN" w:bidi="ar-SA"/>
              </w:rPr>
              <w:t>。</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3023.25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bidi="ar-SA"/>
              </w:rPr>
              <w:t>镀锌钢管 SC100，埋地敷设</w:t>
            </w:r>
            <w:r>
              <w:rPr>
                <w:rFonts w:hint="eastAsia" w:ascii="宋体" w:hAnsi="宋体" w:eastAsia="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bidi="ar-SA"/>
              </w:rPr>
              <w:t>总埋深0.7m</w:t>
            </w:r>
            <w:r>
              <w:rPr>
                <w:rFonts w:hint="eastAsia" w:ascii="宋体" w:hAnsi="宋体" w:eastAsia="宋体" w:cs="宋体"/>
                <w:color w:val="auto"/>
                <w:kern w:val="2"/>
                <w:sz w:val="22"/>
                <w:szCs w:val="22"/>
                <w:highlight w:val="none"/>
                <w:lang w:val="en-US" w:eastAsia="zh-CN" w:bidi="ar-SA"/>
              </w:rPr>
              <w:t>。</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58.5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rPr>
            </w:pPr>
          </w:p>
        </w:tc>
        <w:tc>
          <w:tcPr>
            <w:tcW w:w="1318" w:type="dxa"/>
            <w:vMerge w:val="continue"/>
            <w:tcBorders>
              <w:left w:val="single" w:color="auto" w:sz="4" w:space="0"/>
              <w:bottom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p>
        </w:tc>
        <w:tc>
          <w:tcPr>
            <w:tcW w:w="331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both"/>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rPr>
              <w:t>信号机箱基础</w:t>
            </w:r>
            <w:r>
              <w:rPr>
                <w:rFonts w:hint="eastAsia" w:ascii="宋体" w:hAnsi="宋体" w:eastAsia="宋体" w:cs="宋体"/>
                <w:color w:val="auto"/>
                <w:sz w:val="22"/>
                <w:szCs w:val="22"/>
                <w:highlight w:val="none"/>
                <w:lang w:val="en-US" w:eastAsia="zh-CN"/>
              </w:rPr>
              <w:t>定制</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13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318" w:type="dxa"/>
            <w:tcBorders>
              <w:top w:val="single" w:color="auto" w:sz="4" w:space="0"/>
              <w:left w:val="single" w:color="auto" w:sz="4" w:space="0"/>
              <w:bottom w:val="single" w:color="auto" w:sz="4" w:space="0"/>
              <w:right w:val="single" w:color="000000" w:sz="4" w:space="0"/>
            </w:tcBorders>
            <w:vAlign w:val="center"/>
          </w:tcPr>
          <w:p>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勘察设计费</w:t>
            </w:r>
          </w:p>
        </w:tc>
        <w:tc>
          <w:tcPr>
            <w:tcW w:w="3315" w:type="dxa"/>
            <w:tcBorders>
              <w:top w:val="single" w:color="auto" w:sz="4" w:space="0"/>
              <w:left w:val="single" w:color="000000" w:sz="4" w:space="0"/>
              <w:bottom w:val="single" w:color="auto" w:sz="4" w:space="0"/>
              <w:right w:val="single" w:color="auto" w:sz="4" w:space="0"/>
            </w:tcBorders>
            <w:vAlign w:val="center"/>
          </w:tcPr>
          <w:p>
            <w:pPr>
              <w:spacing w:line="400" w:lineRule="exact"/>
              <w:jc w:val="both"/>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申报点位勘察、清单配置、地形图、安装位置及取景图片、经纬度，施工复勘配合等，并让具有设计资质的第三方公司出具施工图纸，竣工图纸。75套信号路口。</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057" w:type="dxa"/>
            <w:gridSpan w:val="9"/>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b/>
                <w:color w:val="auto"/>
                <w:sz w:val="22"/>
                <w:szCs w:val="22"/>
                <w:highlight w:val="none"/>
                <w:lang w:val="en-US" w:eastAsia="zh-CN"/>
              </w:rPr>
              <w:t>SCATS信号项目基础土建部分小计</w:t>
            </w: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c>
          <w:tcPr>
            <w:tcW w:w="170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4068" w:type="dxa"/>
            <w:gridSpan w:val="11"/>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hint="eastAsia" w:ascii="宋体" w:hAnsi="宋体" w:eastAsia="宋体" w:cs="宋体"/>
                <w:color w:val="auto"/>
                <w:spacing w:val="20"/>
                <w:sz w:val="22"/>
                <w:szCs w:val="22"/>
                <w:highlight w:val="none"/>
              </w:rPr>
            </w:pPr>
            <w:r>
              <w:rPr>
                <w:rFonts w:hint="eastAsia" w:ascii="宋体" w:hAnsi="宋体" w:eastAsia="宋体" w:cs="宋体"/>
                <w:color w:val="auto"/>
                <w:sz w:val="22"/>
                <w:szCs w:val="22"/>
                <w:highlight w:val="none"/>
              </w:rPr>
              <w:t>投标总价（与开标一览表一致）：</w:t>
            </w:r>
          </w:p>
        </w:tc>
      </w:tr>
    </w:tbl>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备注：1、“报价明细表”内“投标总价”应与附件1“开标一览表”中“投标总报价”相一致。</w:t>
      </w:r>
    </w:p>
    <w:p>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2、如果含在产品价格中则填“含”，如无此项内容则填“无”，不留空白。此表投标人可根据实际需求自行编制。</w:t>
      </w:r>
    </w:p>
    <w:p>
      <w:pPr>
        <w:spacing w:line="380" w:lineRule="exact"/>
        <w:ind w:left="440"/>
        <w:outlineLvl w:val="0"/>
        <w:rPr>
          <w:rFonts w:hint="eastAsia" w:ascii="宋体" w:hAnsi="宋体" w:eastAsia="宋体" w:cs="宋体"/>
          <w:color w:val="auto"/>
          <w:spacing w:val="-6"/>
          <w:sz w:val="22"/>
          <w:szCs w:val="22"/>
          <w:highlight w:val="none"/>
          <w:u w:val="singl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u w:val="single"/>
        </w:rPr>
        <w:t>▲</w:t>
      </w:r>
      <w:r>
        <w:rPr>
          <w:rFonts w:hint="eastAsia" w:ascii="宋体" w:hAnsi="宋体" w:eastAsia="宋体" w:cs="宋体"/>
          <w:color w:val="auto"/>
          <w:spacing w:val="-6"/>
          <w:sz w:val="22"/>
          <w:szCs w:val="22"/>
          <w:highlight w:val="none"/>
          <w:u w:val="single"/>
        </w:rPr>
        <w:t>不提供报价明细表将视为没有明确响应招标文件。</w:t>
      </w:r>
    </w:p>
    <w:p>
      <w:pPr>
        <w:spacing w:line="380" w:lineRule="exact"/>
        <w:ind w:firstLine="416"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4、</w:t>
      </w:r>
      <w:r>
        <w:rPr>
          <w:rFonts w:hint="eastAsia" w:ascii="宋体" w:hAnsi="宋体" w:eastAsia="宋体" w:cs="宋体"/>
          <w:color w:val="auto"/>
          <w:sz w:val="22"/>
          <w:szCs w:val="22"/>
          <w:highlight w:val="none"/>
        </w:rPr>
        <w:t>在中标或者成交公告的内容中增加本表，请各投标人认真填写，确保报价数据的真实性、完整性和合理性。</w:t>
      </w:r>
    </w:p>
    <w:p>
      <w:pPr>
        <w:pStyle w:val="15"/>
        <w:ind w:left="0" w:leftChars="0" w:firstLine="0" w:firstLineChars="0"/>
        <w:rPr>
          <w:rFonts w:hint="eastAsia" w:ascii="宋体" w:hAnsi="宋体" w:eastAsia="宋体" w:cs="宋体"/>
          <w:color w:val="auto"/>
          <w:sz w:val="22"/>
          <w:szCs w:val="22"/>
          <w:highlight w:val="none"/>
        </w:rPr>
      </w:pPr>
    </w:p>
    <w:p>
      <w:pPr>
        <w:widowControl/>
        <w:spacing w:line="400" w:lineRule="exact"/>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投标人全称(电子签章)：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pPr>
        <w:snapToGrid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b/>
          <w:bCs/>
          <w:color w:val="auto"/>
          <w:sz w:val="22"/>
          <w:szCs w:val="22"/>
          <w:highlight w:val="none"/>
        </w:rPr>
        <w:sectPr>
          <w:pgSz w:w="16838" w:h="11906" w:orient="landscape"/>
          <w:pgMar w:top="1083" w:right="1440" w:bottom="1083" w:left="1440" w:header="851" w:footer="992" w:gutter="0"/>
          <w:pgBorders>
            <w:top w:val="none" w:sz="0" w:space="0"/>
            <w:left w:val="none" w:sz="0" w:space="0"/>
            <w:bottom w:val="none" w:sz="0" w:space="0"/>
            <w:right w:val="none" w:sz="0" w:space="0"/>
          </w:pgBorders>
          <w:cols w:space="0" w:num="1"/>
          <w:rtlGutter w:val="0"/>
          <w:docGrid w:linePitch="312" w:charSpace="0"/>
        </w:sectPr>
      </w:pPr>
    </w:p>
    <w:p>
      <w:pPr>
        <w:widowControl/>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投标报价明细表</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标项</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eastAsia="zh-CN"/>
        </w:rPr>
        <w:t>标项名称</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zh-CN" w:eastAsia="zh-CN"/>
        </w:rPr>
        <w:t>2022年温州市电子警察系统项目</w:t>
      </w:r>
      <w:r>
        <w:rPr>
          <w:rFonts w:hint="eastAsia" w:ascii="宋体" w:hAnsi="宋体" w:eastAsia="宋体" w:cs="宋体"/>
          <w:b w:val="0"/>
          <w:bCs w:val="0"/>
          <w:color w:val="auto"/>
          <w:sz w:val="22"/>
          <w:szCs w:val="22"/>
          <w:highlight w:val="none"/>
        </w:rPr>
        <w:t xml:space="preserve">                        项目编号：       </w:t>
      </w:r>
    </w:p>
    <w:tbl>
      <w:tblPr>
        <w:tblStyle w:val="31"/>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219"/>
        <w:gridCol w:w="903"/>
        <w:gridCol w:w="713"/>
        <w:gridCol w:w="1230"/>
        <w:gridCol w:w="853"/>
        <w:gridCol w:w="722"/>
        <w:gridCol w:w="1301"/>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货物名称</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1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投标总价（与开标一览表一致）：</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p>
      <w:pPr>
        <w:keepNext w:val="0"/>
        <w:keepLines w:val="0"/>
        <w:pageBreakBefore w:val="0"/>
        <w:widowControl/>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1、“报价明细表”内“投标总价”应与附件1“开标一览表”中“投标总报价”相一致。</w:t>
      </w:r>
    </w:p>
    <w:p>
      <w:pPr>
        <w:keepNext w:val="0"/>
        <w:keepLines w:val="0"/>
        <w:pageBreakBefore w:val="0"/>
        <w:widowControl/>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2、如果含在产品价格中则填“含”，如无此项内容则填“无”，不留空白。此表投标人可根据实际需求自行编制。</w:t>
      </w:r>
    </w:p>
    <w:p>
      <w:pPr>
        <w:keepNext w:val="0"/>
        <w:keepLines w:val="0"/>
        <w:pageBreakBefore w:val="0"/>
        <w:widowControl/>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hAnsi="宋体" w:eastAsia="宋体" w:cs="宋体"/>
          <w:b w:val="0"/>
          <w:bCs w:val="0"/>
          <w:color w:val="auto"/>
          <w:sz w:val="22"/>
          <w:szCs w:val="22"/>
          <w:highlight w:val="none"/>
          <w:u w:val="single"/>
        </w:rPr>
        <w:t>▲不提供报价明细表将视为没有明确响应招标文件。</w:t>
      </w:r>
    </w:p>
    <w:p>
      <w:pPr>
        <w:keepNext w:val="0"/>
        <w:keepLines w:val="0"/>
        <w:pageBreakBefore w:val="0"/>
        <w:widowControl/>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4、在中标或者成交公告的内容中增加本表，请各投标人认真填写，确保报价数据的真实性、完整性和合理性。</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投标人全称(电子签章)：</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法定代表人或授权代表(签字或盖章)：</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日期：    年    月    日</w:t>
      </w: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widowControl/>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附件3</w:t>
      </w:r>
    </w:p>
    <w:p>
      <w:pPr>
        <w:pStyle w:val="28"/>
        <w:spacing w:before="0" w:beforeAutospacing="0" w:after="0" w:afterAutospacing="0" w:line="400" w:lineRule="exact"/>
        <w:jc w:val="center"/>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中小企业声明函（货物）</w:t>
      </w:r>
    </w:p>
    <w:p>
      <w:pPr>
        <w:pStyle w:val="28"/>
        <w:spacing w:before="0" w:beforeAutospacing="0" w:after="0" w:afterAutospacing="0" w:line="400" w:lineRule="exact"/>
        <w:jc w:val="center"/>
        <w:rPr>
          <w:rFonts w:hint="eastAsia" w:ascii="宋体" w:hAnsi="宋体" w:eastAsia="宋体" w:cs="宋体"/>
          <w:color w:val="auto"/>
          <w:sz w:val="28"/>
          <w:szCs w:val="28"/>
          <w:highlight w:val="none"/>
          <w:shd w:val="clear" w:color="auto" w:fill="FFFFFF"/>
        </w:rPr>
      </w:pPr>
    </w:p>
    <w:p>
      <w:pPr>
        <w:pStyle w:val="68"/>
        <w:spacing w:line="376" w:lineRule="exact"/>
        <w:ind w:firstLine="460"/>
        <w:rPr>
          <w:rFonts w:hint="eastAsia" w:ascii="宋体" w:hAnsi="宋体" w:eastAsia="宋体" w:cs="宋体"/>
          <w:color w:val="auto"/>
          <w:sz w:val="24"/>
          <w:szCs w:val="24"/>
          <w:highlight w:val="none"/>
        </w:rPr>
      </w:pPr>
      <w:bookmarkStart w:id="263" w:name="bookmark0"/>
      <w:bookmarkEnd w:id="263"/>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单位</w:t>
      </w:r>
      <w:r>
        <w:rPr>
          <w:rFonts w:hint="eastAsia" w:ascii="宋体" w:hAnsi="宋体" w:eastAsia="宋体" w:cs="宋体"/>
          <w:color w:val="auto"/>
          <w:sz w:val="24"/>
          <w:szCs w:val="24"/>
          <w:highlight w:val="none"/>
          <w:u w:val="single"/>
        </w:rPr>
        <w:t>名</w:t>
      </w:r>
      <w:r>
        <w:rPr>
          <w:rFonts w:hint="eastAsia" w:ascii="宋体" w:hAnsi="宋体" w:eastAsia="宋体" w:cs="宋体"/>
          <w:color w:val="auto"/>
          <w:sz w:val="24"/>
          <w:szCs w:val="24"/>
          <w:highlight w:val="none"/>
          <w:u w:val="single"/>
          <w:lang w:val="en-US" w:eastAsia="zh-CN" w:bidi="en-US"/>
        </w:rPr>
        <w:t>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标项名称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zh-CN" w:eastAsia="zh-CN" w:bidi="zh-CN"/>
        </w:rPr>
        <w:t>活动，</w:t>
      </w:r>
      <w:r>
        <w:rPr>
          <w:rFonts w:hint="eastAsia" w:ascii="宋体" w:hAnsi="宋体" w:eastAsia="宋体" w:cs="宋体"/>
          <w:color w:val="auto"/>
          <w:sz w:val="24"/>
          <w:szCs w:val="24"/>
          <w:highlight w:val="none"/>
          <w:lang w:val="en-US" w:eastAsia="zh-CN"/>
        </w:rPr>
        <w:t>提供的货物全部由符合政策要求的中小企业制造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中的中小企业</w:t>
      </w:r>
      <w:r>
        <w:rPr>
          <w:rFonts w:hint="eastAsia" w:ascii="宋体" w:hAnsi="宋体" w:eastAsia="宋体" w:cs="宋体"/>
          <w:color w:val="auto"/>
          <w:sz w:val="24"/>
          <w:szCs w:val="24"/>
          <w:highlight w:val="none"/>
          <w:lang w:eastAsia="zh-CN"/>
        </w:rPr>
        <w:t>提供的货物全部</w:t>
      </w:r>
      <w:r>
        <w:rPr>
          <w:rFonts w:hint="eastAsia" w:ascii="宋体" w:hAnsi="宋体" w:eastAsia="宋体" w:cs="宋体"/>
          <w:color w:val="auto"/>
          <w:sz w:val="24"/>
          <w:szCs w:val="24"/>
          <w:highlight w:val="none"/>
        </w:rPr>
        <w:t>由符合政策要求的中小企业</w:t>
      </w:r>
      <w:r>
        <w:rPr>
          <w:rFonts w:hint="eastAsia" w:ascii="宋体" w:hAnsi="宋体" w:eastAsia="宋体" w:cs="宋体"/>
          <w:color w:val="auto"/>
          <w:sz w:val="24"/>
          <w:szCs w:val="24"/>
          <w:highlight w:val="none"/>
          <w:lang w:eastAsia="zh-CN"/>
        </w:rPr>
        <w:t>制造；</w:t>
      </w:r>
      <w:r>
        <w:rPr>
          <w:rFonts w:hint="eastAsia" w:ascii="宋体" w:hAnsi="宋体" w:eastAsia="宋体" w:cs="宋体"/>
          <w:color w:val="auto"/>
          <w:spacing w:val="0"/>
          <w:w w:val="100"/>
          <w:position w:val="0"/>
          <w:sz w:val="24"/>
          <w:szCs w:val="24"/>
          <w:highlight w:val="none"/>
        </w:rPr>
        <w:t>签订分包意向协议的中小企业</w:t>
      </w:r>
      <w:r>
        <w:rPr>
          <w:rFonts w:hint="eastAsia" w:ascii="宋体" w:hAnsi="宋体" w:eastAsia="宋体" w:cs="宋体"/>
          <w:color w:val="auto"/>
          <w:sz w:val="24"/>
          <w:szCs w:val="24"/>
          <w:highlight w:val="none"/>
          <w:lang w:eastAsia="zh-CN"/>
        </w:rPr>
        <w:t>提供的货物全部</w:t>
      </w:r>
      <w:r>
        <w:rPr>
          <w:rFonts w:hint="eastAsia" w:ascii="宋体" w:hAnsi="宋体" w:eastAsia="宋体" w:cs="宋体"/>
          <w:color w:val="auto"/>
          <w:sz w:val="24"/>
          <w:szCs w:val="24"/>
          <w:highlight w:val="none"/>
        </w:rPr>
        <w:t>由符合政策要求的中小企业</w:t>
      </w:r>
      <w:r>
        <w:rPr>
          <w:rFonts w:hint="eastAsia" w:ascii="宋体" w:hAnsi="宋体" w:eastAsia="宋体" w:cs="宋体"/>
          <w:color w:val="auto"/>
          <w:sz w:val="24"/>
          <w:szCs w:val="24"/>
          <w:highlight w:val="none"/>
          <w:lang w:eastAsia="zh-CN"/>
        </w:rPr>
        <w:t>制造）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相关企业</w:t>
      </w:r>
      <w:r>
        <w:rPr>
          <w:rFonts w:hint="eastAsia" w:ascii="宋体" w:hAnsi="宋体" w:eastAsia="宋体" w:cs="宋体"/>
          <w:color w:val="auto"/>
          <w:spacing w:val="0"/>
          <w:w w:val="100"/>
          <w:position w:val="0"/>
          <w:sz w:val="24"/>
          <w:szCs w:val="24"/>
          <w:highlight w:val="none"/>
        </w:rPr>
        <w:t>（含联合体中的中小企业、签订分包意向协议的中小企业）</w:t>
      </w:r>
      <w:r>
        <w:rPr>
          <w:rFonts w:hint="eastAsia" w:ascii="宋体" w:hAnsi="宋体" w:eastAsia="宋体" w:cs="宋体"/>
          <w:color w:val="auto"/>
          <w:sz w:val="24"/>
          <w:szCs w:val="24"/>
          <w:highlight w:val="none"/>
        </w:rPr>
        <w:t>的具体情况如</w:t>
      </w:r>
      <w:r>
        <w:rPr>
          <w:rFonts w:hint="eastAsia" w:ascii="宋体" w:hAnsi="宋体" w:eastAsia="宋体" w:cs="宋体"/>
          <w:color w:val="auto"/>
          <w:sz w:val="24"/>
          <w:szCs w:val="24"/>
          <w:highlight w:val="none"/>
          <w:lang w:eastAsia="zh-CN"/>
        </w:rPr>
        <w:t>下</w:t>
      </w:r>
      <w:r>
        <w:rPr>
          <w:rFonts w:hint="eastAsia" w:ascii="宋体" w:hAnsi="宋体" w:eastAsia="宋体" w:cs="宋体"/>
          <w:color w:val="auto"/>
          <w:sz w:val="24"/>
          <w:szCs w:val="24"/>
          <w:highlight w:val="none"/>
        </w:rPr>
        <w:t>：</w:t>
      </w:r>
    </w:p>
    <w:p>
      <w:pPr>
        <w:pStyle w:val="68"/>
        <w:numPr>
          <w:ilvl w:val="0"/>
          <w:numId w:val="8"/>
        </w:numPr>
        <w:tabs>
          <w:tab w:val="left" w:pos="908"/>
          <w:tab w:val="left" w:pos="921"/>
          <w:tab w:val="left" w:pos="3178"/>
          <w:tab w:val="left" w:pos="4761"/>
        </w:tabs>
        <w:spacing w:line="370" w:lineRule="exact"/>
        <w:ind w:firstLine="4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工</w:t>
      </w:r>
      <w:r>
        <w:rPr>
          <w:rFonts w:hint="eastAsia" w:ascii="宋体" w:hAnsi="宋体" w:eastAsia="宋体" w:cs="宋体"/>
          <w:color w:val="auto"/>
          <w:sz w:val="24"/>
          <w:szCs w:val="24"/>
          <w:highlight w:val="none"/>
          <w:u w:val="single"/>
          <w:lang w:val="en-US" w:eastAsia="zh-CN"/>
        </w:rPr>
        <w:t>业</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lang w:val="en-US" w:eastAsia="zh-CN"/>
        </w:rPr>
        <w:t>行</w:t>
      </w:r>
      <w:r>
        <w:rPr>
          <w:rFonts w:hint="eastAsia" w:ascii="宋体" w:hAnsi="宋体" w:eastAsia="宋体" w:cs="宋体"/>
          <w:color w:val="auto"/>
          <w:sz w:val="24"/>
          <w:szCs w:val="24"/>
          <w:highlight w:val="none"/>
        </w:rPr>
        <w:t>业；制造商为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Style w:val="39"/>
          <w:rFonts w:hint="eastAsia" w:ascii="宋体" w:hAnsi="宋体" w:eastAsia="宋体" w:cs="宋体"/>
          <w:color w:val="auto"/>
          <w:sz w:val="24"/>
          <w:szCs w:val="24"/>
          <w:highlight w:val="none"/>
          <w:lang w:val="en-US" w:eastAsia="en-US" w:bidi="en-US"/>
        </w:rPr>
        <w:footnoteReference w:id="0"/>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lang w:eastAsia="zh-CN"/>
        </w:rPr>
        <w:t>；</w:t>
      </w:r>
    </w:p>
    <w:p>
      <w:pPr>
        <w:pStyle w:val="68"/>
        <w:numPr>
          <w:ilvl w:val="0"/>
          <w:numId w:val="8"/>
        </w:numPr>
        <w:tabs>
          <w:tab w:val="left" w:pos="662"/>
          <w:tab w:val="left" w:pos="908"/>
          <w:tab w:val="left" w:pos="2945"/>
        </w:tabs>
        <w:spacing w:line="370" w:lineRule="exact"/>
        <w:ind w:firstLine="460"/>
        <w:rPr>
          <w:rFonts w:hint="eastAsia" w:ascii="宋体" w:hAnsi="宋体" w:eastAsia="宋体" w:cs="宋体"/>
          <w:color w:val="auto"/>
          <w:sz w:val="24"/>
          <w:szCs w:val="24"/>
          <w:highlight w:val="none"/>
        </w:rPr>
      </w:pPr>
      <w:bookmarkStart w:id="264" w:name="bookmark1"/>
      <w:bookmarkEnd w:id="264"/>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工</w:t>
      </w:r>
      <w:r>
        <w:rPr>
          <w:rFonts w:hint="eastAsia" w:ascii="宋体" w:hAnsi="宋体" w:eastAsia="宋体" w:cs="宋体"/>
          <w:color w:val="auto"/>
          <w:sz w:val="24"/>
          <w:szCs w:val="24"/>
          <w:highlight w:val="none"/>
          <w:u w:val="single"/>
          <w:lang w:val="en-US" w:eastAsia="zh-CN"/>
        </w:rPr>
        <w:t>业</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lang w:val="zh-CN" w:eastAsia="zh-CN" w:bidi="zh-CN"/>
        </w:rPr>
        <w:t>行业</w:t>
      </w:r>
      <w:r>
        <w:rPr>
          <w:rFonts w:hint="eastAsia" w:ascii="宋体" w:hAnsi="宋体" w:eastAsia="宋体" w:cs="宋体"/>
          <w:i/>
          <w:iCs/>
          <w:color w:val="auto"/>
          <w:sz w:val="24"/>
          <w:szCs w:val="24"/>
          <w:highlight w:val="none"/>
          <w:lang w:val="zh-CN" w:eastAsia="zh-CN" w:bidi="zh-CN"/>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rPr>
        <w:t>（</w:t>
      </w:r>
      <w:r>
        <w:rPr>
          <w:rFonts w:hint="eastAsia" w:ascii="宋体" w:hAnsi="宋体" w:eastAsia="宋体" w:cs="宋体"/>
          <w:color w:val="auto"/>
          <w:sz w:val="24"/>
          <w:szCs w:val="24"/>
          <w:highlight w:val="none"/>
          <w:u w:val="single"/>
        </w:rPr>
        <w:t>企业名称）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 企业、微型</w:t>
      </w:r>
      <w:r>
        <w:rPr>
          <w:rFonts w:hint="eastAsia" w:ascii="宋体" w:hAnsi="宋体" w:eastAsia="宋体" w:cs="宋体"/>
          <w:color w:val="auto"/>
          <w:sz w:val="24"/>
          <w:szCs w:val="24"/>
          <w:highlight w:val="none"/>
          <w:u w:val="single"/>
          <w:lang w:val="zh-CN" w:eastAsia="zh-CN" w:bidi="zh-CN"/>
        </w:rPr>
        <w:t>企业）；</w:t>
      </w:r>
    </w:p>
    <w:p>
      <w:pPr>
        <w:pStyle w:val="68"/>
        <w:tabs>
          <w:tab w:val="left" w:pos="662"/>
          <w:tab w:val="left" w:pos="908"/>
          <w:tab w:val="left" w:pos="2945"/>
        </w:tabs>
        <w:spacing w:line="370" w:lineRule="exact"/>
        <w:ind w:left="46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pStyle w:val="68"/>
        <w:tabs>
          <w:tab w:val="left" w:pos="662"/>
          <w:tab w:val="left" w:pos="908"/>
          <w:tab w:val="left" w:pos="2945"/>
        </w:tabs>
        <w:spacing w:line="37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p>
    <w:p>
      <w:pPr>
        <w:pStyle w:val="68"/>
        <w:tabs>
          <w:tab w:val="left" w:pos="662"/>
          <w:tab w:val="left" w:pos="908"/>
          <w:tab w:val="left" w:pos="2945"/>
        </w:tabs>
        <w:spacing w:line="3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68"/>
        <w:spacing w:line="372" w:lineRule="exact"/>
        <w:jc w:val="left"/>
        <w:rPr>
          <w:rFonts w:hint="eastAsia" w:ascii="宋体" w:hAnsi="宋体" w:eastAsia="宋体" w:cs="宋体"/>
          <w:color w:val="auto"/>
          <w:sz w:val="24"/>
          <w:szCs w:val="24"/>
          <w:highlight w:val="none"/>
        </w:rPr>
      </w:pPr>
    </w:p>
    <w:p>
      <w:pPr>
        <w:pStyle w:val="68"/>
        <w:spacing w:line="372" w:lineRule="exact"/>
        <w:ind w:firstLine="4468" w:firstLineChars="186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pStyle w:val="28"/>
        <w:spacing w:before="0" w:beforeAutospacing="0" w:after="0" w:afterAutospacing="0" w:line="360" w:lineRule="auto"/>
        <w:ind w:firstLine="480" w:firstLineChars="200"/>
        <w:jc w:val="center"/>
        <w:rPr>
          <w:rFonts w:hint="eastAsia" w:ascii="宋体" w:hAnsi="宋体" w:eastAsia="宋体" w:cs="宋体"/>
          <w:color w:val="auto"/>
          <w:sz w:val="22"/>
          <w:highlight w:val="none"/>
          <w:shd w:val="clear" w:color="auto" w:fill="FFFFFF"/>
        </w:rPr>
      </w:pPr>
      <w:r>
        <w:rPr>
          <w:rFonts w:hint="eastAsia" w:ascii="宋体" w:hAnsi="宋体" w:eastAsia="宋体" w:cs="宋体"/>
          <w:color w:val="auto"/>
          <w:szCs w:val="24"/>
          <w:highlight w:val="none"/>
        </w:rPr>
        <w:t>日期：</w:t>
      </w:r>
      <w:r>
        <w:rPr>
          <w:rFonts w:hint="eastAsia" w:ascii="宋体" w:hAnsi="宋体" w:eastAsia="宋体" w:cs="宋体"/>
          <w:color w:val="auto"/>
          <w:sz w:val="22"/>
          <w:highlight w:val="none"/>
          <w:shd w:val="clear" w:color="auto" w:fill="FFFFFF"/>
        </w:rPr>
        <w:t>　</w:t>
      </w:r>
    </w:p>
    <w:p>
      <w:pPr>
        <w:pStyle w:val="68"/>
        <w:tabs>
          <w:tab w:val="left" w:pos="662"/>
          <w:tab w:val="left" w:pos="908"/>
          <w:tab w:val="left" w:pos="2945"/>
        </w:tabs>
        <w:spacing w:line="370" w:lineRule="exact"/>
        <w:ind w:firstLine="0"/>
        <w:rPr>
          <w:rFonts w:hint="eastAsia" w:ascii="宋体" w:hAnsi="宋体" w:eastAsia="宋体" w:cs="宋体"/>
          <w:b/>
          <w:bCs/>
          <w:color w:val="auto"/>
          <w:highlight w:val="none"/>
        </w:rPr>
      </w:pPr>
    </w:p>
    <w:p>
      <w:pPr>
        <w:pStyle w:val="68"/>
        <w:tabs>
          <w:tab w:val="left" w:pos="662"/>
          <w:tab w:val="left" w:pos="908"/>
          <w:tab w:val="left" w:pos="2945"/>
        </w:tabs>
        <w:spacing w:line="370" w:lineRule="exact"/>
        <w:ind w:firstLine="0"/>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从业人员、营业收入、资产总额填报上一年度数据，无上一年度数据的新成立企业可不填报。（无上一年度数据的新成立企业需提供相关证明材料）</w:t>
      </w:r>
    </w:p>
    <w:p>
      <w:pPr>
        <w:pStyle w:val="68"/>
        <w:tabs>
          <w:tab w:val="left" w:pos="662"/>
          <w:tab w:val="left" w:pos="908"/>
          <w:tab w:val="left" w:pos="2945"/>
        </w:tabs>
        <w:spacing w:line="37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“标的名称”、“采购文件中明确的所属行业”依据</w:t>
      </w:r>
      <w:r>
        <w:rPr>
          <w:rFonts w:hint="eastAsia" w:ascii="宋体" w:hAnsi="宋体" w:eastAsia="宋体" w:cs="宋体"/>
          <w:b/>
          <w:bCs/>
          <w:color w:val="auto"/>
          <w:highlight w:val="none"/>
          <w:lang w:eastAsia="zh-CN"/>
        </w:rPr>
        <w:t>招标文件</w:t>
      </w:r>
      <w:r>
        <w:rPr>
          <w:rFonts w:hint="eastAsia" w:ascii="宋体" w:hAnsi="宋体" w:eastAsia="宋体" w:cs="宋体"/>
          <w:b/>
          <w:bCs/>
          <w:color w:val="auto"/>
          <w:highlight w:val="none"/>
        </w:rPr>
        <w:t>第二部分</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须知前附表中“</w:t>
      </w:r>
      <w:r>
        <w:rPr>
          <w:rFonts w:hint="eastAsia" w:ascii="宋体" w:hAnsi="宋体" w:eastAsia="宋体" w:cs="宋体"/>
          <w:b/>
          <w:bCs/>
          <w:color w:val="auto"/>
          <w:highlight w:val="none"/>
          <w:lang w:eastAsia="zh-CN"/>
        </w:rPr>
        <w:t>所属行业及标的名称</w:t>
      </w:r>
      <w:r>
        <w:rPr>
          <w:rFonts w:hint="eastAsia" w:ascii="宋体" w:hAnsi="宋体" w:eastAsia="宋体" w:cs="宋体"/>
          <w:b/>
          <w:bCs/>
          <w:color w:val="auto"/>
          <w:highlight w:val="none"/>
        </w:rPr>
        <w:t>”填写，不得缺漏；中型企业、小型企业、微型企业等3种企业类型，结合以上数据，依据《中小企业划型标准规定》（工信部联企业〔2011〕300号）确定；</w:t>
      </w:r>
    </w:p>
    <w:p>
      <w:pPr>
        <w:pStyle w:val="68"/>
        <w:tabs>
          <w:tab w:val="left" w:pos="662"/>
          <w:tab w:val="left" w:pos="908"/>
          <w:tab w:val="left" w:pos="2945"/>
        </w:tabs>
        <w:spacing w:line="37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pPr>
        <w:pStyle w:val="68"/>
        <w:tabs>
          <w:tab w:val="left" w:pos="662"/>
          <w:tab w:val="left" w:pos="908"/>
          <w:tab w:val="left" w:pos="2945"/>
        </w:tabs>
        <w:spacing w:line="370" w:lineRule="exact"/>
        <w:ind w:firstLine="44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lang w:eastAsia="zh-CN"/>
        </w:rPr>
        <w:t>中标人</w:t>
      </w:r>
      <w:r>
        <w:rPr>
          <w:rFonts w:hint="eastAsia" w:ascii="宋体" w:hAnsi="宋体" w:eastAsia="宋体" w:cs="宋体"/>
          <w:b/>
          <w:bCs/>
          <w:color w:val="auto"/>
          <w:highlight w:val="none"/>
        </w:rPr>
        <w:t>享受《政府采购促进中小企业发展管理办法》的通知（财库〔2020〕46号）规定的中小企业扶持政策的，采购人、采购代理机构应当随中标、成交结果公开</w:t>
      </w:r>
      <w:r>
        <w:rPr>
          <w:rFonts w:hint="eastAsia" w:ascii="宋体" w:hAnsi="宋体" w:eastAsia="宋体" w:cs="宋体"/>
          <w:b/>
          <w:bCs/>
          <w:color w:val="auto"/>
          <w:highlight w:val="none"/>
          <w:lang w:eastAsia="zh-CN"/>
        </w:rPr>
        <w:t>中标人</w:t>
      </w:r>
      <w:r>
        <w:rPr>
          <w:rFonts w:hint="eastAsia" w:ascii="宋体" w:hAnsi="宋体" w:eastAsia="宋体" w:cs="宋体"/>
          <w:b/>
          <w:bCs/>
          <w:color w:val="auto"/>
          <w:highlight w:val="none"/>
        </w:rPr>
        <w:t>的《中小企业声明函》。</w:t>
      </w:r>
    </w:p>
    <w:p>
      <w:pPr>
        <w:pStyle w:val="68"/>
        <w:tabs>
          <w:tab w:val="left" w:pos="662"/>
          <w:tab w:val="left" w:pos="908"/>
          <w:tab w:val="left" w:pos="2945"/>
        </w:tabs>
        <w:spacing w:line="370" w:lineRule="exact"/>
        <w:ind w:firstLine="442" w:firstLineChars="200"/>
        <w:rPr>
          <w:rFonts w:hint="eastAsia" w:ascii="宋体" w:hAnsi="宋体" w:eastAsia="宋体" w:cs="宋体"/>
          <w:color w:val="auto"/>
          <w:kern w:val="0"/>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kern w:val="0"/>
          <w:highlight w:val="none"/>
          <w:lang w:val="en-US" w:eastAsia="zh-CN"/>
        </w:rPr>
        <w:t>投标人</w:t>
      </w:r>
      <w:r>
        <w:rPr>
          <w:rFonts w:hint="eastAsia" w:ascii="宋体" w:hAnsi="宋体" w:eastAsia="宋体" w:cs="宋体"/>
          <w:b/>
          <w:bCs/>
          <w:color w:val="auto"/>
          <w:kern w:val="0"/>
          <w:highlight w:val="none"/>
        </w:rPr>
        <w:t>为联合体形式的，企业名称</w:t>
      </w:r>
      <w:r>
        <w:rPr>
          <w:rFonts w:hint="eastAsia" w:ascii="宋体" w:hAnsi="宋体" w:eastAsia="宋体" w:cs="宋体"/>
          <w:b/>
          <w:bCs/>
          <w:color w:val="auto"/>
          <w:kern w:val="0"/>
          <w:highlight w:val="none"/>
          <w:lang w:eastAsia="zh-CN"/>
        </w:rPr>
        <w:t>填写所有联合体成员名称，</w:t>
      </w:r>
      <w:r>
        <w:rPr>
          <w:rFonts w:hint="eastAsia" w:ascii="宋体" w:hAnsi="宋体" w:eastAsia="宋体" w:cs="宋体"/>
          <w:b/>
          <w:bCs/>
          <w:color w:val="auto"/>
          <w:kern w:val="0"/>
          <w:highlight w:val="none"/>
        </w:rPr>
        <w:t>盖章可只需联合体牵头方盖章。</w:t>
      </w: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监狱企业资格证明材料</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（注：符合条件的监狱企业请提供本函，不符合的不提供本函）</w:t>
      </w:r>
    </w:p>
    <w:p>
      <w:pPr>
        <w:pStyle w:val="15"/>
        <w:spacing w:after="0" w:line="400" w:lineRule="exact"/>
        <w:ind w:left="0" w:leftChars="0" w:right="0" w:rightChars="0"/>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（省级以上监狱管理局、戒毒管理局（含新疆生产建设兵团）出具的属于监狱企业的证明文件）</w:t>
      </w:r>
    </w:p>
    <w:p>
      <w:pPr>
        <w:pStyle w:val="15"/>
        <w:spacing w:after="0" w:line="400" w:lineRule="exact"/>
        <w:ind w:left="0" w:leftChars="0" w:right="0" w:rightChars="0"/>
        <w:rPr>
          <w:rFonts w:hint="eastAsia" w:ascii="宋体" w:hAnsi="宋体" w:eastAsia="宋体" w:cs="宋体"/>
          <w:color w:val="auto"/>
          <w:sz w:val="22"/>
          <w:highlight w:val="none"/>
        </w:rPr>
      </w:pPr>
    </w:p>
    <w:p>
      <w:pPr>
        <w:pStyle w:val="15"/>
        <w:spacing w:after="0" w:line="400" w:lineRule="exact"/>
        <w:ind w:left="0" w:leftChars="0" w:right="0" w:rightChars="0"/>
        <w:rPr>
          <w:rFonts w:hint="eastAsia" w:ascii="宋体" w:hAnsi="宋体" w:eastAsia="宋体" w:cs="宋体"/>
          <w:color w:val="auto"/>
          <w:sz w:val="22"/>
          <w:highlight w:val="none"/>
        </w:rPr>
      </w:pPr>
    </w:p>
    <w:p>
      <w:pPr>
        <w:pStyle w:val="15"/>
        <w:spacing w:after="0" w:line="400" w:lineRule="exact"/>
        <w:ind w:left="0" w:leftChars="0" w:right="0" w:rightChars="0"/>
        <w:rPr>
          <w:rFonts w:hint="eastAsia" w:ascii="宋体" w:hAnsi="宋体" w:eastAsia="宋体" w:cs="宋体"/>
          <w:color w:val="auto"/>
          <w:sz w:val="22"/>
          <w:highlight w:val="none"/>
        </w:rPr>
      </w:pPr>
    </w:p>
    <w:p>
      <w:pPr>
        <w:pStyle w:val="15"/>
        <w:spacing w:after="0" w:line="400" w:lineRule="exact"/>
        <w:ind w:left="0" w:leftChars="0" w:right="0" w:rightChars="0"/>
        <w:rPr>
          <w:rFonts w:hint="eastAsia" w:ascii="宋体" w:hAnsi="宋体" w:eastAsia="宋体" w:cs="宋体"/>
          <w:color w:val="auto"/>
          <w:sz w:val="22"/>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（注：符合条件的残疾人福利性单位请提供本函，不符合的不提供本函）</w:t>
      </w:r>
    </w:p>
    <w:p>
      <w:pPr>
        <w:spacing w:line="400" w:lineRule="exact"/>
        <w:rPr>
          <w:rFonts w:hint="eastAsia" w:ascii="宋体" w:hAnsi="宋体" w:eastAsia="宋体" w:cs="宋体"/>
          <w:b/>
          <w:color w:val="auto"/>
          <w:spacing w:val="6"/>
          <w:sz w:val="30"/>
          <w:szCs w:val="30"/>
          <w:highlight w:val="none"/>
        </w:rPr>
      </w:pPr>
    </w:p>
    <w:p>
      <w:pPr>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400" w:lineRule="exact"/>
        <w:ind w:firstLine="504" w:firstLineChars="200"/>
        <w:rPr>
          <w:rFonts w:hint="eastAsia" w:ascii="宋体" w:hAnsi="宋体" w:eastAsia="宋体" w:cs="宋体"/>
          <w:color w:val="auto"/>
          <w:spacing w:val="6"/>
          <w:sz w:val="24"/>
          <w:szCs w:val="24"/>
          <w:highlight w:val="none"/>
        </w:rPr>
      </w:pPr>
    </w:p>
    <w:p>
      <w:pPr>
        <w:tabs>
          <w:tab w:val="left" w:pos="4860"/>
        </w:tabs>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单位名称（电子签章）：</w:t>
      </w:r>
    </w:p>
    <w:p>
      <w:pPr>
        <w:tabs>
          <w:tab w:val="left" w:pos="4860"/>
        </w:tabs>
        <w:spacing w:line="400" w:lineRule="exact"/>
        <w:ind w:firstLine="504"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日        期：</w:t>
      </w: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注：投标人不属于残疾人福利性单位的，无需提供此声明函，如提供所引起的后果由投标人承担。</w:t>
      </w:r>
      <w:r>
        <w:rPr>
          <w:rFonts w:hint="eastAsia" w:ascii="宋体" w:hAnsi="宋体" w:eastAsia="宋体" w:cs="宋体"/>
          <w:b/>
          <w:bCs/>
          <w:color w:val="auto"/>
          <w:sz w:val="24"/>
          <w:highlight w:val="none"/>
          <w:lang w:eastAsia="zh-CN"/>
        </w:rPr>
        <w:t>中标人</w:t>
      </w:r>
      <w:r>
        <w:rPr>
          <w:rFonts w:hint="eastAsia" w:ascii="宋体" w:hAnsi="宋体" w:eastAsia="宋体" w:cs="宋体"/>
          <w:b/>
          <w:bCs/>
          <w:color w:val="auto"/>
          <w:sz w:val="24"/>
          <w:highlight w:val="none"/>
        </w:rPr>
        <w:t>为残疾人福利性单位的，采购代理机构将随中标结果同时公告其《残疾人福利性单位声明函》，接受社会监督。</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napToGrid w:val="0"/>
        <w:spacing w:before="120" w:beforeLines="50" w:after="50"/>
        <w:jc w:val="center"/>
        <w:outlineLvl w:val="1"/>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二、资格文件部分封面格式</w:t>
      </w:r>
    </w:p>
    <w:p>
      <w:pPr>
        <w:snapToGrid w:val="0"/>
        <w:spacing w:before="120" w:beforeLines="50" w:after="50"/>
        <w:jc w:val="center"/>
        <w:outlineLvl w:val="1"/>
        <w:rPr>
          <w:rFonts w:hint="eastAsia" w:ascii="宋体" w:hAnsi="宋体" w:eastAsia="宋体" w:cs="宋体"/>
          <w:b/>
          <w:bCs/>
          <w:color w:val="auto"/>
          <w:sz w:val="24"/>
          <w:highlight w:val="none"/>
        </w:rPr>
      </w:pPr>
    </w:p>
    <w:p>
      <w:pPr>
        <w:snapToGrid w:val="0"/>
        <w:spacing w:line="400" w:lineRule="exact"/>
        <w:outlineLvl w:val="1"/>
        <w:rPr>
          <w:rFonts w:hint="eastAsia" w:ascii="宋体" w:hAnsi="宋体" w:eastAsia="宋体" w:cs="宋体"/>
          <w:b/>
          <w:bCs/>
          <w:color w:val="auto"/>
          <w:sz w:val="24"/>
          <w:szCs w:val="20"/>
          <w:highlight w:val="none"/>
        </w:rPr>
      </w:pPr>
    </w:p>
    <w:p>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lang w:eastAsia="zh-CN"/>
                              </w:rPr>
                              <w:t>标项名称</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J76aHEAAgAAOAQAAA4AAABkcnMvZTJvRG9jLnhtbK1T TW/bMAy9D9h/EHRf7KZx1hlxim1ZdhnWDe1+gCLJtgB9QVRi59+PktP0YzvkUB9kinp6JB+p1e1o NDnIAMrZhl7NSkqk5U4o2zX0z8P2ww0lEJkVTDsrG3qUQG/X79+tBl/LueudFjIQJLFQD76hfYy+ LgrgvTQMZs5Li4etC4ZF3IauEIENyG50MS/LZTG4IHxwXAKgdzMd0hNjuITQta3icuP43kgbJ9Yg NYtYEvTKA13nbNtW8njXtiAj0Q3FSmNeMQjau7QW6xWru8B8r/gpBXZJCq9qMkxZDHqm2rDIyD6o f6iM4sGBa+OMO1NMhWRFsIqr8pU29z3zMteCUoM/iw5vR8t/Hn4FokRDse2WGWz47z0T5HMIbiDL pM/goUbYvUdgHL+4Eafm0Q/oTGWPbTDpjwURPEd1j2d15RgJR2dVflzezCtKOJ5dXy8W1aJKPMXT dR8gfpfOkGQ0NGD7sqrs8APiBH2EpGjgtBJbpXXehG73VQdyYNjqbf5O7C9g2pKhoZ+qnAjD+W1x bjAn41EDsF2O9+IGPCcu8/c/4pTYhkE/JZAZEozVRkUZstVLJr5ZQeLRo84WnxdNyRgpKNESX2Oy MjIypS9BonbaooSpR1MvkhXH3Yg0ydw5ccS+7X1QXY+S5s5lOA5U1v40/Glin+8z6dODX/8F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cgQAAFtD b250ZW50X1R5cGVzXS54bWxQSwECFAAKAAAAAACHTuJAAAAAAAAAAAAAAAAABgAAAAAAAAAAABAA AABUAwAAX3JlbHMvUEsBAhQAFAAAAAgAh07iQIoUZjzRAAAAlAEAAAsAAAAAAAAAAQAgAAAAeAMA AF9yZWxzLy5yZWxzUEsBAhQACgAAAAAAh07iQAAAAAAAAAAAAAAAAAQAAAAAAAAAAAAQAAAAAAAA AGRycy9QSwECFAAUAAAACACHTuJAM6LEN9kAAAAJAQAADwAAAAAAAAABACAAAAAiAAAAZHJzL2Rv d25yZXYueG1sUEsBAhQAFAAAAAgAh07iQJ76aHEAAgAAOAQAAA4AAAAAAAAAAQAgAAAAKAEAAGRy cy9lMm9Eb2MueG1sUEsFBgAAAAAGAAYAWQEAAJoFAAAAAA== ">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lang w:eastAsia="zh-CN"/>
                        </w:rPr>
                        <w:t>标项名称</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附件4</w:t>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8"/>
          <w:szCs w:val="28"/>
          <w:highlight w:val="none"/>
        </w:rPr>
        <w:t xml:space="preserve"> 资格文件</w:t>
      </w:r>
    </w:p>
    <w:p>
      <w:pPr>
        <w:pStyle w:val="15"/>
        <w:spacing w:after="0" w:line="400" w:lineRule="exact"/>
        <w:ind w:left="0" w:leftChars="0" w:right="1470"/>
        <w:rPr>
          <w:rFonts w:hint="eastAsia" w:ascii="宋体" w:hAnsi="宋体" w:eastAsia="宋体" w:cs="宋体"/>
          <w:color w:val="auto"/>
          <w:highlight w:val="none"/>
        </w:rPr>
      </w:pPr>
    </w:p>
    <w:p>
      <w:pPr>
        <w:snapToGrid w:val="0"/>
        <w:spacing w:line="400" w:lineRule="exact"/>
        <w:jc w:val="center"/>
        <w:rPr>
          <w:rFonts w:hint="eastAsia" w:ascii="宋体" w:hAnsi="宋体" w:eastAsia="宋体" w:cs="宋体"/>
          <w:b/>
          <w:color w:val="auto"/>
          <w:spacing w:val="-6"/>
          <w:sz w:val="24"/>
          <w:szCs w:val="24"/>
          <w:highlight w:val="none"/>
        </w:rPr>
      </w:pPr>
    </w:p>
    <w:p>
      <w:pPr>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lang w:eastAsia="zh-CN"/>
        </w:rPr>
        <w:t>附件4</w:t>
      </w:r>
      <w:r>
        <w:rPr>
          <w:rFonts w:hint="eastAsia" w:ascii="宋体" w:hAnsi="宋体" w:eastAsia="宋体" w:cs="宋体"/>
          <w:b/>
          <w:color w:val="auto"/>
          <w:sz w:val="22"/>
          <w:highlight w:val="none"/>
        </w:rPr>
        <w:t>-1</w:t>
      </w:r>
    </w:p>
    <w:p>
      <w:pPr>
        <w:spacing w:line="360" w:lineRule="auto"/>
        <w:jc w:val="center"/>
        <w:rPr>
          <w:rFonts w:hint="eastAsia" w:ascii="宋体" w:hAnsi="宋体" w:eastAsia="宋体" w:cs="宋体"/>
          <w:b/>
          <w:color w:val="auto"/>
          <w:sz w:val="22"/>
          <w:highlight w:val="none"/>
        </w:rPr>
      </w:pPr>
    </w:p>
    <w:p>
      <w:pPr>
        <w:spacing w:line="360" w:lineRule="auto"/>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有效的法人或者其他组织的营业执照等证明文件，自然人的身份证明（五选一）</w:t>
      </w:r>
    </w:p>
    <w:p>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u w:val="single"/>
        </w:rPr>
        <w:t>（如为联合体投标，则联合体各方均须提供）</w:t>
      </w:r>
    </w:p>
    <w:p>
      <w:pPr>
        <w:spacing w:line="360" w:lineRule="auto"/>
        <w:rPr>
          <w:rFonts w:hint="eastAsia" w:ascii="宋体" w:hAnsi="宋体" w:eastAsia="宋体" w:cs="宋体"/>
          <w:b/>
          <w:color w:val="auto"/>
          <w:sz w:val="22"/>
          <w:highlight w:val="none"/>
        </w:rPr>
      </w:pPr>
    </w:p>
    <w:p>
      <w:pPr>
        <w:spacing w:line="360" w:lineRule="auto"/>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说明：</w:t>
      </w:r>
    </w:p>
    <w:p>
      <w:pPr>
        <w:pStyle w:val="26"/>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1.如投标人是企业（包括合伙企业），提供有效“企业法人营业执照”或“营业执照”；</w:t>
      </w:r>
    </w:p>
    <w:p>
      <w:pPr>
        <w:pStyle w:val="26"/>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2.如投标人是事业单位，提供有效的“事业单位法人证书”；</w:t>
      </w:r>
    </w:p>
    <w:p>
      <w:pPr>
        <w:pStyle w:val="26"/>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3.如投标人是非企业专业服务机构的，提供执业许可证等证明文件；</w:t>
      </w:r>
    </w:p>
    <w:p>
      <w:pPr>
        <w:pStyle w:val="26"/>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4.如投标人是个体工商户，提供有效的“个体工商户营业执照”；</w:t>
      </w:r>
    </w:p>
    <w:p>
      <w:pPr>
        <w:pStyle w:val="26"/>
        <w:spacing w:line="360" w:lineRule="auto"/>
        <w:ind w:left="418" w:hanging="418"/>
        <w:rPr>
          <w:rFonts w:hint="eastAsia" w:ascii="宋体" w:hAnsi="宋体" w:eastAsia="宋体" w:cs="宋体"/>
          <w:color w:val="auto"/>
          <w:sz w:val="22"/>
          <w:highlight w:val="none"/>
        </w:rPr>
      </w:pPr>
      <w:r>
        <w:rPr>
          <w:rFonts w:hint="eastAsia" w:ascii="宋体" w:hAnsi="宋体" w:eastAsia="宋体" w:cs="宋体"/>
          <w:b/>
          <w:color w:val="auto"/>
          <w:spacing w:val="-6"/>
          <w:sz w:val="22"/>
          <w:highlight w:val="none"/>
        </w:rPr>
        <w:t>5.如投标人是自然人，提供有效的自然人身份证明（居民身份证正反面或公安机关出具的临时居民身份证正反面或港澳台胞证或证照）。</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附件4</w:t>
      </w:r>
      <w:r>
        <w:rPr>
          <w:rFonts w:hint="eastAsia" w:ascii="宋体" w:hAnsi="宋体" w:eastAsia="宋体" w:cs="宋体"/>
          <w:b/>
          <w:color w:val="auto"/>
          <w:sz w:val="24"/>
          <w:szCs w:val="24"/>
          <w:highlight w:val="none"/>
        </w:rPr>
        <w:t>-2</w:t>
      </w:r>
    </w:p>
    <w:p>
      <w:pPr>
        <w:pStyle w:val="2"/>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关于符合《中华人民共和国政府采购法》第二十二条规定的承诺函</w:t>
      </w:r>
    </w:p>
    <w:p>
      <w:pPr>
        <w:spacing w:line="360" w:lineRule="auto"/>
        <w:jc w:val="center"/>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（如为联合体投标，则联合体各方均须提供，并各自加盖公章）</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致：</w:t>
      </w:r>
      <w:r>
        <w:rPr>
          <w:rFonts w:hint="eastAsia" w:ascii="宋体" w:hAnsi="宋体" w:eastAsia="宋体" w:cs="宋体"/>
          <w:color w:val="auto"/>
          <w:sz w:val="22"/>
          <w:highlight w:val="none"/>
          <w:lang w:eastAsia="zh-CN"/>
        </w:rPr>
        <w:t>温州市公安局交通管理局</w:t>
      </w:r>
      <w:r>
        <w:rPr>
          <w:rFonts w:hint="eastAsia" w:ascii="宋体" w:hAnsi="宋体" w:eastAsia="宋体" w:cs="宋体"/>
          <w:color w:val="auto"/>
          <w:sz w:val="22"/>
          <w:highlight w:val="none"/>
        </w:rPr>
        <w:t>、浙江乐诚工程咨询有限公司</w:t>
      </w:r>
      <w:r>
        <w:rPr>
          <w:rFonts w:hint="eastAsia" w:ascii="宋体" w:hAnsi="宋体" w:eastAsia="宋体" w:cs="宋体"/>
          <w:color w:val="auto"/>
          <w:spacing w:val="-6"/>
          <w:sz w:val="22"/>
          <w:highlight w:val="none"/>
        </w:rPr>
        <w:t>：</w:t>
      </w:r>
    </w:p>
    <w:p>
      <w:pPr>
        <w:keepNext w:val="0"/>
        <w:keepLines w:val="0"/>
        <w:pageBreakBefore w:val="0"/>
        <w:kinsoku/>
        <w:wordWrap/>
        <w:overflowPunct/>
        <w:topLinePunct w:val="0"/>
        <w:autoSpaceDE/>
        <w:autoSpaceDN/>
        <w:bidi w:val="0"/>
        <w:spacing w:line="360" w:lineRule="exact"/>
        <w:ind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我单位就</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eastAsia="zh-CN"/>
        </w:rPr>
        <w:t>标项名称</w:t>
      </w:r>
      <w:r>
        <w:rPr>
          <w:rFonts w:hint="eastAsia" w:ascii="宋体" w:hAnsi="宋体" w:eastAsia="宋体" w:cs="宋体"/>
          <w:color w:val="auto"/>
          <w:sz w:val="22"/>
          <w:highlight w:val="none"/>
          <w:u w:val="single"/>
        </w:rPr>
        <w:t>）           （项目编号）</w:t>
      </w:r>
      <w:r>
        <w:rPr>
          <w:rFonts w:hint="eastAsia" w:ascii="宋体" w:hAnsi="宋体" w:eastAsia="宋体" w:cs="宋体"/>
          <w:color w:val="auto"/>
          <w:sz w:val="22"/>
          <w:highlight w:val="none"/>
        </w:rPr>
        <w:t>项目承诺具备下列条件：</w:t>
      </w:r>
    </w:p>
    <w:p>
      <w:pPr>
        <w:pStyle w:val="28"/>
        <w:keepNext w:val="0"/>
        <w:keepLines w:val="0"/>
        <w:pageBreakBefore w:val="0"/>
        <w:kinsoku/>
        <w:wordWrap/>
        <w:overflowPunct/>
        <w:topLinePunct w:val="0"/>
        <w:autoSpaceDE/>
        <w:autoSpaceDN/>
        <w:bidi w:val="0"/>
        <w:spacing w:before="0" w:beforeAutospacing="0" w:after="0" w:afterAutospacing="0" w:line="360" w:lineRule="exact"/>
        <w:ind w:firstLine="440" w:firstLineChars="200"/>
        <w:jc w:val="left"/>
        <w:textAlignment w:val="auto"/>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（一）具有独立承担民事责任的能力；</w:t>
      </w:r>
    </w:p>
    <w:p>
      <w:pPr>
        <w:pStyle w:val="28"/>
        <w:keepNext w:val="0"/>
        <w:keepLines w:val="0"/>
        <w:pageBreakBefore w:val="0"/>
        <w:kinsoku/>
        <w:wordWrap/>
        <w:overflowPunct/>
        <w:topLinePunct w:val="0"/>
        <w:autoSpaceDE/>
        <w:autoSpaceDN/>
        <w:bidi w:val="0"/>
        <w:spacing w:before="0" w:beforeAutospacing="0" w:after="0" w:afterAutospacing="0" w:line="360" w:lineRule="exact"/>
        <w:ind w:firstLine="440" w:firstLineChars="200"/>
        <w:jc w:val="left"/>
        <w:textAlignment w:val="auto"/>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（二）具有良好的商业信誉和健全的财务会计制度；</w:t>
      </w:r>
    </w:p>
    <w:p>
      <w:pPr>
        <w:pStyle w:val="28"/>
        <w:keepNext w:val="0"/>
        <w:keepLines w:val="0"/>
        <w:pageBreakBefore w:val="0"/>
        <w:kinsoku/>
        <w:wordWrap/>
        <w:overflowPunct/>
        <w:topLinePunct w:val="0"/>
        <w:autoSpaceDE/>
        <w:autoSpaceDN/>
        <w:bidi w:val="0"/>
        <w:spacing w:before="0" w:beforeAutospacing="0" w:after="0" w:afterAutospacing="0" w:line="360" w:lineRule="exact"/>
        <w:ind w:firstLine="440" w:firstLineChars="200"/>
        <w:jc w:val="left"/>
        <w:textAlignment w:val="auto"/>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（三）具有履行合同所必需的设备和专业技术能力；</w:t>
      </w:r>
    </w:p>
    <w:p>
      <w:pPr>
        <w:pStyle w:val="28"/>
        <w:keepNext w:val="0"/>
        <w:keepLines w:val="0"/>
        <w:pageBreakBefore w:val="0"/>
        <w:kinsoku/>
        <w:wordWrap/>
        <w:overflowPunct/>
        <w:topLinePunct w:val="0"/>
        <w:autoSpaceDE/>
        <w:autoSpaceDN/>
        <w:bidi w:val="0"/>
        <w:spacing w:before="0" w:beforeAutospacing="0" w:after="0" w:afterAutospacing="0" w:line="360" w:lineRule="exact"/>
        <w:ind w:firstLine="440" w:firstLineChars="200"/>
        <w:jc w:val="left"/>
        <w:textAlignment w:val="auto"/>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（四）有依法缴纳税收和社会保障资金的良好记录；</w:t>
      </w:r>
    </w:p>
    <w:p>
      <w:pPr>
        <w:pStyle w:val="28"/>
        <w:keepNext w:val="0"/>
        <w:keepLines w:val="0"/>
        <w:pageBreakBefore w:val="0"/>
        <w:kinsoku/>
        <w:wordWrap/>
        <w:overflowPunct/>
        <w:topLinePunct w:val="0"/>
        <w:autoSpaceDE/>
        <w:autoSpaceDN/>
        <w:bidi w:val="0"/>
        <w:spacing w:before="0" w:beforeAutospacing="0" w:after="0" w:afterAutospacing="0" w:line="360" w:lineRule="exact"/>
        <w:ind w:firstLine="440" w:firstLineChars="200"/>
        <w:jc w:val="left"/>
        <w:textAlignment w:val="auto"/>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pPr>
        <w:pStyle w:val="28"/>
        <w:keepNext w:val="0"/>
        <w:keepLines w:val="0"/>
        <w:pageBreakBefore w:val="0"/>
        <w:kinsoku/>
        <w:wordWrap/>
        <w:overflowPunct/>
        <w:topLinePunct w:val="0"/>
        <w:autoSpaceDE/>
        <w:autoSpaceDN/>
        <w:bidi w:val="0"/>
        <w:spacing w:before="0" w:beforeAutospacing="0" w:after="0" w:afterAutospacing="0" w:line="360" w:lineRule="exact"/>
        <w:ind w:firstLine="440" w:firstLineChars="200"/>
        <w:jc w:val="left"/>
        <w:textAlignment w:val="auto"/>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（七）不存在以下情况：</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1、单位负责人为同一人或者存在直接控股、管理关系的不同供应商参加同一合同项下的政府采购活动的；</w:t>
      </w:r>
    </w:p>
    <w:p>
      <w:pPr>
        <w:keepNext w:val="0"/>
        <w:keepLines w:val="0"/>
        <w:pageBreakBefore w:val="0"/>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eastAsia="宋体" w:cs="宋体"/>
          <w:bCs/>
          <w:color w:val="auto"/>
          <w:kern w:val="2"/>
          <w:sz w:val="22"/>
          <w:highlight w:val="none"/>
        </w:rPr>
      </w:pPr>
      <w:r>
        <w:rPr>
          <w:rFonts w:hint="eastAsia" w:ascii="宋体" w:hAnsi="宋体" w:eastAsia="宋体" w:cs="宋体"/>
          <w:color w:val="auto"/>
          <w:sz w:val="22"/>
          <w:szCs w:val="22"/>
          <w:highlight w:val="none"/>
        </w:rPr>
        <w:t>2、为采购项目提供整体设计、规范编制或者项目管理、监理、检测等服务后再参加该采购项目的其他采购活动的。</w:t>
      </w:r>
    </w:p>
    <w:p>
      <w:pPr>
        <w:keepNext w:val="0"/>
        <w:keepLines w:val="0"/>
        <w:pageBreakBefore w:val="0"/>
        <w:kinsoku/>
        <w:wordWrap/>
        <w:overflowPunct/>
        <w:topLinePunct w:val="0"/>
        <w:autoSpaceDE/>
        <w:autoSpaceDN/>
        <w:bidi w:val="0"/>
        <w:spacing w:line="360" w:lineRule="exact"/>
        <w:ind w:firstLine="442" w:firstLineChars="200"/>
        <w:jc w:val="left"/>
        <w:textAlignment w:val="auto"/>
        <w:rPr>
          <w:rFonts w:hint="eastAsia" w:ascii="宋体" w:hAnsi="宋体" w:eastAsia="宋体" w:cs="宋体"/>
          <w:bCs/>
          <w:color w:val="auto"/>
          <w:sz w:val="22"/>
          <w:highlight w:val="none"/>
        </w:rPr>
      </w:pPr>
      <w:r>
        <w:rPr>
          <w:rStyle w:val="78"/>
          <w:rFonts w:hint="eastAsia" w:ascii="宋体" w:hAnsi="宋体" w:eastAsia="宋体" w:cs="宋体"/>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eastAsia="宋体" w:cs="宋体"/>
          <w:bCs/>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构成犯罪的，依法追究刑事责任”规定予以处理。</w:t>
      </w:r>
    </w:p>
    <w:p>
      <w:pPr>
        <w:pStyle w:val="28"/>
        <w:keepNext w:val="0"/>
        <w:keepLines w:val="0"/>
        <w:pageBreakBefore w:val="0"/>
        <w:kinsoku/>
        <w:wordWrap/>
        <w:overflowPunct/>
        <w:topLinePunct w:val="0"/>
        <w:autoSpaceDE/>
        <w:autoSpaceDN/>
        <w:bidi w:val="0"/>
        <w:spacing w:before="0" w:beforeAutospacing="0" w:after="0" w:afterAutospacing="0" w:line="360" w:lineRule="exact"/>
        <w:ind w:firstLine="440" w:firstLineChars="200"/>
        <w:jc w:val="left"/>
        <w:textAlignment w:val="auto"/>
        <w:rPr>
          <w:rStyle w:val="78"/>
          <w:rFonts w:hint="eastAsia" w:ascii="宋体" w:hAnsi="宋体" w:eastAsia="宋体" w:cs="宋体"/>
          <w:color w:val="auto"/>
          <w:sz w:val="22"/>
          <w:highlight w:val="none"/>
        </w:rPr>
      </w:pPr>
      <w:r>
        <w:rPr>
          <w:rStyle w:val="78"/>
          <w:rFonts w:hint="eastAsia" w:ascii="宋体" w:hAnsi="宋体" w:eastAsia="宋体" w:cs="宋体"/>
          <w:color w:val="auto"/>
          <w:sz w:val="22"/>
          <w:highlight w:val="none"/>
        </w:rPr>
        <w:t>《中华人民共和国政府采购法实施条例》第十九条第一款规定的“</w:t>
      </w:r>
      <w:r>
        <w:rPr>
          <w:rFonts w:hint="eastAsia" w:ascii="宋体" w:hAnsi="宋体" w:eastAsia="宋体" w:cs="宋体"/>
          <w:color w:val="auto"/>
          <w:kern w:val="2"/>
          <w:sz w:val="22"/>
          <w:highlight w:val="none"/>
        </w:rPr>
        <w:t>较大数额罚款</w:t>
      </w:r>
      <w:r>
        <w:rPr>
          <w:rStyle w:val="78"/>
          <w:rFonts w:hint="eastAsia" w:ascii="宋体" w:hAnsi="宋体" w:eastAsia="宋体" w:cs="宋体"/>
          <w:color w:val="auto"/>
          <w:sz w:val="22"/>
          <w:highlight w:val="none"/>
        </w:rPr>
        <w:t>”认定为200万元以上的罚款，法律、行政法规以及国务院有关部门明确规定相关领域“</w:t>
      </w:r>
      <w:r>
        <w:rPr>
          <w:rFonts w:hint="eastAsia" w:ascii="宋体" w:hAnsi="宋体" w:eastAsia="宋体" w:cs="宋体"/>
          <w:color w:val="auto"/>
          <w:kern w:val="2"/>
          <w:sz w:val="22"/>
          <w:highlight w:val="none"/>
        </w:rPr>
        <w:t>较大数额罚款</w:t>
      </w:r>
      <w:r>
        <w:rPr>
          <w:rStyle w:val="78"/>
          <w:rFonts w:hint="eastAsia" w:ascii="宋体" w:hAnsi="宋体" w:eastAsia="宋体" w:cs="宋体"/>
          <w:color w:val="auto"/>
          <w:sz w:val="22"/>
          <w:highlight w:val="none"/>
        </w:rPr>
        <w:t>”标准高于200万元的，从其规定。</w:t>
      </w:r>
    </w:p>
    <w:p>
      <w:pPr>
        <w:keepNext w:val="0"/>
        <w:keepLines w:val="0"/>
        <w:pageBreakBefore w:val="0"/>
        <w:kinsoku/>
        <w:wordWrap/>
        <w:overflowPunct/>
        <w:topLinePunct w:val="0"/>
        <w:autoSpaceDE/>
        <w:autoSpaceDN/>
        <w:bidi w:val="0"/>
        <w:adjustRightInd w:val="0"/>
        <w:spacing w:line="360" w:lineRule="exact"/>
        <w:ind w:firstLine="440" w:firstLineChars="200"/>
        <w:jc w:val="left"/>
        <w:textAlignment w:val="auto"/>
        <w:rPr>
          <w:rStyle w:val="78"/>
          <w:rFonts w:hint="eastAsia" w:ascii="宋体" w:hAnsi="宋体" w:eastAsia="宋体" w:cs="宋体"/>
          <w:color w:val="auto"/>
          <w:sz w:val="22"/>
          <w:szCs w:val="22"/>
          <w:highlight w:val="none"/>
        </w:rPr>
      </w:pPr>
      <w:r>
        <w:rPr>
          <w:rStyle w:val="78"/>
          <w:rFonts w:hint="eastAsia" w:ascii="宋体" w:hAnsi="宋体" w:eastAsia="宋体" w:cs="宋体"/>
          <w:color w:val="auto"/>
          <w:sz w:val="22"/>
          <w:szCs w:val="22"/>
          <w:highlight w:val="none"/>
        </w:rPr>
        <w:t>我单位已知晓前述法律规定，对此无任何异议。</w:t>
      </w:r>
    </w:p>
    <w:p>
      <w:pPr>
        <w:keepNext w:val="0"/>
        <w:keepLines w:val="0"/>
        <w:pageBreakBefore w:val="0"/>
        <w:kinsoku/>
        <w:wordWrap/>
        <w:overflowPunct/>
        <w:topLinePunct w:val="0"/>
        <w:autoSpaceDE/>
        <w:autoSpaceDN/>
        <w:bidi w:val="0"/>
        <w:spacing w:line="360" w:lineRule="exact"/>
        <w:ind w:firstLine="442" w:firstLineChars="20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w:t>
      </w:r>
      <w:r>
        <w:rPr>
          <w:rStyle w:val="78"/>
          <w:rFonts w:hint="eastAsia" w:ascii="宋体" w:hAnsi="宋体" w:eastAsia="宋体" w:cs="宋体"/>
          <w:b/>
          <w:color w:val="auto"/>
          <w:sz w:val="22"/>
          <w:highlight w:val="none"/>
          <w:u w:val="single"/>
        </w:rPr>
        <w:t>▲</w:t>
      </w:r>
      <w:r>
        <w:rPr>
          <w:rFonts w:hint="eastAsia" w:ascii="宋体" w:hAnsi="宋体" w:eastAsia="宋体" w:cs="宋体"/>
          <w:b/>
          <w:color w:val="auto"/>
          <w:sz w:val="22"/>
          <w:highlight w:val="none"/>
          <w:u w:val="single"/>
        </w:rPr>
        <w:t>本承诺函必须提供。</w:t>
      </w:r>
    </w:p>
    <w:p>
      <w:pPr>
        <w:spacing w:line="360" w:lineRule="auto"/>
        <w:ind w:left="4620" w:leftChars="2200"/>
        <w:rPr>
          <w:rFonts w:hint="eastAsia" w:ascii="宋体" w:hAnsi="宋体" w:eastAsia="宋体" w:cs="宋体"/>
          <w:color w:val="auto"/>
          <w:szCs w:val="21"/>
          <w:highlight w:val="none"/>
        </w:rPr>
      </w:pPr>
    </w:p>
    <w:p>
      <w:pPr>
        <w:widowControl/>
        <w:spacing w:line="360" w:lineRule="auto"/>
        <w:jc w:val="lef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w:t>
      </w:r>
    </w:p>
    <w:p>
      <w:pPr>
        <w:widowControl/>
        <w:spacing w:line="360" w:lineRule="auto"/>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pPr>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sz w:val="24"/>
          <w:szCs w:val="24"/>
          <w:highlight w:val="none"/>
          <w:lang w:eastAsia="zh-CN"/>
        </w:rPr>
        <w:t>附件4</w:t>
      </w:r>
      <w:r>
        <w:rPr>
          <w:rFonts w:hint="eastAsia" w:ascii="宋体" w:hAnsi="宋体" w:eastAsia="宋体" w:cs="宋体"/>
          <w:b/>
          <w:color w:val="auto"/>
          <w:sz w:val="24"/>
          <w:szCs w:val="24"/>
          <w:highlight w:val="none"/>
        </w:rPr>
        <w:t>-3</w:t>
      </w:r>
    </w:p>
    <w:p>
      <w:pPr>
        <w:pStyle w:val="7"/>
        <w:numPr>
          <w:ilvl w:val="1"/>
          <w:numId w:val="0"/>
        </w:num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联合体投标协议书</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（以联合体形式投标的提供联合</w:t>
      </w:r>
      <w:r>
        <w:rPr>
          <w:rFonts w:hint="eastAsia" w:ascii="宋体" w:hAnsi="宋体" w:eastAsia="宋体" w:cs="宋体"/>
          <w:b/>
          <w:color w:val="auto"/>
          <w:sz w:val="18"/>
          <w:szCs w:val="18"/>
          <w:highlight w:val="none"/>
          <w:lang w:val="en-US" w:eastAsia="zh-CN"/>
        </w:rPr>
        <w:t>投标</w:t>
      </w:r>
      <w:r>
        <w:rPr>
          <w:rFonts w:hint="eastAsia" w:ascii="宋体" w:hAnsi="宋体" w:eastAsia="宋体" w:cs="宋体"/>
          <w:b/>
          <w:color w:val="auto"/>
          <w:sz w:val="18"/>
          <w:szCs w:val="18"/>
          <w:highlight w:val="none"/>
        </w:rPr>
        <w:t>协议</w:t>
      </w:r>
      <w:r>
        <w:rPr>
          <w:rFonts w:hint="eastAsia" w:ascii="宋体" w:hAnsi="宋体" w:eastAsia="宋体" w:cs="宋体"/>
          <w:b/>
          <w:color w:val="auto"/>
          <w:sz w:val="18"/>
          <w:szCs w:val="18"/>
          <w:highlight w:val="none"/>
          <w:lang w:val="en-US" w:eastAsia="zh-CN"/>
        </w:rPr>
        <w:t>，</w:t>
      </w:r>
      <w:r>
        <w:rPr>
          <w:rFonts w:hint="eastAsia" w:ascii="宋体" w:hAnsi="宋体" w:eastAsia="宋体" w:cs="宋体"/>
          <w:b/>
          <w:color w:val="auto"/>
          <w:sz w:val="18"/>
          <w:szCs w:val="18"/>
          <w:highlight w:val="none"/>
        </w:rPr>
        <w:t>项目不接受联合体投标或投标人不以联合体形式投标的则不需要提供）</w:t>
      </w:r>
    </w:p>
    <w:p>
      <w:pPr>
        <w:snapToGrid w:val="0"/>
        <w:spacing w:line="360" w:lineRule="exact"/>
        <w:ind w:firstLine="442" w:firstLineChars="201"/>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_______</w:t>
      </w:r>
      <w:r>
        <w:rPr>
          <w:rFonts w:hint="eastAsia" w:ascii="宋体" w:hAnsi="宋体" w:eastAsia="宋体" w:cs="宋体"/>
          <w:color w:val="auto"/>
          <w:kern w:val="0"/>
          <w:sz w:val="22"/>
          <w:highlight w:val="none"/>
          <w:u w:val="single"/>
        </w:rPr>
        <w:t>（联合体所有成员名称）</w:t>
      </w:r>
      <w:r>
        <w:rPr>
          <w:rFonts w:hint="eastAsia" w:ascii="宋体" w:hAnsi="宋体" w:eastAsia="宋体" w:cs="宋体"/>
          <w:color w:val="auto"/>
          <w:kern w:val="0"/>
          <w:sz w:val="22"/>
          <w:highlight w:val="none"/>
        </w:rPr>
        <w:t>自愿</w:t>
      </w:r>
      <w:r>
        <w:rPr>
          <w:rFonts w:hint="eastAsia" w:ascii="宋体" w:hAnsi="宋体" w:eastAsia="宋体" w:cs="宋体"/>
          <w:color w:val="auto"/>
          <w:kern w:val="0"/>
          <w:sz w:val="22"/>
          <w:highlight w:val="none"/>
          <w:lang w:val="zh-CN"/>
        </w:rPr>
        <w:t>组成一个联合体，以一个投标人的身份</w:t>
      </w:r>
      <w:r>
        <w:rPr>
          <w:rFonts w:hint="eastAsia" w:ascii="宋体" w:hAnsi="宋体" w:eastAsia="宋体" w:cs="宋体"/>
          <w:color w:val="auto"/>
          <w:kern w:val="0"/>
          <w:sz w:val="22"/>
          <w:highlight w:val="none"/>
        </w:rPr>
        <w:t>参加_______</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标项名称</w:t>
      </w:r>
      <w:r>
        <w:rPr>
          <w:rFonts w:hint="eastAsia" w:ascii="宋体" w:hAnsi="宋体" w:eastAsia="宋体" w:cs="宋体"/>
          <w:color w:val="auto"/>
          <w:sz w:val="22"/>
          <w:highlight w:val="none"/>
        </w:rPr>
        <w:t>）</w:t>
      </w:r>
      <w:r>
        <w:rPr>
          <w:rFonts w:hint="eastAsia" w:ascii="宋体" w:hAnsi="宋体" w:eastAsia="宋体" w:cs="宋体"/>
          <w:color w:val="auto"/>
          <w:kern w:val="0"/>
          <w:sz w:val="22"/>
          <w:highlight w:val="none"/>
        </w:rPr>
        <w:t>_______</w:t>
      </w:r>
      <w:r>
        <w:rPr>
          <w:rFonts w:hint="eastAsia" w:ascii="宋体" w:hAnsi="宋体" w:eastAsia="宋体" w:cs="宋体"/>
          <w:color w:val="auto"/>
          <w:sz w:val="22"/>
          <w:highlight w:val="none"/>
        </w:rPr>
        <w:t>（项目编号）</w:t>
      </w:r>
      <w:r>
        <w:rPr>
          <w:rFonts w:hint="eastAsia" w:ascii="宋体" w:hAnsi="宋体" w:eastAsia="宋体" w:cs="宋体"/>
          <w:bCs/>
          <w:color w:val="auto"/>
          <w:kern w:val="0"/>
          <w:sz w:val="22"/>
          <w:highlight w:val="none"/>
        </w:rPr>
        <w:t>的政府采购活动</w:t>
      </w:r>
      <w:r>
        <w:rPr>
          <w:rFonts w:hint="eastAsia" w:ascii="宋体" w:hAnsi="宋体" w:eastAsia="宋体" w:cs="宋体"/>
          <w:color w:val="auto"/>
          <w:kern w:val="0"/>
          <w:sz w:val="22"/>
          <w:highlight w:val="none"/>
          <w:lang w:val="zh-CN"/>
        </w:rPr>
        <w:t>。</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现就有关联合投标事宜订立协议如下： </w:t>
      </w:r>
    </w:p>
    <w:p>
      <w:pPr>
        <w:widowControl/>
        <w:numPr>
          <w:ilvl w:val="0"/>
          <w:numId w:val="9"/>
        </w:numPr>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（牵头人全称）              </w:t>
      </w:r>
      <w:r>
        <w:rPr>
          <w:rFonts w:hint="eastAsia" w:ascii="宋体" w:hAnsi="宋体" w:eastAsia="宋体" w:cs="宋体"/>
          <w:color w:val="auto"/>
          <w:kern w:val="0"/>
          <w:sz w:val="22"/>
          <w:highlight w:val="none"/>
        </w:rPr>
        <w:t>为联合体的牵头人，</w:t>
      </w:r>
    </w:p>
    <w:p>
      <w:pPr>
        <w:widowControl/>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（联合体其他成员全称）         </w:t>
      </w:r>
      <w:r>
        <w:rPr>
          <w:rFonts w:hint="eastAsia" w:ascii="宋体" w:hAnsi="宋体" w:eastAsia="宋体" w:cs="宋体"/>
          <w:color w:val="auto"/>
          <w:kern w:val="0"/>
          <w:sz w:val="22"/>
          <w:highlight w:val="none"/>
        </w:rPr>
        <w:t xml:space="preserve">为联合体的成员方； </w:t>
      </w:r>
    </w:p>
    <w:p>
      <w:pPr>
        <w:pStyle w:val="13"/>
        <w:spacing w:line="360" w:lineRule="exact"/>
        <w:ind w:left="440" w:hanging="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2、联合体内部有关事项规定如下：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（1）由牵头人代表本联合体与采购人联系，负责协调工作。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（4）如中标，联合体内部将遵守以下规定：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a．联合体牵头人和成员共同与采购人签订采购合同，并就中标项目向采购人负责有连带的和各自的法律责任；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c．联合体各方承担的工作和义务详细安排如下： </w:t>
      </w:r>
    </w:p>
    <w:p>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___________________________________________________________________________________</w:t>
      </w:r>
    </w:p>
    <w:p>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___________________________________________________________________________________ </w:t>
      </w:r>
    </w:p>
    <w:p>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___________________________________________________________________________________</w:t>
      </w:r>
    </w:p>
    <w:p>
      <w:pPr>
        <w:widowControl/>
        <w:spacing w:line="400" w:lineRule="exact"/>
        <w:jc w:val="left"/>
        <w:rPr>
          <w:rFonts w:hint="eastAsia" w:ascii="宋体" w:hAnsi="宋体" w:eastAsia="宋体" w:cs="宋体"/>
          <w:bCs/>
          <w:color w:val="auto"/>
          <w:highlight w:val="none"/>
        </w:rPr>
      </w:pPr>
      <w:r>
        <w:rPr>
          <w:rFonts w:hint="eastAsia" w:ascii="宋体" w:hAnsi="宋体" w:eastAsia="宋体" w:cs="宋体"/>
          <w:color w:val="auto"/>
          <w:kern w:val="0"/>
          <w:sz w:val="22"/>
          <w:highlight w:val="none"/>
        </w:rPr>
        <w:t xml:space="preserve">___________________________________________________________________________________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（5）投标工作和联合体在中标后项目实施过程中的有关合同占比按各自承担的工作量分摊，具体说明如下：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____________________________________________________________________________________  </w:t>
      </w:r>
    </w:p>
    <w:p>
      <w:pPr>
        <w:widowControl/>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____________________________________________________________________________________</w:t>
      </w:r>
      <w:r>
        <w:rPr>
          <w:rFonts w:hint="eastAsia" w:ascii="宋体" w:hAnsi="宋体" w:eastAsia="宋体" w:cs="宋体"/>
          <w:color w:val="auto"/>
          <w:kern w:val="0"/>
          <w:sz w:val="22"/>
          <w:highlight w:val="none"/>
          <w:u w:val="single"/>
        </w:rPr>
        <w:t xml:space="preserve">（牵头人全称）            </w:t>
      </w:r>
      <w:r>
        <w:rPr>
          <w:rFonts w:hint="eastAsia" w:ascii="宋体" w:hAnsi="宋体" w:eastAsia="宋体" w:cs="宋体"/>
          <w:color w:val="auto"/>
          <w:kern w:val="0"/>
          <w:sz w:val="22"/>
          <w:highlight w:val="none"/>
        </w:rPr>
        <w:t>合同占比：_______%</w:t>
      </w:r>
    </w:p>
    <w:p>
      <w:pPr>
        <w:widowControl/>
        <w:spacing w:line="400" w:lineRule="exact"/>
        <w:jc w:val="left"/>
        <w:rPr>
          <w:rFonts w:hint="eastAsia" w:ascii="宋体" w:hAnsi="宋体" w:eastAsia="宋体" w:cs="宋体"/>
          <w:b/>
          <w:color w:val="auto"/>
          <w:kern w:val="0"/>
          <w:sz w:val="22"/>
          <w:highlight w:val="none"/>
        </w:rPr>
      </w:pPr>
      <w:r>
        <w:rPr>
          <w:rFonts w:hint="eastAsia" w:ascii="宋体" w:hAnsi="宋体" w:eastAsia="宋体" w:cs="宋体"/>
          <w:color w:val="auto"/>
          <w:kern w:val="0"/>
          <w:sz w:val="22"/>
          <w:highlight w:val="none"/>
          <w:u w:val="single"/>
        </w:rPr>
        <w:t xml:space="preserve">（联合体其他成员全称）    </w:t>
      </w:r>
      <w:r>
        <w:rPr>
          <w:rFonts w:hint="eastAsia" w:ascii="宋体" w:hAnsi="宋体" w:eastAsia="宋体" w:cs="宋体"/>
          <w:color w:val="auto"/>
          <w:kern w:val="0"/>
          <w:sz w:val="22"/>
          <w:highlight w:val="none"/>
        </w:rPr>
        <w:t>合同占比：_______%</w:t>
      </w:r>
      <w:r>
        <w:rPr>
          <w:rFonts w:hint="eastAsia" w:ascii="宋体" w:hAnsi="宋体" w:eastAsia="宋体" w:cs="宋体"/>
          <w:b/>
          <w:color w:val="auto"/>
          <w:kern w:val="0"/>
          <w:sz w:val="22"/>
          <w:highlight w:val="none"/>
        </w:rPr>
        <w:t xml:space="preserve"> </w:t>
      </w:r>
    </w:p>
    <w:p>
      <w:pPr>
        <w:pStyle w:val="13"/>
        <w:spacing w:line="360" w:lineRule="exact"/>
        <w:ind w:left="440" w:hanging="440"/>
        <w:jc w:val="left"/>
        <w:rPr>
          <w:rFonts w:hint="eastAsia" w:ascii="宋体" w:hAnsi="宋体" w:eastAsia="宋体" w:cs="宋体"/>
          <w:color w:val="auto"/>
          <w:highlight w:val="none"/>
        </w:rPr>
      </w:pPr>
      <w:r>
        <w:rPr>
          <w:rFonts w:hint="eastAsia" w:ascii="宋体" w:hAnsi="宋体" w:eastAsia="宋体" w:cs="宋体"/>
          <w:color w:val="auto"/>
          <w:sz w:val="22"/>
          <w:highlight w:val="none"/>
        </w:rPr>
        <w:t>......</w:t>
      </w:r>
    </w:p>
    <w:p>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3</w:t>
      </w:r>
      <w:r>
        <w:rPr>
          <w:rFonts w:hint="eastAsia" w:ascii="宋体" w:hAnsi="宋体" w:eastAsia="宋体" w:cs="宋体"/>
          <w:color w:val="auto"/>
          <w:kern w:val="0"/>
          <w:sz w:val="22"/>
          <w:highlight w:val="none"/>
          <w:lang w:val="zh-CN"/>
        </w:rPr>
        <w:t>、有关本次联合投标的其他事宜：</w:t>
      </w:r>
    </w:p>
    <w:p>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1</w:t>
      </w:r>
      <w:r>
        <w:rPr>
          <w:rFonts w:hint="eastAsia" w:ascii="宋体" w:hAnsi="宋体" w:eastAsia="宋体" w:cs="宋体"/>
          <w:color w:val="auto"/>
          <w:kern w:val="0"/>
          <w:sz w:val="22"/>
          <w:highlight w:val="none"/>
          <w:lang w:val="zh-CN"/>
        </w:rPr>
        <w:t>）联合体各方不再单独参加或者与其他供应商另外组成联合体参加同一合同项下的政府采购活动。</w:t>
      </w:r>
    </w:p>
    <w:p>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（2）联合体中有同类资质的各方按照联合体分工承担相同工作的，按照资质等级较低的供应商确定资质等级。</w:t>
      </w:r>
    </w:p>
    <w:p>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（3）本协议提交采购人、采购机构后，联合体各方不得以任何形式对上述内容进行修改或撤销。</w:t>
      </w:r>
    </w:p>
    <w:p>
      <w:pPr>
        <w:snapToGrid w:val="0"/>
        <w:spacing w:line="360" w:lineRule="exact"/>
        <w:jc w:val="left"/>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lang w:val="zh-CN" w:eastAsia="zh-CN"/>
        </w:rPr>
        <w:t>4</w:t>
      </w:r>
      <w:r>
        <w:rPr>
          <w:rFonts w:hint="eastAsia" w:ascii="宋体" w:hAnsi="宋体" w:eastAsia="宋体" w:cs="宋体"/>
          <w:color w:val="auto"/>
          <w:kern w:val="0"/>
          <w:sz w:val="22"/>
          <w:highlight w:val="none"/>
          <w:lang w:val="zh-CN"/>
        </w:rPr>
        <w:t>）</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kern w:val="0"/>
          <w:sz w:val="22"/>
          <w:highlight w:val="none"/>
          <w:lang w:val="zh-CN"/>
        </w:rPr>
        <w:t>（联</w:t>
      </w:r>
      <w:r>
        <w:rPr>
          <w:rFonts w:hint="eastAsia" w:ascii="宋体" w:hAnsi="宋体" w:eastAsia="宋体" w:cs="宋体"/>
          <w:color w:val="auto"/>
          <w:sz w:val="22"/>
          <w:highlight w:val="none"/>
        </w:rPr>
        <w:t>合体</w:t>
      </w:r>
      <w:r>
        <w:rPr>
          <w:rFonts w:hint="eastAsia" w:ascii="宋体" w:hAnsi="宋体" w:eastAsia="宋体" w:cs="宋体"/>
          <w:color w:val="auto"/>
          <w:sz w:val="22"/>
          <w:highlight w:val="none"/>
          <w:lang w:val="en-US" w:eastAsia="zh-CN"/>
        </w:rPr>
        <w:t>牵头人</w:t>
      </w:r>
      <w:r>
        <w:rPr>
          <w:rFonts w:hint="eastAsia" w:ascii="宋体" w:hAnsi="宋体" w:eastAsia="宋体" w:cs="宋体"/>
          <w:color w:val="auto"/>
          <w:kern w:val="0"/>
          <w:sz w:val="22"/>
          <w:highlight w:val="none"/>
          <w:lang w:val="zh-CN"/>
        </w:rPr>
        <w:t>）</w:t>
      </w:r>
      <w:r>
        <w:rPr>
          <w:rFonts w:hint="eastAsia" w:ascii="宋体" w:hAnsi="宋体" w:eastAsia="宋体" w:cs="宋体"/>
          <w:color w:val="auto"/>
          <w:sz w:val="22"/>
          <w:highlight w:val="none"/>
        </w:rPr>
        <w:t>与</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lang w:eastAsia="zh-CN"/>
        </w:rPr>
        <w:t>（</w:t>
      </w:r>
      <w:r>
        <w:rPr>
          <w:rFonts w:hint="eastAsia" w:ascii="宋体" w:hAnsi="宋体" w:eastAsia="宋体" w:cs="宋体"/>
          <w:color w:val="auto"/>
          <w:kern w:val="0"/>
          <w:sz w:val="22"/>
          <w:highlight w:val="none"/>
        </w:rPr>
        <w:t>联合体的成员方</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之间</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填写是或者否</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存在直接控股、管理关系</w:t>
      </w:r>
      <w:r>
        <w:rPr>
          <w:rFonts w:hint="eastAsia" w:ascii="宋体" w:hAnsi="宋体" w:eastAsia="宋体" w:cs="宋体"/>
          <w:color w:val="auto"/>
          <w:sz w:val="22"/>
          <w:highlight w:val="none"/>
          <w:lang w:eastAsia="zh-CN"/>
        </w:rPr>
        <w:t>。</w:t>
      </w:r>
    </w:p>
    <w:p>
      <w:pPr>
        <w:snapToGri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pPr>
        <w:snapToGri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5、如中标，本项目的采购代理服务费由联合体牵头人缴纳，合同款支付至合同约定的牵头人账号。</w:t>
      </w:r>
    </w:p>
    <w:p>
      <w:pPr>
        <w:widowControl/>
        <w:spacing w:line="360" w:lineRule="exact"/>
        <w:jc w:val="left"/>
        <w:rPr>
          <w:rFonts w:hint="eastAsia" w:ascii="宋体" w:hAnsi="宋体" w:eastAsia="宋体" w:cs="宋体"/>
          <w:color w:val="auto"/>
          <w:kern w:val="0"/>
          <w:sz w:val="22"/>
          <w:highlight w:val="none"/>
        </w:rPr>
      </w:pP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单位名称（盖章）：                                   单位名称（盖章）：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地址：                                               地址：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法定代表人或授权代表（签字或盖章）：                 法定代表人或授权代表（签字或盖章）： </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联系方式：                                           联系方式： </w:t>
      </w:r>
    </w:p>
    <w:p>
      <w:pPr>
        <w:widowControl/>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协议签订时间：                                       协议签订时间：</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color w:val="auto"/>
          <w:spacing w:val="-6"/>
          <w:sz w:val="24"/>
          <w:highlight w:val="none"/>
          <w:lang w:eastAsia="zh-CN"/>
        </w:rPr>
      </w:pPr>
      <w:r>
        <w:rPr>
          <w:rFonts w:hint="eastAsia" w:ascii="宋体" w:hAnsi="宋体" w:eastAsia="宋体" w:cs="宋体"/>
          <w:b/>
          <w:color w:val="auto"/>
          <w:sz w:val="24"/>
          <w:szCs w:val="24"/>
          <w:highlight w:val="none"/>
          <w:lang w:eastAsia="zh-CN"/>
        </w:rPr>
        <w:t>附件4-4</w:t>
      </w:r>
    </w:p>
    <w:p>
      <w:pPr>
        <w:snapToGrid w:val="0"/>
        <w:spacing w:line="400" w:lineRule="exact"/>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exact"/>
        <w:ind w:left="-210" w:leftChars="-100" w:right="0" w:rightChars="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18"/>
          <w:szCs w:val="18"/>
          <w:highlight w:val="none"/>
        </w:rPr>
        <w:t>（中标后以分包方式履行合同的提供分包意向协议</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rPr>
        <w:t>采购人不同意分包或中标后不以分包方式履行合同的则不需要提供）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u w:val="singl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（投标人名称）</w:t>
      </w:r>
      <w:r>
        <w:rPr>
          <w:rFonts w:hint="eastAsia" w:ascii="宋体" w:hAnsi="宋体" w:eastAsia="宋体" w:cs="宋体"/>
          <w:color w:val="auto"/>
          <w:kern w:val="0"/>
          <w:sz w:val="22"/>
          <w:szCs w:val="22"/>
          <w:highlight w:val="none"/>
          <w:lang w:val="zh-CN"/>
        </w:rPr>
        <w:t>若成为</w:t>
      </w:r>
      <w:r>
        <w:rPr>
          <w:rFonts w:hint="eastAsia" w:ascii="宋体" w:hAnsi="宋体" w:eastAsia="宋体" w:cs="宋体"/>
          <w:color w:val="auto"/>
          <w:kern w:val="0"/>
          <w:sz w:val="22"/>
          <w:szCs w:val="22"/>
          <w:highlight w:val="none"/>
          <w:u w:val="single"/>
          <w:lang w:val="en-US" w:eastAsia="zh-CN"/>
        </w:rPr>
        <w:t xml:space="preserve">     （标项名称）</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项目编号：</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kern w:val="0"/>
          <w:sz w:val="22"/>
          <w:szCs w:val="22"/>
          <w:highlight w:val="none"/>
          <w:lang w:val="zh-CN"/>
        </w:rPr>
        <w:t>的中标</w:t>
      </w:r>
      <w:r>
        <w:rPr>
          <w:rFonts w:hint="eastAsia" w:ascii="宋体" w:hAnsi="宋体" w:eastAsia="宋体" w:cs="宋体"/>
          <w:color w:val="auto"/>
          <w:kern w:val="0"/>
          <w:sz w:val="22"/>
          <w:szCs w:val="22"/>
          <w:highlight w:val="none"/>
          <w:lang w:val="en-US" w:eastAsia="zh-CN"/>
        </w:rPr>
        <w:t>人</w:t>
      </w:r>
      <w:r>
        <w:rPr>
          <w:rFonts w:hint="eastAsia" w:ascii="宋体" w:hAnsi="宋体" w:eastAsia="宋体" w:cs="宋体"/>
          <w:color w:val="auto"/>
          <w:kern w:val="0"/>
          <w:sz w:val="22"/>
          <w:szCs w:val="22"/>
          <w:highlight w:val="none"/>
          <w:lang w:val="zh-CN"/>
        </w:rPr>
        <w:t>，将依法采取分包方式履行合同。</w:t>
      </w:r>
      <w:r>
        <w:rPr>
          <w:rFonts w:hint="eastAsia" w:ascii="宋体" w:hAnsi="宋体" w:eastAsia="宋体" w:cs="宋体"/>
          <w:color w:val="auto"/>
          <w:kern w:val="0"/>
          <w:sz w:val="22"/>
          <w:szCs w:val="22"/>
          <w:highlight w:val="none"/>
          <w:u w:val="single"/>
        </w:rPr>
        <w:t>（投标人名称）</w:t>
      </w:r>
      <w:r>
        <w:rPr>
          <w:rFonts w:hint="eastAsia" w:ascii="宋体" w:hAnsi="宋体" w:eastAsia="宋体" w:cs="宋体"/>
          <w:color w:val="auto"/>
          <w:kern w:val="0"/>
          <w:sz w:val="22"/>
          <w:szCs w:val="22"/>
          <w:highlight w:val="none"/>
        </w:rPr>
        <w:t>与</w:t>
      </w:r>
      <w:r>
        <w:rPr>
          <w:rFonts w:hint="eastAsia" w:ascii="宋体" w:hAnsi="宋体" w:eastAsia="宋体" w:cs="宋体"/>
          <w:color w:val="auto"/>
          <w:kern w:val="0"/>
          <w:sz w:val="22"/>
          <w:szCs w:val="22"/>
          <w:highlight w:val="none"/>
          <w:u w:val="single"/>
        </w:rPr>
        <w:t>（所有分包供应商名称）</w:t>
      </w:r>
      <w:r>
        <w:rPr>
          <w:rFonts w:hint="eastAsia" w:ascii="宋体" w:hAnsi="宋体" w:eastAsia="宋体" w:cs="宋体"/>
          <w:color w:val="auto"/>
          <w:kern w:val="0"/>
          <w:sz w:val="22"/>
          <w:szCs w:val="22"/>
          <w:highlight w:val="none"/>
        </w:rPr>
        <w:t>达成分包意向协议</w:t>
      </w:r>
      <w:r>
        <w:rPr>
          <w:rFonts w:hint="eastAsia" w:ascii="宋体" w:hAnsi="宋体" w:eastAsia="宋体" w:cs="宋体"/>
          <w:color w:val="auto"/>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一、分包标的及数量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（投标人名称）</w:t>
      </w:r>
      <w:r>
        <w:rPr>
          <w:rFonts w:hint="eastAsia" w:ascii="宋体" w:hAnsi="宋体" w:eastAsia="宋体" w:cs="宋体"/>
          <w:color w:val="auto"/>
          <w:kern w:val="0"/>
          <w:sz w:val="22"/>
          <w:szCs w:val="22"/>
          <w:highlight w:val="none"/>
          <w:lang w:val="zh-CN"/>
        </w:rPr>
        <w:t>将</w:t>
      </w:r>
      <w:r>
        <w:rPr>
          <w:rFonts w:hint="eastAsia" w:ascii="宋体" w:hAnsi="宋体" w:eastAsia="宋体" w:cs="宋体"/>
          <w:color w:val="auto"/>
          <w:sz w:val="22"/>
          <w:szCs w:val="22"/>
          <w:highlight w:val="none"/>
          <w:u w:val="single"/>
        </w:rPr>
        <w:t>XX工作内容</w:t>
      </w:r>
      <w:r>
        <w:rPr>
          <w:rFonts w:hint="eastAsia" w:ascii="宋体" w:hAnsi="宋体" w:eastAsia="宋体" w:cs="宋体"/>
          <w:color w:val="auto"/>
          <w:sz w:val="22"/>
          <w:szCs w:val="22"/>
          <w:highlight w:val="none"/>
        </w:rPr>
        <w:t>分包给</w:t>
      </w:r>
      <w:r>
        <w:rPr>
          <w:rFonts w:hint="eastAsia" w:ascii="宋体" w:hAnsi="宋体" w:eastAsia="宋体" w:cs="宋体"/>
          <w:color w:val="auto"/>
          <w:kern w:val="0"/>
          <w:sz w:val="22"/>
          <w:szCs w:val="22"/>
          <w:highlight w:val="none"/>
          <w:u w:val="single"/>
        </w:rPr>
        <w:t>（某分包供应商名称）</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rPr>
        <w:t>（某分包供应商名称）</w:t>
      </w:r>
      <w:r>
        <w:rPr>
          <w:rFonts w:hint="eastAsia" w:ascii="宋体" w:hAnsi="宋体" w:eastAsia="宋体" w:cs="宋体"/>
          <w:color w:val="auto"/>
          <w:kern w:val="0"/>
          <w:sz w:val="22"/>
          <w:szCs w:val="22"/>
          <w:highlight w:val="none"/>
          <w:lang w:val="zh-CN"/>
        </w:rPr>
        <w:t>具备承</w:t>
      </w:r>
      <w:r>
        <w:rPr>
          <w:rFonts w:hint="eastAsia" w:ascii="宋体" w:hAnsi="宋体" w:eastAsia="宋体" w:cs="宋体"/>
          <w:color w:val="auto"/>
          <w:kern w:val="0"/>
          <w:sz w:val="22"/>
          <w:szCs w:val="22"/>
          <w:highlight w:val="none"/>
        </w:rPr>
        <w:t>担</w:t>
      </w:r>
      <w:r>
        <w:rPr>
          <w:rFonts w:hint="eastAsia" w:ascii="宋体" w:hAnsi="宋体" w:eastAsia="宋体" w:cs="宋体"/>
          <w:color w:val="auto"/>
          <w:sz w:val="22"/>
          <w:szCs w:val="22"/>
          <w:highlight w:val="none"/>
          <w:u w:val="single"/>
        </w:rPr>
        <w:t>XX工作内容</w:t>
      </w:r>
      <w:r>
        <w:rPr>
          <w:rFonts w:hint="eastAsia" w:ascii="宋体" w:hAnsi="宋体" w:eastAsia="宋体" w:cs="宋体"/>
          <w:color w:val="auto"/>
          <w:kern w:val="0"/>
          <w:sz w:val="22"/>
          <w:szCs w:val="22"/>
          <w:highlight w:val="none"/>
          <w:lang w:val="zh-CN"/>
        </w:rPr>
        <w:t>相应资质条件且不得再次分包；</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二、分包工作履行期限、地点、方式：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三、质量：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四、价款或者报酬：</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五、违约责任：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六、争议解决的办法：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0" w:firstLineChars="200"/>
        <w:jc w:val="left"/>
        <w:textAlignment w:val="auto"/>
        <w:outlineLvl w:val="9"/>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七、其他：</w:t>
      </w:r>
    </w:p>
    <w:p>
      <w:pPr>
        <w:snapToGrid w:val="0"/>
        <w:spacing w:line="360" w:lineRule="auto"/>
        <w:ind w:firstLine="440" w:firstLineChars="200"/>
        <w:jc w:val="left"/>
        <w:outlineLvl w:val="9"/>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u w:val="single"/>
        </w:rPr>
        <w:t>（某分包供应商名称）</w:t>
      </w:r>
      <w:r>
        <w:rPr>
          <w:rFonts w:hint="eastAsia" w:ascii="宋体" w:hAnsi="宋体" w:eastAsia="宋体" w:cs="宋体"/>
          <w:color w:val="auto"/>
          <w:kern w:val="0"/>
          <w:sz w:val="22"/>
          <w:szCs w:val="22"/>
          <w:highlight w:val="none"/>
          <w:u w:val="single"/>
          <w:lang w:val="zh-CN"/>
        </w:rPr>
        <w:t>的合同份额占到合同总金额     %以上。</w:t>
      </w:r>
    </w:p>
    <w:p>
      <w:pPr>
        <w:snapToGrid w:val="0"/>
        <w:spacing w:line="360" w:lineRule="auto"/>
        <w:ind w:firstLine="440" w:firstLineChars="200"/>
        <w:jc w:val="left"/>
        <w:outlineLvl w:val="9"/>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val="en-US" w:eastAsia="zh-CN"/>
        </w:rPr>
        <w:t>八、</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kern w:val="0"/>
          <w:sz w:val="22"/>
          <w:highlight w:val="none"/>
          <w:lang w:val="en-US" w:eastAsia="zh-CN"/>
        </w:rPr>
        <w:t>（投标</w:t>
      </w:r>
      <w:r>
        <w:rPr>
          <w:rFonts w:hint="eastAsia" w:ascii="宋体" w:hAnsi="宋体" w:eastAsia="宋体" w:cs="宋体"/>
          <w:color w:val="auto"/>
          <w:sz w:val="22"/>
          <w:highlight w:val="none"/>
          <w:lang w:val="en-US" w:eastAsia="zh-CN"/>
        </w:rPr>
        <w:t>人</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sz w:val="22"/>
          <w:highlight w:val="none"/>
        </w:rPr>
        <w:t>与</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分包企业</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之间</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填写是或者否</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存在直接控股、管理关系</w:t>
      </w:r>
      <w:r>
        <w:rPr>
          <w:rFonts w:hint="eastAsia" w:ascii="宋体" w:hAnsi="宋体" w:eastAsia="宋体" w:cs="宋体"/>
          <w:color w:val="auto"/>
          <w:sz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2" w:firstLineChars="200"/>
        <w:jc w:val="left"/>
        <w:textAlignment w:val="auto"/>
        <w:outlineLvl w:val="9"/>
        <w:rPr>
          <w:rFonts w:hint="eastAsia" w:ascii="宋体" w:hAnsi="宋体" w:eastAsia="宋体" w:cs="宋体"/>
          <w:b/>
          <w:color w:val="auto"/>
          <w:kern w:val="0"/>
          <w:sz w:val="22"/>
          <w:szCs w:val="22"/>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b/>
          <w:bCs/>
          <w:color w:val="auto"/>
          <w:kern w:val="0"/>
          <w:sz w:val="24"/>
          <w:szCs w:val="24"/>
          <w:highlight w:val="none"/>
          <w:lang w:val="zh-CN"/>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分包供应商名称（公章）：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360" w:lineRule="exact"/>
        <w:jc w:val="left"/>
        <w:rPr>
          <w:rFonts w:hint="eastAsia" w:ascii="宋体" w:hAnsi="宋体" w:eastAsia="宋体" w:cs="宋体"/>
          <w:color w:val="auto"/>
          <w:sz w:val="22"/>
          <w:highlight w:val="none"/>
          <w:lang w:val="en-US" w:eastAsia="zh-CN"/>
        </w:rPr>
      </w:pPr>
      <w:r>
        <w:rPr>
          <w:rFonts w:hint="eastAsia" w:ascii="宋体" w:hAnsi="宋体" w:eastAsia="宋体" w:cs="宋体"/>
          <w:b/>
          <w:color w:val="auto"/>
          <w:sz w:val="24"/>
          <w:szCs w:val="24"/>
          <w:highlight w:val="none"/>
          <w:lang w:eastAsia="zh-CN"/>
        </w:rPr>
        <w:t>附件4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p>
    <w:p>
      <w:pPr>
        <w:snapToGrid w:val="0"/>
        <w:spacing w:before="120" w:beforeLines="50" w:after="50"/>
        <w:jc w:val="center"/>
        <w:outlineLvl w:val="1"/>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特定资格要求证明材料</w:t>
      </w:r>
    </w:p>
    <w:p>
      <w:pPr>
        <w:snapToGrid w:val="0"/>
        <w:spacing w:before="120" w:beforeLines="50" w:after="50"/>
        <w:jc w:val="center"/>
        <w:outlineLvl w:val="1"/>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w:t>
      </w:r>
      <w:r>
        <w:rPr>
          <w:rFonts w:hint="eastAsia" w:ascii="宋体" w:hAnsi="宋体" w:eastAsia="宋体" w:cs="宋体"/>
          <w:b/>
          <w:bCs/>
          <w:color w:val="auto"/>
          <w:sz w:val="22"/>
          <w:highlight w:val="none"/>
          <w:u w:val="single"/>
          <w:lang w:eastAsia="zh-CN"/>
        </w:rPr>
        <w:t>根据招标公告本项目的特定资格要求提供相应的材料；未要求的，无需提供</w:t>
      </w:r>
      <w:r>
        <w:rPr>
          <w:rFonts w:hint="eastAsia" w:ascii="宋体" w:hAnsi="宋体" w:eastAsia="宋体" w:cs="宋体"/>
          <w:b/>
          <w:bCs/>
          <w:color w:val="auto"/>
          <w:sz w:val="22"/>
          <w:highlight w:val="none"/>
          <w:u w:val="single"/>
        </w:rPr>
        <w:t>）</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napToGrid w:val="0"/>
        <w:spacing w:before="120" w:beforeLines="50" w:after="50"/>
        <w:jc w:val="center"/>
        <w:outlineLvl w:val="1"/>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三、商务和技术文件部分封面格式</w:t>
      </w:r>
    </w:p>
    <w:p>
      <w:pPr>
        <w:snapToGrid w:val="0"/>
        <w:spacing w:before="120" w:beforeLines="50" w:after="50"/>
        <w:outlineLvl w:val="1"/>
        <w:rPr>
          <w:rFonts w:hint="eastAsia" w:ascii="宋体" w:hAnsi="宋体" w:eastAsia="宋体" w:cs="宋体"/>
          <w:color w:val="auto"/>
          <w:highlight w:val="none"/>
          <w:lang w:val="en-US" w:eastAsia="zh-CN"/>
        </w:rPr>
      </w:pPr>
    </w:p>
    <w:p>
      <w:pPr>
        <w:pStyle w:val="15"/>
        <w:ind w:left="0" w:leftChars="0" w:right="1470"/>
        <w:rPr>
          <w:rFonts w:hint="eastAsia" w:ascii="宋体" w:hAnsi="宋体" w:eastAsia="宋体" w:cs="宋体"/>
          <w:b/>
          <w:color w:val="auto"/>
          <w:sz w:val="24"/>
          <w:szCs w:val="24"/>
          <w:highlight w:val="none"/>
        </w:rPr>
      </w:pPr>
    </w:p>
    <w:p>
      <w:pPr>
        <w:snapToGrid w:val="0"/>
        <w:spacing w:line="400" w:lineRule="exact"/>
        <w:jc w:val="center"/>
        <w:outlineLvl w:val="1"/>
        <w:rPr>
          <w:rFonts w:hint="eastAsia" w:ascii="宋体" w:hAnsi="宋体" w:eastAsia="宋体" w:cs="宋体"/>
          <w:b/>
          <w:bCs/>
          <w:color w:val="auto"/>
          <w:sz w:val="24"/>
          <w:szCs w:val="20"/>
          <w:highlight w:val="none"/>
        </w:rPr>
      </w:pPr>
    </w:p>
    <w:p>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lang w:eastAsia="zh-CN"/>
                              </w:rPr>
                              <w:t>标项名称</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hint="eastAsia" w:ascii="宋体" w:hAnsi="宋体"/>
                                <w:bCs/>
                                <w:sz w:val="24"/>
                                <w:lang w:val="en-US" w:eastAsia="zh-CN"/>
                              </w:rPr>
                            </w:pPr>
                            <w:r>
                              <w:rPr>
                                <w:rFonts w:hint="eastAsia" w:ascii="宋体" w:hAnsi="宋体"/>
                                <w:bCs/>
                                <w:sz w:val="24"/>
                                <w:lang w:val="en-US" w:eastAsia="zh-CN"/>
                              </w:rPr>
                              <w:t>标项名称：</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EoxqpQBAgAAOAQAAA4AAABkcnMvZTJvRG9jLnhtbK1T TY/TMBC9I/EfLN9pst12WaqmK6CUC2JBCz9gajuJJX9p7Dbpv2fsdrsfcOiBHJyxPX5+7814eTda w/YKo/au4VeTmjPlhJfadQ3//Wvz7pazmMBJMN6phh9U5Hert2+WQ1ioqe+9kQoZgbi4GELD+5TC oqqi6JWFOPFBOdpsPVpINMWukggDoVtTTev6pho8yoBeqBhpdX3c5CdEvATQt60Wau3FziqXjqio DCSSFHsdIl8Vtm2rRLpv26gSMw0npamMdAnF2zxWqyUsOoTQa3GiAJdQeKXJgnZ06RlqDQnYDvVf UFYL9NG3aSK8rY5CiiOk4qp+5c1DD0EVLWR1DGfT4/+DFd/3P5Bp2fAPnDmwVPCfO5DsI6If2Dz7 M4S4oLSHQIlp/ORH6prH9UiLWfbYos1/EsRon9w9nN1VY2KCFuf1+5vb6ZwzQXvX17PZfFbwq6fj AWP6qrxlOWg4UvmKq7D/FhNRodTHlHxb9EbLjTamTLDbfjbI9kCl3pQvs6QjL9KMYwOJnRciQP3b Ut8QJxvIg+i6ct+LE/E5cF2+fwFnYmuI/ZFAQchpsLA6KSxRr0B+cZKlQyCfHT0vnslYJTkzil5j jkpmAm0uySR1xpHIXKNjLXKUxu1IMDncenmguu0C6q4nS0vlSjo1VHHn1Py5Y5/PC+jTg1/9AV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HMEAABb Q29udGVudF9UeXBlc10ueG1sUEsBAhQACgAAAAAAh07iQAAAAAAAAAAAAAAAAAYAAAAAAAAAAAAQ AAAAVQMAAF9yZWxzL1BLAQIUABQAAAAIAIdO4kCKFGY80QAAAJQBAAALAAAAAAAAAAEAIAAAAHkD AABfcmVscy8ucmVsc1BLAQIUAAoAAAAAAIdO4kAAAAAAAAAAAAAAAAAEAAAAAAAAAAAAEAAAAAAA AABkcnMvUEsBAhQAFAAAAAgAh07iQDOixDfZAAAACQEAAA8AAAAAAAAAAQAgAAAAIgAAAGRycy9k b3ducmV2LnhtbFBLAQIUABQAAAAIAIdO4kBKMaqUAQIAADgEAAAOAAAAAAAAAAEAIAAAACgBAABk cnMvZTJvRG9jLnhtbFBLBQYAAAAABgAGAFkBAACbBQAAAAA= ">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lang w:eastAsia="zh-CN"/>
                        </w:rPr>
                        <w:t>标项名称</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hint="eastAsia" w:ascii="宋体" w:hAnsi="宋体"/>
                          <w:bCs/>
                          <w:sz w:val="24"/>
                          <w:lang w:val="en-US" w:eastAsia="zh-CN"/>
                        </w:rPr>
                      </w:pPr>
                      <w:r>
                        <w:rPr>
                          <w:rFonts w:hint="eastAsia" w:ascii="宋体" w:hAnsi="宋体"/>
                          <w:bCs/>
                          <w:sz w:val="24"/>
                          <w:lang w:val="en-US" w:eastAsia="zh-CN"/>
                        </w:rPr>
                        <w:t>标项名称：</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highlight w:val="none"/>
        </w:rPr>
        <w:t>商务和技术文件</w:t>
      </w:r>
    </w:p>
    <w:p>
      <w:pPr>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附件5</w:t>
      </w:r>
    </w:p>
    <w:p>
      <w:pPr>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商务和技术文件投标文件</w:t>
      </w:r>
    </w:p>
    <w:p>
      <w:pPr>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评分索引表</w:t>
      </w:r>
    </w:p>
    <w:p>
      <w:pPr>
        <w:spacing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为了方便专家评审投标文件，针对招标文件评分细则要求，投标人应制作标书索引，置于投标文件首页，格式如下：</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02" w:type="dxa"/>
            <w:vAlign w:val="center"/>
          </w:tcPr>
          <w:p>
            <w:pPr>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序号</w:t>
            </w:r>
          </w:p>
        </w:tc>
        <w:tc>
          <w:tcPr>
            <w:tcW w:w="6956" w:type="dxa"/>
            <w:vAlign w:val="center"/>
          </w:tcPr>
          <w:p>
            <w:pPr>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评分内容</w:t>
            </w:r>
          </w:p>
        </w:tc>
        <w:tc>
          <w:tcPr>
            <w:tcW w:w="1313" w:type="dxa"/>
            <w:vAlign w:val="center"/>
          </w:tcPr>
          <w:p>
            <w:pPr>
              <w:pStyle w:val="55"/>
              <w:spacing w:line="400" w:lineRule="exact"/>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w:t>
            </w:r>
          </w:p>
        </w:tc>
        <w:tc>
          <w:tcPr>
            <w:tcW w:w="6956" w:type="dxa"/>
            <w:vAlign w:val="center"/>
          </w:tcPr>
          <w:p>
            <w:pPr>
              <w:spacing w:line="400" w:lineRule="exact"/>
              <w:jc w:val="left"/>
              <w:rPr>
                <w:rFonts w:hint="eastAsia" w:ascii="宋体" w:hAnsi="宋体" w:eastAsia="宋体" w:cs="宋体"/>
                <w:color w:val="auto"/>
                <w:kern w:val="0"/>
                <w:sz w:val="24"/>
                <w:szCs w:val="24"/>
                <w:highlight w:val="none"/>
              </w:rPr>
            </w:pPr>
          </w:p>
          <w:p>
            <w:pPr>
              <w:spacing w:line="400" w:lineRule="exact"/>
              <w:jc w:val="left"/>
              <w:rPr>
                <w:rFonts w:hint="eastAsia" w:ascii="宋体" w:hAnsi="宋体" w:eastAsia="宋体" w:cs="宋体"/>
                <w:color w:val="auto"/>
                <w:kern w:val="0"/>
                <w:sz w:val="24"/>
                <w:szCs w:val="24"/>
                <w:highlight w:val="none"/>
              </w:rPr>
            </w:pPr>
          </w:p>
        </w:tc>
        <w:tc>
          <w:tcPr>
            <w:tcW w:w="1313" w:type="dxa"/>
            <w:vAlign w:val="center"/>
          </w:tcPr>
          <w:p>
            <w:pPr>
              <w:pStyle w:val="13"/>
              <w:spacing w:line="400" w:lineRule="exact"/>
              <w:ind w:left="456" w:hanging="456"/>
              <w:rPr>
                <w:rFonts w:hint="eastAsia" w:ascii="宋体" w:hAnsi="宋体" w:eastAsia="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2</w:t>
            </w:r>
          </w:p>
        </w:tc>
        <w:tc>
          <w:tcPr>
            <w:tcW w:w="6956" w:type="dxa"/>
            <w:vAlign w:val="center"/>
          </w:tcPr>
          <w:p>
            <w:pPr>
              <w:spacing w:line="400" w:lineRule="exact"/>
              <w:jc w:val="left"/>
              <w:rPr>
                <w:rFonts w:hint="eastAsia" w:ascii="宋体" w:hAnsi="宋体" w:eastAsia="宋体" w:cs="宋体"/>
                <w:color w:val="auto"/>
                <w:kern w:val="0"/>
                <w:sz w:val="24"/>
                <w:szCs w:val="24"/>
                <w:highlight w:val="none"/>
              </w:rPr>
            </w:pPr>
          </w:p>
        </w:tc>
        <w:tc>
          <w:tcPr>
            <w:tcW w:w="1313" w:type="dxa"/>
            <w:vAlign w:val="center"/>
          </w:tcPr>
          <w:p>
            <w:pPr>
              <w:pStyle w:val="13"/>
              <w:spacing w:line="400" w:lineRule="exact"/>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6956" w:type="dxa"/>
            <w:vAlign w:val="center"/>
          </w:tcPr>
          <w:p>
            <w:pPr>
              <w:spacing w:line="400" w:lineRule="exac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p>
        </w:tc>
        <w:tc>
          <w:tcPr>
            <w:tcW w:w="6956" w:type="dxa"/>
            <w:vAlign w:val="center"/>
          </w:tcPr>
          <w:p>
            <w:pPr>
              <w:spacing w:line="400" w:lineRule="exac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w:t>
            </w:r>
          </w:p>
        </w:tc>
        <w:tc>
          <w:tcPr>
            <w:tcW w:w="6956" w:type="dxa"/>
            <w:vAlign w:val="center"/>
          </w:tcPr>
          <w:p>
            <w:pPr>
              <w:spacing w:line="400" w:lineRule="exac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bl>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备注：一.“评分内容”对应“第六部分”评标原则及方法。</w:t>
      </w:r>
    </w:p>
    <w:p>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二.评标内容自行添加。本表可扩展。</w:t>
      </w:r>
    </w:p>
    <w:p>
      <w:pPr>
        <w:spacing w:line="400" w:lineRule="exact"/>
        <w:ind w:firstLine="720" w:firstLineChars="3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三.各投标人在投标文件最前页根据本评标细则制作评分索引表，清楚标注响应内容及证明材料的所在页码。</w:t>
      </w:r>
    </w:p>
    <w:p>
      <w:pPr>
        <w:spacing w:line="400" w:lineRule="exact"/>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附件6</w:t>
      </w:r>
    </w:p>
    <w:p>
      <w:pPr>
        <w:pStyle w:val="13"/>
        <w:ind w:left="0" w:firstLine="0" w:firstLineChars="0"/>
        <w:rPr>
          <w:rFonts w:hint="eastAsia" w:ascii="宋体" w:hAnsi="宋体" w:eastAsia="宋体" w:cs="宋体"/>
          <w:color w:val="auto"/>
          <w:szCs w:val="24"/>
          <w:highlight w:val="none"/>
        </w:rPr>
      </w:pPr>
    </w:p>
    <w:p>
      <w:pPr>
        <w:ind w:right="-1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法定代表人资格证明书</w:t>
      </w:r>
    </w:p>
    <w:p>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温州市公安局交通管理局</w:t>
      </w:r>
      <w:r>
        <w:rPr>
          <w:rFonts w:hint="eastAsia" w:ascii="宋体" w:hAnsi="宋体" w:eastAsia="宋体" w:cs="宋体"/>
          <w:color w:val="auto"/>
          <w:sz w:val="24"/>
          <w:szCs w:val="24"/>
          <w:highlight w:val="none"/>
        </w:rPr>
        <w:t>、浙江乐诚工程咨询有限公司：</w:t>
      </w:r>
    </w:p>
    <w:p>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（姓名、性别、年龄）</w:t>
      </w:r>
      <w:r>
        <w:rPr>
          <w:rFonts w:hint="eastAsia" w:ascii="宋体" w:hAnsi="宋体" w:eastAsia="宋体" w:cs="宋体"/>
          <w:color w:val="auto"/>
          <w:sz w:val="24"/>
          <w:szCs w:val="24"/>
          <w:highlight w:val="none"/>
        </w:rPr>
        <w:t>在我单位任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（职务名称）职务，是我单位的法定代表人。</w:t>
      </w:r>
    </w:p>
    <w:p>
      <w:pPr>
        <w:spacing w:line="48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400" w:lineRule="exact"/>
        <w:jc w:val="left"/>
        <w:rPr>
          <w:rFonts w:hint="eastAsia" w:ascii="宋体" w:hAnsi="宋体" w:eastAsia="宋体" w:cs="宋体"/>
          <w:b/>
          <w:bCs/>
          <w:color w:val="auto"/>
          <w:sz w:val="24"/>
          <w:szCs w:val="24"/>
          <w:highlight w:val="none"/>
        </w:rPr>
      </w:pPr>
    </w:p>
    <w:p>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法定代表人身份证号：（身份证复印附后）</w:t>
      </w:r>
    </w:p>
    <w:p>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法定代表人电话：</w:t>
      </w:r>
    </w:p>
    <w:p>
      <w:pPr>
        <w:spacing w:line="400" w:lineRule="exact"/>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投标人全称（电子签章）</w:t>
      </w:r>
    </w:p>
    <w:p>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 期：   年  月  日</w:t>
      </w:r>
    </w:p>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 AQAADwAAAGRycy9kb3ducmV2LnhtbE2PMU/DMBSEdyT+g/WQWBB1mkRpHeJ0QALBRguC1Y1fkwj7 OdhuWv49ZoLxdKe775rN2Ro2ow+jIwnLRQYMqXN6pF7C2+vD7RpYiIq0Mo5QwjcG2LSXF42qtTvR Fudd7FkqoVArCUOMU8156Aa0KizchJS8g/NWxSR9z7VXp1RuDc+zrOJWjZQWBjXh/YDd5+5oJazL p/kjPBcv7111MCLerObHLy/l9dUyuwMW8Rz/wvCLn9ChTUx7dyQdmJEgyjwlJeSlAJb8KhcrYHsJ hRAF8Lbh/x+0P1BLAwQUAAAACACHTuJAI+J4vAECAAA5BAAADgAAAGRycy9lMm9Eb2MueG1srVPL ktMwELxTxT+odCf2ZrMsuOJsASFcKB618AGKJNuq0qtmlNj5e0ZKNvuAQw74II+kVqunZ7S8m5xl ew1ogm/51azmTHsZlPF9y3//2rx5xxkm4ZWwweuWHzTyu9XrV8sxNnoehmCVBkYkHpsxtnxIKTZV hXLQTuAsRO1pswvgRKIp9JUCMRK7s9W8rt9WYwAVIUiNSKvr4yY/McIlhKHrjNTrIHdO+3RkBW1F opRwMBH5qqjtOi3T965DnZhtOWWaykiXULzNY7VaiqYHEQcjTxLEJRJe5OSE8XTpmWotkmA7MH9R OSMhYOjSTAZXHRMpjlAWV/ULb+4HEXXJhazGeDYd/x+t/Lb/Acwo6gSyxAtHFf+5E4p9AAgjW2SD xogN4e4jIdP0MUwEflhHWsx5Tx24/KeMGO0T1+Fsr54Sk7R4vajrxfyGM0l78+vb28WiFKB6PB4B 0xcdHMtBy4HqV2wV+6+YSApBHyD5NgzWqI2xtkyg336ywPaCar0pX1ZJR57BrGdjy9/fFCGCGrij xiFNLpIJ6Pty37MT+JS4Lt+/iLOwtcDhKKAwZJhonEkaSjRooT57xdIhks+e3hfPYpxWnFlNzzFH BZmEsZcgKTvrKclco2MtcpSm7UQ0OdwGdaC67SKYfiBLS+UKnDqquHPq/tyyT+eF9PHFr/4A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cgQAAFtD b250ZW50X1R5cGVzXS54bWxQSwECFAAKAAAAAACHTuJAAAAAAAAAAAAAAAAABgAAAAAAAAAAABAA AABUAwAAX3JlbHMvUEsBAhQAFAAAAAgAh07iQIoUZjzRAAAAlAEAAAsAAAAAAAAAAQAgAAAAeAMA AF9yZWxzLy5yZWxzUEsBAhQACgAAAAAAh07iQAAAAAAAAAAAAAAAAAQAAAAAAAAAAAAQAAAAAAAA AGRycy9QSwECFAAUAAAACACHTuJA1l8mDtgAAAAJAQAADwAAAAAAAAABACAAAAAiAAAAZHJzL2Rv d25yZXYueG1sUEsBAhQAFAAAAAgAh07iQCPieLwBAgAAOQQAAA4AAAAAAAAAAQAgAAAAJwEAAGRy cy9lMm9Eb2MueG1sUEsFBgAAAAAGAAYAWQEAAJoFAAAAAA== ">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napToGrid w:val="0"/>
        <w:spacing w:line="400" w:lineRule="exact"/>
        <w:rPr>
          <w:rFonts w:hint="eastAsia" w:ascii="宋体" w:hAnsi="宋体" w:eastAsia="宋体" w:cs="宋体"/>
          <w:color w:val="auto"/>
          <w:sz w:val="24"/>
          <w:szCs w:val="24"/>
          <w:highlight w:val="none"/>
        </w:rPr>
      </w:pPr>
    </w:p>
    <w:p>
      <w:pPr>
        <w:spacing w:line="400" w:lineRule="exac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pPr>
        <w:pStyle w:val="13"/>
        <w:rPr>
          <w:rFonts w:hint="eastAsia" w:ascii="宋体" w:hAnsi="宋体" w:eastAsia="宋体" w:cs="宋体"/>
          <w:color w:val="auto"/>
          <w:highlight w:val="none"/>
        </w:rPr>
      </w:pPr>
    </w:p>
    <w:p>
      <w:pP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br w:type="page"/>
      </w:r>
    </w:p>
    <w:p>
      <w:pPr>
        <w:snapToGrid w:val="0"/>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法定代表人授权委托书</w:t>
      </w:r>
    </w:p>
    <w:p>
      <w:pPr>
        <w:snapToGrid w:val="0"/>
        <w:spacing w:line="360" w:lineRule="auto"/>
        <w:rPr>
          <w:rFonts w:hint="eastAsia" w:ascii="宋体" w:hAnsi="宋体" w:eastAsia="宋体" w:cs="宋体"/>
          <w:b/>
          <w:bCs/>
          <w:color w:val="auto"/>
          <w:spacing w:val="-6"/>
          <w:sz w:val="24"/>
          <w:szCs w:val="24"/>
          <w:highlight w:val="none"/>
        </w:rPr>
      </w:pPr>
      <w:r>
        <w:rPr>
          <w:rFonts w:hint="eastAsia" w:ascii="宋体" w:hAnsi="宋体" w:eastAsia="宋体" w:cs="宋体"/>
          <w:bCs/>
          <w:color w:val="auto"/>
          <w:spacing w:val="-6"/>
          <w:sz w:val="24"/>
          <w:szCs w:val="24"/>
          <w:highlight w:val="none"/>
        </w:rPr>
        <w:t>致：</w:t>
      </w:r>
      <w:r>
        <w:rPr>
          <w:rFonts w:hint="eastAsia" w:ascii="宋体" w:hAnsi="宋体" w:eastAsia="宋体" w:cs="宋体"/>
          <w:color w:val="auto"/>
          <w:sz w:val="24"/>
          <w:szCs w:val="24"/>
          <w:highlight w:val="none"/>
          <w:lang w:eastAsia="zh-CN"/>
        </w:rPr>
        <w:t>温州市公安局交通管理局</w:t>
      </w:r>
      <w:r>
        <w:rPr>
          <w:rFonts w:hint="eastAsia" w:ascii="宋体" w:hAnsi="宋体" w:eastAsia="宋体" w:cs="宋体"/>
          <w:color w:val="auto"/>
          <w:sz w:val="24"/>
          <w:szCs w:val="24"/>
          <w:highlight w:val="none"/>
        </w:rPr>
        <w:t>、浙江乐诚工程咨询有限公司</w:t>
      </w:r>
      <w:r>
        <w:rPr>
          <w:rFonts w:hint="eastAsia" w:ascii="宋体" w:hAnsi="宋体" w:eastAsia="宋体" w:cs="宋体"/>
          <w:color w:val="auto"/>
          <w:spacing w:val="-6"/>
          <w:sz w:val="24"/>
          <w:szCs w:val="24"/>
          <w:highlight w:val="none"/>
        </w:rPr>
        <w:t>：</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我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（姓名）系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（投标人名称）的法定代表人，现授权委托本单位在职职工</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 （姓名）（身份证号：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）以我方的名义参加</w:t>
      </w:r>
      <w:r>
        <w:rPr>
          <w:rFonts w:hint="eastAsia" w:ascii="宋体" w:hAnsi="宋体" w:eastAsia="宋体" w:cs="宋体"/>
          <w:color w:val="auto"/>
          <w:spacing w:val="-6"/>
          <w:sz w:val="24"/>
          <w:szCs w:val="24"/>
          <w:highlight w:val="none"/>
          <w:lang w:eastAsia="zh-CN"/>
        </w:rPr>
        <w:t>温州市公安局交通管理局</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en-US" w:eastAsia="zh-CN"/>
        </w:rPr>
        <w:t>标项名称</w:t>
      </w:r>
      <w:r>
        <w:rPr>
          <w:rFonts w:hint="eastAsia" w:ascii="宋体" w:hAnsi="宋体" w:eastAsia="宋体" w:cs="宋体"/>
          <w:color w:val="auto"/>
          <w:spacing w:val="-6"/>
          <w:sz w:val="24"/>
          <w:szCs w:val="24"/>
          <w:highlight w:val="none"/>
        </w:rPr>
        <w:t>）项目（项目编号：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）的投标活动，并代表我方全权办理针对上述项目的投标、开标、评标、签约等具体事务和签署相关文件。</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我方对被授权人的签名负全部责任。</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在撤销授权的书面通知以前，本授权书一直有效。被授权人在授权书有效期内签署的所有文件不因授权的撤销而失效。</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被授权人无转委托权，特此委托。</w:t>
      </w:r>
    </w:p>
    <w:p>
      <w:pPr>
        <w:snapToGrid w:val="0"/>
        <w:spacing w:line="288" w:lineRule="auto"/>
        <w:rPr>
          <w:rFonts w:hint="eastAsia" w:ascii="宋体" w:hAnsi="宋体" w:eastAsia="宋体" w:cs="宋体"/>
          <w:color w:val="auto"/>
          <w:spacing w:val="-6"/>
          <w:sz w:val="24"/>
          <w:szCs w:val="24"/>
          <w:highlight w:val="none"/>
        </w:rPr>
      </w:pPr>
    </w:p>
    <w:p>
      <w:pPr>
        <w:snapToGrid w:val="0"/>
        <w:spacing w:line="288" w:lineRule="auto"/>
        <w:rPr>
          <w:rFonts w:hint="eastAsia" w:ascii="宋体" w:hAnsi="宋体" w:eastAsia="宋体" w:cs="宋体"/>
          <w:color w:val="auto"/>
          <w:spacing w:val="-6"/>
          <w:sz w:val="24"/>
          <w:szCs w:val="24"/>
          <w:highlight w:val="none"/>
        </w:rPr>
      </w:pPr>
    </w:p>
    <w:p>
      <w:pPr>
        <w:snapToGrid w:val="0"/>
        <w:spacing w:line="288" w:lineRule="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被授权人签字：                              法定代表人签字或签章：</w:t>
      </w:r>
    </w:p>
    <w:p>
      <w:pPr>
        <w:snapToGrid w:val="0"/>
        <w:spacing w:line="288" w:lineRule="auto"/>
        <w:ind w:firstLine="912" w:firstLineChars="4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职务：                               职务：</w:t>
      </w:r>
    </w:p>
    <w:p>
      <w:pPr>
        <w:snapToGrid w:val="0"/>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被授权人身份证号码：</w:t>
      </w:r>
    </w:p>
    <w:p>
      <w:pPr>
        <w:pStyle w:val="30"/>
        <w:ind w:left="456" w:hanging="456"/>
        <w:rPr>
          <w:rFonts w:hint="eastAsia" w:ascii="宋体" w:hAnsi="宋体" w:eastAsia="宋体" w:cs="宋体"/>
          <w:color w:val="auto"/>
          <w:highlight w:val="none"/>
          <w:u w:val="single"/>
        </w:rPr>
      </w:pPr>
      <w:r>
        <w:rPr>
          <w:rFonts w:hint="eastAsia" w:ascii="宋体" w:hAnsi="宋体" w:eastAsia="宋体" w:cs="宋体"/>
          <w:color w:val="auto"/>
          <w:spacing w:val="-6"/>
          <w:szCs w:val="24"/>
          <w:highlight w:val="none"/>
        </w:rPr>
        <w:t>被授权人手机号码：</w:t>
      </w:r>
    </w:p>
    <w:p>
      <w:pPr>
        <w:snapToGrid w:val="0"/>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供应商名称（CA电子公章）：</w:t>
      </w:r>
    </w:p>
    <w:p>
      <w:pPr>
        <w:snapToGrid w:val="0"/>
        <w:spacing w:line="288"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cs="宋体"/>
          <w:color w:val="auto"/>
          <w:spacing w:val="-6"/>
          <w:sz w:val="24"/>
          <w:szCs w:val="24"/>
          <w:highlight w:val="none"/>
          <w:lang w:eastAsia="zh-CN"/>
        </w:rPr>
        <w:t xml:space="preserve">     年</w:t>
      </w:r>
      <w:r>
        <w:rPr>
          <w:rFonts w:hint="eastAsia" w:ascii="宋体" w:hAnsi="宋体" w:eastAsia="宋体" w:cs="宋体"/>
          <w:color w:val="auto"/>
          <w:spacing w:val="-6"/>
          <w:sz w:val="24"/>
          <w:szCs w:val="24"/>
          <w:highlight w:val="none"/>
        </w:rPr>
        <w:t xml:space="preserve">    月    日</w:t>
      </w:r>
    </w:p>
    <w:p>
      <w:pPr>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 AQAADwAAAGRycy9kb3ducmV2LnhtbE2PwU7DMBBE70j8g7VIXBC1k5Q2CXF6QALBDQqCqxtvkwh7 HWw3LX+POcFxNaM3b5vNyRo2ow+jIwnZQgBD6pweqZfw9np/XQILUZFWxhFK+MYAm/b8rFG1dkd6 wXkbe5YgFGolYYhxqjkP3YBWhYWbkFK2d96qmE7fc+3VMcGt4bkQK27VSGlhUBPeDdh9bg9WQrl8 nD/CU/H83q32popX6/nhy0t5eZGJW2ART/GvDL/6SR3a5LRzB9KBmcQQ69SUkBdLYCkvqzIHtpNQ VDcZ8Lbh/z9ofwBQSwMEFAAAAAgAh07iQDP6T6cLAgAAOAQAAA4AAABkcnMvZTJvRG9jLnhtbK1T zY7TMBC+I/EOlu80SVFXNGq6EpRyQYC0ywO4tpNY8p88bpO+ALwBJy7cea59DsZOt/sDhx7IwRmP P38z8814dT0aTQ4ygHK2odWspERa7oSyXUO/3m5fvaEEIrOCaWdlQ48S6PX65YvV4Gs5d73TQgaC JBbqwTe0j9HXRQG8l4bBzHlp8bB1wbCI29AVIrAB2Y0u5mV5VQwuCB8clwDo3UyH9MQYLiF0bau4 3Di+N9LGiTVIzSKWBL3yQNc527aVPH5uW5CR6IZipTGvGATtXVqL9YrVXWC+V/yUArskhWc1GaYs Bj1TbVhkZB/UX1RG8eDAtXHGnSmmQrIiWEVVPtPmpmde5lpQavBn0eH/0fJPhy+BKIGTUFFimcGO 3/34fvfz992vb2SZ9Bk81Ai78QiM41s3IvbeD+hMZY9tMOmPBRE8R3WPZ3XlGAlH56JaVtV8QQnH s/nrq3K+XCSe4uG6DxA/SGdIMhoasH1ZVXb4CHGC3kNSNHBaia3SOm9Ct3unAzkwbPU2fyf2JzBt ydDQ5SInwnB+W5wbzMl41ABsl+M9uQGPicv8/Ys4JbZh0E8JZIYEY7VRUYZs9ZKJ91aQePQos8Xn RVMyRgpKtMTXmKyMjEzpS5ConbYoYerR1ItkxXE3Ik0yd04csW97H1TXo6S5cxmOA5W1Pw1/mtjH +0z68ODXfwB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9BAAAW0NvbnRlbnRfVHlwZXNdLnhtbFBLAQIUAAoAAAAAAIdO4kAAAAAAAAAAAAAAAAAG AAAAAAAAAAAAEAAAAF8DAABfcmVscy9QSwECFAAUAAAACACHTuJAihRmPNEAAACUAQAACwAAAAAA AAABACAAAACDAwAAX3JlbHMvLnJlbHNQSwECFAAKAAAAAACHTuJAAAAAAAAAAAAAAAAABAAAAAAA AAAAABAAAAAAAAAAZHJzL1BLAQIUABQAAAAIAIdO4kDTSlfJ2QAAAAkBAAAPAAAAAAAAAAEAIAAA ACIAAABkcnMvZG93bnJldi54bWxQSwECFAAUAAAACACHTuJAM/pPpwsCAAA4BAAADgAAAAAAAAAB ACAAAAAoAQAAZHJzL2Uyb0RvYy54bWxQSwUGAAAAAAYABgBZAQAApQUAAAAA ">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法定代表人授权书</w:t>
      </w:r>
    </w:p>
    <w:p>
      <w:pPr>
        <w:spacing w:line="360" w:lineRule="auto"/>
        <w:ind w:firstLine="240" w:firstLineChars="100"/>
        <w:rPr>
          <w:rFonts w:hint="eastAsia" w:ascii="宋体" w:hAnsi="宋体" w:eastAsia="宋体" w:cs="宋体"/>
          <w:color w:val="auto"/>
          <w:sz w:val="24"/>
          <w:szCs w:val="24"/>
          <w:highlight w:val="none"/>
        </w:rPr>
      </w:pPr>
    </w:p>
    <w:p>
      <w:pPr>
        <w:pStyle w:val="15"/>
        <w:spacing w:after="0"/>
        <w:ind w:left="1470" w:right="1470"/>
        <w:rPr>
          <w:rFonts w:hint="eastAsia" w:ascii="宋体" w:hAnsi="宋体" w:eastAsia="宋体" w:cs="宋体"/>
          <w:color w:val="auto"/>
          <w:highlight w:val="none"/>
        </w:rPr>
      </w:pP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附件7</w:t>
      </w:r>
    </w:p>
    <w:p>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函</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温州市公安局交通管理局</w:t>
      </w:r>
      <w:r>
        <w:rPr>
          <w:rFonts w:hint="eastAsia" w:ascii="宋体" w:hAnsi="宋体" w:eastAsia="宋体" w:cs="宋体"/>
          <w:color w:val="auto"/>
          <w:sz w:val="24"/>
          <w:szCs w:val="24"/>
          <w:highlight w:val="none"/>
          <w:u w:val="single"/>
        </w:rPr>
        <w:t>、浙江乐诚工程咨询有限公司</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lang w:eastAsia="zh-CN"/>
        </w:rPr>
        <w:t>温州市公安局交通管理局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标项名称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）的投标邀请，我方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（投标人名称）作为投标人正式授权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（授权代表全名，职务）代表我方处理本次项目中的一切投标相关事宜。</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我方己完全明白招标文件的所有条款要求，并重申以下几点：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（一）本投标文件的有效期自提交投标文件的截止之日起 </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天内有效，如中标，有效期将延至合同终止日为止；</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（三）我方明白并愿意在规定的开标时间之后，投标人在投标有效期内不撤回投标；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（四）我方同意提供按照贵方可能要求的与投标有关的一切数据或资料；</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（五）我方理解贵方不一定接受最低报价。</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（六）如中标，本投标人将按“招标文件”及政府采购法律、法规的规定履行合同责任和义务。</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（七）所有与本投标有关的函件请发往下列地址：</w:t>
      </w:r>
    </w:p>
    <w:p>
      <w:pPr>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p>
    <w:p>
      <w:pPr>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spacing w:line="400" w:lineRule="exact"/>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p>
    <w:p>
      <w:pPr>
        <w:spacing w:line="400" w:lineRule="exact"/>
        <w:rPr>
          <w:rFonts w:hint="eastAsia" w:ascii="宋体" w:hAnsi="宋体" w:eastAsia="宋体" w:cs="宋体"/>
          <w:color w:val="auto"/>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color w:val="auto"/>
          <w:sz w:val="24"/>
          <w:szCs w:val="24"/>
          <w:highlight w:val="none"/>
          <w:lang w:eastAsia="zh-CN"/>
        </w:rPr>
        <w:t>附件8</w:t>
      </w:r>
    </w:p>
    <w:p>
      <w:pPr>
        <w:snapToGrid w:val="0"/>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投标声明书</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温州市公安局交通管理局</w:t>
      </w:r>
      <w:r>
        <w:rPr>
          <w:rFonts w:hint="eastAsia" w:ascii="宋体" w:hAnsi="宋体" w:eastAsia="宋体" w:cs="宋体"/>
          <w:color w:val="auto"/>
          <w:sz w:val="24"/>
          <w:szCs w:val="24"/>
          <w:highlight w:val="none"/>
          <w:u w:val="single"/>
        </w:rPr>
        <w:t>、浙江乐诚工程咨询有限公司</w:t>
      </w:r>
      <w:r>
        <w:rPr>
          <w:rFonts w:hint="eastAsia" w:ascii="宋体" w:hAnsi="宋体" w:eastAsia="宋体" w:cs="宋体"/>
          <w:color w:val="auto"/>
          <w:sz w:val="24"/>
          <w:szCs w:val="24"/>
          <w:highlight w:val="none"/>
        </w:rPr>
        <w:t>：</w:t>
      </w:r>
    </w:p>
    <w:p>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40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标项名称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）的投标，为便于贵方公正、择优地确定中标人及其服务，我方就本次投标有关事项郑重声明如下：</w:t>
      </w:r>
    </w:p>
    <w:p>
      <w:pPr>
        <w:spacing w:line="40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1.我方向贵方提交的所有投标文件、资料都是准确的和真实的；</w:t>
      </w:r>
    </w:p>
    <w:p>
      <w:pPr>
        <w:spacing w:line="40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2.我方不是采购人的附属机构；在获知本项目采购信息后，与采购人聘请的为此项目提供咨询服务的公司及其附属机构没有任何联系；</w:t>
      </w:r>
    </w:p>
    <w:p>
      <w:pPr>
        <w:spacing w:line="40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3.我方在参加政府采购活动前3年内：</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pacing w:val="-6"/>
          <w:sz w:val="24"/>
          <w:szCs w:val="24"/>
          <w:highlight w:val="none"/>
        </w:rPr>
        <w:t>（填写“有”或“没有”，如实填写，如不填写视同未按要求填写）</w:t>
      </w:r>
      <w:r>
        <w:rPr>
          <w:rFonts w:hint="eastAsia" w:ascii="宋体" w:hAnsi="宋体" w:eastAsia="宋体" w:cs="宋体"/>
          <w:color w:val="auto"/>
          <w:spacing w:val="-6"/>
          <w:sz w:val="24"/>
          <w:szCs w:val="24"/>
          <w:highlight w:val="none"/>
        </w:rPr>
        <w:t>因违法经营被禁止在一定期限内参加政府采购活动，且期限未满的情形；</w:t>
      </w:r>
    </w:p>
    <w:p>
      <w:pPr>
        <w:spacing w:line="40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4.以上事项如有虚假或隐瞒，我方愿意承担一切后果和责任。</w:t>
      </w:r>
    </w:p>
    <w:p>
      <w:pPr>
        <w:pStyle w:val="14"/>
        <w:tabs>
          <w:tab w:val="left" w:pos="939"/>
        </w:tabs>
        <w:snapToGrid w:val="0"/>
        <w:spacing w:line="400" w:lineRule="exact"/>
        <w:ind w:left="458" w:leftChars="0" w:hanging="458" w:hangingChars="191"/>
        <w:rPr>
          <w:rFonts w:hint="eastAsia" w:ascii="宋体" w:hAnsi="宋体" w:eastAsia="宋体" w:cs="宋体"/>
          <w:color w:val="auto"/>
          <w:sz w:val="24"/>
          <w:szCs w:val="24"/>
          <w:highlight w:val="none"/>
        </w:rPr>
      </w:pPr>
    </w:p>
    <w:p>
      <w:pPr>
        <w:pStyle w:val="56"/>
        <w:snapToGrid w:val="0"/>
        <w:spacing w:line="400" w:lineRule="exact"/>
        <w:ind w:firstLine="200"/>
        <w:rPr>
          <w:rFonts w:hint="eastAsia" w:ascii="宋体" w:hAnsi="宋体" w:eastAsia="宋体" w:cs="宋体"/>
          <w:color w:val="auto"/>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color w:val="auto"/>
          <w:spacing w:val="-6"/>
          <w:sz w:val="24"/>
          <w:highlight w:val="none"/>
          <w:lang w:eastAsia="zh-CN"/>
        </w:rPr>
      </w:pPr>
      <w:r>
        <w:rPr>
          <w:rFonts w:hint="eastAsia" w:ascii="宋体" w:hAnsi="宋体" w:eastAsia="宋体" w:cs="宋体"/>
          <w:b/>
          <w:color w:val="auto"/>
          <w:sz w:val="24"/>
          <w:szCs w:val="24"/>
          <w:highlight w:val="none"/>
          <w:lang w:eastAsia="zh-CN"/>
        </w:rPr>
        <w:t>附件9</w:t>
      </w:r>
    </w:p>
    <w:p>
      <w:pPr>
        <w:spacing w:line="400" w:lineRule="exact"/>
        <w:ind w:firstLine="435"/>
        <w:jc w:val="center"/>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投标人基本情况表</w:t>
      </w:r>
    </w:p>
    <w:tbl>
      <w:tblPr>
        <w:tblStyle w:val="31"/>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w:t>
            </w:r>
          </w:p>
        </w:tc>
        <w:tc>
          <w:tcPr>
            <w:tcW w:w="4305" w:type="dxa"/>
            <w:gridSpan w:val="2"/>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电话：</w:t>
            </w:r>
          </w:p>
        </w:tc>
        <w:tc>
          <w:tcPr>
            <w:tcW w:w="4185"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w:t>
            </w:r>
          </w:p>
        </w:tc>
        <w:tc>
          <w:tcPr>
            <w:tcW w:w="4305" w:type="dxa"/>
            <w:gridSpan w:val="2"/>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传真：</w:t>
            </w:r>
          </w:p>
        </w:tc>
        <w:tc>
          <w:tcPr>
            <w:tcW w:w="4185"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w:t>
            </w:r>
          </w:p>
        </w:tc>
        <w:tc>
          <w:tcPr>
            <w:tcW w:w="4305" w:type="dxa"/>
            <w:gridSpan w:val="2"/>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注册地：</w:t>
            </w:r>
          </w:p>
        </w:tc>
        <w:tc>
          <w:tcPr>
            <w:tcW w:w="4185"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8</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w:t>
            </w:r>
          </w:p>
        </w:tc>
        <w:tc>
          <w:tcPr>
            <w:tcW w:w="2520"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作为承包人经历年数</w:t>
            </w:r>
          </w:p>
        </w:tc>
        <w:tc>
          <w:tcPr>
            <w:tcW w:w="5970" w:type="dxa"/>
            <w:gridSpan w:val="2"/>
            <w:vAlign w:val="center"/>
          </w:tcPr>
          <w:p>
            <w:pPr>
              <w:spacing w:line="400" w:lineRule="exact"/>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10</w:t>
            </w:r>
          </w:p>
        </w:tc>
        <w:tc>
          <w:tcPr>
            <w:tcW w:w="2520"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其他需要说明的情况</w:t>
            </w:r>
          </w:p>
        </w:tc>
        <w:tc>
          <w:tcPr>
            <w:tcW w:w="5970" w:type="dxa"/>
            <w:gridSpan w:val="2"/>
            <w:vAlign w:val="center"/>
          </w:tcPr>
          <w:p>
            <w:pPr>
              <w:spacing w:line="400" w:lineRule="exact"/>
              <w:rPr>
                <w:rFonts w:hint="eastAsia" w:ascii="宋体" w:hAnsi="宋体" w:eastAsia="宋体" w:cs="宋体"/>
                <w:color w:val="auto"/>
                <w:spacing w:val="-6"/>
                <w:sz w:val="24"/>
                <w:highlight w:val="none"/>
              </w:rPr>
            </w:pPr>
          </w:p>
        </w:tc>
      </w:tr>
    </w:tbl>
    <w:p>
      <w:pPr>
        <w:spacing w:line="400" w:lineRule="exact"/>
        <w:rPr>
          <w:rFonts w:hint="eastAsia" w:ascii="宋体" w:hAnsi="宋体" w:eastAsia="宋体" w:cs="宋体"/>
          <w:color w:val="auto"/>
          <w:spacing w:val="-6"/>
          <w:sz w:val="24"/>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说明：所有投标人都须填写此表。</w:t>
      </w:r>
    </w:p>
    <w:p>
      <w:pPr>
        <w:spacing w:line="400" w:lineRule="exact"/>
        <w:rPr>
          <w:rFonts w:hint="eastAsia" w:ascii="宋体" w:hAnsi="宋体" w:eastAsia="宋体" w:cs="宋体"/>
          <w:color w:val="auto"/>
          <w:spacing w:val="-6"/>
          <w:sz w:val="24"/>
          <w:highlight w:val="none"/>
        </w:rPr>
      </w:pPr>
    </w:p>
    <w:p>
      <w:pPr>
        <w:spacing w:line="400" w:lineRule="exact"/>
        <w:rPr>
          <w:rFonts w:hint="eastAsia" w:ascii="宋体" w:hAnsi="宋体" w:eastAsia="宋体" w:cs="宋体"/>
          <w:color w:val="auto"/>
          <w:spacing w:val="-6"/>
          <w:sz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附件10</w:t>
      </w:r>
    </w:p>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节能、环保产品证明材料（如有）</w:t>
      </w:r>
    </w:p>
    <w:p>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关于印发环境标志产品政府采购品目清单的通知（财库〔2019〕18号）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http://www.ccgp.gov.cn/zcfg/mof/201903/t20190330_11833800.htm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关于印发节能产品政府采购品目清单的通知（财库〔2019〕19号）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http://www.ccgp.gov.cn/zcfg/mof/201904/t20190403_11849836.htm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pPr>
        <w:spacing w:line="360" w:lineRule="exact"/>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▲注：采购需求中要求提供的产品属于节能产品政府采购品目清单中强制采购的，投标人须提供该清单内产品，并按上款要求提供节能产品认证证书，否则其投标无效。</w:t>
      </w:r>
    </w:p>
    <w:p>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2、评标委员会成员审查此项只根据投标文件本身的内容，不再寻求其他的外部证据。</w:t>
      </w:r>
    </w:p>
    <w:p>
      <w:pPr>
        <w:spacing w:line="400" w:lineRule="exact"/>
        <w:jc w:val="center"/>
        <w:rPr>
          <w:rFonts w:hint="eastAsia" w:ascii="宋体" w:hAnsi="宋体" w:eastAsia="宋体" w:cs="宋体"/>
          <w:b/>
          <w:color w:val="auto"/>
          <w:sz w:val="24"/>
          <w:szCs w:val="24"/>
          <w:highlight w:val="none"/>
        </w:rPr>
      </w:pP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（1）投标产品中节能产品明细清单</w:t>
      </w:r>
    </w:p>
    <w:tbl>
      <w:tblPr>
        <w:tblStyle w:val="3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r>
    </w:tbl>
    <w:p>
      <w:pPr>
        <w:rPr>
          <w:rFonts w:hint="eastAsia" w:ascii="宋体" w:hAnsi="宋体" w:eastAsia="宋体" w:cs="宋体"/>
          <w:color w:val="auto"/>
          <w:sz w:val="22"/>
          <w:highlight w:val="none"/>
        </w:rPr>
      </w:pP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（2）投标产品中环保产品明细清单</w:t>
      </w:r>
    </w:p>
    <w:tbl>
      <w:tblPr>
        <w:tblStyle w:val="31"/>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r>
    </w:tbl>
    <w:p>
      <w:pPr>
        <w:rPr>
          <w:rFonts w:hint="eastAsia" w:ascii="宋体" w:hAnsi="宋体" w:eastAsia="宋体" w:cs="宋体"/>
          <w:color w:val="auto"/>
          <w:sz w:val="22"/>
          <w:highlight w:val="none"/>
        </w:rPr>
      </w:pPr>
    </w:p>
    <w:p>
      <w:pPr>
        <w:rPr>
          <w:rFonts w:hint="eastAsia" w:ascii="宋体" w:hAnsi="宋体" w:eastAsia="宋体" w:cs="宋体"/>
          <w:b/>
          <w:color w:val="auto"/>
          <w:sz w:val="22"/>
          <w:highlight w:val="none"/>
        </w:rPr>
      </w:pPr>
      <w:r>
        <w:rPr>
          <w:rFonts w:hint="eastAsia" w:ascii="宋体" w:hAnsi="宋体" w:eastAsia="宋体" w:cs="宋体"/>
          <w:color w:val="auto"/>
          <w:sz w:val="22"/>
          <w:highlight w:val="none"/>
        </w:rPr>
        <w:t>备注：节能产品、环境标志产品认证证书附后</w:t>
      </w:r>
    </w:p>
    <w:p>
      <w:pPr>
        <w:pStyle w:val="42"/>
        <w:rPr>
          <w:rFonts w:hint="eastAsia" w:ascii="宋体" w:hAnsi="宋体" w:eastAsia="宋体" w:cs="宋体"/>
          <w:b/>
          <w:color w:val="auto"/>
          <w:szCs w:val="24"/>
          <w:highlight w:val="none"/>
        </w:rPr>
      </w:pP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附件11</w:t>
      </w:r>
    </w:p>
    <w:p>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投标人同类项目业绩一览表（如有）</w:t>
      </w:r>
    </w:p>
    <w:p>
      <w:pPr>
        <w:spacing w:line="400" w:lineRule="exact"/>
        <w:rPr>
          <w:rFonts w:hint="eastAsia" w:ascii="宋体" w:hAnsi="宋体" w:eastAsia="宋体" w:cs="宋体"/>
          <w:b/>
          <w:bCs/>
          <w:color w:val="auto"/>
          <w:sz w:val="24"/>
          <w:szCs w:val="24"/>
          <w:highlight w:val="none"/>
        </w:rPr>
      </w:pPr>
    </w:p>
    <w:p>
      <w:pPr>
        <w:pStyle w:val="15"/>
        <w:spacing w:after="0" w:line="400" w:lineRule="exact"/>
        <w:ind w:left="0" w:leftChars="0" w:right="147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lang w:eastAsia="zh-CN"/>
        </w:rPr>
        <w:t>标项名称</w:t>
      </w:r>
      <w:r>
        <w:rPr>
          <w:rFonts w:hint="eastAsia" w:ascii="宋体" w:hAnsi="宋体" w:eastAsia="宋体" w:cs="宋体"/>
          <w:b/>
          <w:color w:val="auto"/>
          <w:sz w:val="22"/>
          <w:szCs w:val="22"/>
          <w:highlight w:val="none"/>
        </w:rPr>
        <w:t xml:space="preserve">：                              项目编号：                  </w:t>
      </w:r>
    </w:p>
    <w:tbl>
      <w:tblPr>
        <w:tblStyle w:val="31"/>
        <w:tblW w:w="98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833"/>
        <w:gridCol w:w="1614"/>
        <w:gridCol w:w="1464"/>
        <w:gridCol w:w="1728"/>
        <w:gridCol w:w="23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833" w:type="dxa"/>
            <w:vAlign w:val="center"/>
          </w:tcPr>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采购单位名称</w:t>
            </w:r>
          </w:p>
        </w:tc>
        <w:tc>
          <w:tcPr>
            <w:tcW w:w="1614" w:type="dxa"/>
            <w:vAlign w:val="center"/>
          </w:tcPr>
          <w:p>
            <w:pPr>
              <w:spacing w:line="40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标项名称</w:t>
            </w:r>
          </w:p>
        </w:tc>
        <w:tc>
          <w:tcPr>
            <w:tcW w:w="1464" w:type="dxa"/>
            <w:vAlign w:val="center"/>
          </w:tcPr>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28" w:type="dxa"/>
            <w:vAlign w:val="center"/>
          </w:tcPr>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合同签订时间</w:t>
            </w:r>
          </w:p>
        </w:tc>
        <w:tc>
          <w:tcPr>
            <w:tcW w:w="2316" w:type="dxa"/>
            <w:vAlign w:val="center"/>
          </w:tcPr>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采购单位联系人及</w:t>
            </w:r>
          </w:p>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2"/>
                <w:szCs w:val="22"/>
                <w:highlight w:val="none"/>
              </w:rPr>
            </w:pPr>
          </w:p>
        </w:tc>
        <w:tc>
          <w:tcPr>
            <w:tcW w:w="1833" w:type="dxa"/>
            <w:vAlign w:val="center"/>
          </w:tcPr>
          <w:p>
            <w:pPr>
              <w:spacing w:line="400" w:lineRule="exact"/>
              <w:jc w:val="center"/>
              <w:rPr>
                <w:rFonts w:hint="eastAsia" w:ascii="宋体" w:hAnsi="宋体" w:eastAsia="宋体" w:cs="宋体"/>
                <w:b/>
                <w:bCs/>
                <w:color w:val="auto"/>
                <w:sz w:val="22"/>
                <w:szCs w:val="22"/>
                <w:highlight w:val="none"/>
              </w:rPr>
            </w:pPr>
          </w:p>
        </w:tc>
        <w:tc>
          <w:tcPr>
            <w:tcW w:w="1614" w:type="dxa"/>
            <w:vAlign w:val="center"/>
          </w:tcPr>
          <w:p>
            <w:pPr>
              <w:spacing w:line="400" w:lineRule="exact"/>
              <w:jc w:val="center"/>
              <w:rPr>
                <w:rFonts w:hint="eastAsia" w:ascii="宋体" w:hAnsi="宋体" w:eastAsia="宋体" w:cs="宋体"/>
                <w:b/>
                <w:bCs/>
                <w:color w:val="auto"/>
                <w:sz w:val="22"/>
                <w:szCs w:val="22"/>
                <w:highlight w:val="none"/>
              </w:rPr>
            </w:pPr>
          </w:p>
        </w:tc>
        <w:tc>
          <w:tcPr>
            <w:tcW w:w="1464" w:type="dxa"/>
            <w:vAlign w:val="center"/>
          </w:tcPr>
          <w:p>
            <w:pPr>
              <w:spacing w:line="400" w:lineRule="exact"/>
              <w:jc w:val="center"/>
              <w:rPr>
                <w:rFonts w:hint="eastAsia" w:ascii="宋体" w:hAnsi="宋体" w:eastAsia="宋体" w:cs="宋体"/>
                <w:b/>
                <w:bCs/>
                <w:color w:val="auto"/>
                <w:sz w:val="22"/>
                <w:szCs w:val="22"/>
                <w:highlight w:val="none"/>
              </w:rPr>
            </w:pPr>
          </w:p>
        </w:tc>
        <w:tc>
          <w:tcPr>
            <w:tcW w:w="1728" w:type="dxa"/>
          </w:tcPr>
          <w:p>
            <w:pPr>
              <w:spacing w:line="400" w:lineRule="exact"/>
              <w:jc w:val="center"/>
              <w:rPr>
                <w:rFonts w:hint="eastAsia" w:ascii="宋体" w:hAnsi="宋体" w:eastAsia="宋体" w:cs="宋体"/>
                <w:b/>
                <w:bCs/>
                <w:color w:val="auto"/>
                <w:sz w:val="22"/>
                <w:szCs w:val="22"/>
                <w:highlight w:val="none"/>
              </w:rPr>
            </w:pPr>
          </w:p>
        </w:tc>
        <w:tc>
          <w:tcPr>
            <w:tcW w:w="2316" w:type="dxa"/>
          </w:tcPr>
          <w:p>
            <w:pPr>
              <w:spacing w:line="400" w:lineRule="exact"/>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4"/>
                <w:szCs w:val="24"/>
                <w:highlight w:val="none"/>
              </w:rPr>
            </w:pPr>
          </w:p>
        </w:tc>
        <w:tc>
          <w:tcPr>
            <w:tcW w:w="1833" w:type="dxa"/>
            <w:vAlign w:val="center"/>
          </w:tcPr>
          <w:p>
            <w:pPr>
              <w:spacing w:line="400" w:lineRule="exact"/>
              <w:jc w:val="center"/>
              <w:rPr>
                <w:rFonts w:hint="eastAsia" w:ascii="宋体" w:hAnsi="宋体" w:eastAsia="宋体" w:cs="宋体"/>
                <w:b/>
                <w:bCs/>
                <w:color w:val="auto"/>
                <w:sz w:val="24"/>
                <w:szCs w:val="24"/>
                <w:highlight w:val="none"/>
              </w:rPr>
            </w:pPr>
          </w:p>
        </w:tc>
        <w:tc>
          <w:tcPr>
            <w:tcW w:w="1614" w:type="dxa"/>
            <w:vAlign w:val="center"/>
          </w:tcPr>
          <w:p>
            <w:pPr>
              <w:spacing w:line="400" w:lineRule="exact"/>
              <w:jc w:val="center"/>
              <w:rPr>
                <w:rFonts w:hint="eastAsia" w:ascii="宋体" w:hAnsi="宋体" w:eastAsia="宋体" w:cs="宋体"/>
                <w:b/>
                <w:bCs/>
                <w:color w:val="auto"/>
                <w:sz w:val="24"/>
                <w:szCs w:val="24"/>
                <w:highlight w:val="none"/>
              </w:rPr>
            </w:pPr>
          </w:p>
        </w:tc>
        <w:tc>
          <w:tcPr>
            <w:tcW w:w="1464" w:type="dxa"/>
            <w:vAlign w:val="center"/>
          </w:tcPr>
          <w:p>
            <w:pPr>
              <w:spacing w:line="400" w:lineRule="exact"/>
              <w:jc w:val="center"/>
              <w:rPr>
                <w:rFonts w:hint="eastAsia" w:ascii="宋体" w:hAnsi="宋体" w:eastAsia="宋体" w:cs="宋体"/>
                <w:b/>
                <w:bCs/>
                <w:color w:val="auto"/>
                <w:sz w:val="24"/>
                <w:szCs w:val="24"/>
                <w:highlight w:val="none"/>
              </w:rPr>
            </w:pPr>
          </w:p>
        </w:tc>
        <w:tc>
          <w:tcPr>
            <w:tcW w:w="1728" w:type="dxa"/>
          </w:tcPr>
          <w:p>
            <w:pPr>
              <w:spacing w:line="400" w:lineRule="exact"/>
              <w:jc w:val="center"/>
              <w:rPr>
                <w:rFonts w:hint="eastAsia" w:ascii="宋体" w:hAnsi="宋体" w:eastAsia="宋体" w:cs="宋体"/>
                <w:b/>
                <w:bCs/>
                <w:color w:val="auto"/>
                <w:sz w:val="24"/>
                <w:szCs w:val="24"/>
                <w:highlight w:val="none"/>
              </w:rPr>
            </w:pPr>
          </w:p>
        </w:tc>
        <w:tc>
          <w:tcPr>
            <w:tcW w:w="2316"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80" w:hRule="atLeast"/>
        </w:trPr>
        <w:tc>
          <w:tcPr>
            <w:tcW w:w="889" w:type="dxa"/>
            <w:vAlign w:val="center"/>
          </w:tcPr>
          <w:p>
            <w:pPr>
              <w:spacing w:line="400" w:lineRule="exact"/>
              <w:jc w:val="center"/>
              <w:rPr>
                <w:rFonts w:hint="eastAsia" w:ascii="宋体" w:hAnsi="宋体" w:eastAsia="宋体" w:cs="宋体"/>
                <w:b/>
                <w:bCs/>
                <w:color w:val="auto"/>
                <w:sz w:val="24"/>
                <w:szCs w:val="24"/>
                <w:highlight w:val="none"/>
              </w:rPr>
            </w:pPr>
          </w:p>
        </w:tc>
        <w:tc>
          <w:tcPr>
            <w:tcW w:w="1833" w:type="dxa"/>
            <w:vAlign w:val="center"/>
          </w:tcPr>
          <w:p>
            <w:pPr>
              <w:spacing w:line="400" w:lineRule="exact"/>
              <w:jc w:val="center"/>
              <w:rPr>
                <w:rFonts w:hint="eastAsia" w:ascii="宋体" w:hAnsi="宋体" w:eastAsia="宋体" w:cs="宋体"/>
                <w:b/>
                <w:bCs/>
                <w:color w:val="auto"/>
                <w:sz w:val="24"/>
                <w:szCs w:val="24"/>
                <w:highlight w:val="none"/>
              </w:rPr>
            </w:pPr>
          </w:p>
        </w:tc>
        <w:tc>
          <w:tcPr>
            <w:tcW w:w="1614" w:type="dxa"/>
            <w:vAlign w:val="center"/>
          </w:tcPr>
          <w:p>
            <w:pPr>
              <w:spacing w:line="400" w:lineRule="exact"/>
              <w:jc w:val="center"/>
              <w:rPr>
                <w:rFonts w:hint="eastAsia" w:ascii="宋体" w:hAnsi="宋体" w:eastAsia="宋体" w:cs="宋体"/>
                <w:b/>
                <w:bCs/>
                <w:color w:val="auto"/>
                <w:sz w:val="24"/>
                <w:szCs w:val="24"/>
                <w:highlight w:val="none"/>
              </w:rPr>
            </w:pPr>
          </w:p>
        </w:tc>
        <w:tc>
          <w:tcPr>
            <w:tcW w:w="1464" w:type="dxa"/>
            <w:vAlign w:val="center"/>
          </w:tcPr>
          <w:p>
            <w:pPr>
              <w:spacing w:line="400" w:lineRule="exact"/>
              <w:jc w:val="center"/>
              <w:rPr>
                <w:rFonts w:hint="eastAsia" w:ascii="宋体" w:hAnsi="宋体" w:eastAsia="宋体" w:cs="宋体"/>
                <w:b/>
                <w:bCs/>
                <w:color w:val="auto"/>
                <w:sz w:val="24"/>
                <w:szCs w:val="24"/>
                <w:highlight w:val="none"/>
              </w:rPr>
            </w:pPr>
          </w:p>
        </w:tc>
        <w:tc>
          <w:tcPr>
            <w:tcW w:w="1728" w:type="dxa"/>
          </w:tcPr>
          <w:p>
            <w:pPr>
              <w:spacing w:line="400" w:lineRule="exact"/>
              <w:jc w:val="center"/>
              <w:rPr>
                <w:rFonts w:hint="eastAsia" w:ascii="宋体" w:hAnsi="宋体" w:eastAsia="宋体" w:cs="宋体"/>
                <w:b/>
                <w:bCs/>
                <w:color w:val="auto"/>
                <w:sz w:val="24"/>
                <w:szCs w:val="24"/>
                <w:highlight w:val="none"/>
              </w:rPr>
            </w:pPr>
          </w:p>
        </w:tc>
        <w:tc>
          <w:tcPr>
            <w:tcW w:w="2316"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4"/>
                <w:szCs w:val="24"/>
                <w:highlight w:val="none"/>
              </w:rPr>
            </w:pPr>
          </w:p>
        </w:tc>
        <w:tc>
          <w:tcPr>
            <w:tcW w:w="1833" w:type="dxa"/>
            <w:vAlign w:val="center"/>
          </w:tcPr>
          <w:p>
            <w:pPr>
              <w:spacing w:line="400" w:lineRule="exact"/>
              <w:jc w:val="center"/>
              <w:rPr>
                <w:rFonts w:hint="eastAsia" w:ascii="宋体" w:hAnsi="宋体" w:eastAsia="宋体" w:cs="宋体"/>
                <w:b/>
                <w:bCs/>
                <w:color w:val="auto"/>
                <w:sz w:val="24"/>
                <w:szCs w:val="24"/>
                <w:highlight w:val="none"/>
              </w:rPr>
            </w:pPr>
          </w:p>
        </w:tc>
        <w:tc>
          <w:tcPr>
            <w:tcW w:w="1614" w:type="dxa"/>
            <w:vAlign w:val="center"/>
          </w:tcPr>
          <w:p>
            <w:pPr>
              <w:spacing w:line="400" w:lineRule="exact"/>
              <w:jc w:val="center"/>
              <w:rPr>
                <w:rFonts w:hint="eastAsia" w:ascii="宋体" w:hAnsi="宋体" w:eastAsia="宋体" w:cs="宋体"/>
                <w:b/>
                <w:bCs/>
                <w:color w:val="auto"/>
                <w:sz w:val="24"/>
                <w:szCs w:val="24"/>
                <w:highlight w:val="none"/>
              </w:rPr>
            </w:pPr>
          </w:p>
        </w:tc>
        <w:tc>
          <w:tcPr>
            <w:tcW w:w="1464" w:type="dxa"/>
            <w:vAlign w:val="center"/>
          </w:tcPr>
          <w:p>
            <w:pPr>
              <w:spacing w:line="400" w:lineRule="exact"/>
              <w:jc w:val="center"/>
              <w:rPr>
                <w:rFonts w:hint="eastAsia" w:ascii="宋体" w:hAnsi="宋体" w:eastAsia="宋体" w:cs="宋体"/>
                <w:b/>
                <w:bCs/>
                <w:color w:val="auto"/>
                <w:sz w:val="24"/>
                <w:szCs w:val="24"/>
                <w:highlight w:val="none"/>
              </w:rPr>
            </w:pPr>
          </w:p>
        </w:tc>
        <w:tc>
          <w:tcPr>
            <w:tcW w:w="1728" w:type="dxa"/>
          </w:tcPr>
          <w:p>
            <w:pPr>
              <w:spacing w:line="400" w:lineRule="exact"/>
              <w:jc w:val="center"/>
              <w:rPr>
                <w:rFonts w:hint="eastAsia" w:ascii="宋体" w:hAnsi="宋体" w:eastAsia="宋体" w:cs="宋体"/>
                <w:b/>
                <w:bCs/>
                <w:color w:val="auto"/>
                <w:sz w:val="24"/>
                <w:szCs w:val="24"/>
                <w:highlight w:val="none"/>
              </w:rPr>
            </w:pPr>
          </w:p>
        </w:tc>
        <w:tc>
          <w:tcPr>
            <w:tcW w:w="2316"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4"/>
                <w:szCs w:val="24"/>
                <w:highlight w:val="none"/>
              </w:rPr>
            </w:pPr>
          </w:p>
        </w:tc>
        <w:tc>
          <w:tcPr>
            <w:tcW w:w="1833" w:type="dxa"/>
            <w:vAlign w:val="center"/>
          </w:tcPr>
          <w:p>
            <w:pPr>
              <w:spacing w:line="400" w:lineRule="exact"/>
              <w:jc w:val="center"/>
              <w:rPr>
                <w:rFonts w:hint="eastAsia" w:ascii="宋体" w:hAnsi="宋体" w:eastAsia="宋体" w:cs="宋体"/>
                <w:b/>
                <w:bCs/>
                <w:color w:val="auto"/>
                <w:sz w:val="24"/>
                <w:szCs w:val="24"/>
                <w:highlight w:val="none"/>
              </w:rPr>
            </w:pPr>
          </w:p>
        </w:tc>
        <w:tc>
          <w:tcPr>
            <w:tcW w:w="1614" w:type="dxa"/>
            <w:vAlign w:val="center"/>
          </w:tcPr>
          <w:p>
            <w:pPr>
              <w:spacing w:line="400" w:lineRule="exact"/>
              <w:jc w:val="center"/>
              <w:rPr>
                <w:rFonts w:hint="eastAsia" w:ascii="宋体" w:hAnsi="宋体" w:eastAsia="宋体" w:cs="宋体"/>
                <w:b/>
                <w:bCs/>
                <w:color w:val="auto"/>
                <w:sz w:val="24"/>
                <w:szCs w:val="24"/>
                <w:highlight w:val="none"/>
              </w:rPr>
            </w:pPr>
          </w:p>
        </w:tc>
        <w:tc>
          <w:tcPr>
            <w:tcW w:w="1464" w:type="dxa"/>
            <w:vAlign w:val="center"/>
          </w:tcPr>
          <w:p>
            <w:pPr>
              <w:spacing w:line="400" w:lineRule="exact"/>
              <w:jc w:val="center"/>
              <w:rPr>
                <w:rFonts w:hint="eastAsia" w:ascii="宋体" w:hAnsi="宋体" w:eastAsia="宋体" w:cs="宋体"/>
                <w:b/>
                <w:bCs/>
                <w:color w:val="auto"/>
                <w:sz w:val="24"/>
                <w:szCs w:val="24"/>
                <w:highlight w:val="none"/>
              </w:rPr>
            </w:pPr>
          </w:p>
        </w:tc>
        <w:tc>
          <w:tcPr>
            <w:tcW w:w="1728" w:type="dxa"/>
          </w:tcPr>
          <w:p>
            <w:pPr>
              <w:spacing w:line="400" w:lineRule="exact"/>
              <w:jc w:val="center"/>
              <w:rPr>
                <w:rFonts w:hint="eastAsia" w:ascii="宋体" w:hAnsi="宋体" w:eastAsia="宋体" w:cs="宋体"/>
                <w:b/>
                <w:bCs/>
                <w:color w:val="auto"/>
                <w:sz w:val="24"/>
                <w:szCs w:val="24"/>
                <w:highlight w:val="none"/>
              </w:rPr>
            </w:pPr>
          </w:p>
        </w:tc>
        <w:tc>
          <w:tcPr>
            <w:tcW w:w="2316"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4"/>
                <w:szCs w:val="24"/>
                <w:highlight w:val="none"/>
              </w:rPr>
            </w:pPr>
          </w:p>
        </w:tc>
        <w:tc>
          <w:tcPr>
            <w:tcW w:w="1833" w:type="dxa"/>
            <w:vAlign w:val="center"/>
          </w:tcPr>
          <w:p>
            <w:pPr>
              <w:spacing w:line="400" w:lineRule="exact"/>
              <w:jc w:val="center"/>
              <w:rPr>
                <w:rFonts w:hint="eastAsia" w:ascii="宋体" w:hAnsi="宋体" w:eastAsia="宋体" w:cs="宋体"/>
                <w:b/>
                <w:bCs/>
                <w:color w:val="auto"/>
                <w:sz w:val="24"/>
                <w:szCs w:val="24"/>
                <w:highlight w:val="none"/>
              </w:rPr>
            </w:pPr>
          </w:p>
        </w:tc>
        <w:tc>
          <w:tcPr>
            <w:tcW w:w="1614" w:type="dxa"/>
            <w:vAlign w:val="center"/>
          </w:tcPr>
          <w:p>
            <w:pPr>
              <w:spacing w:line="400" w:lineRule="exact"/>
              <w:jc w:val="center"/>
              <w:rPr>
                <w:rFonts w:hint="eastAsia" w:ascii="宋体" w:hAnsi="宋体" w:eastAsia="宋体" w:cs="宋体"/>
                <w:b/>
                <w:bCs/>
                <w:color w:val="auto"/>
                <w:sz w:val="24"/>
                <w:szCs w:val="24"/>
                <w:highlight w:val="none"/>
              </w:rPr>
            </w:pPr>
          </w:p>
        </w:tc>
        <w:tc>
          <w:tcPr>
            <w:tcW w:w="1464" w:type="dxa"/>
            <w:vAlign w:val="center"/>
          </w:tcPr>
          <w:p>
            <w:pPr>
              <w:spacing w:line="400" w:lineRule="exact"/>
              <w:jc w:val="center"/>
              <w:rPr>
                <w:rFonts w:hint="eastAsia" w:ascii="宋体" w:hAnsi="宋体" w:eastAsia="宋体" w:cs="宋体"/>
                <w:b/>
                <w:bCs/>
                <w:color w:val="auto"/>
                <w:sz w:val="24"/>
                <w:szCs w:val="24"/>
                <w:highlight w:val="none"/>
              </w:rPr>
            </w:pPr>
          </w:p>
        </w:tc>
        <w:tc>
          <w:tcPr>
            <w:tcW w:w="1728" w:type="dxa"/>
          </w:tcPr>
          <w:p>
            <w:pPr>
              <w:spacing w:line="400" w:lineRule="exact"/>
              <w:jc w:val="center"/>
              <w:rPr>
                <w:rFonts w:hint="eastAsia" w:ascii="宋体" w:hAnsi="宋体" w:eastAsia="宋体" w:cs="宋体"/>
                <w:b/>
                <w:bCs/>
                <w:color w:val="auto"/>
                <w:sz w:val="24"/>
                <w:szCs w:val="24"/>
                <w:highlight w:val="none"/>
              </w:rPr>
            </w:pPr>
          </w:p>
        </w:tc>
        <w:tc>
          <w:tcPr>
            <w:tcW w:w="2316"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4"/>
                <w:szCs w:val="24"/>
                <w:highlight w:val="none"/>
              </w:rPr>
            </w:pPr>
          </w:p>
        </w:tc>
        <w:tc>
          <w:tcPr>
            <w:tcW w:w="1833" w:type="dxa"/>
            <w:vAlign w:val="center"/>
          </w:tcPr>
          <w:p>
            <w:pPr>
              <w:spacing w:line="400" w:lineRule="exact"/>
              <w:jc w:val="center"/>
              <w:rPr>
                <w:rFonts w:hint="eastAsia" w:ascii="宋体" w:hAnsi="宋体" w:eastAsia="宋体" w:cs="宋体"/>
                <w:b/>
                <w:bCs/>
                <w:color w:val="auto"/>
                <w:sz w:val="24"/>
                <w:szCs w:val="24"/>
                <w:highlight w:val="none"/>
              </w:rPr>
            </w:pPr>
          </w:p>
        </w:tc>
        <w:tc>
          <w:tcPr>
            <w:tcW w:w="1614" w:type="dxa"/>
            <w:vAlign w:val="center"/>
          </w:tcPr>
          <w:p>
            <w:pPr>
              <w:spacing w:line="400" w:lineRule="exact"/>
              <w:jc w:val="center"/>
              <w:rPr>
                <w:rFonts w:hint="eastAsia" w:ascii="宋体" w:hAnsi="宋体" w:eastAsia="宋体" w:cs="宋体"/>
                <w:b/>
                <w:bCs/>
                <w:color w:val="auto"/>
                <w:sz w:val="24"/>
                <w:szCs w:val="24"/>
                <w:highlight w:val="none"/>
              </w:rPr>
            </w:pPr>
          </w:p>
        </w:tc>
        <w:tc>
          <w:tcPr>
            <w:tcW w:w="1464" w:type="dxa"/>
            <w:vAlign w:val="center"/>
          </w:tcPr>
          <w:p>
            <w:pPr>
              <w:spacing w:line="400" w:lineRule="exact"/>
              <w:jc w:val="center"/>
              <w:rPr>
                <w:rFonts w:hint="eastAsia" w:ascii="宋体" w:hAnsi="宋体" w:eastAsia="宋体" w:cs="宋体"/>
                <w:b/>
                <w:bCs/>
                <w:color w:val="auto"/>
                <w:sz w:val="24"/>
                <w:szCs w:val="24"/>
                <w:highlight w:val="none"/>
              </w:rPr>
            </w:pPr>
          </w:p>
        </w:tc>
        <w:tc>
          <w:tcPr>
            <w:tcW w:w="1728" w:type="dxa"/>
          </w:tcPr>
          <w:p>
            <w:pPr>
              <w:spacing w:line="400" w:lineRule="exact"/>
              <w:jc w:val="center"/>
              <w:rPr>
                <w:rFonts w:hint="eastAsia" w:ascii="宋体" w:hAnsi="宋体" w:eastAsia="宋体" w:cs="宋体"/>
                <w:b/>
                <w:bCs/>
                <w:color w:val="auto"/>
                <w:sz w:val="24"/>
                <w:szCs w:val="24"/>
                <w:highlight w:val="none"/>
              </w:rPr>
            </w:pPr>
          </w:p>
        </w:tc>
        <w:tc>
          <w:tcPr>
            <w:tcW w:w="2316"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4"/>
                <w:szCs w:val="24"/>
                <w:highlight w:val="none"/>
              </w:rPr>
            </w:pPr>
          </w:p>
        </w:tc>
        <w:tc>
          <w:tcPr>
            <w:tcW w:w="1833" w:type="dxa"/>
            <w:vAlign w:val="center"/>
          </w:tcPr>
          <w:p>
            <w:pPr>
              <w:spacing w:line="400" w:lineRule="exact"/>
              <w:jc w:val="center"/>
              <w:rPr>
                <w:rFonts w:hint="eastAsia" w:ascii="宋体" w:hAnsi="宋体" w:eastAsia="宋体" w:cs="宋体"/>
                <w:b/>
                <w:bCs/>
                <w:color w:val="auto"/>
                <w:sz w:val="24"/>
                <w:szCs w:val="24"/>
                <w:highlight w:val="none"/>
              </w:rPr>
            </w:pPr>
          </w:p>
        </w:tc>
        <w:tc>
          <w:tcPr>
            <w:tcW w:w="1614" w:type="dxa"/>
            <w:vAlign w:val="center"/>
          </w:tcPr>
          <w:p>
            <w:pPr>
              <w:spacing w:line="400" w:lineRule="exact"/>
              <w:jc w:val="center"/>
              <w:rPr>
                <w:rFonts w:hint="eastAsia" w:ascii="宋体" w:hAnsi="宋体" w:eastAsia="宋体" w:cs="宋体"/>
                <w:b/>
                <w:bCs/>
                <w:color w:val="auto"/>
                <w:sz w:val="24"/>
                <w:szCs w:val="24"/>
                <w:highlight w:val="none"/>
              </w:rPr>
            </w:pPr>
          </w:p>
        </w:tc>
        <w:tc>
          <w:tcPr>
            <w:tcW w:w="1464" w:type="dxa"/>
            <w:vAlign w:val="center"/>
          </w:tcPr>
          <w:p>
            <w:pPr>
              <w:spacing w:line="400" w:lineRule="exact"/>
              <w:jc w:val="center"/>
              <w:rPr>
                <w:rFonts w:hint="eastAsia" w:ascii="宋体" w:hAnsi="宋体" w:eastAsia="宋体" w:cs="宋体"/>
                <w:b/>
                <w:bCs/>
                <w:color w:val="auto"/>
                <w:sz w:val="24"/>
                <w:szCs w:val="24"/>
                <w:highlight w:val="none"/>
              </w:rPr>
            </w:pPr>
          </w:p>
        </w:tc>
        <w:tc>
          <w:tcPr>
            <w:tcW w:w="1728" w:type="dxa"/>
          </w:tcPr>
          <w:p>
            <w:pPr>
              <w:spacing w:line="400" w:lineRule="exact"/>
              <w:jc w:val="center"/>
              <w:rPr>
                <w:rFonts w:hint="eastAsia" w:ascii="宋体" w:hAnsi="宋体" w:eastAsia="宋体" w:cs="宋体"/>
                <w:b/>
                <w:bCs/>
                <w:color w:val="auto"/>
                <w:sz w:val="24"/>
                <w:szCs w:val="24"/>
                <w:highlight w:val="none"/>
              </w:rPr>
            </w:pPr>
          </w:p>
        </w:tc>
        <w:tc>
          <w:tcPr>
            <w:tcW w:w="2316"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4"/>
                <w:szCs w:val="24"/>
                <w:highlight w:val="none"/>
              </w:rPr>
            </w:pPr>
          </w:p>
        </w:tc>
        <w:tc>
          <w:tcPr>
            <w:tcW w:w="1833" w:type="dxa"/>
            <w:vAlign w:val="center"/>
          </w:tcPr>
          <w:p>
            <w:pPr>
              <w:spacing w:line="400" w:lineRule="exact"/>
              <w:jc w:val="center"/>
              <w:rPr>
                <w:rFonts w:hint="eastAsia" w:ascii="宋体" w:hAnsi="宋体" w:eastAsia="宋体" w:cs="宋体"/>
                <w:b/>
                <w:bCs/>
                <w:color w:val="auto"/>
                <w:sz w:val="24"/>
                <w:szCs w:val="24"/>
                <w:highlight w:val="none"/>
              </w:rPr>
            </w:pPr>
          </w:p>
        </w:tc>
        <w:tc>
          <w:tcPr>
            <w:tcW w:w="1614" w:type="dxa"/>
            <w:vAlign w:val="center"/>
          </w:tcPr>
          <w:p>
            <w:pPr>
              <w:spacing w:line="400" w:lineRule="exact"/>
              <w:jc w:val="center"/>
              <w:rPr>
                <w:rFonts w:hint="eastAsia" w:ascii="宋体" w:hAnsi="宋体" w:eastAsia="宋体" w:cs="宋体"/>
                <w:b/>
                <w:bCs/>
                <w:color w:val="auto"/>
                <w:sz w:val="24"/>
                <w:szCs w:val="24"/>
                <w:highlight w:val="none"/>
              </w:rPr>
            </w:pPr>
          </w:p>
        </w:tc>
        <w:tc>
          <w:tcPr>
            <w:tcW w:w="1464" w:type="dxa"/>
            <w:vAlign w:val="center"/>
          </w:tcPr>
          <w:p>
            <w:pPr>
              <w:spacing w:line="400" w:lineRule="exact"/>
              <w:jc w:val="center"/>
              <w:rPr>
                <w:rFonts w:hint="eastAsia" w:ascii="宋体" w:hAnsi="宋体" w:eastAsia="宋体" w:cs="宋体"/>
                <w:b/>
                <w:bCs/>
                <w:color w:val="auto"/>
                <w:sz w:val="24"/>
                <w:szCs w:val="24"/>
                <w:highlight w:val="none"/>
              </w:rPr>
            </w:pPr>
          </w:p>
        </w:tc>
        <w:tc>
          <w:tcPr>
            <w:tcW w:w="1728" w:type="dxa"/>
          </w:tcPr>
          <w:p>
            <w:pPr>
              <w:spacing w:line="400" w:lineRule="exact"/>
              <w:jc w:val="center"/>
              <w:rPr>
                <w:rFonts w:hint="eastAsia" w:ascii="宋体" w:hAnsi="宋体" w:eastAsia="宋体" w:cs="宋体"/>
                <w:b/>
                <w:bCs/>
                <w:color w:val="auto"/>
                <w:sz w:val="24"/>
                <w:szCs w:val="24"/>
                <w:highlight w:val="none"/>
              </w:rPr>
            </w:pPr>
          </w:p>
        </w:tc>
        <w:tc>
          <w:tcPr>
            <w:tcW w:w="2316"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4"/>
                <w:szCs w:val="24"/>
                <w:highlight w:val="none"/>
              </w:rPr>
            </w:pPr>
          </w:p>
        </w:tc>
        <w:tc>
          <w:tcPr>
            <w:tcW w:w="1833" w:type="dxa"/>
            <w:vAlign w:val="center"/>
          </w:tcPr>
          <w:p>
            <w:pPr>
              <w:spacing w:line="400" w:lineRule="exact"/>
              <w:jc w:val="center"/>
              <w:rPr>
                <w:rFonts w:hint="eastAsia" w:ascii="宋体" w:hAnsi="宋体" w:eastAsia="宋体" w:cs="宋体"/>
                <w:b/>
                <w:bCs/>
                <w:color w:val="auto"/>
                <w:sz w:val="24"/>
                <w:szCs w:val="24"/>
                <w:highlight w:val="none"/>
              </w:rPr>
            </w:pPr>
          </w:p>
        </w:tc>
        <w:tc>
          <w:tcPr>
            <w:tcW w:w="1614" w:type="dxa"/>
            <w:vAlign w:val="center"/>
          </w:tcPr>
          <w:p>
            <w:pPr>
              <w:spacing w:line="400" w:lineRule="exact"/>
              <w:jc w:val="center"/>
              <w:rPr>
                <w:rFonts w:hint="eastAsia" w:ascii="宋体" w:hAnsi="宋体" w:eastAsia="宋体" w:cs="宋体"/>
                <w:b/>
                <w:bCs/>
                <w:color w:val="auto"/>
                <w:sz w:val="24"/>
                <w:szCs w:val="24"/>
                <w:highlight w:val="none"/>
              </w:rPr>
            </w:pPr>
          </w:p>
        </w:tc>
        <w:tc>
          <w:tcPr>
            <w:tcW w:w="1464" w:type="dxa"/>
            <w:vAlign w:val="center"/>
          </w:tcPr>
          <w:p>
            <w:pPr>
              <w:spacing w:line="400" w:lineRule="exact"/>
              <w:jc w:val="center"/>
              <w:rPr>
                <w:rFonts w:hint="eastAsia" w:ascii="宋体" w:hAnsi="宋体" w:eastAsia="宋体" w:cs="宋体"/>
                <w:b/>
                <w:bCs/>
                <w:color w:val="auto"/>
                <w:sz w:val="24"/>
                <w:szCs w:val="24"/>
                <w:highlight w:val="none"/>
              </w:rPr>
            </w:pPr>
          </w:p>
        </w:tc>
        <w:tc>
          <w:tcPr>
            <w:tcW w:w="1728" w:type="dxa"/>
          </w:tcPr>
          <w:p>
            <w:pPr>
              <w:spacing w:line="400" w:lineRule="exact"/>
              <w:jc w:val="center"/>
              <w:rPr>
                <w:rFonts w:hint="eastAsia" w:ascii="宋体" w:hAnsi="宋体" w:eastAsia="宋体" w:cs="宋体"/>
                <w:b/>
                <w:bCs/>
                <w:color w:val="auto"/>
                <w:sz w:val="24"/>
                <w:szCs w:val="24"/>
                <w:highlight w:val="none"/>
              </w:rPr>
            </w:pPr>
          </w:p>
        </w:tc>
        <w:tc>
          <w:tcPr>
            <w:tcW w:w="2316"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hint="eastAsia" w:ascii="宋体" w:hAnsi="宋体" w:eastAsia="宋体" w:cs="宋体"/>
                <w:b/>
                <w:bCs/>
                <w:color w:val="auto"/>
                <w:sz w:val="24"/>
                <w:szCs w:val="24"/>
                <w:highlight w:val="none"/>
              </w:rPr>
            </w:pPr>
          </w:p>
        </w:tc>
        <w:tc>
          <w:tcPr>
            <w:tcW w:w="1833" w:type="dxa"/>
            <w:vAlign w:val="center"/>
          </w:tcPr>
          <w:p>
            <w:pPr>
              <w:spacing w:line="400" w:lineRule="exact"/>
              <w:jc w:val="center"/>
              <w:rPr>
                <w:rFonts w:hint="eastAsia" w:ascii="宋体" w:hAnsi="宋体" w:eastAsia="宋体" w:cs="宋体"/>
                <w:b/>
                <w:bCs/>
                <w:color w:val="auto"/>
                <w:sz w:val="24"/>
                <w:szCs w:val="24"/>
                <w:highlight w:val="none"/>
              </w:rPr>
            </w:pPr>
          </w:p>
        </w:tc>
        <w:tc>
          <w:tcPr>
            <w:tcW w:w="1614" w:type="dxa"/>
            <w:vAlign w:val="center"/>
          </w:tcPr>
          <w:p>
            <w:pPr>
              <w:spacing w:line="400" w:lineRule="exact"/>
              <w:jc w:val="center"/>
              <w:rPr>
                <w:rFonts w:hint="eastAsia" w:ascii="宋体" w:hAnsi="宋体" w:eastAsia="宋体" w:cs="宋体"/>
                <w:b/>
                <w:bCs/>
                <w:color w:val="auto"/>
                <w:sz w:val="24"/>
                <w:szCs w:val="24"/>
                <w:highlight w:val="none"/>
              </w:rPr>
            </w:pPr>
          </w:p>
        </w:tc>
        <w:tc>
          <w:tcPr>
            <w:tcW w:w="1464" w:type="dxa"/>
            <w:vAlign w:val="center"/>
          </w:tcPr>
          <w:p>
            <w:pPr>
              <w:spacing w:line="400" w:lineRule="exact"/>
              <w:jc w:val="center"/>
              <w:rPr>
                <w:rFonts w:hint="eastAsia" w:ascii="宋体" w:hAnsi="宋体" w:eastAsia="宋体" w:cs="宋体"/>
                <w:b/>
                <w:bCs/>
                <w:color w:val="auto"/>
                <w:sz w:val="24"/>
                <w:szCs w:val="24"/>
                <w:highlight w:val="none"/>
              </w:rPr>
            </w:pPr>
          </w:p>
        </w:tc>
        <w:tc>
          <w:tcPr>
            <w:tcW w:w="1728" w:type="dxa"/>
          </w:tcPr>
          <w:p>
            <w:pPr>
              <w:spacing w:line="400" w:lineRule="exact"/>
              <w:jc w:val="center"/>
              <w:rPr>
                <w:rFonts w:hint="eastAsia" w:ascii="宋体" w:hAnsi="宋体" w:eastAsia="宋体" w:cs="宋体"/>
                <w:b/>
                <w:bCs/>
                <w:color w:val="auto"/>
                <w:sz w:val="24"/>
                <w:szCs w:val="24"/>
                <w:highlight w:val="none"/>
              </w:rPr>
            </w:pPr>
          </w:p>
        </w:tc>
        <w:tc>
          <w:tcPr>
            <w:tcW w:w="2316" w:type="dxa"/>
          </w:tcPr>
          <w:p>
            <w:pPr>
              <w:spacing w:line="400" w:lineRule="exact"/>
              <w:jc w:val="center"/>
              <w:rPr>
                <w:rFonts w:hint="eastAsia" w:ascii="宋体" w:hAnsi="宋体" w:eastAsia="宋体" w:cs="宋体"/>
                <w:b/>
                <w:bCs/>
                <w:color w:val="auto"/>
                <w:sz w:val="24"/>
                <w:szCs w:val="24"/>
                <w:highlight w:val="none"/>
              </w:rPr>
            </w:pPr>
          </w:p>
        </w:tc>
      </w:tr>
    </w:tbl>
    <w:p>
      <w:pPr>
        <w:spacing w:line="400" w:lineRule="exact"/>
        <w:ind w:left="647" w:hanging="646" w:hangingChars="294"/>
        <w:rPr>
          <w:rFonts w:hint="eastAsia" w:ascii="宋体" w:hAnsi="宋体" w:eastAsia="宋体" w:cs="宋体"/>
          <w:color w:val="auto"/>
          <w:sz w:val="22"/>
          <w:highlight w:val="none"/>
        </w:rPr>
      </w:pPr>
      <w:r>
        <w:rPr>
          <w:rFonts w:hint="eastAsia" w:ascii="宋体" w:hAnsi="宋体" w:eastAsia="宋体" w:cs="宋体"/>
          <w:color w:val="auto"/>
          <w:sz w:val="22"/>
          <w:highlight w:val="none"/>
        </w:rPr>
        <w:t>备注：证明材料附后</w:t>
      </w:r>
    </w:p>
    <w:p>
      <w:pPr>
        <w:widowControl/>
        <w:spacing w:line="400" w:lineRule="exact"/>
        <w:rPr>
          <w:rFonts w:hint="eastAsia" w:ascii="宋体" w:hAnsi="宋体" w:eastAsia="宋体" w:cs="宋体"/>
          <w:color w:val="auto"/>
          <w:kern w:val="0"/>
          <w:sz w:val="22"/>
          <w:highlight w:val="none"/>
        </w:rPr>
      </w:pPr>
    </w:p>
    <w:p>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w:t>
      </w:r>
    </w:p>
    <w:p>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pPr>
        <w:spacing w:line="400" w:lineRule="exact"/>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color w:val="auto"/>
          <w:szCs w:val="24"/>
          <w:highlight w:val="none"/>
          <w:lang w:eastAsia="zh-CN"/>
        </w:rPr>
      </w:pPr>
      <w:r>
        <w:rPr>
          <w:rFonts w:hint="eastAsia" w:ascii="宋体" w:hAnsi="宋体" w:eastAsia="宋体" w:cs="宋体"/>
          <w:b/>
          <w:color w:val="auto"/>
          <w:sz w:val="24"/>
          <w:szCs w:val="24"/>
          <w:highlight w:val="none"/>
          <w:lang w:eastAsia="zh-CN"/>
        </w:rPr>
        <w:t>附件12</w:t>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采购需求偏离表</w:t>
      </w:r>
    </w:p>
    <w:p>
      <w:pPr>
        <w:pStyle w:val="15"/>
        <w:spacing w:after="0" w:line="400" w:lineRule="exact"/>
        <w:ind w:left="0" w:leftChars="0" w:right="147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eastAsia="zh-CN"/>
        </w:rPr>
        <w:t>标项名称</w:t>
      </w:r>
      <w:r>
        <w:rPr>
          <w:rFonts w:hint="eastAsia" w:ascii="宋体" w:hAnsi="宋体" w:eastAsia="宋体" w:cs="宋体"/>
          <w:b/>
          <w:color w:val="auto"/>
          <w:sz w:val="22"/>
          <w:szCs w:val="22"/>
          <w:highlight w:val="none"/>
        </w:rPr>
        <w:t>：                                                项目编号：</w:t>
      </w:r>
    </w:p>
    <w:tbl>
      <w:tblPr>
        <w:tblStyle w:val="31"/>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序号</w:t>
            </w:r>
          </w:p>
        </w:tc>
        <w:tc>
          <w:tcPr>
            <w:tcW w:w="1656" w:type="dxa"/>
            <w:vAlign w:val="center"/>
          </w:tcPr>
          <w:p>
            <w:pPr>
              <w:snapToGrid w:val="0"/>
              <w:spacing w:line="400" w:lineRule="exact"/>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招标文件要求</w:t>
            </w:r>
          </w:p>
        </w:tc>
        <w:tc>
          <w:tcPr>
            <w:tcW w:w="3219" w:type="dxa"/>
            <w:vAlign w:val="center"/>
          </w:tcPr>
          <w:p>
            <w:pPr>
              <w:snapToGrid w:val="0"/>
              <w:spacing w:line="400" w:lineRule="exact"/>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投标文件对应规范</w:t>
            </w:r>
          </w:p>
        </w:tc>
        <w:tc>
          <w:tcPr>
            <w:tcW w:w="1822" w:type="dxa"/>
            <w:vAlign w:val="center"/>
          </w:tcPr>
          <w:p>
            <w:pPr>
              <w:snapToGrid w:val="0"/>
              <w:spacing w:line="400" w:lineRule="exact"/>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是否偏离</w:t>
            </w:r>
          </w:p>
          <w:p>
            <w:pPr>
              <w:snapToGrid w:val="0"/>
              <w:spacing w:line="400" w:lineRule="exact"/>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（提供说明）</w:t>
            </w:r>
          </w:p>
        </w:tc>
        <w:tc>
          <w:tcPr>
            <w:tcW w:w="2092" w:type="dxa"/>
            <w:vAlign w:val="center"/>
          </w:tcPr>
          <w:p>
            <w:pPr>
              <w:snapToGrid w:val="0"/>
              <w:spacing w:line="400" w:lineRule="exact"/>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pPr>
              <w:snapToGrid w:val="0"/>
              <w:spacing w:line="40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209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209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209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209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pPr>
              <w:snapToGrid w:val="0"/>
              <w:spacing w:line="400" w:lineRule="exac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val="en-US" w:eastAsia="zh-CN"/>
              </w:rPr>
              <w:t>技术</w:t>
            </w:r>
            <w:r>
              <w:rPr>
                <w:rFonts w:hint="eastAsia" w:ascii="宋体" w:hAnsi="宋体" w:eastAsia="宋体" w:cs="宋体"/>
                <w:color w:val="auto"/>
                <w:spacing w:val="-6"/>
                <w:sz w:val="22"/>
                <w:szCs w:val="2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hint="eastAsia" w:ascii="宋体" w:hAnsi="宋体" w:eastAsia="宋体" w:cs="宋体"/>
                <w:color w:val="auto"/>
                <w:spacing w:val="-6"/>
                <w:sz w:val="22"/>
                <w:szCs w:val="22"/>
                <w:highlight w:val="none"/>
              </w:rPr>
            </w:pPr>
          </w:p>
        </w:tc>
        <w:tc>
          <w:tcPr>
            <w:tcW w:w="1656" w:type="dxa"/>
            <w:vAlign w:val="center"/>
          </w:tcPr>
          <w:p>
            <w:pPr>
              <w:snapToGrid w:val="0"/>
              <w:spacing w:line="400" w:lineRule="exact"/>
              <w:rPr>
                <w:rFonts w:hint="eastAsia" w:ascii="宋体" w:hAnsi="宋体" w:eastAsia="宋体" w:cs="宋体"/>
                <w:color w:val="auto"/>
                <w:spacing w:val="-6"/>
                <w:sz w:val="22"/>
                <w:szCs w:val="22"/>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209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209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209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209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c>
          <w:tcPr>
            <w:tcW w:w="2092" w:type="dxa"/>
            <w:vAlign w:val="center"/>
          </w:tcPr>
          <w:p>
            <w:pPr>
              <w:snapToGrid w:val="0"/>
              <w:spacing w:line="400" w:lineRule="exact"/>
              <w:jc w:val="center"/>
              <w:rPr>
                <w:rFonts w:hint="eastAsia" w:ascii="宋体" w:hAnsi="宋体" w:eastAsia="宋体" w:cs="宋体"/>
                <w:color w:val="auto"/>
                <w:spacing w:val="-6"/>
                <w:sz w:val="22"/>
                <w:szCs w:val="22"/>
                <w:highlight w:val="none"/>
              </w:rPr>
            </w:pPr>
          </w:p>
        </w:tc>
      </w:tr>
    </w:tbl>
    <w:p>
      <w:pPr>
        <w:adjustRightInd w:val="0"/>
        <w:snapToGrid w:val="0"/>
        <w:spacing w:line="400" w:lineRule="exact"/>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注意：1.逐项按照招标文件要求填写响应规格；</w:t>
      </w:r>
    </w:p>
    <w:p>
      <w:pPr>
        <w:adjustRightInd w:val="0"/>
        <w:snapToGrid w:val="0"/>
        <w:spacing w:line="400" w:lineRule="exact"/>
        <w:ind w:firstLine="627" w:firstLineChars="3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27" w:firstLineChars="3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3.此表留空或不填写，则视为完全响应招标文件的要求，自行承担投标</w:t>
      </w:r>
      <w:r>
        <w:rPr>
          <w:rFonts w:hint="eastAsia" w:ascii="宋体" w:hAnsi="宋体" w:eastAsia="宋体" w:cs="宋体"/>
          <w:b/>
          <w:bCs/>
          <w:color w:val="auto"/>
          <w:spacing w:val="-6"/>
          <w:sz w:val="22"/>
          <w:szCs w:val="22"/>
          <w:highlight w:val="none"/>
          <w:lang w:eastAsia="zh-CN"/>
        </w:rPr>
        <w:t>响应</w:t>
      </w:r>
      <w:r>
        <w:rPr>
          <w:rFonts w:hint="eastAsia" w:ascii="宋体" w:hAnsi="宋体" w:eastAsia="宋体" w:cs="宋体"/>
          <w:b/>
          <w:bCs/>
          <w:color w:val="auto"/>
          <w:spacing w:val="-6"/>
          <w:sz w:val="22"/>
          <w:szCs w:val="22"/>
          <w:highlight w:val="none"/>
        </w:rPr>
        <w:t>风险</w:t>
      </w:r>
      <w:r>
        <w:rPr>
          <w:rFonts w:hint="eastAsia" w:ascii="宋体" w:hAnsi="宋体" w:eastAsia="宋体" w:cs="宋体"/>
          <w:b/>
          <w:color w:val="auto"/>
          <w:spacing w:val="-6"/>
          <w:sz w:val="22"/>
          <w:szCs w:val="22"/>
          <w:highlight w:val="none"/>
        </w:rPr>
        <w:t>。</w:t>
      </w:r>
    </w:p>
    <w:p>
      <w:pPr>
        <w:adjustRightInd w:val="0"/>
        <w:snapToGrid w:val="0"/>
        <w:spacing w:line="40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hint="eastAsia" w:ascii="宋体" w:hAnsi="宋体" w:eastAsia="宋体" w:cs="宋体"/>
          <w:color w:val="auto"/>
          <w:kern w:val="0"/>
          <w:sz w:val="22"/>
          <w:szCs w:val="22"/>
          <w:highlight w:val="none"/>
        </w:rPr>
      </w:pPr>
    </w:p>
    <w:p>
      <w:pPr>
        <w:widowControl/>
        <w:spacing w:line="400" w:lineRule="exact"/>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投标人全称(电子签章)：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pPr>
        <w:snapToGrid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br w:type="page"/>
      </w:r>
    </w:p>
    <w:p>
      <w:pPr>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附件13</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货物配置清单</w:t>
      </w:r>
    </w:p>
    <w:p>
      <w:pPr>
        <w:pStyle w:val="15"/>
        <w:spacing w:after="0" w:line="400" w:lineRule="exact"/>
        <w:ind w:left="482" w:leftChars="0" w:right="0" w:rightChars="0" w:hanging="482"/>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lang w:eastAsia="zh-CN"/>
        </w:rPr>
        <w:t>标项名称</w:t>
      </w:r>
      <w:r>
        <w:rPr>
          <w:rFonts w:hint="eastAsia" w:ascii="宋体" w:hAnsi="宋体" w:eastAsia="宋体" w:cs="宋体"/>
          <w:b/>
          <w:color w:val="auto"/>
          <w:sz w:val="22"/>
          <w:szCs w:val="22"/>
          <w:highlight w:val="none"/>
        </w:rPr>
        <w:t xml:space="preserve">：                                      项目编号：                </w:t>
      </w:r>
    </w:p>
    <w:tbl>
      <w:tblPr>
        <w:tblStyle w:val="31"/>
        <w:tblW w:w="9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538"/>
        <w:gridCol w:w="1462"/>
        <w:gridCol w:w="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制造商</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单位及数量</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性能及指标</w:t>
            </w: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p>
            <w:pPr>
              <w:snapToGrid w:val="0"/>
              <w:spacing w:line="400" w:lineRule="exact"/>
              <w:jc w:val="center"/>
              <w:rPr>
                <w:rFonts w:hint="eastAsia" w:ascii="宋体" w:hAnsi="宋体" w:eastAsia="宋体" w:cs="宋体"/>
                <w:color w:val="auto"/>
                <w:sz w:val="22"/>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462"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03" w:type="dxa"/>
            <w:tcBorders>
              <w:top w:val="single" w:color="auto" w:sz="4" w:space="0"/>
              <w:left w:val="single" w:color="auto" w:sz="4" w:space="0"/>
              <w:bottom w:val="nil"/>
            </w:tcBorders>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hint="eastAsia" w:ascii="宋体" w:hAnsi="宋体" w:eastAsia="宋体" w:cs="宋体"/>
                <w:color w:val="auto"/>
                <w:sz w:val="22"/>
                <w:szCs w:val="22"/>
                <w:highlight w:val="none"/>
              </w:rPr>
            </w:pPr>
          </w:p>
        </w:tc>
      </w:tr>
    </w:tbl>
    <w:p>
      <w:pPr>
        <w:snapToGrid w:val="0"/>
        <w:spacing w:line="400" w:lineRule="exact"/>
        <w:rPr>
          <w:rFonts w:hint="eastAsia" w:ascii="宋体" w:hAnsi="宋体" w:eastAsia="宋体" w:cs="宋体"/>
          <w:color w:val="auto"/>
          <w:sz w:val="22"/>
          <w:szCs w:val="22"/>
          <w:highlight w:val="none"/>
        </w:rPr>
      </w:pPr>
    </w:p>
    <w:p>
      <w:pPr>
        <w:widowControl/>
        <w:spacing w:line="400" w:lineRule="exact"/>
        <w:ind w:firstLine="420"/>
        <w:rPr>
          <w:rFonts w:hint="eastAsia" w:ascii="宋体" w:hAnsi="宋体" w:eastAsia="宋体" w:cs="宋体"/>
          <w:color w:val="auto"/>
          <w:kern w:val="0"/>
          <w:sz w:val="22"/>
          <w:szCs w:val="22"/>
          <w:highlight w:val="none"/>
        </w:rPr>
      </w:pPr>
    </w:p>
    <w:p>
      <w:pPr>
        <w:widowControl/>
        <w:spacing w:line="400" w:lineRule="exact"/>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投标人全称(电子签章)：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pPr>
        <w:snapToGrid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br w:type="page"/>
      </w:r>
    </w:p>
    <w:p>
      <w:pPr>
        <w:pStyle w:val="16"/>
        <w:spacing w:line="360" w:lineRule="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附件14</w:t>
      </w:r>
    </w:p>
    <w:p>
      <w:pPr>
        <w:adjustRightInd w:val="0"/>
        <w:snapToGrid w:val="0"/>
        <w:spacing w:line="360" w:lineRule="auto"/>
        <w:jc w:val="center"/>
        <w:rPr>
          <w:rFonts w:hint="eastAsia" w:ascii="宋体" w:hAnsi="宋体" w:eastAsia="宋体" w:cs="宋体"/>
          <w:b/>
          <w:snapToGrid w:val="0"/>
          <w:color w:val="auto"/>
          <w:sz w:val="24"/>
          <w:szCs w:val="24"/>
          <w:highlight w:val="none"/>
        </w:rPr>
      </w:pPr>
      <w:r>
        <w:rPr>
          <w:rFonts w:hint="eastAsia" w:ascii="宋体" w:hAnsi="宋体" w:eastAsia="宋体" w:cs="宋体"/>
          <w:b/>
          <w:color w:val="auto"/>
          <w:sz w:val="24"/>
          <w:szCs w:val="24"/>
          <w:highlight w:val="none"/>
        </w:rPr>
        <w:t>常用材料、</w:t>
      </w:r>
      <w:r>
        <w:rPr>
          <w:rFonts w:hint="eastAsia" w:ascii="宋体" w:hAnsi="宋体" w:eastAsia="宋体" w:cs="宋体"/>
          <w:b/>
          <w:snapToGrid w:val="0"/>
          <w:color w:val="auto"/>
          <w:sz w:val="24"/>
          <w:szCs w:val="24"/>
          <w:highlight w:val="none"/>
        </w:rPr>
        <w:t>零配件报价清单</w:t>
      </w:r>
    </w:p>
    <w:p>
      <w:pPr>
        <w:pStyle w:val="16"/>
        <w:snapToGrid w:val="0"/>
        <w:spacing w:line="288"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标项名称</w:t>
      </w:r>
      <w:r>
        <w:rPr>
          <w:rFonts w:hint="eastAsia" w:ascii="宋体" w:hAnsi="宋体" w:eastAsia="宋体" w:cs="宋体"/>
          <w:color w:val="auto"/>
          <w:kern w:val="0"/>
          <w:sz w:val="22"/>
          <w:szCs w:val="22"/>
          <w:highlight w:val="none"/>
        </w:rPr>
        <w:t xml:space="preserve">：                           项目编号：                  </w:t>
      </w:r>
      <w:r>
        <w:rPr>
          <w:rFonts w:hint="eastAsia" w:ascii="宋体" w:hAnsi="宋体" w:eastAsia="宋体" w:cs="宋体"/>
          <w:color w:val="auto"/>
          <w:spacing w:val="-6"/>
          <w:sz w:val="22"/>
          <w:szCs w:val="22"/>
          <w:highlight w:val="none"/>
        </w:rPr>
        <w:t>金额单位：人民币（元）</w:t>
      </w:r>
    </w:p>
    <w:tbl>
      <w:tblPr>
        <w:tblStyle w:val="31"/>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序号</w:t>
            </w:r>
          </w:p>
        </w:tc>
        <w:tc>
          <w:tcPr>
            <w:tcW w:w="712"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名称</w:t>
            </w:r>
          </w:p>
        </w:tc>
        <w:tc>
          <w:tcPr>
            <w:tcW w:w="992" w:type="dxa"/>
            <w:vAlign w:val="center"/>
          </w:tcPr>
          <w:p>
            <w:pPr>
              <w:pStyle w:val="66"/>
              <w:snapToGrid w:val="0"/>
              <w:spacing w:line="360"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制造商</w:t>
            </w:r>
          </w:p>
        </w:tc>
        <w:tc>
          <w:tcPr>
            <w:tcW w:w="808" w:type="dxa"/>
            <w:vAlign w:val="center"/>
          </w:tcPr>
          <w:p>
            <w:pPr>
              <w:pStyle w:val="66"/>
              <w:snapToGrid w:val="0"/>
              <w:spacing w:line="360"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产地</w:t>
            </w:r>
          </w:p>
        </w:tc>
        <w:tc>
          <w:tcPr>
            <w:tcW w:w="656" w:type="dxa"/>
            <w:vAlign w:val="center"/>
          </w:tcPr>
          <w:p>
            <w:pPr>
              <w:pStyle w:val="66"/>
              <w:snapToGrid w:val="0"/>
              <w:spacing w:line="360"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品牌</w:t>
            </w:r>
          </w:p>
        </w:tc>
        <w:tc>
          <w:tcPr>
            <w:tcW w:w="1238" w:type="dxa"/>
            <w:vAlign w:val="center"/>
          </w:tcPr>
          <w:p>
            <w:pPr>
              <w:pStyle w:val="66"/>
              <w:snapToGrid w:val="0"/>
              <w:spacing w:line="360"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型号规格</w:t>
            </w: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单位</w:t>
            </w: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数量</w:t>
            </w:r>
          </w:p>
        </w:tc>
        <w:tc>
          <w:tcPr>
            <w:tcW w:w="1237"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单价（元）</w:t>
            </w:r>
          </w:p>
        </w:tc>
        <w:tc>
          <w:tcPr>
            <w:tcW w:w="1350"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总价（元）</w:t>
            </w:r>
          </w:p>
        </w:tc>
        <w:tc>
          <w:tcPr>
            <w:tcW w:w="656"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pStyle w:val="23"/>
              <w:pBdr>
                <w:bottom w:val="none" w:color="auto" w:sz="0" w:space="0"/>
              </w:pBdr>
              <w:tabs>
                <w:tab w:val="left" w:pos="420"/>
              </w:tabs>
              <w:spacing w:line="360" w:lineRule="auto"/>
              <w:rPr>
                <w:rFonts w:hint="eastAsia" w:ascii="宋体" w:hAnsi="宋体" w:eastAsia="宋体" w:cs="宋体"/>
                <w:snapToGrid w:val="0"/>
                <w:color w:val="auto"/>
                <w:kern w:val="0"/>
                <w:sz w:val="22"/>
                <w:szCs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pStyle w:val="18"/>
              <w:adjustRightInd w:val="0"/>
              <w:snapToGrid w:val="0"/>
              <w:spacing w:line="360" w:lineRule="auto"/>
              <w:ind w:left="5250" w:leftChars="0"/>
              <w:rPr>
                <w:rFonts w:hint="eastAsia" w:ascii="宋体" w:hAnsi="宋体" w:eastAsia="宋体" w:cs="宋体"/>
                <w:snapToGrid w:val="0"/>
                <w:color w:val="auto"/>
                <w:kern w:val="0"/>
                <w:sz w:val="22"/>
                <w:szCs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712" w:type="dxa"/>
            <w:vAlign w:val="center"/>
          </w:tcPr>
          <w:p>
            <w:pPr>
              <w:adjustRightInd w:val="0"/>
              <w:snapToGrid w:val="0"/>
              <w:spacing w:line="360" w:lineRule="auto"/>
              <w:jc w:val="center"/>
              <w:rPr>
                <w:rFonts w:hint="eastAsia" w:ascii="宋体" w:hAnsi="宋体" w:eastAsia="宋体" w:cs="宋体"/>
                <w:b/>
                <w:bCs/>
                <w:snapToGrid w:val="0"/>
                <w:color w:val="auto"/>
                <w:kern w:val="0"/>
                <w:sz w:val="22"/>
                <w:szCs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szCs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szCs w:val="22"/>
                <w:highlight w:val="none"/>
              </w:rPr>
            </w:pPr>
          </w:p>
        </w:tc>
      </w:tr>
    </w:tbl>
    <w:p>
      <w:pPr>
        <w:pStyle w:val="16"/>
        <w:snapToGrid w:val="0"/>
        <w:spacing w:line="360" w:lineRule="auto"/>
        <w:rPr>
          <w:rFonts w:hint="eastAsia" w:ascii="宋体" w:hAnsi="宋体" w:eastAsia="宋体" w:cs="宋体"/>
          <w:color w:val="auto"/>
          <w:kern w:val="0"/>
          <w:sz w:val="22"/>
          <w:szCs w:val="22"/>
          <w:highlight w:val="none"/>
        </w:rPr>
      </w:pPr>
    </w:p>
    <w:p>
      <w:pPr>
        <w:adjustRightInd w:val="0"/>
        <w:snapToGrid w:val="0"/>
        <w:spacing w:line="360"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注：投标人根据实际情况填写</w:t>
      </w:r>
    </w:p>
    <w:p>
      <w:pPr>
        <w:pStyle w:val="16"/>
        <w:snapToGrid w:val="0"/>
        <w:spacing w:line="360" w:lineRule="auto"/>
        <w:rPr>
          <w:rFonts w:hint="eastAsia" w:ascii="宋体" w:hAnsi="宋体" w:eastAsia="宋体" w:cs="宋体"/>
          <w:color w:val="auto"/>
          <w:kern w:val="0"/>
          <w:sz w:val="22"/>
          <w:szCs w:val="22"/>
          <w:highlight w:val="none"/>
        </w:rPr>
      </w:pPr>
    </w:p>
    <w:p>
      <w:pPr>
        <w:widowControl/>
        <w:spacing w:line="400" w:lineRule="exact"/>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投标人全称(电子签章)：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pPr>
        <w:snapToGrid w:val="0"/>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lang w:eastAsia="zh-CN"/>
        </w:rPr>
        <w:t>附件15</w:t>
      </w:r>
    </w:p>
    <w:p>
      <w:pPr>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投标</w:t>
      </w:r>
      <w:r>
        <w:rPr>
          <w:rFonts w:hint="eastAsia" w:ascii="宋体" w:hAnsi="宋体" w:eastAsia="宋体" w:cs="宋体"/>
          <w:b/>
          <w:bCs/>
          <w:color w:val="auto"/>
          <w:sz w:val="24"/>
          <w:szCs w:val="24"/>
          <w:highlight w:val="none"/>
        </w:rPr>
        <w:t>产品</w:t>
      </w:r>
      <w:r>
        <w:rPr>
          <w:rFonts w:hint="eastAsia" w:ascii="宋体" w:hAnsi="宋体" w:eastAsia="宋体" w:cs="宋体"/>
          <w:b/>
          <w:color w:val="auto"/>
          <w:spacing w:val="-6"/>
          <w:sz w:val="24"/>
          <w:highlight w:val="none"/>
        </w:rPr>
        <w:t>技术支持材料</w:t>
      </w:r>
    </w:p>
    <w:p>
      <w:pPr>
        <w:spacing w:line="400" w:lineRule="exact"/>
        <w:rPr>
          <w:rFonts w:hint="eastAsia" w:ascii="宋体" w:hAnsi="宋体" w:eastAsia="宋体" w:cs="宋体"/>
          <w:b/>
          <w:color w:val="auto"/>
          <w:spacing w:val="-6"/>
          <w:sz w:val="24"/>
          <w:highlight w:val="none"/>
        </w:rPr>
      </w:pPr>
    </w:p>
    <w:p>
      <w:pPr>
        <w:spacing w:line="400" w:lineRule="exact"/>
        <w:rPr>
          <w:rFonts w:hint="eastAsia" w:ascii="宋体" w:hAnsi="宋体" w:eastAsia="宋体" w:cs="宋体"/>
          <w:b/>
          <w:color w:val="auto"/>
          <w:spacing w:val="-6"/>
          <w:sz w:val="24"/>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1.投标人提供技术支持资料以证明其对技术指标的应答；</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2.技术支持资料应是制造商公开发布的印刷资料（彩页、Datasheet）或由有关政府部门或检测机构合法出具的文件或报告；</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3.不符合上述要求的资料，可被视为是无效的技术支持资料；</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4.如上述资料之间存在不一致的，以有关政府部门或检测机构合法出具的文件或报告为准；</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5.若对技术指标的应答无技术支持资料证明，评标委员会可不予承认，并可认为该应答不符合招标文件要求，将作出不利于投标人的技术评审，其后果将由投标人自行承担；</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6.投标人可提供同等于或优于招标文件要求的产品和服务；</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7.投标人在商务和技术文件中说明本次投标产品的技术参数是否与官网上公开的技术参数一致，如不一致，明确哪些参数不一致，不一致的原因以及使用何种技术可以达到投标产品参数。</w:t>
      </w:r>
    </w:p>
    <w:p>
      <w:pPr>
        <w:spacing w:line="400" w:lineRule="exact"/>
        <w:jc w:val="center"/>
        <w:rPr>
          <w:rFonts w:hint="eastAsia" w:ascii="宋体" w:hAnsi="宋体" w:eastAsia="宋体" w:cs="宋体"/>
          <w:b/>
          <w:color w:val="auto"/>
          <w:sz w:val="32"/>
          <w:highlight w:val="none"/>
        </w:rPr>
      </w:pP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附件16</w:t>
      </w:r>
    </w:p>
    <w:p>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服务项目负责人情况表</w:t>
      </w:r>
    </w:p>
    <w:p>
      <w:pPr>
        <w:spacing w:line="400" w:lineRule="exact"/>
        <w:rPr>
          <w:rFonts w:hint="eastAsia" w:ascii="宋体" w:hAnsi="宋体" w:eastAsia="宋体" w:cs="宋体"/>
          <w:b/>
          <w:color w:val="auto"/>
          <w:sz w:val="24"/>
          <w:szCs w:val="24"/>
          <w:highlight w:val="none"/>
        </w:rPr>
      </w:pPr>
    </w:p>
    <w:tbl>
      <w:tblPr>
        <w:tblStyle w:val="31"/>
        <w:tblW w:w="9287" w:type="dxa"/>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sz w:val="22"/>
                <w:szCs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注：1、本表应附项目负责人相关证明材料。</w:t>
      </w:r>
    </w:p>
    <w:p>
      <w:pPr>
        <w:spacing w:line="400" w:lineRule="exact"/>
        <w:ind w:firstLine="440" w:firstLineChars="200"/>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项目负责人在服务期内不得更换，如遇特殊情况更换项目负责人的需经采购人同意</w:t>
      </w:r>
      <w:r>
        <w:rPr>
          <w:rFonts w:hint="eastAsia" w:ascii="宋体" w:hAnsi="宋体" w:eastAsia="宋体" w:cs="宋体"/>
          <w:color w:val="auto"/>
          <w:sz w:val="22"/>
          <w:szCs w:val="22"/>
          <w:highlight w:val="none"/>
          <w:lang w:eastAsia="zh-CN"/>
        </w:rPr>
        <w:t>。</w:t>
      </w:r>
    </w:p>
    <w:p>
      <w:pPr>
        <w:widowControl/>
        <w:spacing w:line="400" w:lineRule="exact"/>
        <w:rPr>
          <w:rFonts w:hint="eastAsia" w:ascii="宋体" w:hAnsi="宋体" w:eastAsia="宋体" w:cs="宋体"/>
          <w:color w:val="auto"/>
          <w:kern w:val="0"/>
          <w:sz w:val="22"/>
          <w:szCs w:val="22"/>
          <w:highlight w:val="none"/>
        </w:rPr>
      </w:pPr>
    </w:p>
    <w:p>
      <w:pPr>
        <w:widowControl/>
        <w:spacing w:line="400" w:lineRule="exact"/>
        <w:rPr>
          <w:rFonts w:hint="eastAsia" w:ascii="宋体" w:hAnsi="宋体" w:eastAsia="宋体" w:cs="宋体"/>
          <w:color w:val="auto"/>
          <w:kern w:val="0"/>
          <w:sz w:val="22"/>
          <w:szCs w:val="22"/>
          <w:highlight w:val="none"/>
        </w:rPr>
      </w:pPr>
    </w:p>
    <w:p>
      <w:pPr>
        <w:widowControl/>
        <w:spacing w:line="400" w:lineRule="exact"/>
        <w:rPr>
          <w:rFonts w:hint="eastAsia" w:ascii="宋体" w:hAnsi="宋体" w:eastAsia="宋体" w:cs="宋体"/>
          <w:color w:val="auto"/>
          <w:kern w:val="0"/>
          <w:sz w:val="22"/>
          <w:szCs w:val="22"/>
          <w:highlight w:val="none"/>
        </w:rPr>
      </w:pPr>
    </w:p>
    <w:p>
      <w:pPr>
        <w:widowControl/>
        <w:spacing w:line="400" w:lineRule="exact"/>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投标人全称(电子签章)：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jc w:val="both"/>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附件1</w:t>
      </w:r>
      <w:r>
        <w:rPr>
          <w:rFonts w:hint="eastAsia" w:ascii="宋体" w:hAnsi="宋体" w:eastAsia="宋体" w:cs="宋体"/>
          <w:b/>
          <w:color w:val="auto"/>
          <w:sz w:val="24"/>
          <w:szCs w:val="24"/>
          <w:highlight w:val="none"/>
          <w:lang w:val="en-US" w:eastAsia="zh-CN"/>
        </w:rPr>
        <w:t>7</w:t>
      </w:r>
      <w:r>
        <w:rPr>
          <w:rFonts w:hint="eastAsia" w:ascii="宋体" w:hAnsi="宋体" w:cs="宋体"/>
          <w:b/>
          <w:color w:val="auto"/>
          <w:sz w:val="24"/>
          <w:szCs w:val="24"/>
          <w:highlight w:val="none"/>
          <w:lang w:val="en-US" w:eastAsia="zh-CN"/>
        </w:rPr>
        <w:t xml:space="preserve"> </w:t>
      </w:r>
    </w:p>
    <w:p>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项目团队人员情况表</w:t>
      </w:r>
    </w:p>
    <w:p>
      <w:pPr>
        <w:adjustRightInd w:val="0"/>
        <w:snapToGrid w:val="0"/>
        <w:spacing w:line="360" w:lineRule="auto"/>
        <w:jc w:val="left"/>
        <w:rPr>
          <w:rFonts w:hint="eastAsia" w:ascii="宋体" w:hAnsi="宋体" w:eastAsia="宋体" w:cs="宋体"/>
          <w:b/>
          <w:color w:val="auto"/>
          <w:sz w:val="24"/>
          <w:szCs w:val="24"/>
          <w:highlight w:val="none"/>
          <w:lang w:val="en-US" w:eastAsia="zh-CN"/>
        </w:rPr>
      </w:pPr>
    </w:p>
    <w:p>
      <w:pPr>
        <w:pStyle w:val="16"/>
        <w:jc w:val="center"/>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（1）</w:t>
      </w:r>
      <w:r>
        <w:rPr>
          <w:rFonts w:hint="eastAsia" w:ascii="宋体" w:hAnsi="宋体" w:eastAsia="宋体" w:cs="宋体"/>
          <w:b/>
          <w:color w:val="auto"/>
          <w:sz w:val="28"/>
          <w:szCs w:val="28"/>
          <w:highlight w:val="none"/>
          <w:lang w:val="en-US" w:eastAsia="zh-CN"/>
        </w:rPr>
        <w:t>投入本项目实施建设的主要技术</w:t>
      </w:r>
      <w:r>
        <w:rPr>
          <w:rFonts w:hint="eastAsia" w:ascii="宋体" w:hAnsi="宋体" w:eastAsia="宋体" w:cs="宋体"/>
          <w:b/>
          <w:color w:val="auto"/>
          <w:sz w:val="28"/>
          <w:szCs w:val="28"/>
          <w:highlight w:val="none"/>
        </w:rPr>
        <w:t>人员情况表</w:t>
      </w:r>
    </w:p>
    <w:p>
      <w:pPr>
        <w:pStyle w:val="17"/>
        <w:rPr>
          <w:rFonts w:hint="eastAsia"/>
          <w:color w:val="auto"/>
          <w:highlight w:val="none"/>
        </w:rPr>
      </w:pPr>
    </w:p>
    <w:tbl>
      <w:tblPr>
        <w:tblStyle w:val="31"/>
        <w:tblW w:w="90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8"/>
        <w:gridCol w:w="2102"/>
        <w:gridCol w:w="778"/>
        <w:gridCol w:w="722"/>
        <w:gridCol w:w="1334"/>
        <w:gridCol w:w="1334"/>
        <w:gridCol w:w="1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38"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姓名</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本项目主要工作</w:t>
            </w:r>
          </w:p>
        </w:tc>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年龄</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性别</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职称/职务</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专业/年限</w:t>
            </w:r>
          </w:p>
        </w:tc>
        <w:tc>
          <w:tcPr>
            <w:tcW w:w="1680"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nil"/>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注：1、本表应附</w:t>
      </w:r>
      <w:r>
        <w:rPr>
          <w:rFonts w:hint="eastAsia" w:ascii="宋体" w:hAnsi="宋体" w:cs="宋体"/>
          <w:color w:val="auto"/>
          <w:sz w:val="22"/>
          <w:szCs w:val="22"/>
          <w:highlight w:val="none"/>
          <w:lang w:val="en-US" w:eastAsia="zh-CN"/>
        </w:rPr>
        <w:t>人员</w:t>
      </w:r>
      <w:r>
        <w:rPr>
          <w:rFonts w:hint="eastAsia" w:ascii="宋体" w:hAnsi="宋体" w:eastAsia="宋体" w:cs="宋体"/>
          <w:color w:val="auto"/>
          <w:sz w:val="22"/>
          <w:szCs w:val="22"/>
          <w:highlight w:val="none"/>
        </w:rPr>
        <w:t>相关证明材料。</w:t>
      </w:r>
    </w:p>
    <w:p>
      <w:pPr>
        <w:spacing w:line="400" w:lineRule="exact"/>
        <w:ind w:firstLine="440" w:firstLineChars="200"/>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以上</w:t>
      </w:r>
      <w:r>
        <w:rPr>
          <w:rFonts w:hint="eastAsia" w:ascii="宋体" w:hAnsi="宋体" w:eastAsia="宋体" w:cs="宋体"/>
          <w:color w:val="auto"/>
          <w:sz w:val="22"/>
          <w:szCs w:val="22"/>
          <w:highlight w:val="none"/>
        </w:rPr>
        <w:t>在服务期内不得更换，如遇特殊情况更换的需经采购人同意</w:t>
      </w:r>
      <w:r>
        <w:rPr>
          <w:rFonts w:hint="eastAsia" w:ascii="宋体" w:hAnsi="宋体" w:eastAsia="宋体" w:cs="宋体"/>
          <w:color w:val="auto"/>
          <w:sz w:val="22"/>
          <w:szCs w:val="22"/>
          <w:highlight w:val="none"/>
          <w:lang w:eastAsia="zh-CN"/>
        </w:rPr>
        <w:t>。</w:t>
      </w:r>
    </w:p>
    <w:p>
      <w:pPr>
        <w:pStyle w:val="41"/>
        <w:rPr>
          <w:rFonts w:hint="eastAsia" w:ascii="宋体" w:hAnsi="宋体" w:eastAsia="宋体" w:cs="宋体"/>
          <w:color w:val="auto"/>
          <w:sz w:val="22"/>
          <w:szCs w:val="22"/>
          <w:highlight w:val="none"/>
        </w:rPr>
      </w:pP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投标人全称(公章)：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hAnsi="宋体" w:cs="宋体"/>
          <w:b/>
          <w:color w:val="auto"/>
          <w:sz w:val="28"/>
          <w:szCs w:val="28"/>
          <w:highlight w:val="none"/>
          <w:lang w:val="en-US" w:eastAsia="zh-CN"/>
        </w:rPr>
      </w:pPr>
      <w:r>
        <w:rPr>
          <w:rFonts w:hint="eastAsia" w:hAnsi="宋体" w:cs="宋体"/>
          <w:b/>
          <w:color w:val="auto"/>
          <w:sz w:val="28"/>
          <w:szCs w:val="28"/>
          <w:highlight w:val="none"/>
          <w:lang w:val="en-US" w:eastAsia="zh-CN"/>
        </w:rPr>
        <w:br w:type="page"/>
      </w:r>
    </w:p>
    <w:p>
      <w:pPr>
        <w:pStyle w:val="16"/>
        <w:jc w:val="center"/>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投入本项目</w:t>
      </w:r>
      <w:r>
        <w:rPr>
          <w:rFonts w:hint="eastAsia" w:ascii="宋体" w:hAnsi="宋体" w:eastAsia="宋体" w:cs="宋体"/>
          <w:b/>
          <w:color w:val="auto"/>
          <w:kern w:val="2"/>
          <w:sz w:val="28"/>
          <w:szCs w:val="28"/>
          <w:highlight w:val="none"/>
          <w:lang w:val="en-US" w:eastAsia="zh-CN" w:bidi="ar-SA"/>
        </w:rPr>
        <w:t>支撑服务运维团队</w:t>
      </w:r>
      <w:r>
        <w:rPr>
          <w:rFonts w:hint="eastAsia" w:ascii="宋体" w:hAnsi="宋体" w:eastAsia="宋体" w:cs="宋体"/>
          <w:b/>
          <w:color w:val="auto"/>
          <w:sz w:val="28"/>
          <w:szCs w:val="28"/>
          <w:highlight w:val="none"/>
        </w:rPr>
        <w:t>人员情况表</w:t>
      </w:r>
    </w:p>
    <w:p>
      <w:pPr>
        <w:pStyle w:val="17"/>
        <w:rPr>
          <w:rFonts w:hint="eastAsia"/>
          <w:color w:val="auto"/>
          <w:highlight w:val="none"/>
        </w:rPr>
      </w:pPr>
    </w:p>
    <w:tbl>
      <w:tblPr>
        <w:tblStyle w:val="31"/>
        <w:tblW w:w="90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8"/>
        <w:gridCol w:w="2102"/>
        <w:gridCol w:w="778"/>
        <w:gridCol w:w="722"/>
        <w:gridCol w:w="1334"/>
        <w:gridCol w:w="1334"/>
        <w:gridCol w:w="1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0" w:hRule="atLeast"/>
          <w:jc w:val="center"/>
        </w:trPr>
        <w:tc>
          <w:tcPr>
            <w:tcW w:w="1138"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姓名</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本项目主要工作</w:t>
            </w:r>
          </w:p>
        </w:tc>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年龄</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性别</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职称/职务</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专业/年限</w:t>
            </w:r>
          </w:p>
        </w:tc>
        <w:tc>
          <w:tcPr>
            <w:tcW w:w="1680"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nil"/>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注：1、本表应附</w:t>
      </w:r>
      <w:r>
        <w:rPr>
          <w:rFonts w:hint="eastAsia" w:ascii="宋体" w:hAnsi="宋体" w:cs="宋体"/>
          <w:color w:val="auto"/>
          <w:sz w:val="22"/>
          <w:szCs w:val="22"/>
          <w:highlight w:val="none"/>
          <w:lang w:val="en-US" w:eastAsia="zh-CN"/>
        </w:rPr>
        <w:t>人员</w:t>
      </w:r>
      <w:r>
        <w:rPr>
          <w:rFonts w:hint="eastAsia" w:ascii="宋体" w:hAnsi="宋体" w:eastAsia="宋体" w:cs="宋体"/>
          <w:color w:val="auto"/>
          <w:sz w:val="22"/>
          <w:szCs w:val="22"/>
          <w:highlight w:val="none"/>
        </w:rPr>
        <w:t>相关证明材料。</w:t>
      </w:r>
    </w:p>
    <w:p>
      <w:pPr>
        <w:spacing w:line="400" w:lineRule="exact"/>
        <w:ind w:firstLine="440" w:firstLineChars="200"/>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以上</w:t>
      </w:r>
      <w:r>
        <w:rPr>
          <w:rFonts w:hint="eastAsia" w:ascii="宋体" w:hAnsi="宋体" w:eastAsia="宋体" w:cs="宋体"/>
          <w:color w:val="auto"/>
          <w:sz w:val="22"/>
          <w:szCs w:val="22"/>
          <w:highlight w:val="none"/>
        </w:rPr>
        <w:t>在服务期内不得更换，如遇特殊情况更换的需经采购人同意</w:t>
      </w:r>
      <w:r>
        <w:rPr>
          <w:rFonts w:hint="eastAsia" w:ascii="宋体" w:hAnsi="宋体" w:eastAsia="宋体" w:cs="宋体"/>
          <w:color w:val="auto"/>
          <w:sz w:val="22"/>
          <w:szCs w:val="22"/>
          <w:highlight w:val="none"/>
          <w:lang w:eastAsia="zh-CN"/>
        </w:rPr>
        <w:t>。</w:t>
      </w:r>
    </w:p>
    <w:p>
      <w:pPr>
        <w:pStyle w:val="41"/>
        <w:rPr>
          <w:rFonts w:hint="eastAsia" w:ascii="宋体" w:hAnsi="宋体" w:eastAsia="宋体" w:cs="宋体"/>
          <w:color w:val="auto"/>
          <w:sz w:val="22"/>
          <w:szCs w:val="22"/>
          <w:highlight w:val="none"/>
        </w:rPr>
      </w:pP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投标人全称(公章)：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hAnsi="宋体" w:cs="宋体"/>
          <w:b/>
          <w:color w:val="auto"/>
          <w:sz w:val="28"/>
          <w:szCs w:val="28"/>
          <w:highlight w:val="none"/>
          <w:lang w:val="en-US" w:eastAsia="zh-CN"/>
        </w:rPr>
      </w:pPr>
      <w:r>
        <w:rPr>
          <w:rFonts w:hint="eastAsia" w:hAnsi="宋体" w:cs="宋体"/>
          <w:b/>
          <w:color w:val="auto"/>
          <w:sz w:val="28"/>
          <w:szCs w:val="28"/>
          <w:highlight w:val="none"/>
          <w:lang w:val="en-US" w:eastAsia="zh-CN"/>
        </w:rPr>
        <w:br w:type="page"/>
      </w:r>
    </w:p>
    <w:p>
      <w:pPr>
        <w:pStyle w:val="16"/>
        <w:jc w:val="center"/>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投入本项目</w:t>
      </w:r>
      <w:r>
        <w:rPr>
          <w:rFonts w:hint="eastAsia" w:hAnsi="宋体" w:cs="宋体"/>
          <w:b/>
          <w:color w:val="auto"/>
          <w:sz w:val="28"/>
          <w:szCs w:val="28"/>
          <w:highlight w:val="none"/>
          <w:lang w:val="en-US" w:eastAsia="zh-CN"/>
        </w:rPr>
        <w:t>其他</w:t>
      </w:r>
      <w:r>
        <w:rPr>
          <w:rFonts w:hint="eastAsia" w:ascii="宋体" w:hAnsi="宋体" w:eastAsia="宋体" w:cs="宋体"/>
          <w:b/>
          <w:color w:val="auto"/>
          <w:sz w:val="28"/>
          <w:szCs w:val="28"/>
          <w:highlight w:val="none"/>
        </w:rPr>
        <w:t>人员情况表</w:t>
      </w:r>
      <w:r>
        <w:rPr>
          <w:rFonts w:hint="eastAsia" w:hAnsi="宋体" w:cs="宋体"/>
          <w:b/>
          <w:color w:val="auto"/>
          <w:sz w:val="28"/>
          <w:szCs w:val="28"/>
          <w:highlight w:val="none"/>
          <w:lang w:eastAsia="zh-CN"/>
        </w:rPr>
        <w:t>（</w:t>
      </w:r>
      <w:r>
        <w:rPr>
          <w:rFonts w:hint="eastAsia" w:hAnsi="宋体" w:cs="宋体"/>
          <w:b/>
          <w:color w:val="auto"/>
          <w:sz w:val="28"/>
          <w:szCs w:val="28"/>
          <w:highlight w:val="none"/>
          <w:lang w:val="en-US" w:eastAsia="zh-CN"/>
        </w:rPr>
        <w:t>如有</w:t>
      </w:r>
      <w:r>
        <w:rPr>
          <w:rFonts w:hint="eastAsia" w:hAnsi="宋体" w:cs="宋体"/>
          <w:b/>
          <w:color w:val="auto"/>
          <w:sz w:val="28"/>
          <w:szCs w:val="28"/>
          <w:highlight w:val="none"/>
          <w:lang w:eastAsia="zh-CN"/>
        </w:rPr>
        <w:t>）</w:t>
      </w:r>
    </w:p>
    <w:p>
      <w:pPr>
        <w:pStyle w:val="17"/>
        <w:rPr>
          <w:rFonts w:hint="eastAsia"/>
          <w:color w:val="auto"/>
          <w:highlight w:val="none"/>
        </w:rPr>
      </w:pPr>
    </w:p>
    <w:tbl>
      <w:tblPr>
        <w:tblStyle w:val="31"/>
        <w:tblW w:w="90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8"/>
        <w:gridCol w:w="2102"/>
        <w:gridCol w:w="778"/>
        <w:gridCol w:w="722"/>
        <w:gridCol w:w="1334"/>
        <w:gridCol w:w="1334"/>
        <w:gridCol w:w="1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38"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姓名</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本项目主要工作</w:t>
            </w:r>
          </w:p>
        </w:tc>
        <w:tc>
          <w:tcPr>
            <w:tcW w:w="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年龄</w:t>
            </w:r>
          </w:p>
        </w:tc>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性别</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职称/职务</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专业/年限</w:t>
            </w:r>
          </w:p>
        </w:tc>
        <w:tc>
          <w:tcPr>
            <w:tcW w:w="1680"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nil"/>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hanging="480"/>
              <w:jc w:val="center"/>
              <w:rPr>
                <w:rFonts w:hint="eastAsia" w:ascii="宋体" w:hAnsi="宋体" w:eastAsia="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宋体" w:hAnsi="宋体" w:eastAsia="宋体" w:cs="宋体"/>
                <w:color w:val="auto"/>
                <w:sz w:val="22"/>
                <w:szCs w:val="22"/>
                <w:highlight w:val="none"/>
              </w:rPr>
            </w:pPr>
          </w:p>
        </w:tc>
      </w:tr>
    </w:tbl>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注：1、本表应附</w:t>
      </w:r>
      <w:r>
        <w:rPr>
          <w:rFonts w:hint="eastAsia" w:ascii="宋体" w:hAnsi="宋体" w:cs="宋体"/>
          <w:color w:val="auto"/>
          <w:sz w:val="22"/>
          <w:szCs w:val="22"/>
          <w:highlight w:val="none"/>
          <w:lang w:val="en-US" w:eastAsia="zh-CN"/>
        </w:rPr>
        <w:t>人员</w:t>
      </w:r>
      <w:r>
        <w:rPr>
          <w:rFonts w:hint="eastAsia" w:ascii="宋体" w:hAnsi="宋体" w:eastAsia="宋体" w:cs="宋体"/>
          <w:color w:val="auto"/>
          <w:sz w:val="22"/>
          <w:szCs w:val="22"/>
          <w:highlight w:val="none"/>
        </w:rPr>
        <w:t>相关证明材料。</w:t>
      </w:r>
    </w:p>
    <w:p>
      <w:pPr>
        <w:spacing w:line="400" w:lineRule="exact"/>
        <w:ind w:firstLine="440" w:firstLineChars="200"/>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以上</w:t>
      </w:r>
      <w:r>
        <w:rPr>
          <w:rFonts w:hint="eastAsia" w:ascii="宋体" w:hAnsi="宋体" w:eastAsia="宋体" w:cs="宋体"/>
          <w:color w:val="auto"/>
          <w:sz w:val="22"/>
          <w:szCs w:val="22"/>
          <w:highlight w:val="none"/>
        </w:rPr>
        <w:t>在服务期内不得更换，如遇特殊情况更换的需经采购人同意</w:t>
      </w:r>
      <w:r>
        <w:rPr>
          <w:rFonts w:hint="eastAsia" w:ascii="宋体" w:hAnsi="宋体" w:eastAsia="宋体" w:cs="宋体"/>
          <w:color w:val="auto"/>
          <w:sz w:val="22"/>
          <w:szCs w:val="22"/>
          <w:highlight w:val="none"/>
          <w:lang w:eastAsia="zh-CN"/>
        </w:rPr>
        <w:t>。</w:t>
      </w:r>
    </w:p>
    <w:p>
      <w:pPr>
        <w:pStyle w:val="41"/>
        <w:rPr>
          <w:rFonts w:hint="eastAsia" w:ascii="宋体" w:hAnsi="宋体" w:eastAsia="宋体" w:cs="宋体"/>
          <w:color w:val="auto"/>
          <w:sz w:val="22"/>
          <w:szCs w:val="22"/>
          <w:highlight w:val="none"/>
        </w:rPr>
      </w:pP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投标人全称(公章)：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pPr>
        <w:widowControl/>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400" w:lineRule="exact"/>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z w:val="24"/>
          <w:szCs w:val="24"/>
          <w:highlight w:val="none"/>
          <w:lang w:eastAsia="zh-CN"/>
        </w:rPr>
        <w:t>附件1</w:t>
      </w:r>
      <w:r>
        <w:rPr>
          <w:rFonts w:hint="eastAsia" w:ascii="宋体" w:hAnsi="宋体" w:eastAsia="宋体" w:cs="宋体"/>
          <w:b/>
          <w:color w:val="auto"/>
          <w:sz w:val="24"/>
          <w:szCs w:val="24"/>
          <w:highlight w:val="none"/>
          <w:lang w:val="en-US" w:eastAsia="zh-CN"/>
        </w:rPr>
        <w:t>8</w:t>
      </w:r>
    </w:p>
    <w:p>
      <w:pPr>
        <w:pStyle w:val="15"/>
        <w:spacing w:after="0"/>
        <w:ind w:left="1470" w:right="0" w:rightChars="0"/>
        <w:rPr>
          <w:rFonts w:hint="eastAsia" w:ascii="宋体" w:hAnsi="宋体" w:eastAsia="宋体" w:cs="宋体"/>
          <w:color w:val="auto"/>
          <w:sz w:val="22"/>
          <w:highlight w:val="none"/>
        </w:rPr>
      </w:pPr>
    </w:p>
    <w:p>
      <w:pPr>
        <w:pStyle w:val="62"/>
        <w:snapToGrid w:val="0"/>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政府采购活动现场确认声明书</w:t>
      </w:r>
    </w:p>
    <w:p>
      <w:pPr>
        <w:pStyle w:val="62"/>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浙江乐诚工程咨询有限公司</w:t>
      </w:r>
      <w:r>
        <w:rPr>
          <w:rFonts w:hint="eastAsia" w:ascii="宋体" w:hAnsi="宋体" w:eastAsia="宋体" w:cs="宋体"/>
          <w:color w:val="auto"/>
          <w:kern w:val="0"/>
          <w:sz w:val="24"/>
          <w:szCs w:val="24"/>
          <w:highlight w:val="none"/>
        </w:rPr>
        <w:t>：</w:t>
      </w:r>
    </w:p>
    <w:p>
      <w:pPr>
        <w:pStyle w:val="62"/>
        <w:snapToGrid w:val="0"/>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pacing w:val="6"/>
          <w:sz w:val="24"/>
          <w:szCs w:val="24"/>
          <w:highlight w:val="none"/>
          <w:u w:val="single"/>
        </w:rPr>
        <w:t xml:space="preserve">单位）           </w:t>
      </w:r>
      <w:r>
        <w:rPr>
          <w:rFonts w:hint="eastAsia" w:ascii="宋体" w:hAnsi="宋体" w:eastAsia="宋体" w:cs="宋体"/>
          <w:color w:val="auto"/>
          <w:spacing w:val="6"/>
          <w:sz w:val="24"/>
          <w:szCs w:val="24"/>
          <w:highlight w:val="none"/>
        </w:rPr>
        <w:t>法人代表（负责人）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u w:val="single"/>
        </w:rPr>
        <w:t xml:space="preserve">                 </w:t>
      </w:r>
      <w:r>
        <w:rPr>
          <w:rFonts w:hint="eastAsia" w:hAnsi="宋体" w:eastAsia="宋体" w:cs="宋体"/>
          <w:color w:val="auto"/>
          <w:spacing w:val="6"/>
          <w:sz w:val="24"/>
          <w:szCs w:val="24"/>
          <w:highlight w:val="none"/>
          <w:u w:val="single"/>
          <w:lang w:eastAsia="zh-CN"/>
        </w:rPr>
        <w:t>（标项名称）</w:t>
      </w:r>
      <w:r>
        <w:rPr>
          <w:rFonts w:hint="eastAsia" w:ascii="宋体" w:hAnsi="宋体" w:eastAsia="宋体" w:cs="宋体"/>
          <w:color w:val="auto"/>
          <w:spacing w:val="6"/>
          <w:sz w:val="24"/>
          <w:szCs w:val="24"/>
          <w:highlight w:val="none"/>
        </w:rPr>
        <w:t>项目（项目编号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62"/>
        <w:numPr>
          <w:ilvl w:val="0"/>
          <w:numId w:val="10"/>
        </w:num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62"/>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pPr>
        <w:pStyle w:val="62"/>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pPr>
        <w:pStyle w:val="63"/>
        <w:widowControl/>
        <w:snapToGrid w:val="0"/>
        <w:spacing w:line="400" w:lineRule="exact"/>
        <w:ind w:firstLine="252"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62"/>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pPr>
        <w:pStyle w:val="62"/>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pPr>
        <w:pStyle w:val="62"/>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pPr>
        <w:pStyle w:val="62"/>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pPr>
        <w:pStyle w:val="62"/>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pPr>
        <w:pStyle w:val="62"/>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pPr>
        <w:pStyle w:val="62"/>
        <w:snapToGrid w:val="0"/>
        <w:spacing w:line="400" w:lineRule="exac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pPr>
        <w:pStyle w:val="62"/>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pPr>
        <w:pStyle w:val="62"/>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63"/>
        <w:widowControl/>
        <w:numPr>
          <w:ilvl w:val="0"/>
          <w:numId w:val="11"/>
        </w:num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pPr>
        <w:pStyle w:val="63"/>
        <w:widowControl/>
        <w:numPr>
          <w:ilvl w:val="0"/>
          <w:numId w:val="11"/>
        </w:num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pPr>
        <w:pStyle w:val="62"/>
        <w:snapToGrid w:val="0"/>
        <w:spacing w:line="400" w:lineRule="exact"/>
        <w:ind w:firstLine="480" w:firstLineChars="200"/>
        <w:rPr>
          <w:rFonts w:hint="eastAsia" w:ascii="宋体" w:hAnsi="宋体" w:eastAsia="宋体" w:cs="宋体"/>
          <w:color w:val="auto"/>
          <w:sz w:val="24"/>
          <w:szCs w:val="24"/>
          <w:highlight w:val="none"/>
        </w:rPr>
      </w:pPr>
    </w:p>
    <w:p>
      <w:pPr>
        <w:pStyle w:val="62"/>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供应商授权代表签名：</w:t>
      </w:r>
    </w:p>
    <w:p>
      <w:pPr>
        <w:pStyle w:val="62"/>
        <w:snapToGrid w:val="0"/>
        <w:spacing w:line="600" w:lineRule="exact"/>
        <w:ind w:right="240"/>
        <w:jc w:val="righ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2023年03月09日</w:t>
      </w:r>
      <w:r>
        <w:rPr>
          <w:rFonts w:hint="eastAsia" w:ascii="宋体" w:hAnsi="宋体" w:eastAsia="宋体" w:cs="宋体"/>
          <w:color w:val="auto"/>
          <w:sz w:val="24"/>
          <w:szCs w:val="24"/>
          <w:highlight w:val="none"/>
        </w:rPr>
        <w:t xml:space="preserve">  </w:t>
      </w:r>
    </w:p>
    <w:p>
      <w:pPr>
        <w:spacing w:line="400" w:lineRule="exact"/>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pacing w:val="-6"/>
          <w:sz w:val="24"/>
          <w:highlight w:val="none"/>
          <w:lang w:val="en-US" w:eastAsia="zh-CN"/>
        </w:rPr>
      </w:pPr>
      <w:r>
        <w:rPr>
          <w:rFonts w:hint="eastAsia" w:ascii="宋体" w:hAnsi="宋体" w:eastAsia="宋体" w:cs="宋体"/>
          <w:b/>
          <w:bCs/>
          <w:color w:val="auto"/>
          <w:sz w:val="24"/>
          <w:highlight w:val="none"/>
        </w:rPr>
        <w:t>备注：</w:t>
      </w: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rPr>
        <w:t>在</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文件解密后，通过电子邮件形式，向邮箱地址（</w:t>
      </w:r>
      <w:r>
        <w:rPr>
          <w:rFonts w:hint="eastAsia" w:ascii="宋体" w:hAnsi="宋体" w:eastAsia="宋体" w:cs="宋体"/>
          <w:b/>
          <w:bCs/>
          <w:color w:val="auto"/>
          <w:szCs w:val="21"/>
          <w:highlight w:val="none"/>
        </w:rPr>
        <w:t>2812799762@qq.com</w:t>
      </w:r>
      <w:r>
        <w:rPr>
          <w:rFonts w:hint="eastAsia" w:ascii="宋体" w:hAnsi="宋体" w:eastAsia="宋体" w:cs="宋体"/>
          <w:b/>
          <w:bCs/>
          <w:color w:val="auto"/>
          <w:sz w:val="24"/>
          <w:highlight w:val="none"/>
        </w:rPr>
        <w:t>）发送《政府采购活动现场确认声明书》（上表）。</w:t>
      </w:r>
      <w:r>
        <w:rPr>
          <w:rFonts w:hint="eastAsia" w:ascii="宋体" w:hAnsi="宋体" w:eastAsia="宋体" w:cs="宋体"/>
          <w:b/>
          <w:color w:val="auto"/>
          <w:sz w:val="24"/>
          <w:szCs w:val="24"/>
          <w:highlight w:val="none"/>
          <w:lang w:eastAsia="zh-CN"/>
        </w:rPr>
        <w:br w:type="page"/>
      </w:r>
      <w:r>
        <w:rPr>
          <w:rFonts w:hint="eastAsia" w:ascii="宋体" w:hAnsi="宋体" w:eastAsia="宋体" w:cs="宋体"/>
          <w:b/>
          <w:color w:val="auto"/>
          <w:sz w:val="24"/>
          <w:szCs w:val="24"/>
          <w:highlight w:val="none"/>
          <w:lang w:eastAsia="zh-CN"/>
        </w:rPr>
        <w:t>附件1</w:t>
      </w:r>
      <w:r>
        <w:rPr>
          <w:rFonts w:hint="eastAsia" w:ascii="宋体" w:hAnsi="宋体" w:eastAsia="宋体" w:cs="宋体"/>
          <w:b/>
          <w:color w:val="auto"/>
          <w:sz w:val="24"/>
          <w:szCs w:val="24"/>
          <w:highlight w:val="none"/>
          <w:lang w:val="en-US" w:eastAsia="zh-CN"/>
        </w:rPr>
        <w:t>9</w:t>
      </w:r>
    </w:p>
    <w:p>
      <w:pPr>
        <w:pStyle w:val="16"/>
        <w:snapToGrid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承诺书</w:t>
      </w:r>
    </w:p>
    <w:p>
      <w:pPr>
        <w:pStyle w:val="16"/>
        <w:snapToGrid w:val="0"/>
        <w:spacing w:line="400" w:lineRule="exact"/>
        <w:jc w:val="center"/>
        <w:rPr>
          <w:rFonts w:hint="eastAsia" w:ascii="宋体" w:hAnsi="宋体" w:eastAsia="宋体" w:cs="宋体"/>
          <w:b/>
          <w:color w:val="auto"/>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eastAsia="zh-CN"/>
        </w:rPr>
        <w:t>温州市公安局交通管理局</w:t>
      </w:r>
      <w:r>
        <w:rPr>
          <w:rFonts w:hint="eastAsia" w:ascii="宋体" w:hAnsi="宋体" w:eastAsia="宋体" w:cs="宋体"/>
          <w:color w:val="auto"/>
          <w:sz w:val="24"/>
          <w:szCs w:val="24"/>
          <w:highlight w:val="none"/>
        </w:rPr>
        <w:t>：</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我单位就</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项目承诺如下：</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line="5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 xml:space="preserve">                 </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若不能落实到位，我方无条件接受采购人的任何处理决定，我单位对此无任何异议。</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特此承诺！</w:t>
      </w:r>
    </w:p>
    <w:p>
      <w:pPr>
        <w:pStyle w:val="6"/>
        <w:spacing w:before="0" w:after="0"/>
        <w:jc w:val="left"/>
        <w:rPr>
          <w:rFonts w:hint="eastAsia" w:ascii="宋体" w:hAnsi="宋体" w:eastAsia="宋体" w:cs="宋体"/>
          <w:b w:val="0"/>
          <w:bCs w:val="0"/>
          <w:color w:val="auto"/>
          <w:kern w:val="2"/>
          <w:sz w:val="24"/>
          <w:szCs w:val="24"/>
          <w:highlight w:val="none"/>
        </w:rPr>
      </w:pPr>
    </w:p>
    <w:p>
      <w:pPr>
        <w:rPr>
          <w:rFonts w:hint="eastAsia" w:ascii="宋体" w:hAnsi="宋体" w:eastAsia="宋体" w:cs="宋体"/>
          <w:b w:val="0"/>
          <w:bCs w:val="0"/>
          <w:color w:val="auto"/>
          <w:kern w:val="2"/>
          <w:sz w:val="24"/>
          <w:szCs w:val="24"/>
          <w:highlight w:val="none"/>
        </w:rPr>
      </w:pP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投标人全称(公章)：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widowControl/>
        <w:spacing w:line="400" w:lineRule="exact"/>
        <w:rPr>
          <w:rFonts w:hint="eastAsia" w:ascii="宋体" w:hAnsi="宋体" w:eastAsia="宋体" w:cs="宋体"/>
          <w:b/>
          <w:color w:val="auto"/>
          <w:sz w:val="32"/>
          <w:highlight w:val="none"/>
        </w:rPr>
      </w:pPr>
      <w:r>
        <w:rPr>
          <w:rFonts w:hint="eastAsia" w:ascii="宋体" w:hAnsi="宋体" w:eastAsia="宋体" w:cs="宋体"/>
          <w:color w:val="auto"/>
          <w:kern w:val="0"/>
          <w:sz w:val="24"/>
          <w:szCs w:val="24"/>
          <w:highlight w:val="none"/>
        </w:rPr>
        <w:t>日期：    年    月    日</w:t>
      </w:r>
      <w:r>
        <w:rPr>
          <w:rFonts w:hint="eastAsia" w:ascii="宋体" w:hAnsi="宋体" w:eastAsia="宋体" w:cs="宋体"/>
          <w:b/>
          <w:color w:val="auto"/>
          <w:sz w:val="32"/>
          <w:highlight w:val="none"/>
        </w:rPr>
        <w:br w:type="page"/>
      </w: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第五部分 采购需求</w:t>
      </w:r>
    </w:p>
    <w:p>
      <w:pPr>
        <w:pStyle w:val="6"/>
        <w:keepNext/>
        <w:keepLines/>
        <w:pageBreakBefore w:val="0"/>
        <w:widowControl w:val="0"/>
        <w:numPr>
          <w:ilvl w:val="0"/>
          <w:numId w:val="0"/>
        </w:numPr>
        <w:tabs>
          <w:tab w:val="left" w:pos="432"/>
        </w:tabs>
        <w:kinsoku/>
        <w:wordWrap/>
        <w:overflowPunct/>
        <w:topLinePunct w:val="0"/>
        <w:autoSpaceDE/>
        <w:autoSpaceDN/>
        <w:bidi w:val="0"/>
        <w:adjustRightInd w:val="0"/>
        <w:snapToGrid w:val="0"/>
        <w:spacing w:before="0" w:beforeAutospacing="0" w:after="0" w:afterAutospacing="0" w:line="360" w:lineRule="exact"/>
        <w:ind w:left="0" w:leftChars="0"/>
        <w:jc w:val="center"/>
        <w:textAlignment w:val="auto"/>
        <w:rPr>
          <w:rFonts w:hint="eastAsia" w:ascii="宋体" w:hAnsi="宋体" w:cs="宋体"/>
          <w:color w:val="auto"/>
          <w:sz w:val="24"/>
          <w:szCs w:val="24"/>
          <w:highlight w:val="none"/>
          <w:lang w:val="en-US" w:eastAsia="zh-CN"/>
        </w:rPr>
      </w:pPr>
    </w:p>
    <w:p>
      <w:pPr>
        <w:pStyle w:val="6"/>
        <w:keepNext/>
        <w:keepLines/>
        <w:pageBreakBefore w:val="0"/>
        <w:widowControl w:val="0"/>
        <w:numPr>
          <w:ilvl w:val="0"/>
          <w:numId w:val="0"/>
        </w:numPr>
        <w:tabs>
          <w:tab w:val="left" w:pos="432"/>
        </w:tabs>
        <w:kinsoku/>
        <w:wordWrap/>
        <w:overflowPunct/>
        <w:topLinePunct w:val="0"/>
        <w:autoSpaceDE/>
        <w:autoSpaceDN/>
        <w:bidi w:val="0"/>
        <w:adjustRightInd w:val="0"/>
        <w:snapToGrid w:val="0"/>
        <w:spacing w:before="0" w:beforeAutospacing="0" w:after="0" w:afterAutospacing="0" w:line="360" w:lineRule="exact"/>
        <w:ind w:left="0" w:left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第一章 标项1：2022年温州市交管信控系统项目采购需求</w:t>
      </w:r>
    </w:p>
    <w:p>
      <w:pPr>
        <w:pStyle w:val="6"/>
        <w:keepNext/>
        <w:keepLines/>
        <w:pageBreakBefore w:val="0"/>
        <w:widowControl w:val="0"/>
        <w:numPr>
          <w:ilvl w:val="0"/>
          <w:numId w:val="0"/>
        </w:numPr>
        <w:tabs>
          <w:tab w:val="left" w:pos="432"/>
        </w:tabs>
        <w:kinsoku/>
        <w:wordWrap/>
        <w:overflowPunct/>
        <w:topLinePunct w:val="0"/>
        <w:autoSpaceDE/>
        <w:autoSpaceDN/>
        <w:bidi w:val="0"/>
        <w:adjustRightInd w:val="0"/>
        <w:snapToGrid w:val="0"/>
        <w:spacing w:before="0" w:beforeAutospacing="0" w:after="0" w:afterAutospacing="0" w:line="360" w:lineRule="exact"/>
        <w:ind w:left="0" w:left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项目概况</w:t>
      </w:r>
    </w:p>
    <w:p>
      <w:pPr>
        <w:pageBreakBefore w:val="0"/>
        <w:widowControl w:val="0"/>
        <w:kinsoku/>
        <w:wordWrap/>
        <w:overflowPunct/>
        <w:topLinePunct w:val="0"/>
        <w:autoSpaceDE/>
        <w:autoSpaceDN/>
        <w:bidi w:val="0"/>
        <w:spacing w:beforeAutospacing="0" w:afterAutospacing="0" w:line="360" w:lineRule="exact"/>
        <w:ind w:left="0" w:leftChars="0" w:firstLine="440" w:firstLineChars="200"/>
        <w:jc w:val="left"/>
        <w:textAlignment w:val="auto"/>
        <w:rPr>
          <w:rFonts w:hint="eastAsia" w:ascii="宋体" w:hAnsi="宋体" w:eastAsia="宋体" w:cs="宋体"/>
          <w:color w:val="auto"/>
          <w:sz w:val="22"/>
          <w:szCs w:val="22"/>
          <w:highlight w:val="none"/>
        </w:rPr>
      </w:pPr>
      <w:bookmarkStart w:id="265" w:name="_Toc383636755"/>
      <w:bookmarkStart w:id="266" w:name="_Toc384111236"/>
      <w:r>
        <w:rPr>
          <w:rFonts w:hint="eastAsia" w:ascii="宋体" w:hAnsi="宋体" w:eastAsia="宋体" w:cs="宋体"/>
          <w:color w:val="auto"/>
          <w:sz w:val="22"/>
          <w:szCs w:val="22"/>
          <w:highlight w:val="none"/>
        </w:rPr>
        <w:t>根据市交管局新一轮的“一环</w:t>
      </w:r>
      <w:r>
        <w:rPr>
          <w:rFonts w:hint="eastAsia" w:ascii="宋体" w:hAnsi="宋体" w:cs="宋体"/>
          <w:color w:val="auto"/>
          <w:sz w:val="22"/>
          <w:szCs w:val="22"/>
          <w:highlight w:val="none"/>
          <w:lang w:eastAsia="zh-CN"/>
        </w:rPr>
        <w:t>九</w:t>
      </w:r>
      <w:r>
        <w:rPr>
          <w:rFonts w:hint="eastAsia" w:ascii="宋体" w:hAnsi="宋体" w:eastAsia="宋体" w:cs="宋体"/>
          <w:color w:val="auto"/>
          <w:sz w:val="22"/>
          <w:szCs w:val="22"/>
          <w:highlight w:val="none"/>
        </w:rPr>
        <w:t>线”的规划布建方向，温州市交管局将重点对环内及线上道路上未建设智能信号的交叉口进行补充建设，通过自动协调和区域控制交通信号配时，均衡路网内交通流的运行，达到疏导交通和提高车辆行驶速度，最大地发挥其道路交通系统的通行效益。</w:t>
      </w:r>
    </w:p>
    <w:p>
      <w:pPr>
        <w:pageBreakBefore w:val="0"/>
        <w:widowControl w:val="0"/>
        <w:kinsoku/>
        <w:wordWrap/>
        <w:overflowPunct/>
        <w:topLinePunct w:val="0"/>
        <w:autoSpaceDE/>
        <w:autoSpaceDN/>
        <w:bidi w:val="0"/>
        <w:spacing w:beforeAutospacing="0" w:afterAutospacing="0" w:line="36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建设交通诱导信息发布系统实现主动式的交通控制方式，通过传递交通信息引导和控制交通参与者的交通行为，达到交通安全、畅通、有序的控制目的。</w:t>
      </w:r>
      <w:bookmarkEnd w:id="265"/>
      <w:bookmarkEnd w:id="266"/>
      <w:bookmarkStart w:id="267" w:name="OLE_LINK8"/>
      <w:bookmarkStart w:id="268" w:name="_Toc441051470"/>
      <w:bookmarkStart w:id="269" w:name="_Toc282690457"/>
      <w:bookmarkStart w:id="270" w:name="_Toc201920311"/>
    </w:p>
    <w:p>
      <w:pPr>
        <w:pageBreakBefore w:val="0"/>
        <w:widowControl w:val="0"/>
        <w:kinsoku/>
        <w:wordWrap/>
        <w:overflowPunct/>
        <w:topLinePunct w:val="0"/>
        <w:autoSpaceDE/>
        <w:autoSpaceDN/>
        <w:bidi w:val="0"/>
        <w:spacing w:beforeAutospacing="0" w:afterAutospacing="0" w:line="360" w:lineRule="exact"/>
        <w:ind w:left="0" w:leftChars="0" w:firstLine="442"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▲本采购项目为2022年温州市交管信控系统项</w:t>
      </w:r>
      <w:r>
        <w:rPr>
          <w:rFonts w:hint="eastAsia" w:ascii="宋体" w:hAnsi="宋体" w:cs="宋体"/>
          <w:b/>
          <w:color w:val="auto"/>
          <w:sz w:val="22"/>
          <w:szCs w:val="22"/>
          <w:highlight w:val="none"/>
          <w:u w:val="single"/>
          <w:lang w:val="en-US" w:eastAsia="zh-CN"/>
        </w:rPr>
        <w:t>目—</w:t>
      </w:r>
      <w:r>
        <w:rPr>
          <w:rFonts w:hint="eastAsia" w:ascii="宋体" w:hAnsi="宋体" w:eastAsia="宋体" w:cs="宋体"/>
          <w:b/>
          <w:color w:val="auto"/>
          <w:sz w:val="22"/>
          <w:szCs w:val="22"/>
          <w:highlight w:val="none"/>
          <w:u w:val="single"/>
        </w:rPr>
        <w:t>SCATS</w:t>
      </w:r>
      <w:r>
        <w:rPr>
          <w:rFonts w:hint="eastAsia" w:ascii="宋体" w:hAnsi="宋体" w:eastAsia="宋体" w:cs="宋体"/>
          <w:b/>
          <w:color w:val="auto"/>
          <w:sz w:val="22"/>
          <w:szCs w:val="22"/>
          <w:highlight w:val="none"/>
          <w:u w:val="single"/>
          <w:lang w:val="en-US" w:eastAsia="zh-CN"/>
        </w:rPr>
        <w:t>智能</w:t>
      </w:r>
      <w:r>
        <w:rPr>
          <w:rFonts w:hint="eastAsia" w:ascii="宋体" w:hAnsi="宋体" w:eastAsia="宋体" w:cs="宋体"/>
          <w:b/>
          <w:color w:val="auto"/>
          <w:sz w:val="22"/>
          <w:szCs w:val="22"/>
          <w:highlight w:val="none"/>
          <w:u w:val="single"/>
        </w:rPr>
        <w:t>信号系统建设，包括设备的供货、安装调试、系统集成、验收、培训费、技术服务和税金等。</w:t>
      </w:r>
      <w:r>
        <w:rPr>
          <w:rFonts w:hint="eastAsia" w:ascii="宋体" w:hAnsi="宋体" w:eastAsia="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必须根据自己的技术和商务优势对所有</w:t>
      </w:r>
      <w:r>
        <w:rPr>
          <w:rFonts w:hint="eastAsia" w:ascii="宋体" w:hAnsi="宋体" w:cs="宋体"/>
          <w:b/>
          <w:color w:val="auto"/>
          <w:sz w:val="22"/>
          <w:szCs w:val="22"/>
          <w:highlight w:val="none"/>
          <w:u w:val="single"/>
          <w:lang w:val="en-US" w:eastAsia="zh-CN"/>
        </w:rPr>
        <w:t>项目</w:t>
      </w:r>
      <w:r>
        <w:rPr>
          <w:rFonts w:hint="eastAsia" w:ascii="宋体" w:hAnsi="宋体" w:eastAsia="宋体" w:cs="宋体"/>
          <w:b/>
          <w:color w:val="auto"/>
          <w:sz w:val="22"/>
          <w:szCs w:val="22"/>
          <w:highlight w:val="none"/>
          <w:u w:val="single"/>
        </w:rPr>
        <w:t>进行投标。</w:t>
      </w:r>
    </w:p>
    <w:bookmarkEnd w:id="267"/>
    <w:bookmarkEnd w:id="268"/>
    <w:bookmarkEnd w:id="269"/>
    <w:bookmarkEnd w:id="270"/>
    <w:p>
      <w:pPr>
        <w:pStyle w:val="6"/>
        <w:pageBreakBefore w:val="0"/>
        <w:widowControl w:val="0"/>
        <w:numPr>
          <w:ilvl w:val="0"/>
          <w:numId w:val="0"/>
        </w:numPr>
        <w:tabs>
          <w:tab w:val="left" w:pos="432"/>
        </w:tabs>
        <w:kinsoku/>
        <w:wordWrap/>
        <w:overflowPunct/>
        <w:topLinePunct w:val="0"/>
        <w:autoSpaceDE/>
        <w:autoSpaceDN/>
        <w:bidi w:val="0"/>
        <w:adjustRightInd w:val="0"/>
        <w:snapToGrid w:val="0"/>
        <w:spacing w:before="0" w:beforeAutospacing="0" w:after="0" w:afterAutospacing="0" w:line="360" w:lineRule="exact"/>
        <w:ind w:left="0" w:left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总体要求</w:t>
      </w:r>
    </w:p>
    <w:p>
      <w:pPr>
        <w:pageBreakBefore w:val="0"/>
        <w:widowControl w:val="0"/>
        <w:kinsoku/>
        <w:wordWrap/>
        <w:overflowPunct/>
        <w:topLinePunct w:val="0"/>
        <w:autoSpaceDE/>
        <w:autoSpaceDN/>
        <w:bidi w:val="0"/>
        <w:spacing w:beforeAutospacing="0" w:afterAutospacing="0" w:line="360" w:lineRule="exact"/>
        <w:ind w:left="0" w:leftChars="0" w:firstLine="440" w:firstLineChars="200"/>
        <w:jc w:val="left"/>
        <w:textAlignment w:val="auto"/>
        <w:rPr>
          <w:rFonts w:hint="eastAsia" w:ascii="宋体" w:hAnsi="宋体" w:eastAsia="宋体" w:cs="宋体"/>
          <w:color w:val="auto"/>
          <w:sz w:val="22"/>
          <w:szCs w:val="22"/>
          <w:highlight w:val="none"/>
        </w:rPr>
      </w:pPr>
      <w:bookmarkStart w:id="271" w:name="_Toc383636756"/>
      <w:bookmarkStart w:id="272" w:name="_Toc384111237"/>
      <w:r>
        <w:rPr>
          <w:rFonts w:hint="eastAsia" w:ascii="宋体" w:hAnsi="宋体" w:eastAsia="宋体" w:cs="宋体"/>
          <w:color w:val="auto"/>
          <w:sz w:val="22"/>
          <w:szCs w:val="22"/>
          <w:highlight w:val="none"/>
        </w:rPr>
        <w:t>根据市交管局新一轮的“一环八线”的规划布建方向，温州市交管局将重点对环内及线上道路上未建设智能信号的交叉口进行补充建设以及设立交通诱导信息发布系统，目标重点对重点道路进行补点建设，加速推进智能交通系统建设和优化，防范影响交通拥堵的行为，加强车辆的行驶安全通畅工作。</w:t>
      </w:r>
    </w:p>
    <w:tbl>
      <w:tblPr>
        <w:tblStyle w:val="31"/>
        <w:tblW w:w="8079" w:type="dxa"/>
        <w:jc w:val="center"/>
        <w:tblLayout w:type="autofit"/>
        <w:tblCellMar>
          <w:top w:w="0" w:type="dxa"/>
          <w:left w:w="108" w:type="dxa"/>
          <w:bottom w:w="0" w:type="dxa"/>
          <w:right w:w="108" w:type="dxa"/>
        </w:tblCellMar>
      </w:tblPr>
      <w:tblGrid>
        <w:gridCol w:w="899"/>
        <w:gridCol w:w="3381"/>
        <w:gridCol w:w="1267"/>
        <w:gridCol w:w="1127"/>
        <w:gridCol w:w="1405"/>
      </w:tblGrid>
      <w:tr>
        <w:tblPrEx>
          <w:tblCellMar>
            <w:top w:w="0" w:type="dxa"/>
            <w:left w:w="108" w:type="dxa"/>
            <w:bottom w:w="0" w:type="dxa"/>
            <w:right w:w="108" w:type="dxa"/>
          </w:tblCellMar>
        </w:tblPrEx>
        <w:trPr>
          <w:trHeight w:val="567" w:hRule="atLeast"/>
          <w:jc w:val="center"/>
        </w:trPr>
        <w:tc>
          <w:tcPr>
            <w:tcW w:w="89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beforeAutospacing="0" w:afterAutospacing="0" w:line="360" w:lineRule="exact"/>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38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bidi w:val="0"/>
              <w:spacing w:beforeAutospacing="0" w:afterAutospacing="0" w:line="360" w:lineRule="exact"/>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系统名称</w:t>
            </w:r>
          </w:p>
        </w:tc>
        <w:tc>
          <w:tcPr>
            <w:tcW w:w="1267"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bidi w:val="0"/>
              <w:spacing w:beforeAutospacing="0" w:afterAutospacing="0" w:line="360" w:lineRule="exact"/>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127"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bidi w:val="0"/>
              <w:spacing w:beforeAutospacing="0" w:afterAutospacing="0" w:line="360" w:lineRule="exact"/>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1405"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pacing w:beforeAutospacing="0" w:afterAutospacing="0" w:line="360" w:lineRule="exact"/>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108" w:type="dxa"/>
            <w:bottom w:w="0" w:type="dxa"/>
            <w:right w:w="108" w:type="dxa"/>
          </w:tblCellMar>
        </w:tblPrEx>
        <w:trPr>
          <w:trHeight w:val="567" w:hRule="atLeast"/>
          <w:jc w:val="center"/>
        </w:trPr>
        <w:tc>
          <w:tcPr>
            <w:tcW w:w="89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beforeAutospacing="0" w:afterAutospacing="0" w:line="360" w:lineRule="exact"/>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38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pacing w:beforeAutospacing="0" w:afterAutospacing="0" w:line="360" w:lineRule="exact"/>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SCATS</w:t>
            </w:r>
            <w:r>
              <w:rPr>
                <w:rFonts w:hint="eastAsia" w:ascii="宋体" w:hAnsi="宋体" w:eastAsia="宋体" w:cs="宋体"/>
                <w:color w:val="auto"/>
                <w:sz w:val="22"/>
                <w:szCs w:val="22"/>
                <w:highlight w:val="none"/>
                <w:lang w:val="en-US" w:eastAsia="zh-CN"/>
              </w:rPr>
              <w:t>智能</w:t>
            </w:r>
            <w:r>
              <w:rPr>
                <w:rFonts w:hint="eastAsia" w:ascii="宋体" w:hAnsi="宋体" w:eastAsia="宋体" w:cs="宋体"/>
                <w:color w:val="auto"/>
                <w:sz w:val="22"/>
                <w:szCs w:val="22"/>
                <w:highlight w:val="none"/>
              </w:rPr>
              <w:t>信号系统</w:t>
            </w:r>
          </w:p>
        </w:tc>
        <w:tc>
          <w:tcPr>
            <w:tcW w:w="1267"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bidi w:val="0"/>
              <w:spacing w:beforeAutospacing="0" w:afterAutospacing="0" w:line="360" w:lineRule="exact"/>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75</w:t>
            </w:r>
          </w:p>
        </w:tc>
        <w:tc>
          <w:tcPr>
            <w:tcW w:w="112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pacing w:beforeAutospacing="0" w:afterAutospacing="0" w:line="360" w:lineRule="exact"/>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套</w:t>
            </w:r>
          </w:p>
        </w:tc>
        <w:tc>
          <w:tcPr>
            <w:tcW w:w="1405"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pacing w:beforeAutospacing="0" w:afterAutospacing="0" w:line="360" w:lineRule="exact"/>
              <w:ind w:left="0" w:leftChars="0" w:firstLine="0" w:firstLineChars="0"/>
              <w:rPr>
                <w:rFonts w:hint="eastAsia" w:ascii="宋体" w:hAnsi="宋体" w:eastAsia="宋体" w:cs="宋体"/>
                <w:color w:val="auto"/>
                <w:sz w:val="22"/>
                <w:szCs w:val="22"/>
                <w:highlight w:val="none"/>
              </w:rPr>
            </w:pPr>
          </w:p>
        </w:tc>
      </w:tr>
    </w:tbl>
    <w:p>
      <w:pPr>
        <w:pageBreakBefore w:val="0"/>
        <w:widowControl/>
        <w:kinsoku/>
        <w:wordWrap/>
        <w:overflowPunct/>
        <w:topLinePunct w:val="0"/>
        <w:autoSpaceDE w:val="0"/>
        <w:autoSpaceDN w:val="0"/>
        <w:bidi w:val="0"/>
        <w:adjustRightInd w:val="0"/>
        <w:spacing w:beforeAutospacing="0" w:afterAutospacing="0" w:line="360" w:lineRule="exact"/>
        <w:ind w:left="0" w:leftChars="0" w:firstLine="42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相关系统建设的技术服务，包括地下基础、管线开挖、设备安装及系统调试等等，均要按照相关最新的技术标准和规范要求实施，所有系统设备采取防雷、接地、防漏电等措施，确保工程质量与安全。在项目前期建设及后期运维期内，中标人应按有关规定采取严格的安全防护措施，承担由于自身安全措施不当或操作不当造成事故的全部责任和因此发生的全部损失和费用。</w:t>
      </w:r>
    </w:p>
    <w:p>
      <w:pPr>
        <w:pageBreakBefore w:val="0"/>
        <w:widowControl/>
        <w:kinsoku/>
        <w:wordWrap/>
        <w:overflowPunct/>
        <w:topLinePunct w:val="0"/>
        <w:autoSpaceDE w:val="0"/>
        <w:autoSpaceDN w:val="0"/>
        <w:bidi w:val="0"/>
        <w:adjustRightInd w:val="0"/>
        <w:spacing w:beforeAutospacing="0" w:afterAutospacing="0" w:line="360" w:lineRule="exact"/>
        <w:ind w:left="0" w:leftChars="0" w:firstLine="420"/>
        <w:textAlignment w:val="bottom"/>
        <w:rPr>
          <w:color w:val="auto"/>
          <w:highlight w:val="none"/>
        </w:rPr>
      </w:pP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为交钥匙工程，</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不得以其它理由增加费用。中标人自行负责道路开挖审批手续及由此产生的费用，</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仅提供道路开挖审批证明材料。</w:t>
      </w:r>
    </w:p>
    <w:p>
      <w:pPr>
        <w:pageBreakBefore w:val="0"/>
        <w:widowControl/>
        <w:kinsoku/>
        <w:wordWrap/>
        <w:overflowPunct/>
        <w:topLinePunct w:val="0"/>
        <w:autoSpaceDE w:val="0"/>
        <w:autoSpaceDN w:val="0"/>
        <w:bidi w:val="0"/>
        <w:adjustRightInd w:val="0"/>
        <w:spacing w:beforeAutospacing="0" w:afterAutospacing="0" w:line="360" w:lineRule="exact"/>
        <w:ind w:left="0" w:leftChars="0" w:firstLine="42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▲在</w:t>
      </w:r>
      <w:r>
        <w:rPr>
          <w:rFonts w:hint="eastAsia" w:ascii="宋体" w:hAnsi="宋体" w:eastAsia="宋体" w:cs="宋体"/>
          <w:color w:val="auto"/>
          <w:sz w:val="22"/>
          <w:szCs w:val="22"/>
          <w:highlight w:val="none"/>
          <w:u w:val="single"/>
          <w:lang w:val="en-US" w:eastAsia="zh-CN"/>
        </w:rPr>
        <w:t>报价文件</w:t>
      </w:r>
      <w:r>
        <w:rPr>
          <w:rFonts w:hint="eastAsia" w:ascii="宋体" w:hAnsi="宋体" w:eastAsia="宋体" w:cs="宋体"/>
          <w:color w:val="auto"/>
          <w:sz w:val="22"/>
          <w:szCs w:val="22"/>
          <w:highlight w:val="none"/>
          <w:u w:val="single"/>
        </w:rPr>
        <w:t>中必须明确列出产品、</w:t>
      </w:r>
      <w:r>
        <w:rPr>
          <w:rFonts w:hint="eastAsia" w:ascii="宋体" w:hAnsi="宋体" w:eastAsia="宋体" w:cs="宋体"/>
          <w:color w:val="auto"/>
          <w:sz w:val="22"/>
          <w:szCs w:val="22"/>
          <w:highlight w:val="none"/>
          <w:u w:val="single"/>
          <w:lang w:val="en-US" w:eastAsia="zh-CN"/>
        </w:rPr>
        <w:t>服务</w:t>
      </w:r>
      <w:r>
        <w:rPr>
          <w:rFonts w:hint="eastAsia" w:ascii="宋体" w:hAnsi="宋体" w:eastAsia="宋体" w:cs="宋体"/>
          <w:color w:val="auto"/>
          <w:sz w:val="22"/>
          <w:szCs w:val="22"/>
          <w:highlight w:val="none"/>
          <w:u w:val="single"/>
        </w:rPr>
        <w:t>等费用的详细报价。</w:t>
      </w:r>
    </w:p>
    <w:bookmarkEnd w:id="271"/>
    <w:bookmarkEnd w:id="272"/>
    <w:p>
      <w:pPr>
        <w:spacing w:line="36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lang w:val="en-US" w:eastAsia="zh-CN"/>
        </w:rPr>
        <w:t>三、</w:t>
      </w:r>
      <w:r>
        <w:rPr>
          <w:rFonts w:hint="eastAsia" w:ascii="宋体" w:hAnsi="宋体" w:eastAsia="宋体" w:cs="宋体"/>
          <w:b/>
          <w:bCs/>
          <w:color w:val="auto"/>
          <w:sz w:val="22"/>
          <w:szCs w:val="22"/>
          <w:highlight w:val="none"/>
        </w:rPr>
        <w:t>为落实政府采购政策需满足的要求：</w:t>
      </w:r>
    </w:p>
    <w:tbl>
      <w:tblPr>
        <w:tblStyle w:val="31"/>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879"/>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8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政策名称</w:t>
            </w:r>
          </w:p>
        </w:tc>
        <w:tc>
          <w:tcPr>
            <w:tcW w:w="60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政府采购促进中小企业发展</w:t>
            </w:r>
          </w:p>
        </w:tc>
        <w:tc>
          <w:tcPr>
            <w:tcW w:w="6079" w:type="dxa"/>
            <w:vAlign w:val="center"/>
          </w:tcPr>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8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政府采购支持监狱企业发展</w:t>
            </w:r>
          </w:p>
        </w:tc>
        <w:tc>
          <w:tcPr>
            <w:tcW w:w="6079" w:type="dxa"/>
            <w:vAlign w:val="center"/>
          </w:tcPr>
          <w:p>
            <w:pPr>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8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政府采购促进残疾人就业</w:t>
            </w:r>
          </w:p>
        </w:tc>
        <w:tc>
          <w:tcPr>
            <w:tcW w:w="6079" w:type="dxa"/>
            <w:vAlign w:val="center"/>
          </w:tcPr>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2879" w:type="dxa"/>
            <w:vAlign w:val="center"/>
          </w:tcPr>
          <w:p>
            <w:pPr>
              <w:widowControl/>
              <w:adjustRightInd w:val="0"/>
              <w:snapToGrid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政府采购节能环保产品</w:t>
            </w:r>
          </w:p>
        </w:tc>
        <w:tc>
          <w:tcPr>
            <w:tcW w:w="6079" w:type="dxa"/>
            <w:vAlign w:val="center"/>
          </w:tcPr>
          <w:p>
            <w:pPr>
              <w:widowControl/>
              <w:adjustRightInd w:val="0"/>
              <w:snapToGri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pPr>
              <w:widowControl/>
              <w:adjustRightInd w:val="0"/>
              <w:snapToGrid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▲2、采购人拟采购的产品属于政府强制采购的节能产品品目清单范围的，投标人未按招标文件要求提供国家确定的认证机构出具的、处于有效期之内的节能产品认证证书的，投标无效。</w:t>
            </w:r>
          </w:p>
          <w:p>
            <w:pPr>
              <w:widowControl/>
              <w:adjustRightInd w:val="0"/>
              <w:snapToGrid w:val="0"/>
              <w:spacing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本项目强制采购节能产品为：</w:t>
            </w:r>
            <w:r>
              <w:rPr>
                <w:rFonts w:hint="eastAsia" w:ascii="宋体" w:hAnsi="宋体" w:eastAsia="宋体" w:cs="宋体"/>
                <w:color w:val="auto"/>
                <w:highlight w:val="none"/>
                <w:lang w:val="en-US" w:eastAsia="zh-CN"/>
              </w:rPr>
              <w:t>无</w:t>
            </w:r>
            <w:r>
              <w:rPr>
                <w:rFonts w:hint="eastAsia" w:ascii="宋体" w:hAnsi="宋体" w:eastAsia="宋体" w:cs="宋体"/>
                <w:b/>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879" w:type="dxa"/>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政府采购进口产品</w:t>
            </w:r>
          </w:p>
        </w:tc>
        <w:tc>
          <w:tcPr>
            <w:tcW w:w="6079" w:type="dxa"/>
            <w:vAlign w:val="center"/>
          </w:tcPr>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不适用</w:t>
            </w:r>
          </w:p>
        </w:tc>
      </w:tr>
    </w:tbl>
    <w:p>
      <w:pPr>
        <w:pageBreakBefore w:val="0"/>
        <w:kinsoku/>
        <w:wordWrap/>
        <w:overflowPunct/>
        <w:topLinePunct w:val="0"/>
        <w:bidi w:val="0"/>
        <w:spacing w:beforeAutospacing="0" w:afterAutospacing="0" w:line="360" w:lineRule="exac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四、采购需求</w:t>
      </w:r>
    </w:p>
    <w:p>
      <w:pPr>
        <w:numPr>
          <w:ilvl w:val="0"/>
          <w:numId w:val="12"/>
        </w:numPr>
        <w:snapToGrid w:val="0"/>
        <w:spacing w:line="360" w:lineRule="exact"/>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商务要求（技术要求里另有注明的以技术要求为准）</w:t>
      </w:r>
    </w:p>
    <w:tbl>
      <w:tblPr>
        <w:tblStyle w:val="31"/>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spacing w:line="3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付款方式</w:t>
            </w:r>
          </w:p>
        </w:tc>
        <w:tc>
          <w:tcPr>
            <w:tcW w:w="8262"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right="0" w:rightChars="0"/>
              <w:jc w:val="left"/>
              <w:textAlignment w:val="auto"/>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u w:val="single"/>
              </w:rPr>
              <w:t>▲合同生效后7个工作日内，向中标人支付</w:t>
            </w:r>
            <w:r>
              <w:rPr>
                <w:rFonts w:hint="eastAsia" w:ascii="宋体" w:hAnsi="宋体" w:cs="宋体"/>
                <w:color w:val="auto"/>
                <w:sz w:val="22"/>
                <w:szCs w:val="22"/>
                <w:highlight w:val="none"/>
                <w:u w:val="single"/>
                <w:lang w:val="en-US" w:eastAsia="zh-CN"/>
              </w:rPr>
              <w:t>合同总金额50%</w:t>
            </w:r>
            <w:r>
              <w:rPr>
                <w:rFonts w:hint="eastAsia" w:ascii="宋体" w:hAnsi="宋体" w:eastAsia="宋体" w:cs="宋体"/>
                <w:color w:val="auto"/>
                <w:sz w:val="22"/>
                <w:szCs w:val="22"/>
                <w:highlight w:val="none"/>
                <w:u w:val="single"/>
              </w:rPr>
              <w:t>的预付款，</w:t>
            </w:r>
            <w:r>
              <w:rPr>
                <w:rFonts w:hint="eastAsia" w:ascii="宋体" w:hAnsi="宋体" w:eastAsia="宋体" w:cs="宋体"/>
                <w:color w:val="auto"/>
                <w:sz w:val="22"/>
                <w:szCs w:val="22"/>
                <w:highlight w:val="none"/>
                <w:u w:val="single"/>
                <w:lang w:val="en-US" w:eastAsia="zh-CN"/>
              </w:rPr>
              <w:t>采购人</w:t>
            </w:r>
            <w:r>
              <w:rPr>
                <w:rFonts w:hint="eastAsia" w:ascii="宋体" w:hAnsi="宋体" w:eastAsia="宋体" w:cs="宋体"/>
                <w:color w:val="auto"/>
                <w:sz w:val="22"/>
                <w:szCs w:val="22"/>
                <w:highlight w:val="none"/>
                <w:u w:val="single"/>
              </w:rPr>
              <w:t>在项目</w:t>
            </w:r>
            <w:r>
              <w:rPr>
                <w:rFonts w:hint="eastAsia" w:ascii="宋体" w:hAnsi="宋体" w:cs="宋体"/>
                <w:color w:val="auto"/>
                <w:sz w:val="22"/>
                <w:szCs w:val="22"/>
                <w:highlight w:val="none"/>
                <w:u w:val="single"/>
                <w:lang w:val="en-US" w:eastAsia="zh-CN"/>
              </w:rPr>
              <w:t>终验</w:t>
            </w:r>
            <w:r>
              <w:rPr>
                <w:rFonts w:hint="eastAsia" w:ascii="宋体" w:hAnsi="宋体" w:eastAsia="宋体" w:cs="宋体"/>
                <w:color w:val="auto"/>
                <w:sz w:val="22"/>
                <w:szCs w:val="22"/>
                <w:highlight w:val="none"/>
                <w:u w:val="single"/>
              </w:rPr>
              <w:t>合格</w:t>
            </w:r>
            <w:r>
              <w:rPr>
                <w:rFonts w:hint="eastAsia" w:ascii="宋体" w:hAnsi="宋体" w:cs="宋体"/>
                <w:color w:val="auto"/>
                <w:sz w:val="22"/>
                <w:szCs w:val="22"/>
                <w:highlight w:val="none"/>
                <w:u w:val="single"/>
                <w:lang w:val="en-US" w:eastAsia="zh-CN"/>
              </w:rPr>
              <w:t>以及</w:t>
            </w:r>
            <w:r>
              <w:rPr>
                <w:rFonts w:hint="eastAsia" w:ascii="宋体" w:hAnsi="宋体" w:eastAsia="宋体" w:cs="宋体"/>
                <w:color w:val="auto"/>
                <w:sz w:val="22"/>
                <w:szCs w:val="22"/>
                <w:highlight w:val="none"/>
                <w:u w:val="single"/>
              </w:rPr>
              <w:t>基础</w:t>
            </w:r>
            <w:r>
              <w:rPr>
                <w:rFonts w:hint="eastAsia" w:ascii="宋体" w:hAnsi="宋体" w:cs="宋体"/>
                <w:color w:val="auto"/>
                <w:sz w:val="22"/>
                <w:szCs w:val="22"/>
                <w:highlight w:val="none"/>
                <w:u w:val="single"/>
                <w:lang w:val="en-US" w:eastAsia="zh-CN"/>
              </w:rPr>
              <w:t>土建</w:t>
            </w:r>
            <w:r>
              <w:rPr>
                <w:rFonts w:hint="eastAsia" w:ascii="宋体" w:hAnsi="宋体" w:cs="宋体"/>
                <w:color w:val="auto"/>
                <w:sz w:val="22"/>
                <w:szCs w:val="22"/>
                <w:highlight w:val="none"/>
                <w:u w:val="single"/>
                <w:lang w:eastAsia="zh-CN"/>
              </w:rPr>
              <w:t>经审计</w:t>
            </w:r>
            <w:r>
              <w:rPr>
                <w:rFonts w:hint="eastAsia" w:ascii="宋体" w:hAnsi="宋体" w:eastAsia="宋体" w:cs="宋体"/>
                <w:color w:val="auto"/>
                <w:sz w:val="22"/>
                <w:szCs w:val="22"/>
                <w:highlight w:val="none"/>
                <w:u w:val="single"/>
                <w:lang w:val="en-US" w:eastAsia="zh-CN"/>
              </w:rPr>
              <w:t>决算</w:t>
            </w:r>
            <w:r>
              <w:rPr>
                <w:rFonts w:hint="eastAsia" w:ascii="宋体" w:hAnsi="宋体" w:eastAsia="宋体" w:cs="宋体"/>
                <w:color w:val="auto"/>
                <w:sz w:val="22"/>
                <w:szCs w:val="22"/>
                <w:highlight w:val="none"/>
                <w:u w:val="single"/>
              </w:rPr>
              <w:t>后向</w:t>
            </w:r>
            <w:r>
              <w:rPr>
                <w:rFonts w:hint="eastAsia" w:ascii="宋体" w:hAnsi="宋体" w:eastAsia="宋体" w:cs="宋体"/>
                <w:color w:val="auto"/>
                <w:sz w:val="22"/>
                <w:szCs w:val="22"/>
                <w:highlight w:val="none"/>
                <w:u w:val="single"/>
                <w:lang w:eastAsia="zh-CN"/>
              </w:rPr>
              <w:t>中标人</w:t>
            </w:r>
            <w:r>
              <w:rPr>
                <w:rFonts w:hint="eastAsia" w:ascii="宋体" w:hAnsi="宋体" w:cs="宋体"/>
                <w:color w:val="auto"/>
                <w:sz w:val="22"/>
                <w:szCs w:val="22"/>
                <w:highlight w:val="none"/>
                <w:u w:val="single"/>
                <w:lang w:val="en-US" w:eastAsia="zh-CN"/>
              </w:rPr>
              <w:t>按实</w:t>
            </w:r>
            <w:r>
              <w:rPr>
                <w:rFonts w:hint="eastAsia" w:ascii="宋体" w:hAnsi="宋体" w:eastAsia="宋体" w:cs="宋体"/>
                <w:color w:val="auto"/>
                <w:sz w:val="22"/>
                <w:szCs w:val="22"/>
                <w:highlight w:val="none"/>
                <w:u w:val="single"/>
              </w:rPr>
              <w:t>支付</w:t>
            </w:r>
            <w:r>
              <w:rPr>
                <w:rFonts w:hint="eastAsia" w:ascii="宋体" w:hAnsi="宋体" w:cs="宋体"/>
                <w:color w:val="auto"/>
                <w:sz w:val="22"/>
                <w:szCs w:val="22"/>
                <w:highlight w:val="none"/>
                <w:u w:val="single"/>
                <w:lang w:val="en-US" w:eastAsia="zh-CN"/>
              </w:rPr>
              <w:t>合同尾款</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基础土建部分决算价格不得高于</w:t>
            </w:r>
            <w:r>
              <w:rPr>
                <w:rFonts w:hint="eastAsia" w:ascii="宋体" w:hAnsi="宋体" w:eastAsia="宋体" w:cs="宋体"/>
                <w:color w:val="auto"/>
                <w:sz w:val="22"/>
                <w:szCs w:val="22"/>
                <w:highlight w:val="none"/>
                <w:u w:val="single"/>
                <w:lang w:val="en-US" w:eastAsia="zh-CN"/>
              </w:rPr>
              <w:t>基础土建部分</w:t>
            </w:r>
            <w:r>
              <w:rPr>
                <w:rFonts w:hint="eastAsia" w:ascii="宋体" w:hAnsi="宋体" w:cs="宋体"/>
                <w:color w:val="auto"/>
                <w:sz w:val="22"/>
                <w:szCs w:val="22"/>
                <w:highlight w:val="none"/>
                <w:u w:val="single"/>
                <w:lang w:val="en-US" w:eastAsia="zh-CN"/>
              </w:rPr>
              <w:t>最高限价</w:t>
            </w:r>
            <w:r>
              <w:rPr>
                <w:rFonts w:hint="eastAsia" w:ascii="宋体" w:hAnsi="宋体" w:eastAsia="宋体" w:cs="宋体"/>
                <w:color w:val="auto"/>
                <w:sz w:val="22"/>
                <w:szCs w:val="22"/>
                <w:highlight w:val="none"/>
                <w:u w:val="single"/>
                <w:lang w:val="en-US" w:eastAsia="zh-CN"/>
              </w:rPr>
              <w:t>金额）</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right="0" w:rightChars="0"/>
              <w:jc w:val="left"/>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cs="宋体"/>
                <w:color w:val="auto"/>
                <w:sz w:val="22"/>
                <w:szCs w:val="22"/>
                <w:highlight w:val="none"/>
                <w:u w:val="single"/>
                <w:lang w:val="en-US" w:eastAsia="zh-CN"/>
              </w:rPr>
              <w:t>注：在合同签订时，中标人明确表示无需预付款或者主动要求降低预付款比例的，按实际比例计。采购人对于满足合同约定支付条件的，自收到发票后7个工作日内将资金支付到合同约定的中标人账户。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widowControl/>
              <w:adjustRightInd w:val="0"/>
              <w:snapToGrid w:val="0"/>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交付时间</w:t>
            </w:r>
          </w:p>
        </w:tc>
        <w:tc>
          <w:tcPr>
            <w:tcW w:w="8262" w:type="dxa"/>
            <w:tcBorders>
              <w:tl2br w:val="nil"/>
              <w:tr2bl w:val="nil"/>
            </w:tcBorders>
            <w:vAlign w:val="center"/>
          </w:tcPr>
          <w:p>
            <w:pPr>
              <w:pStyle w:val="12"/>
              <w:widowControl/>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此项目整体</w:t>
            </w:r>
            <w:r>
              <w:rPr>
                <w:rFonts w:hint="eastAsia" w:ascii="宋体" w:hAnsi="宋体" w:eastAsia="宋体" w:cs="宋体"/>
                <w:color w:val="auto"/>
                <w:sz w:val="22"/>
                <w:szCs w:val="22"/>
                <w:highlight w:val="none"/>
                <w:lang w:val="en-US" w:eastAsia="zh-CN"/>
              </w:rPr>
              <w:t>建设周期为</w:t>
            </w:r>
            <w:r>
              <w:rPr>
                <w:rFonts w:hint="eastAsia" w:ascii="宋体" w:hAnsi="宋体" w:cs="宋体"/>
                <w:color w:val="auto"/>
                <w:sz w:val="22"/>
                <w:szCs w:val="22"/>
                <w:highlight w:val="none"/>
                <w:lang w:val="en-US" w:eastAsia="zh-CN"/>
              </w:rPr>
              <w:t>360</w:t>
            </w:r>
            <w:r>
              <w:rPr>
                <w:rFonts w:hint="eastAsia" w:ascii="宋体" w:hAnsi="宋体" w:eastAsia="宋体" w:cs="宋体"/>
                <w:color w:val="auto"/>
                <w:sz w:val="22"/>
                <w:szCs w:val="22"/>
                <w:highlight w:val="none"/>
                <w:lang w:eastAsia="zh-CN"/>
              </w:rPr>
              <w:t>日历天内完成设备调试安装，</w:t>
            </w:r>
            <w:r>
              <w:rPr>
                <w:rFonts w:hint="eastAsia" w:ascii="宋体" w:hAnsi="宋体" w:eastAsia="宋体" w:cs="宋体"/>
                <w:color w:val="auto"/>
                <w:sz w:val="22"/>
                <w:szCs w:val="22"/>
                <w:highlight w:val="none"/>
                <w:lang w:val="en-US" w:eastAsia="zh-CN"/>
              </w:rPr>
              <w:t>并</w:t>
            </w:r>
            <w:r>
              <w:rPr>
                <w:rFonts w:hint="eastAsia" w:ascii="宋体" w:hAnsi="宋体" w:eastAsia="宋体" w:cs="宋体"/>
                <w:color w:val="auto"/>
                <w:sz w:val="22"/>
                <w:szCs w:val="22"/>
                <w:highlight w:val="none"/>
                <w:lang w:eastAsia="zh-CN"/>
              </w:rPr>
              <w:t>进行至少为期3个月的试运行。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widowControl/>
              <w:adjustRightInd w:val="0"/>
              <w:snapToGrid w:val="0"/>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交付地点</w:t>
            </w:r>
          </w:p>
        </w:tc>
        <w:tc>
          <w:tcPr>
            <w:tcW w:w="8262" w:type="dxa"/>
            <w:tcBorders>
              <w:tl2br w:val="nil"/>
              <w:tr2bl w:val="nil"/>
            </w:tcBorders>
            <w:vAlign w:val="center"/>
          </w:tcPr>
          <w:p>
            <w:pPr>
              <w:pStyle w:val="12"/>
              <w:widowControl/>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widowControl/>
              <w:adjustRightInd w:val="0"/>
              <w:snapToGrid w:val="0"/>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质保期</w:t>
            </w:r>
          </w:p>
        </w:tc>
        <w:tc>
          <w:tcPr>
            <w:tcW w:w="8262" w:type="dxa"/>
            <w:tcBorders>
              <w:tl2br w:val="nil"/>
              <w:tr2bl w:val="nil"/>
            </w:tcBorders>
            <w:vAlign w:val="center"/>
          </w:tcPr>
          <w:p>
            <w:pPr>
              <w:pStyle w:val="12"/>
              <w:widowControl/>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w:t>
            </w:r>
            <w:r>
              <w:rPr>
                <w:rFonts w:hint="eastAsia" w:ascii="宋体" w:hAnsi="宋体" w:cs="宋体"/>
                <w:color w:val="auto"/>
                <w:sz w:val="22"/>
                <w:szCs w:val="22"/>
                <w:highlight w:val="none"/>
                <w:lang w:val="en-US" w:eastAsia="zh-CN"/>
              </w:rPr>
              <w:t>设备质保期</w:t>
            </w:r>
            <w:r>
              <w:rPr>
                <w:rFonts w:hint="eastAsia" w:ascii="宋体" w:hAnsi="宋体" w:eastAsia="宋体" w:cs="宋体"/>
                <w:color w:val="auto"/>
                <w:sz w:val="22"/>
                <w:szCs w:val="22"/>
                <w:highlight w:val="none"/>
                <w:lang w:val="en-US" w:eastAsia="zh-CN"/>
              </w:rPr>
              <w:t>为5年（验收之日起计算）。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tl2br w:val="nil"/>
              <w:tr2bl w:val="nil"/>
            </w:tcBorders>
            <w:vAlign w:val="center"/>
          </w:tcPr>
          <w:p>
            <w:pPr>
              <w:keepNext w:val="0"/>
              <w:keepLines w:val="0"/>
              <w:pageBreakBefore w:val="0"/>
              <w:kinsoku/>
              <w:wordWrap/>
              <w:overflowPunct/>
              <w:topLinePunct w:val="0"/>
              <w:autoSpaceDE/>
              <w:autoSpaceDN/>
              <w:bidi w:val="0"/>
              <w:spacing w:line="340" w:lineRule="exact"/>
              <w:ind w:left="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服务要求</w:t>
            </w:r>
          </w:p>
        </w:tc>
        <w:tc>
          <w:tcPr>
            <w:tcW w:w="8262" w:type="dxa"/>
            <w:tcBorders>
              <w:tl2br w:val="nil"/>
              <w:tr2bl w:val="nil"/>
            </w:tcBorders>
            <w:vAlign w:val="center"/>
          </w:tcPr>
          <w:p>
            <w:pPr>
              <w:pStyle w:val="12"/>
              <w:widowControl/>
              <w:adjustRightInd w:val="0"/>
              <w:snapToGrid w:val="0"/>
              <w:spacing w:line="360" w:lineRule="exact"/>
              <w:rPr>
                <w:rFonts w:hint="eastAsia" w:ascii="宋体" w:hAnsi="宋体" w:eastAsia="宋体" w:cs="宋体"/>
                <w:color w:val="auto"/>
                <w:sz w:val="22"/>
                <w:szCs w:val="22"/>
                <w:highlight w:val="none"/>
                <w:lang w:val="en-US" w:eastAsia="zh-CN"/>
              </w:rPr>
            </w:pPr>
            <w:bookmarkStart w:id="273" w:name="_Toc383179142"/>
            <w:r>
              <w:rPr>
                <w:rFonts w:hint="eastAsia" w:ascii="宋体" w:hAnsi="宋体" w:eastAsia="宋体" w:cs="宋体"/>
                <w:color w:val="auto"/>
                <w:sz w:val="22"/>
                <w:szCs w:val="22"/>
                <w:highlight w:val="none"/>
                <w:lang w:val="en-US" w:eastAsia="zh-CN"/>
              </w:rPr>
              <w:t>1、服务承诺</w:t>
            </w:r>
            <w:bookmarkEnd w:id="273"/>
          </w:p>
          <w:p>
            <w:pPr>
              <w:pStyle w:val="12"/>
              <w:widowControl/>
              <w:adjustRightInd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试运行期间需</w:t>
            </w:r>
            <w:r>
              <w:rPr>
                <w:rFonts w:hint="eastAsia" w:ascii="宋体" w:hAnsi="宋体" w:eastAsia="宋体" w:cs="宋体"/>
                <w:color w:val="auto"/>
                <w:sz w:val="22"/>
                <w:szCs w:val="22"/>
                <w:highlight w:val="none"/>
              </w:rPr>
              <w:t>对主要设备、软件、整个系统进行维护技术服务，检查系统运行情况，及时发现问题隐患并加以解决。</w:t>
            </w:r>
            <w:r>
              <w:rPr>
                <w:rFonts w:hint="eastAsia" w:ascii="宋体" w:hAnsi="宋体" w:eastAsia="宋体" w:cs="宋体"/>
                <w:color w:val="auto"/>
                <w:sz w:val="22"/>
                <w:szCs w:val="22"/>
                <w:highlight w:val="none"/>
                <w:lang w:val="en-US" w:eastAsia="zh-CN"/>
              </w:rPr>
              <w:t>并</w:t>
            </w:r>
            <w:r>
              <w:rPr>
                <w:rFonts w:hint="eastAsia" w:ascii="宋体" w:hAnsi="宋体" w:eastAsia="宋体" w:cs="宋体"/>
                <w:color w:val="auto"/>
                <w:sz w:val="22"/>
                <w:szCs w:val="22"/>
                <w:highlight w:val="none"/>
              </w:rPr>
              <w:t>负责对本系统设备及所关联的系统提供5年质保和技术支持。中标人应提供7×24小时的响应服务和 7*24小时外场设备跟踪管理，全面、及时地实施各类设备系统调整、优化及维修工作。</w:t>
            </w:r>
          </w:p>
          <w:p>
            <w:pPr>
              <w:pStyle w:val="12"/>
              <w:widowControl/>
              <w:adjustRightInd w:val="0"/>
              <w:snapToGrid w:val="0"/>
              <w:spacing w:line="360" w:lineRule="exact"/>
              <w:rPr>
                <w:rFonts w:hint="eastAsia" w:ascii="宋体" w:hAnsi="宋体" w:eastAsia="宋体" w:cs="宋体"/>
                <w:color w:val="auto"/>
                <w:sz w:val="22"/>
                <w:szCs w:val="22"/>
                <w:highlight w:val="none"/>
                <w:lang w:val="en-US" w:eastAsia="zh-CN"/>
              </w:rPr>
            </w:pPr>
            <w:bookmarkStart w:id="274" w:name="_Toc383179143"/>
            <w:r>
              <w:rPr>
                <w:rFonts w:hint="eastAsia" w:ascii="宋体" w:hAnsi="宋体" w:eastAsia="宋体" w:cs="宋体"/>
                <w:color w:val="auto"/>
                <w:sz w:val="22"/>
                <w:szCs w:val="22"/>
                <w:highlight w:val="none"/>
                <w:lang w:val="en-US" w:eastAsia="zh-CN"/>
              </w:rPr>
              <w:t>2、维护技术服务内容</w:t>
            </w:r>
            <w:bookmarkEnd w:id="274"/>
          </w:p>
          <w:p>
            <w:pPr>
              <w:pStyle w:val="12"/>
              <w:widowControl/>
              <w:adjustRightInd w:val="0"/>
              <w:snapToGrid w:val="0"/>
              <w:spacing w:line="3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2.1 日常巡检</w:t>
            </w:r>
          </w:p>
          <w:p>
            <w:pPr>
              <w:pStyle w:val="12"/>
              <w:widowControl/>
              <w:adjustRightInd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系统日常巡检是对设备进行现场检查，及时发现包括硬件设备、软件系统的系统运行中出现的隐患，减少系统发生故障的概率，保证系统的稳定运行。中标人应设有专门维护人员，</w:t>
            </w:r>
            <w:r>
              <w:rPr>
                <w:rFonts w:hint="eastAsia" w:ascii="宋体" w:hAnsi="宋体" w:eastAsia="宋体" w:cs="宋体"/>
                <w:color w:val="auto"/>
                <w:sz w:val="22"/>
                <w:szCs w:val="22"/>
                <w:highlight w:val="none"/>
                <w:lang w:val="en-US" w:eastAsia="zh-CN"/>
              </w:rPr>
              <w:t>在试运行期间</w:t>
            </w:r>
            <w:r>
              <w:rPr>
                <w:rFonts w:hint="eastAsia" w:ascii="宋体" w:hAnsi="宋体" w:eastAsia="宋体" w:cs="宋体"/>
                <w:color w:val="auto"/>
                <w:sz w:val="22"/>
                <w:szCs w:val="22"/>
                <w:highlight w:val="none"/>
              </w:rPr>
              <w:t>负责一般故障排除、日常设备巡检、更换易损易耗备件等工作，做好相关日常巡检记录。</w:t>
            </w:r>
          </w:p>
          <w:p>
            <w:pPr>
              <w:pStyle w:val="12"/>
              <w:widowControl/>
              <w:adjustRightInd w:val="0"/>
              <w:snapToGrid w:val="0"/>
              <w:spacing w:line="3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2.2定期养护</w:t>
            </w:r>
          </w:p>
          <w:p>
            <w:pPr>
              <w:pStyle w:val="12"/>
              <w:widowControl/>
              <w:adjustRightInd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期养护是定期对系统设备进行常规设备养护及日常性清洁养护工作。在养护工作中及时发现问题，防患于未然，减少设备的故障率，延长设备的使用寿命。在故障发生之前，及时检测到故障的先兆，将故障解决在萌芽初期，避免故障发生后抢修的费用，降低了设备配件更换费用，延长了设备使用寿命。对于某些特殊情况，要根据具体情况进行相应的养护措施，在进行定期的养护前，应协调好各方面的工作，确保养护工作的正常进行。还应包括7*24小时热线技术支持、故障抢修、定期性现场巡检、系统性能调优、技术培训、应急演练、节假日重点保障、报告服务等服务内容。</w:t>
            </w:r>
          </w:p>
          <w:p>
            <w:pPr>
              <w:pStyle w:val="12"/>
              <w:widowControl/>
              <w:adjustRightInd w:val="0"/>
              <w:snapToGrid w:val="0"/>
              <w:spacing w:line="3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人员配置</w:t>
            </w:r>
          </w:p>
          <w:p>
            <w:pPr>
              <w:pStyle w:val="12"/>
              <w:widowControl/>
              <w:adjustRightInd w:val="0"/>
              <w:snapToGrid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维护单位要确立外场经理1人，负责外场设备的维修、巡检、清洁等工作的安排，及时将现场维护技术服务的情况传达到内场经理；配置多名施工技术人员，负责设备维修、巡检、清洁等工作的具体实施，可采用滚班制，保证24小时都能及时响应业主需求。如现有人员无法适应维护工作要求，应加派人员数量直至完成维护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tl2br w:val="nil"/>
              <w:tr2bl w:val="nil"/>
            </w:tcBorders>
            <w:vAlign w:val="center"/>
          </w:tcPr>
          <w:p>
            <w:pPr>
              <w:keepNext w:val="0"/>
              <w:keepLines w:val="0"/>
              <w:pageBreakBefore w:val="0"/>
              <w:kinsoku/>
              <w:wordWrap/>
              <w:overflowPunct/>
              <w:topLinePunct w:val="0"/>
              <w:autoSpaceDE/>
              <w:autoSpaceDN/>
              <w:bidi w:val="0"/>
              <w:spacing w:line="340" w:lineRule="exact"/>
              <w:ind w:left="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安装、调试</w:t>
            </w:r>
          </w:p>
        </w:tc>
        <w:tc>
          <w:tcPr>
            <w:tcW w:w="8262" w:type="dxa"/>
            <w:tcBorders>
              <w:tl2br w:val="nil"/>
              <w:tr2bl w:val="nil"/>
            </w:tcBorders>
            <w:vAlign w:val="center"/>
          </w:tcPr>
          <w:p>
            <w:pPr>
              <w:pageBreakBefore w:val="0"/>
              <w:numPr>
                <w:ilvl w:val="0"/>
                <w:numId w:val="0"/>
              </w:numPr>
              <w:kinsoku/>
              <w:wordWrap/>
              <w:overflowPunct/>
              <w:topLinePunct w:val="0"/>
              <w:bidi w:val="0"/>
              <w:spacing w:beforeAutospacing="0" w:afterAutospacing="0" w:line="360" w:lineRule="exact"/>
              <w:ind w:leftChars="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道路开挖审批、接电等由</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负责，</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协助，费用含在本项建设</w:t>
            </w:r>
            <w:r>
              <w:rPr>
                <w:rFonts w:hint="eastAsia" w:ascii="宋体" w:hAnsi="宋体" w:eastAsia="宋体" w:cs="宋体"/>
                <w:bCs/>
                <w:color w:val="auto"/>
                <w:sz w:val="22"/>
                <w:szCs w:val="22"/>
                <w:highlight w:val="none"/>
                <w:lang w:eastAsia="zh-CN"/>
              </w:rPr>
              <w:t>投标报价</w:t>
            </w:r>
            <w:r>
              <w:rPr>
                <w:rFonts w:hint="eastAsia" w:ascii="宋体" w:hAnsi="宋体" w:eastAsia="宋体" w:cs="宋体"/>
                <w:bCs/>
                <w:color w:val="auto"/>
                <w:sz w:val="22"/>
                <w:szCs w:val="22"/>
                <w:highlight w:val="none"/>
              </w:rPr>
              <w:t>中；</w:t>
            </w:r>
          </w:p>
          <w:p>
            <w:pPr>
              <w:pageBreakBefore w:val="0"/>
              <w:numPr>
                <w:ilvl w:val="0"/>
                <w:numId w:val="0"/>
              </w:numPr>
              <w:kinsoku/>
              <w:wordWrap/>
              <w:overflowPunct/>
              <w:topLinePunct w:val="0"/>
              <w:bidi w:val="0"/>
              <w:spacing w:beforeAutospacing="0" w:afterAutospacing="0" w:line="3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安装调试时间</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必须在合同规定的工作日内完成设备供货、安装、调试工作，并确保系统的正常运行。</w:t>
            </w:r>
          </w:p>
          <w:p>
            <w:pPr>
              <w:pageBreakBefore w:val="0"/>
              <w:numPr>
                <w:ilvl w:val="0"/>
                <w:numId w:val="0"/>
              </w:numPr>
              <w:kinsoku/>
              <w:wordWrap/>
              <w:overflowPunct/>
              <w:topLinePunct w:val="0"/>
              <w:bidi w:val="0"/>
              <w:spacing w:beforeAutospacing="0" w:afterAutospacing="0" w:line="3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设备的到货、安装、调试、验收</w:t>
            </w:r>
          </w:p>
          <w:p>
            <w:pPr>
              <w:pageBreakBefore w:val="0"/>
              <w:numPr>
                <w:ilvl w:val="0"/>
                <w:numId w:val="0"/>
              </w:numPr>
              <w:kinsoku/>
              <w:wordWrap/>
              <w:overflowPunct/>
              <w:topLinePunct w:val="0"/>
              <w:bidi w:val="0"/>
              <w:spacing w:beforeAutospacing="0" w:afterAutospacing="0" w:line="360" w:lineRule="exact"/>
              <w:ind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所供设备在现场进行到货验收时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负责，</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派员参加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如发现问题应及时处理直至使</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满意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其中费用由</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lang w:val="en-US" w:eastAsia="zh-CN"/>
              </w:rPr>
              <w:t>负责</w:t>
            </w:r>
            <w:r>
              <w:rPr>
                <w:rFonts w:hint="eastAsia" w:ascii="宋体" w:hAnsi="宋体" w:eastAsia="宋体" w:cs="宋体"/>
                <w:color w:val="auto"/>
                <w:sz w:val="22"/>
                <w:szCs w:val="22"/>
                <w:highlight w:val="none"/>
              </w:rPr>
              <w:t>、设备的存放点由</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负责保管。</w:t>
            </w:r>
          </w:p>
          <w:p>
            <w:pPr>
              <w:pageBreakBefore w:val="0"/>
              <w:numPr>
                <w:ilvl w:val="0"/>
                <w:numId w:val="0"/>
              </w:numPr>
              <w:kinsoku/>
              <w:wordWrap/>
              <w:overflowPunct/>
              <w:topLinePunct w:val="0"/>
              <w:bidi w:val="0"/>
              <w:spacing w:beforeAutospacing="0" w:afterAutospacing="0" w:line="360" w:lineRule="exact"/>
              <w:ind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安装范围包括设备本身及整个系统的安装，安装必须符合有关标准和规范，安装过程中</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和有关部门共同对设备及系统的安装质量进行监理。</w:t>
            </w:r>
          </w:p>
          <w:p>
            <w:pPr>
              <w:pageBreakBefore w:val="0"/>
              <w:numPr>
                <w:ilvl w:val="0"/>
                <w:numId w:val="0"/>
              </w:numPr>
              <w:kinsoku/>
              <w:wordWrap/>
              <w:overflowPunct/>
              <w:topLinePunct w:val="0"/>
              <w:bidi w:val="0"/>
              <w:spacing w:beforeAutospacing="0" w:afterAutospacing="0" w:line="360" w:lineRule="exact"/>
              <w:ind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安装完毕后，</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可以要求</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或具有检测资质的第三方用专用仪器进行测试，</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应负责测试和调试所需的人员、工具、材料、仪器及一切费用，并填写测试报告交由</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存档。</w:t>
            </w:r>
          </w:p>
          <w:p>
            <w:pPr>
              <w:pageBreakBefore w:val="0"/>
              <w:numPr>
                <w:ilvl w:val="0"/>
                <w:numId w:val="0"/>
              </w:numPr>
              <w:kinsoku/>
              <w:wordWrap/>
              <w:overflowPunct/>
              <w:topLinePunct w:val="0"/>
              <w:bidi w:val="0"/>
              <w:adjustRightInd w:val="0"/>
              <w:snapToGrid w:val="0"/>
              <w:spacing w:beforeAutospacing="0" w:afterAutospacing="0" w:line="360" w:lineRule="exact"/>
              <w:ind w:leftChars="0" w:firstLine="440" w:firstLineChars="200"/>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设备经过试运行后达到并符合合同要求，其中故障和隐患均已排除或解决，并使</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满意，所有的技术资料和图纸均已向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移交并被接受，验收视为合格，由双方签署验收证书后，设备才视为接受。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tl2br w:val="nil"/>
              <w:tr2bl w:val="nil"/>
            </w:tcBorders>
            <w:vAlign w:val="center"/>
          </w:tcPr>
          <w:p>
            <w:pPr>
              <w:keepNext w:val="0"/>
              <w:keepLines w:val="0"/>
              <w:pageBreakBefore w:val="0"/>
              <w:kinsoku/>
              <w:wordWrap/>
              <w:overflowPunct/>
              <w:topLinePunct w:val="0"/>
              <w:autoSpaceDE/>
              <w:autoSpaceDN/>
              <w:bidi w:val="0"/>
              <w:spacing w:line="340" w:lineRule="exact"/>
              <w:ind w:left="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质量保证</w:t>
            </w:r>
          </w:p>
        </w:tc>
        <w:tc>
          <w:tcPr>
            <w:tcW w:w="8262" w:type="dxa"/>
            <w:tcBorders>
              <w:tl2br w:val="nil"/>
              <w:tr2bl w:val="nil"/>
            </w:tcBorders>
            <w:vAlign w:val="center"/>
          </w:tcPr>
          <w:p>
            <w:pPr>
              <w:pageBreakBefore w:val="0"/>
              <w:numPr>
                <w:ilvl w:val="0"/>
                <w:numId w:val="0"/>
              </w:numPr>
              <w:kinsoku/>
              <w:wordWrap/>
              <w:overflowPunct/>
              <w:topLinePunct w:val="0"/>
              <w:bidi w:val="0"/>
              <w:spacing w:beforeAutospacing="0" w:afterAutospacing="0" w:line="3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需要制定服务计划的，</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要制订计划并将服务计划送</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确认；具体服务内容按照经确认的计划进行；</w:t>
            </w:r>
          </w:p>
          <w:p>
            <w:pPr>
              <w:pageBreakBefore w:val="0"/>
              <w:numPr>
                <w:ilvl w:val="0"/>
                <w:numId w:val="0"/>
              </w:numPr>
              <w:kinsoku/>
              <w:wordWrap/>
              <w:overflowPunct/>
              <w:topLinePunct w:val="0"/>
              <w:bidi w:val="0"/>
              <w:spacing w:beforeAutospacing="0" w:afterAutospacing="0" w:line="3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技术服务工程师到达用户现场后，向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提交本次技术服务内容清单，交用户确认；</w:t>
            </w:r>
          </w:p>
          <w:p>
            <w:pPr>
              <w:pageBreakBefore w:val="0"/>
              <w:numPr>
                <w:ilvl w:val="0"/>
                <w:numId w:val="0"/>
              </w:numPr>
              <w:kinsoku/>
              <w:wordWrap/>
              <w:overflowPunct/>
              <w:topLinePunct w:val="0"/>
              <w:bidi w:val="0"/>
              <w:spacing w:beforeAutospacing="0" w:afterAutospacing="0" w:line="3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服务过程中形成的服务记录须提交</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签字确认；</w:t>
            </w:r>
          </w:p>
          <w:p>
            <w:pPr>
              <w:pageBreakBefore w:val="0"/>
              <w:numPr>
                <w:ilvl w:val="0"/>
                <w:numId w:val="0"/>
              </w:numPr>
              <w:kinsoku/>
              <w:wordWrap/>
              <w:overflowPunct/>
              <w:topLinePunct w:val="0"/>
              <w:bidi w:val="0"/>
              <w:spacing w:beforeAutospacing="0" w:afterAutospacing="0" w:line="3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服务完毕，技术服务工程师离开用户之前，必须将本次服务内容完成情况的书面材料交</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签字确认，在</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未签字之前不得擅离服务现场；</w:t>
            </w:r>
          </w:p>
          <w:p>
            <w:pPr>
              <w:pageBreakBefore w:val="0"/>
              <w:numPr>
                <w:ilvl w:val="0"/>
                <w:numId w:val="0"/>
              </w:numPr>
              <w:kinsoku/>
              <w:wordWrap/>
              <w:overflowPunct/>
              <w:topLinePunct w:val="0"/>
              <w:bidi w:val="0"/>
              <w:spacing w:beforeAutospacing="0" w:afterAutospacing="0" w:line="3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质检部门应不定期对技术服务工程师的服务水平、服务态度和服务效果及</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满意度进行调查，以便及时发现服务过程中存在的问题并及时解决；</w:t>
            </w:r>
          </w:p>
          <w:p>
            <w:pPr>
              <w:pageBreakBefore w:val="0"/>
              <w:numPr>
                <w:ilvl w:val="0"/>
                <w:numId w:val="0"/>
              </w:numPr>
              <w:kinsoku/>
              <w:wordWrap/>
              <w:overflowPunct/>
              <w:topLinePunct w:val="0"/>
              <w:bidi w:val="0"/>
              <w:spacing w:beforeAutospacing="0" w:afterAutospacing="0" w:line="360" w:lineRule="exact"/>
              <w:ind w:leftChars="0"/>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要设立专门电话，</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随时可就技术服务工程师的服务情况向</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进行投诉。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l2br w:val="nil"/>
              <w:tr2bl w:val="nil"/>
            </w:tcBorders>
            <w:vAlign w:val="center"/>
          </w:tcPr>
          <w:p>
            <w:pPr>
              <w:keepNext w:val="0"/>
              <w:keepLines w:val="0"/>
              <w:pageBreakBefore w:val="0"/>
              <w:kinsoku/>
              <w:wordWrap/>
              <w:overflowPunct/>
              <w:topLinePunct w:val="0"/>
              <w:autoSpaceDE/>
              <w:autoSpaceDN/>
              <w:bidi w:val="0"/>
              <w:spacing w:line="340" w:lineRule="exact"/>
              <w:ind w:left="0" w:left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验收标准</w:t>
            </w:r>
          </w:p>
        </w:tc>
        <w:tc>
          <w:tcPr>
            <w:tcW w:w="8262" w:type="dxa"/>
            <w:tcBorders>
              <w:tl2br w:val="nil"/>
              <w:tr2bl w:val="nil"/>
            </w:tcBorders>
            <w:vAlign w:val="center"/>
          </w:tcPr>
          <w:p>
            <w:pPr>
              <w:pStyle w:val="12"/>
              <w:widowControl/>
              <w:adjustRightInd w:val="0"/>
              <w:snapToGri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合同履约验收参照《温州市政府采购履约验收办法》(温财采[2020]6号)相关规定。合同履约达到验收条件时，</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书面发起验收申请，</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或者其委托的采购代理机构在收到</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中标人应在项目设备安装调试后、系统上线前，进行完整设备及系统测试后，向采购人提供详细的设备及系统上线方案，由采购人确认。在采购人确认无误后，中标人应负责按设备及系统上线方案进行系统的安装调试工作。在安装、调试过程中，中标人应对采购人技术人员所提出的问题给予满意的答复，并提供安装调试过程中的各种文档资料，以便于采购人能掌握操作方法和维修方法。项目上线后，中标人应向采购人提供安装、调试报告，报告中应包括安装调试结果和安装调试过程中出现的问题及解决办法等内容。</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项目上线、设备及系统的安装调试工作完成后，中标人可向采购人申请项目初验申请，项目初验工作按照具备运行条件（监理签字盖章确认）等实际情况进行，项目通过初验后应进行至少为期3个月的试运行，中标人应派遣技术人员免费在现场进行技术服务，负责设备及系统试运行阶段的服务工作。</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在试运行期间，由于</w:t>
            </w:r>
            <w:r>
              <w:rPr>
                <w:rFonts w:hint="eastAsia" w:ascii="宋体" w:hAnsi="宋体" w:cs="宋体"/>
                <w:color w:val="auto"/>
                <w:sz w:val="22"/>
                <w:szCs w:val="22"/>
                <w:highlight w:val="none"/>
                <w:lang w:val="en-US" w:eastAsia="zh-CN"/>
              </w:rPr>
              <w:t>中标人原因</w:t>
            </w:r>
            <w:r>
              <w:rPr>
                <w:rFonts w:hint="eastAsia" w:ascii="宋体" w:hAnsi="宋体" w:eastAsia="宋体" w:cs="宋体"/>
                <w:color w:val="auto"/>
                <w:sz w:val="22"/>
                <w:szCs w:val="22"/>
                <w:highlight w:val="none"/>
                <w:lang w:eastAsia="zh-CN"/>
              </w:rPr>
              <w:t>达不到</w:t>
            </w:r>
            <w:r>
              <w:rPr>
                <w:rFonts w:hint="eastAsia" w:ascii="宋体" w:hAnsi="宋体" w:cs="宋体"/>
                <w:color w:val="auto"/>
                <w:sz w:val="22"/>
                <w:szCs w:val="22"/>
                <w:highlight w:val="none"/>
                <w:lang w:val="en-US" w:eastAsia="zh-CN"/>
              </w:rPr>
              <w:t>终验</w:t>
            </w:r>
            <w:r>
              <w:rPr>
                <w:rFonts w:hint="eastAsia" w:ascii="宋体" w:hAnsi="宋体" w:eastAsia="宋体" w:cs="宋体"/>
                <w:color w:val="auto"/>
                <w:sz w:val="22"/>
                <w:szCs w:val="22"/>
                <w:highlight w:val="none"/>
                <w:lang w:eastAsia="zh-CN"/>
              </w:rPr>
              <w:t>要求，中标人应负责解决。因</w:t>
            </w:r>
            <w:r>
              <w:rPr>
                <w:rFonts w:hint="eastAsia" w:ascii="宋体" w:hAnsi="宋体" w:cs="宋体"/>
                <w:color w:val="auto"/>
                <w:sz w:val="22"/>
                <w:szCs w:val="22"/>
                <w:highlight w:val="none"/>
                <w:lang w:val="en-US" w:eastAsia="zh-CN"/>
              </w:rPr>
              <w:t>此产生</w:t>
            </w:r>
            <w:r>
              <w:rPr>
                <w:rFonts w:hint="eastAsia" w:ascii="宋体" w:hAnsi="宋体" w:eastAsia="宋体" w:cs="宋体"/>
                <w:color w:val="auto"/>
                <w:sz w:val="22"/>
                <w:szCs w:val="22"/>
                <w:highlight w:val="none"/>
                <w:lang w:eastAsia="zh-CN"/>
              </w:rPr>
              <w:t>的一切费用由中标人承担，且试运行期相应顺延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在顺延期间产生的一切</w:t>
            </w:r>
            <w:r>
              <w:rPr>
                <w:rFonts w:hint="eastAsia" w:ascii="宋体" w:hAnsi="宋体" w:eastAsia="宋体" w:cs="宋体"/>
                <w:color w:val="auto"/>
                <w:sz w:val="22"/>
                <w:szCs w:val="22"/>
                <w:highlight w:val="none"/>
                <w:lang w:eastAsia="zh-CN"/>
              </w:rPr>
              <w:t>费用由中标人承担。</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项目试运行结束后，由中标人提出申请，对照项目验收主要指标和标准组织验收，采购人报请主管部门组织专家终验。</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中标人应在工程结束15日内时向采购人提交一式1份完整的相应技术文档及用户手册。</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以上产生的所有</w:t>
            </w:r>
            <w:r>
              <w:rPr>
                <w:rFonts w:hint="eastAsia" w:ascii="宋体" w:hAnsi="宋体" w:eastAsia="宋体" w:cs="宋体"/>
                <w:color w:val="auto"/>
                <w:sz w:val="22"/>
                <w:szCs w:val="22"/>
                <w:highlight w:val="none"/>
                <w:lang w:eastAsia="zh-CN"/>
              </w:rPr>
              <w:t>费用由中标人承担。</w:t>
            </w:r>
          </w:p>
          <w:p>
            <w:pPr>
              <w:pStyle w:val="12"/>
              <w:widowControl/>
              <w:adjustRightInd w:val="0"/>
              <w:snapToGrid w:val="0"/>
              <w:spacing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注：投标人应</w:t>
            </w:r>
            <w:r>
              <w:rPr>
                <w:rFonts w:hint="eastAsia" w:ascii="宋体" w:hAnsi="宋体" w:eastAsia="宋体" w:cs="宋体"/>
                <w:color w:val="auto"/>
                <w:sz w:val="22"/>
                <w:szCs w:val="22"/>
                <w:highlight w:val="none"/>
              </w:rPr>
              <w:t>于投标文件中提供合同货物的验收标准和检测办法，并在验收中提供采购人认可的相应检测手段，验收标准应符合中国有关的国家、地方、行业的标准，如若中标，经采购人确认后作为验收的依据。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tl2br w:val="nil"/>
              <w:tr2bl w:val="nil"/>
            </w:tcBorders>
            <w:vAlign w:val="center"/>
          </w:tcPr>
          <w:p>
            <w:pPr>
              <w:keepNext w:val="0"/>
              <w:keepLines w:val="0"/>
              <w:pageBreakBefore w:val="0"/>
              <w:kinsoku/>
              <w:wordWrap/>
              <w:overflowPunct/>
              <w:topLinePunct w:val="0"/>
              <w:autoSpaceDE/>
              <w:autoSpaceDN/>
              <w:bidi w:val="0"/>
              <w:spacing w:line="340" w:lineRule="exact"/>
              <w:ind w:left="0" w:left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val="0"/>
                <w:color w:val="auto"/>
                <w:sz w:val="22"/>
                <w:szCs w:val="22"/>
                <w:highlight w:val="none"/>
              </w:rPr>
              <w:t>培训</w:t>
            </w:r>
            <w:r>
              <w:rPr>
                <w:rFonts w:hint="eastAsia" w:ascii="宋体" w:hAnsi="宋体" w:eastAsia="宋体" w:cs="宋体"/>
                <w:b/>
                <w:bCs w:val="0"/>
                <w:color w:val="auto"/>
                <w:sz w:val="22"/>
                <w:szCs w:val="22"/>
                <w:highlight w:val="none"/>
                <w:lang w:val="en-US" w:eastAsia="zh-CN"/>
              </w:rPr>
              <w:t>要求</w:t>
            </w:r>
          </w:p>
        </w:tc>
        <w:tc>
          <w:tcPr>
            <w:tcW w:w="8262" w:type="dxa"/>
            <w:tcBorders>
              <w:tl2br w:val="nil"/>
              <w:tr2bl w:val="nil"/>
            </w:tcBorders>
            <w:vAlign w:val="center"/>
          </w:tcPr>
          <w:p>
            <w:pPr>
              <w:pStyle w:val="88"/>
              <w:spacing w:line="400" w:lineRule="exact"/>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color w:val="auto"/>
                <w:sz w:val="22"/>
                <w:szCs w:val="22"/>
                <w:highlight w:val="none"/>
              </w:rPr>
              <w:t>提供高水平的培训，培训教员应参与过该项目的实施，并有一定的经验。</w:t>
            </w:r>
          </w:p>
          <w:p>
            <w:pPr>
              <w:pStyle w:val="88"/>
              <w:spacing w:line="400" w:lineRule="exact"/>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提供详细的培训计划，培训计划中对时间、地点、授课人、培训内容、培训所要达到的目标等内容安排进行详细描述。</w:t>
            </w:r>
          </w:p>
          <w:p>
            <w:pPr>
              <w:pStyle w:val="88"/>
              <w:spacing w:line="400" w:lineRule="exact"/>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培训方式应包括操作示范和其它必须的业务指导和技术咨询，确保培训对象对系统基本理论、操作规范等方面获得全面了解和掌握。</w:t>
            </w:r>
          </w:p>
          <w:p>
            <w:pPr>
              <w:pStyle w:val="88"/>
              <w:spacing w:line="400" w:lineRule="exact"/>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在合同签定后征得采购人同意后实施培训工作。</w:t>
            </w:r>
          </w:p>
          <w:p>
            <w:pPr>
              <w:pStyle w:val="88"/>
              <w:spacing w:line="400" w:lineRule="exact"/>
              <w:ind w:left="0" w:leftChars="0" w:firstLine="0" w:firstLineChars="0"/>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所有培训费用包括在合同总价内，不另行收费。</w:t>
            </w:r>
          </w:p>
        </w:tc>
      </w:tr>
    </w:tbl>
    <w:p>
      <w:pPr>
        <w:keepNext w:val="0"/>
        <w:keepLines w:val="0"/>
        <w:pageBreakBefore w:val="0"/>
        <w:numPr>
          <w:ilvl w:val="0"/>
          <w:numId w:val="0"/>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val="en-US" w:eastAsia="zh-CN"/>
        </w:rPr>
        <w:t>（二）</w:t>
      </w:r>
      <w:r>
        <w:rPr>
          <w:rFonts w:hint="eastAsia" w:ascii="宋体" w:hAnsi="宋体" w:eastAsia="宋体" w:cs="宋体"/>
          <w:b/>
          <w:bCs/>
          <w:color w:val="auto"/>
          <w:spacing w:val="-6"/>
          <w:sz w:val="22"/>
          <w:szCs w:val="22"/>
          <w:highlight w:val="none"/>
          <w:lang w:eastAsia="zh-CN"/>
        </w:rPr>
        <w:t>技术</w:t>
      </w:r>
      <w:r>
        <w:rPr>
          <w:rFonts w:hint="eastAsia" w:ascii="宋体" w:hAnsi="宋体" w:eastAsia="宋体" w:cs="宋体"/>
          <w:b/>
          <w:bCs/>
          <w:color w:val="auto"/>
          <w:spacing w:val="-6"/>
          <w:sz w:val="22"/>
          <w:szCs w:val="22"/>
          <w:highlight w:val="none"/>
        </w:rPr>
        <w:t>要求</w:t>
      </w:r>
    </w:p>
    <w:p>
      <w:pPr>
        <w:keepNext w:val="0"/>
        <w:keepLines w:val="0"/>
        <w:pageBreakBefore w:val="0"/>
        <w:kinsoku/>
        <w:wordWrap/>
        <w:overflowPunct/>
        <w:topLinePunct w:val="0"/>
        <w:autoSpaceDE/>
        <w:autoSpaceDN/>
        <w:bidi w:val="0"/>
        <w:adjustRightInd/>
        <w:spacing w:line="360" w:lineRule="exact"/>
        <w:ind w:left="0"/>
        <w:textAlignment w:val="auto"/>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val="0"/>
          <w:color w:val="auto"/>
          <w:sz w:val="22"/>
          <w:szCs w:val="22"/>
          <w:highlight w:val="none"/>
        </w:rPr>
        <w:t>SCATS</w:t>
      </w:r>
      <w:r>
        <w:rPr>
          <w:rFonts w:hint="eastAsia" w:ascii="宋体" w:hAnsi="宋体" w:eastAsia="宋体" w:cs="宋体"/>
          <w:b/>
          <w:bCs w:val="0"/>
          <w:color w:val="auto"/>
          <w:sz w:val="22"/>
          <w:szCs w:val="22"/>
          <w:highlight w:val="none"/>
          <w:lang w:val="en-US" w:eastAsia="zh-CN"/>
        </w:rPr>
        <w:t>智能</w:t>
      </w:r>
      <w:r>
        <w:rPr>
          <w:rFonts w:hint="eastAsia" w:ascii="宋体" w:hAnsi="宋体" w:eastAsia="宋体" w:cs="宋体"/>
          <w:b/>
          <w:bCs w:val="0"/>
          <w:color w:val="auto"/>
          <w:sz w:val="22"/>
          <w:szCs w:val="22"/>
          <w:highlight w:val="none"/>
        </w:rPr>
        <w:t>信号系统</w:t>
      </w:r>
      <w:r>
        <w:rPr>
          <w:rFonts w:hint="eastAsia" w:ascii="宋体" w:hAnsi="宋体" w:eastAsia="宋体" w:cs="宋体"/>
          <w:b/>
          <w:bCs/>
          <w:color w:val="auto"/>
          <w:sz w:val="22"/>
          <w:szCs w:val="22"/>
          <w:highlight w:val="none"/>
          <w:lang w:val="en-US" w:eastAsia="zh-CN"/>
        </w:rPr>
        <w:t>信息化部分</w:t>
      </w:r>
    </w:p>
    <w:p>
      <w:pPr>
        <w:keepNext w:val="0"/>
        <w:keepLines w:val="0"/>
        <w:pageBreakBefore w:val="0"/>
        <w:kinsoku/>
        <w:wordWrap/>
        <w:overflowPunct/>
        <w:topLinePunct w:val="0"/>
        <w:autoSpaceDE/>
        <w:autoSpaceDN/>
        <w:bidi w:val="0"/>
        <w:adjustRightInd/>
        <w:spacing w:line="360" w:lineRule="exact"/>
        <w:ind w:left="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SCATS信号系统主要由前端子系统、网络传输子系统、后端子系统和相关应用管理平台组成，实现对前端信息的采集、传输、处理、分析与集中管理。</w:t>
      </w:r>
    </w:p>
    <w:p>
      <w:pPr>
        <w:keepNext w:val="0"/>
        <w:keepLines w:val="0"/>
        <w:pageBreakBefore w:val="0"/>
        <w:kinsoku/>
        <w:wordWrap/>
        <w:overflowPunct/>
        <w:topLinePunct w:val="0"/>
        <w:autoSpaceDE/>
        <w:autoSpaceDN/>
        <w:bidi w:val="0"/>
        <w:adjustRightInd/>
        <w:spacing w:line="360" w:lineRule="exact"/>
        <w:ind w:left="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前端子系统包括路口信号机、检测器、交换机、稳压器、防雷器等；网络传输子系统是利用运营商的通信管道及网络资源搭建的信号专网；后端子系统包括区域服务器、管理服务器等配套的软硬件系统。</w:t>
      </w:r>
    </w:p>
    <w:p>
      <w:pPr>
        <w:keepNext w:val="0"/>
        <w:keepLines w:val="0"/>
        <w:pageBreakBefore w:val="0"/>
        <w:kinsoku/>
        <w:wordWrap/>
        <w:overflowPunct/>
        <w:topLinePunct w:val="0"/>
        <w:autoSpaceDE/>
        <w:autoSpaceDN/>
        <w:bidi w:val="0"/>
        <w:adjustRightInd/>
        <w:spacing w:line="360" w:lineRule="exact"/>
        <w:ind w:left="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本次系统新建及维护项目的</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应根据有关技术标准规范及温州市区交通管理实际组织建设，实现各项系统应用功能。具体功能及建设点位位置以交管部门提出实际需求为准，</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应作相应调整。</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1.1</w:t>
      </w:r>
      <w:r>
        <w:rPr>
          <w:rFonts w:hint="eastAsia" w:ascii="宋体" w:hAnsi="宋体" w:eastAsia="宋体" w:cs="宋体"/>
          <w:b/>
          <w:bCs/>
          <w:color w:val="auto"/>
          <w:sz w:val="22"/>
          <w:szCs w:val="22"/>
          <w:highlight w:val="none"/>
        </w:rPr>
        <w:t>主要功能</w:t>
      </w:r>
    </w:p>
    <w:p>
      <w:pPr>
        <w:keepNext w:val="0"/>
        <w:keepLines w:val="0"/>
        <w:pageBreakBefore w:val="0"/>
        <w:widowControl/>
        <w:numPr>
          <w:ilvl w:val="0"/>
          <w:numId w:val="13"/>
        </w:numPr>
        <w:shd w:val="clear" w:color="auto" w:fill="FFFFFF"/>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交通信息（数据）的实时采集和统计分析。 </w:t>
      </w:r>
    </w:p>
    <w:p>
      <w:pPr>
        <w:keepNext w:val="0"/>
        <w:keepLines w:val="0"/>
        <w:pageBreakBefore w:val="0"/>
        <w:widowControl/>
        <w:numPr>
          <w:ilvl w:val="0"/>
          <w:numId w:val="13"/>
        </w:numPr>
        <w:shd w:val="clear" w:color="auto" w:fill="FFFFFF"/>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实现对交通流的自适应最佳控制。根据不断变化的交通状况选择最佳的控制方案进行调控，保证交通的畅通、快速和安全。 </w:t>
      </w:r>
    </w:p>
    <w:p>
      <w:pPr>
        <w:keepNext w:val="0"/>
        <w:keepLines w:val="0"/>
        <w:pageBreakBefore w:val="0"/>
        <w:widowControl/>
        <w:numPr>
          <w:ilvl w:val="0"/>
          <w:numId w:val="13"/>
        </w:numPr>
        <w:shd w:val="clear" w:color="auto" w:fill="FFFFFF"/>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在道路交通条件具备的路段实现时段性的“绿波带”通行效果，特定区域实现“区域联控”通行效果。</w:t>
      </w:r>
    </w:p>
    <w:p>
      <w:pPr>
        <w:keepNext w:val="0"/>
        <w:keepLines w:val="0"/>
        <w:pageBreakBefore w:val="0"/>
        <w:widowControl/>
        <w:numPr>
          <w:ilvl w:val="0"/>
          <w:numId w:val="13"/>
        </w:numPr>
        <w:shd w:val="clear" w:color="auto" w:fill="FFFFFF"/>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实现紧急车辆优先通行。 </w:t>
      </w:r>
    </w:p>
    <w:p>
      <w:pPr>
        <w:keepNext w:val="0"/>
        <w:keepLines w:val="0"/>
        <w:pageBreakBefore w:val="0"/>
        <w:widowControl/>
        <w:numPr>
          <w:ilvl w:val="0"/>
          <w:numId w:val="13"/>
        </w:numPr>
        <w:shd w:val="clear" w:color="auto" w:fill="FFFFFF"/>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提供公交车辆优先通行的数据接口。</w:t>
      </w:r>
    </w:p>
    <w:p>
      <w:pPr>
        <w:keepNext w:val="0"/>
        <w:keepLines w:val="0"/>
        <w:pageBreakBefore w:val="0"/>
        <w:widowControl/>
        <w:numPr>
          <w:ilvl w:val="0"/>
          <w:numId w:val="13"/>
        </w:numPr>
        <w:shd w:val="clear" w:color="auto" w:fill="FFFFFF"/>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路口信号倒计时（包括车行信号倒计时、人行信号倒计时）可根据路口信号运行实际需要实现半程倒计时。 </w:t>
      </w:r>
    </w:p>
    <w:p>
      <w:pPr>
        <w:keepNext w:val="0"/>
        <w:keepLines w:val="0"/>
        <w:pageBreakBefore w:val="0"/>
        <w:widowControl/>
        <w:numPr>
          <w:ilvl w:val="0"/>
          <w:numId w:val="13"/>
        </w:numPr>
        <w:shd w:val="clear" w:color="auto" w:fill="FFFFFF"/>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提供交通信号灯人工操作功能。 </w:t>
      </w:r>
    </w:p>
    <w:p>
      <w:pPr>
        <w:keepNext w:val="0"/>
        <w:keepLines w:val="0"/>
        <w:pageBreakBefore w:val="0"/>
        <w:widowControl/>
        <w:numPr>
          <w:ilvl w:val="0"/>
          <w:numId w:val="13"/>
        </w:numPr>
        <w:shd w:val="clear" w:color="auto" w:fill="FFFFFF"/>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提供野外工作终端。可以将便携式个人计算机连接到任何一个路口交通信号机，从而进入整个SCATS系统。 </w:t>
      </w:r>
    </w:p>
    <w:p>
      <w:pPr>
        <w:keepNext w:val="0"/>
        <w:keepLines w:val="0"/>
        <w:pageBreakBefore w:val="0"/>
        <w:widowControl/>
        <w:numPr>
          <w:ilvl w:val="0"/>
          <w:numId w:val="13"/>
        </w:numPr>
        <w:shd w:val="clear" w:color="auto" w:fill="FFFFFF"/>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进行系统技术监察、故障诊断和记录。 </w:t>
      </w:r>
    </w:p>
    <w:p>
      <w:pPr>
        <w:keepNext w:val="0"/>
        <w:keepLines w:val="0"/>
        <w:pageBreakBefore w:val="0"/>
        <w:widowControl/>
        <w:numPr>
          <w:ilvl w:val="0"/>
          <w:numId w:val="13"/>
        </w:numPr>
        <w:shd w:val="clear" w:color="auto" w:fill="FFFFFF"/>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远程维护。可以电话拨号方式将计算机连入SCATS系统，进行操作维护。</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b/>
          <w:bCs/>
          <w:color w:val="auto"/>
          <w:sz w:val="22"/>
          <w:szCs w:val="22"/>
          <w:highlight w:val="none"/>
          <w:lang w:val="en-US" w:eastAsia="zh-CN"/>
        </w:rPr>
      </w:pPr>
      <w:bookmarkStart w:id="275" w:name="_Toc508695494"/>
      <w:bookmarkStart w:id="276" w:name="_Toc22653"/>
      <w:r>
        <w:rPr>
          <w:rFonts w:hint="eastAsia" w:ascii="宋体" w:hAnsi="宋体" w:eastAsia="宋体" w:cs="宋体"/>
          <w:b/>
          <w:bCs/>
          <w:color w:val="auto"/>
          <w:sz w:val="22"/>
          <w:szCs w:val="22"/>
          <w:highlight w:val="none"/>
          <w:lang w:val="en-US" w:eastAsia="zh-CN"/>
        </w:rPr>
        <w:t>1.2区域协调控制功能</w:t>
      </w:r>
      <w:bookmarkEnd w:id="275"/>
      <w:bookmarkEnd w:id="276"/>
    </w:p>
    <w:p>
      <w:pPr>
        <w:keepNext w:val="0"/>
        <w:keepLines w:val="0"/>
        <w:pageBreakBefore w:val="0"/>
        <w:numPr>
          <w:ilvl w:val="0"/>
          <w:numId w:val="14"/>
        </w:numPr>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基本功能：实时协调控制、降级协调控制、无电缆协调控制、单点感应控制、多时段定时式控制等，所有控制方式可根据需要进行转换。</w:t>
      </w:r>
    </w:p>
    <w:p>
      <w:pPr>
        <w:keepNext w:val="0"/>
        <w:keepLines w:val="0"/>
        <w:pageBreakBefore w:val="0"/>
        <w:numPr>
          <w:ilvl w:val="0"/>
          <w:numId w:val="14"/>
        </w:numPr>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特殊功能：指定相位控制、模拟手动控制、特勤路线控制、手动控制功能</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1.3其他功能</w:t>
      </w:r>
    </w:p>
    <w:p>
      <w:pPr>
        <w:keepNext w:val="0"/>
        <w:keepLines w:val="0"/>
        <w:pageBreakBefore w:val="0"/>
        <w:numPr>
          <w:ilvl w:val="0"/>
          <w:numId w:val="15"/>
        </w:numPr>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交通信息采集功能</w:t>
      </w:r>
    </w:p>
    <w:p>
      <w:pPr>
        <w:keepNext w:val="0"/>
        <w:keepLines w:val="0"/>
        <w:pageBreakBefore w:val="0"/>
        <w:numPr>
          <w:ilvl w:val="0"/>
          <w:numId w:val="15"/>
        </w:numPr>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系统运行监测功能</w:t>
      </w:r>
    </w:p>
    <w:p>
      <w:pPr>
        <w:keepNext w:val="0"/>
        <w:keepLines w:val="0"/>
        <w:pageBreakBefore w:val="0"/>
        <w:numPr>
          <w:ilvl w:val="0"/>
          <w:numId w:val="15"/>
        </w:numPr>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遥设信号机参数功能</w:t>
      </w:r>
    </w:p>
    <w:p>
      <w:pPr>
        <w:keepNext w:val="0"/>
        <w:keepLines w:val="0"/>
        <w:pageBreakBefore w:val="0"/>
        <w:numPr>
          <w:ilvl w:val="0"/>
          <w:numId w:val="15"/>
        </w:numPr>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系统远程监控与维护功能</w:t>
      </w:r>
    </w:p>
    <w:p>
      <w:pPr>
        <w:keepNext w:val="0"/>
        <w:keepLines w:val="0"/>
        <w:pageBreakBefore w:val="0"/>
        <w:numPr>
          <w:ilvl w:val="0"/>
          <w:numId w:val="15"/>
        </w:numPr>
        <w:kinsoku/>
        <w:wordWrap/>
        <w:overflowPunct/>
        <w:topLinePunct w:val="0"/>
        <w:autoSpaceDE/>
        <w:autoSpaceDN/>
        <w:bidi w:val="0"/>
        <w:adjustRightInd/>
        <w:spacing w:line="36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系统接口开放</w:t>
      </w:r>
    </w:p>
    <w:p>
      <w:pPr>
        <w:pageBreakBefore w:val="0"/>
        <w:kinsoku/>
        <w:wordWrap/>
        <w:overflowPunct/>
        <w:topLinePunct w:val="0"/>
        <w:bidi w:val="0"/>
        <w:spacing w:beforeAutospacing="0" w:afterAutospacing="0" w:line="360" w:lineRule="exact"/>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SCATS信号项目基础土建部分</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b/>
          <w:bCs/>
          <w:color w:val="auto"/>
          <w:sz w:val="22"/>
          <w:szCs w:val="22"/>
          <w:highlight w:val="none"/>
        </w:rPr>
      </w:pPr>
      <w:bookmarkStart w:id="277" w:name="_Toc327030884"/>
      <w:bookmarkStart w:id="278" w:name="_Toc299468847"/>
      <w:r>
        <w:rPr>
          <w:rFonts w:hint="eastAsia" w:ascii="宋体" w:hAnsi="宋体" w:eastAsia="宋体" w:cs="宋体"/>
          <w:b/>
          <w:bCs/>
          <w:color w:val="auto"/>
          <w:sz w:val="22"/>
          <w:szCs w:val="22"/>
          <w:highlight w:val="none"/>
        </w:rPr>
        <w:t>2.1施工总体要求</w:t>
      </w:r>
      <w:bookmarkEnd w:id="277"/>
      <w:bookmarkEnd w:id="278"/>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（1）土建施工之前，应根据设计图进行现场勘测、核实工程数量，基础位置、接线手井位置及数量、预埋管道长度、顶管施工位置等可根据现场实际情况略调。</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（2）管道、接线手井、基础施工工艺、所采用的材料及加工处理标准件和预制件应符合规范及图纸要求。</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（3）道路、人行道、绿化带开挖应满足市政施工要求，禁止大面积开挖妨碍市容。有关绿化移植补植费、开挖后恢复费用由</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自行承担。</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b/>
          <w:bCs/>
          <w:color w:val="auto"/>
          <w:sz w:val="22"/>
          <w:szCs w:val="22"/>
          <w:highlight w:val="none"/>
        </w:rPr>
      </w:pPr>
      <w:bookmarkStart w:id="279" w:name="_Toc299468848"/>
      <w:bookmarkStart w:id="280" w:name="_Toc327030885"/>
      <w:r>
        <w:rPr>
          <w:rFonts w:hint="eastAsia" w:ascii="宋体" w:hAnsi="宋体" w:eastAsia="宋体" w:cs="宋体"/>
          <w:b/>
          <w:bCs/>
          <w:color w:val="auto"/>
          <w:sz w:val="22"/>
          <w:szCs w:val="22"/>
          <w:highlight w:val="none"/>
        </w:rPr>
        <w:t>2.2取电</w:t>
      </w:r>
      <w:bookmarkEnd w:id="279"/>
      <w:r>
        <w:rPr>
          <w:rFonts w:hint="eastAsia" w:ascii="宋体" w:hAnsi="宋体" w:eastAsia="宋体" w:cs="宋体"/>
          <w:b/>
          <w:bCs/>
          <w:color w:val="auto"/>
          <w:sz w:val="22"/>
          <w:szCs w:val="22"/>
          <w:highlight w:val="none"/>
        </w:rPr>
        <w:t>施工</w:t>
      </w:r>
      <w:bookmarkEnd w:id="280"/>
    </w:p>
    <w:p>
      <w:pPr>
        <w:pStyle w:val="7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color w:val="auto"/>
          <w:sz w:val="22"/>
          <w:szCs w:val="22"/>
          <w:highlight w:val="none"/>
        </w:rPr>
      </w:pPr>
      <w:bookmarkStart w:id="281" w:name="_Toc327030886"/>
      <w:r>
        <w:rPr>
          <w:rFonts w:hint="eastAsia" w:ascii="宋体" w:hAnsi="宋体" w:eastAsia="宋体" w:cs="宋体"/>
          <w:b/>
          <w:color w:val="auto"/>
          <w:sz w:val="22"/>
          <w:szCs w:val="22"/>
          <w:highlight w:val="none"/>
        </w:rPr>
        <w:t>（1）用电需求</w:t>
      </w:r>
      <w:bookmarkEnd w:id="281"/>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交警用电设备报装电表按照非居民生活用电报装，信号容量为1200W。</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单个路口系统设备满配用电量：</w:t>
      </w:r>
    </w:p>
    <w:tbl>
      <w:tblPr>
        <w:tblStyle w:val="31"/>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6956"/>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子系统</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182" w:firstLineChars="83"/>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用电量计算</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满配用电量</w:t>
            </w: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（单个路口）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信号</w:t>
            </w:r>
          </w:p>
        </w:tc>
        <w:tc>
          <w:tcPr>
            <w:tcW w:w="6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信号灯：一个机动车灯盘（400mm）20w，一个人行灯盘（300mm）10w，倒计时按照相应的灯计算。</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路口满配（四方向采用三箭头的主辅灯，人行灯二次过街满配）为（20×6+20+20）×4+10×2×16=960W.信号机用电200W，共需1200W。</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1200W</w:t>
            </w:r>
          </w:p>
        </w:tc>
      </w:tr>
    </w:tbl>
    <w:p>
      <w:pPr>
        <w:pStyle w:val="7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color w:val="auto"/>
          <w:sz w:val="22"/>
          <w:szCs w:val="22"/>
          <w:highlight w:val="none"/>
        </w:rPr>
      </w:pPr>
      <w:bookmarkStart w:id="282" w:name="_Toc327030888"/>
      <w:bookmarkStart w:id="283" w:name="_Toc299468851"/>
      <w:r>
        <w:rPr>
          <w:rFonts w:hint="eastAsia" w:ascii="宋体" w:hAnsi="宋体" w:eastAsia="宋体" w:cs="宋体"/>
          <w:b/>
          <w:color w:val="auto"/>
          <w:sz w:val="22"/>
          <w:szCs w:val="22"/>
          <w:highlight w:val="none"/>
        </w:rPr>
        <w:t>（2）取电实施建议</w:t>
      </w:r>
      <w:bookmarkEnd w:id="282"/>
    </w:p>
    <w:bookmarkEnd w:id="283"/>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通过对上表的分析，路口取电需要实施以下内容：</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0" w:leftChars="0" w:firstLine="40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无电表点位：需进行电表报装、电表到用电设备取电线路的布设。</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0" w:leftChars="0" w:firstLine="40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有电表之点位：电表容量扩容或现取电线路不能满足用电需求时，更换取电线缆，费用包含在本期项目建设内。但所有点位设备用电产生的电费不属于本期项目建设要求，由交管局自行支付</w:t>
      </w:r>
      <w:r>
        <w:rPr>
          <w:rFonts w:hint="eastAsia" w:ascii="宋体" w:hAnsi="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b/>
          <w:bCs/>
          <w:color w:val="auto"/>
          <w:sz w:val="22"/>
          <w:szCs w:val="22"/>
          <w:highlight w:val="none"/>
        </w:rPr>
      </w:pPr>
      <w:bookmarkStart w:id="284" w:name="_Toc346551900"/>
      <w:r>
        <w:rPr>
          <w:rFonts w:hint="eastAsia" w:ascii="宋体" w:hAnsi="宋体" w:eastAsia="宋体" w:cs="宋体"/>
          <w:b/>
          <w:bCs/>
          <w:color w:val="auto"/>
          <w:sz w:val="22"/>
          <w:szCs w:val="22"/>
          <w:highlight w:val="none"/>
        </w:rPr>
        <w:t>2.3信号机安装</w:t>
      </w:r>
      <w:bookmarkEnd w:id="284"/>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信号机的安装位置尽量选在路口视野较开阔的路沿石内侧人行道上，距离检查手井不远，同时不影响行人和机动车的通行。安装信号机时的机柜门应面向人行道一侧，方便调试人员对路口车流量的观察。</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信号机落地箱基础尺寸应为  850mm*500mm*750mm，采用地锚混凝土式基础，其体积以及地脚螺栓、紧固件等安装材料的强度根据信号机柜安装尺寸确定。线缆敷设完毕后应在机柜内接线口处作防潮、防雨处理，用发泡剂密封，防止虫咬和进水。在机箱的线缆引入和引出部分</w:t>
      </w:r>
      <w:r>
        <w:rPr>
          <w:rFonts w:hint="eastAsia" w:ascii="宋体" w:hAnsi="宋体" w:cs="宋体"/>
          <w:color w:val="auto"/>
          <w:sz w:val="22"/>
          <w:szCs w:val="22"/>
          <w:highlight w:val="none"/>
          <w:lang w:eastAsia="zh-CN"/>
        </w:rPr>
        <w:t>须</w:t>
      </w:r>
      <w:r>
        <w:rPr>
          <w:rFonts w:hint="eastAsia" w:ascii="宋体" w:hAnsi="宋体" w:eastAsia="宋体" w:cs="宋体"/>
          <w:color w:val="auto"/>
          <w:sz w:val="22"/>
          <w:szCs w:val="22"/>
          <w:highlight w:val="none"/>
        </w:rPr>
        <w:t>保护</w:t>
      </w:r>
      <w:r>
        <w:rPr>
          <w:rFonts w:hint="eastAsia" w:ascii="宋体" w:hAnsi="宋体" w:cs="宋体"/>
          <w:color w:val="auto"/>
          <w:sz w:val="22"/>
          <w:szCs w:val="22"/>
          <w:highlight w:val="none"/>
          <w:lang w:eastAsia="zh-CN"/>
        </w:rPr>
        <w:t>措施</w:t>
      </w:r>
      <w:r>
        <w:rPr>
          <w:rFonts w:hint="eastAsia" w:ascii="宋体" w:hAnsi="宋体" w:eastAsia="宋体" w:cs="宋体"/>
          <w:color w:val="auto"/>
          <w:sz w:val="22"/>
          <w:szCs w:val="22"/>
          <w:highlight w:val="none"/>
        </w:rPr>
        <w:t>，防止人为恶意损坏线缆或者老鼠的吭咬。设备机箱内设置专用接地铜排，接地铜排的截面不小于100 mm2，并设置接地标志。落地箱需做接地设施，接地电阻不超过4欧姆。</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b/>
          <w:bCs/>
          <w:color w:val="auto"/>
          <w:sz w:val="22"/>
          <w:szCs w:val="22"/>
          <w:highlight w:val="none"/>
        </w:rPr>
      </w:pPr>
      <w:bookmarkStart w:id="285" w:name="_Toc197829884"/>
      <w:bookmarkStart w:id="286" w:name="_Toc327030894"/>
      <w:bookmarkStart w:id="287" w:name="_Toc302296110"/>
      <w:bookmarkStart w:id="288" w:name="_Toc203015022"/>
      <w:r>
        <w:rPr>
          <w:rFonts w:hint="eastAsia" w:ascii="宋体" w:hAnsi="宋体" w:eastAsia="宋体" w:cs="宋体"/>
          <w:b/>
          <w:bCs/>
          <w:color w:val="auto"/>
          <w:sz w:val="22"/>
          <w:szCs w:val="22"/>
          <w:highlight w:val="none"/>
        </w:rPr>
        <w:t>2.4管道</w:t>
      </w:r>
      <w:bookmarkEnd w:id="285"/>
      <w:bookmarkEnd w:id="286"/>
      <w:bookmarkEnd w:id="287"/>
      <w:bookmarkEnd w:id="288"/>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管道敷设在人行道、绿化带内应选用高密度高密度聚乙烯（HDPE）管或碳素管，在机动车道或过桥时使用应使用镀锌钢管。敷设镀锌钢管，管径不应小于110mm</w:t>
      </w:r>
      <w:r>
        <w:rPr>
          <w:rFonts w:hint="eastAsia" w:ascii="宋体" w:hAnsi="宋体" w:eastAsia="宋体" w:cs="宋体"/>
          <w:color w:val="auto"/>
          <w:sz w:val="22"/>
          <w:szCs w:val="22"/>
          <w:highlight w:val="none"/>
          <w:lang w:eastAsia="zh-CN"/>
        </w:rPr>
        <w:t xml:space="preserve">，敷设管道顶部到地面不应小于 600mm </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人行道、绿化带</w:t>
      </w:r>
      <w:r>
        <w:rPr>
          <w:rFonts w:hint="eastAsia" w:ascii="宋体" w:hAnsi="宋体" w:eastAsia="宋体" w:cs="宋体"/>
          <w:color w:val="auto"/>
          <w:sz w:val="22"/>
          <w:szCs w:val="22"/>
          <w:highlight w:val="none"/>
        </w:rPr>
        <w:t>敷设聚乙烯（HDPE）管或碳素管，管径不应小于110mm</w:t>
      </w:r>
      <w:r>
        <w:rPr>
          <w:rFonts w:hint="eastAsia" w:ascii="宋体" w:hAnsi="宋体" w:eastAsia="宋体" w:cs="宋体"/>
          <w:color w:val="auto"/>
          <w:sz w:val="22"/>
          <w:szCs w:val="22"/>
          <w:highlight w:val="none"/>
          <w:lang w:eastAsia="zh-CN"/>
        </w:rPr>
        <w:t>，敷设管道顶部到地面</w:t>
      </w:r>
      <w:r>
        <w:rPr>
          <w:rFonts w:hint="eastAsia" w:ascii="宋体" w:hAnsi="宋体" w:eastAsia="宋体" w:cs="宋体"/>
          <w:color w:val="auto"/>
          <w:sz w:val="22"/>
          <w:szCs w:val="22"/>
          <w:highlight w:val="none"/>
        </w:rPr>
        <w:t>不应小于</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00mm。</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落地箱引出管至少两根高密度聚乙烯（HDPE）管或碳素管。管道铺设完成后必须按原道路标准恢复路面。</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管道管径选择应保留30%的冗余量备后期增加线路和维护使用，如管道已满配或未满足30%的冗余量标准可增设一孔管道。</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2.5手工井</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常用一号手工井尺寸840mm*450mm*600mm</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二号手工井尺寸950mm*840mm*800mm。手工井内壁应用水泥砂浆抹面，高地下水位地点应设置积水坑，管道到井底的距离不低于10CM，井口应与地面持平。设置在交叉路口的手工井位置，宜选择在人行道或绿化地带。手工井盖应有防盗、防滑、防跌落等措施，井盖上应设置有交警专用标记。</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2.6电缆线敷设</w:t>
      </w:r>
    </w:p>
    <w:p>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路口敷设信号控制电缆，应遵循“一灯一线”原则，一组机动车（或行人）信号灯采用一根电缆线与信号机连接，中间严禁接驳。每根电缆线应预留1股至4股备用芯线。每个路口现有信号灯组（包括辅助信号灯组）均要敷设到位，确保路口信号正常运行。</w:t>
      </w:r>
    </w:p>
    <w:p>
      <w:pPr>
        <w:pStyle w:val="16"/>
        <w:keepNext w:val="0"/>
        <w:keepLines w:val="0"/>
        <w:pageBreakBefore w:val="0"/>
        <w:numPr>
          <w:ilvl w:val="0"/>
          <w:numId w:val="0"/>
        </w:numPr>
        <w:kinsoku/>
        <w:wordWrap/>
        <w:topLinePunct w:val="0"/>
        <w:bidi w:val="0"/>
        <w:snapToGrid/>
        <w:spacing w:line="360" w:lineRule="exact"/>
        <w:ind w:leftChars="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3、采购清单及技术参数要求</w:t>
      </w:r>
    </w:p>
    <w:p>
      <w:pPr>
        <w:pStyle w:val="16"/>
        <w:keepNext w:val="0"/>
        <w:keepLines w:val="0"/>
        <w:pageBreakBefore w:val="0"/>
        <w:numPr>
          <w:ilvl w:val="0"/>
          <w:numId w:val="0"/>
        </w:numPr>
        <w:kinsoku/>
        <w:wordWrap/>
        <w:topLinePunct w:val="0"/>
        <w:bidi w:val="0"/>
        <w:snapToGrid/>
        <w:spacing w:line="360" w:lineRule="exact"/>
        <w:ind w:leftChars="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建设</w:t>
      </w:r>
      <w:r>
        <w:rPr>
          <w:rFonts w:hint="eastAsia" w:ascii="宋体" w:hAnsi="宋体" w:eastAsia="宋体" w:cs="宋体"/>
          <w:bCs/>
          <w:color w:val="auto"/>
          <w:sz w:val="22"/>
          <w:szCs w:val="22"/>
          <w:highlight w:val="none"/>
        </w:rPr>
        <w:t>内容包括对前端所有设备硬件</w:t>
      </w:r>
      <w:r>
        <w:rPr>
          <w:rFonts w:hint="eastAsia" w:ascii="宋体" w:hAnsi="宋体" w:eastAsia="宋体" w:cs="宋体"/>
          <w:bCs/>
          <w:color w:val="auto"/>
          <w:sz w:val="22"/>
          <w:szCs w:val="22"/>
          <w:highlight w:val="none"/>
          <w:lang w:val="en-US" w:eastAsia="zh-CN"/>
        </w:rPr>
        <w:t>的安</w:t>
      </w:r>
      <w:r>
        <w:rPr>
          <w:rFonts w:hint="eastAsia" w:ascii="宋体" w:hAnsi="宋体" w:eastAsia="宋体" w:cs="宋体"/>
          <w:bCs/>
          <w:color w:val="auto"/>
          <w:sz w:val="22"/>
          <w:szCs w:val="22"/>
          <w:highlight w:val="none"/>
        </w:rPr>
        <w:t>装、维修、调试、更换，基础管线施工</w:t>
      </w:r>
      <w:r>
        <w:rPr>
          <w:rFonts w:hint="eastAsia" w:ascii="宋体" w:hAnsi="宋体" w:eastAsia="宋体" w:cs="宋体"/>
          <w:bCs/>
          <w:color w:val="auto"/>
          <w:sz w:val="22"/>
          <w:szCs w:val="22"/>
          <w:highlight w:val="none"/>
          <w:lang w:val="en-US" w:eastAsia="zh-CN"/>
        </w:rPr>
        <w:t>检</w:t>
      </w:r>
      <w:r>
        <w:rPr>
          <w:rFonts w:hint="eastAsia" w:ascii="宋体" w:hAnsi="宋体" w:eastAsia="宋体" w:cs="宋体"/>
          <w:bCs/>
          <w:color w:val="auto"/>
          <w:sz w:val="22"/>
          <w:szCs w:val="22"/>
          <w:highlight w:val="none"/>
        </w:rPr>
        <w:t>修，光纤网络维护，系统平台维护等等，其他未列费用均已包含在内。</w:t>
      </w:r>
    </w:p>
    <w:tbl>
      <w:tblPr>
        <w:tblStyle w:val="31"/>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305"/>
        <w:gridCol w:w="5491"/>
        <w:gridCol w:w="1050"/>
        <w:gridCol w:w="608"/>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2" w:type="dxa"/>
            <w:tcBorders>
              <w:tl2br w:val="nil"/>
              <w:tr2bl w:val="nil"/>
            </w:tcBorders>
            <w:shd w:val="clear" w:color="000000" w:fill="FFFFFF"/>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305" w:type="dxa"/>
            <w:tcBorders>
              <w:tl2br w:val="nil"/>
              <w:tr2bl w:val="nil"/>
            </w:tcBorders>
            <w:shd w:val="clear" w:color="000000" w:fill="FFFFFF"/>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名称</w:t>
            </w:r>
          </w:p>
        </w:tc>
        <w:tc>
          <w:tcPr>
            <w:tcW w:w="5491" w:type="dxa"/>
            <w:tcBorders>
              <w:tl2br w:val="nil"/>
              <w:tr2bl w:val="nil"/>
            </w:tcBorders>
            <w:shd w:val="clear" w:color="000000" w:fill="FFFFFF"/>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参数配置</w:t>
            </w:r>
          </w:p>
        </w:tc>
        <w:tc>
          <w:tcPr>
            <w:tcW w:w="1050" w:type="dxa"/>
            <w:tcBorders>
              <w:tl2br w:val="nil"/>
              <w:tr2bl w:val="nil"/>
            </w:tcBorders>
            <w:shd w:val="clear" w:color="000000" w:fill="FFFFFF"/>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c>
          <w:tcPr>
            <w:tcW w:w="608" w:type="dxa"/>
            <w:tcBorders>
              <w:tl2br w:val="nil"/>
              <w:tr2bl w:val="nil"/>
            </w:tcBorders>
            <w:shd w:val="clear" w:color="000000" w:fill="FFFFFF"/>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w:t>
            </w:r>
          </w:p>
        </w:tc>
        <w:tc>
          <w:tcPr>
            <w:tcW w:w="785" w:type="dxa"/>
            <w:tcBorders>
              <w:tl2br w:val="nil"/>
              <w:tr2bl w:val="nil"/>
            </w:tcBorders>
            <w:shd w:val="clear" w:color="000000" w:fill="FFFFFF"/>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81" w:type="dxa"/>
            <w:gridSpan w:val="6"/>
            <w:tcBorders>
              <w:tl2br w:val="nil"/>
              <w:tr2bl w:val="nil"/>
            </w:tcBorders>
            <w:shd w:val="clear" w:color="000000" w:fill="FFFFFF"/>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一、</w:t>
            </w:r>
            <w:r>
              <w:rPr>
                <w:rFonts w:hint="eastAsia" w:ascii="宋体" w:hAnsi="宋体" w:eastAsia="宋体" w:cs="宋体"/>
                <w:b/>
                <w:bCs/>
                <w:color w:val="auto"/>
                <w:kern w:val="0"/>
                <w:sz w:val="22"/>
                <w:highlight w:val="none"/>
                <w:u w:val="none"/>
                <w:lang w:val="en-US" w:eastAsia="zh-CN"/>
              </w:rPr>
              <w:t>SCATS信号项目系统设备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1305"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SCATS集中协调式信号机(16灯组，含机箱)</w:t>
            </w: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16灯组16通道检测控制器</w:t>
            </w:r>
          </w:p>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（1）主控板1块：采用32位核心CPU，提供信号机状态监控、联网通讯、连接手持操作终端、数据存储卡及外部设备功能。</w:t>
            </w:r>
          </w:p>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（2）地址板1块：提供路口地址识别功能以及手控开关、主接触器、黄闪器等功能接口。</w:t>
            </w:r>
          </w:p>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（3）电源板1块：集成5V、8V、12V、24V电路控制，配置24VDC/230VAC、3.15A安全保险，提供12个可定义外部输出和12个输入端子，输出端子用于驱动外部装置（可变标识，驱动其他设备等），输入端子用于外部装置的监视</w:t>
            </w:r>
            <w:r>
              <w:rPr>
                <w:rFonts w:hint="eastAsia" w:ascii="宋体" w:hAnsi="宋体" w:eastAsia="宋体" w:cs="宋体"/>
                <w:color w:val="auto"/>
                <w:sz w:val="22"/>
                <w:szCs w:val="22"/>
                <w:highlight w:val="none"/>
                <w:lang w:eastAsia="zh-CN"/>
              </w:rPr>
              <w:t>。</w:t>
            </w:r>
          </w:p>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（4）灯组板2块：每个灯组输出额定功率5A/220VAC。灯组控制模块高度集成设计，每个灯控模块集成8灯组输出功能，每个灯组每灯色均有熔断器</w:t>
            </w:r>
            <w:r>
              <w:rPr>
                <w:rFonts w:hint="eastAsia" w:ascii="宋体" w:hAnsi="宋体" w:eastAsia="宋体" w:cs="宋体"/>
                <w:color w:val="auto"/>
                <w:sz w:val="22"/>
                <w:szCs w:val="22"/>
                <w:highlight w:val="none"/>
                <w:lang w:eastAsia="zh-CN"/>
              </w:rPr>
              <w:t>。</w:t>
            </w:r>
          </w:p>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（5）检测板2块：提供16路地感线圈检测通道和16路开关量输入通道，支持地感线圈、无线地磁、视频检测、微波雷达等外部检测装置</w:t>
            </w:r>
            <w:r>
              <w:rPr>
                <w:rFonts w:hint="eastAsia" w:ascii="宋体" w:hAnsi="宋体" w:eastAsia="宋体" w:cs="宋体"/>
                <w:color w:val="auto"/>
                <w:sz w:val="22"/>
                <w:szCs w:val="22"/>
                <w:highlight w:val="none"/>
                <w:lang w:eastAsia="zh-CN"/>
              </w:rPr>
              <w:t>。</w:t>
            </w:r>
          </w:p>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（6）黄闪器1台：提供信号机黄闪功能，硬件独立工作，供电正常情况下，即可提供黄闪输出。</w:t>
            </w:r>
          </w:p>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（7）芯片卡1张：PCMCIA接口，可存储经过编译的路口特征软件，数据存储安全可靠，不会轻易丢失。</w:t>
            </w:r>
          </w:p>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网络通讯板1块。</w:t>
            </w:r>
          </w:p>
          <w:p>
            <w:pPr>
              <w:keepNext w:val="0"/>
              <w:keepLines w:val="0"/>
              <w:pageBreakBefore w:val="0"/>
              <w:widowControl/>
              <w:kinsoku/>
              <w:wordWrap/>
              <w:overflowPunct/>
              <w:topLinePunct w:val="0"/>
              <w:bidi w:val="0"/>
              <w:snapToGrid/>
              <w:spacing w:line="340" w:lineRule="exact"/>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安装以上所有设备的配套落地机箱。</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lang w:val="en-US" w:eastAsia="zh-CN"/>
              </w:rPr>
              <w:t>75</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套</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2"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05"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集中协调控制软件</w:t>
            </w:r>
          </w:p>
        </w:tc>
        <w:tc>
          <w:tcPr>
            <w:tcW w:w="5491" w:type="dxa"/>
            <w:tcBorders>
              <w:tl2br w:val="nil"/>
              <w:tr2bl w:val="nil"/>
            </w:tcBorders>
            <w:vAlign w:val="center"/>
          </w:tcPr>
          <w:p>
            <w:pPr>
              <w:keepNext w:val="0"/>
              <w:keepLines w:val="0"/>
              <w:pageBreakBefore w:val="0"/>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交通信号控制系统接入软件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授权</w:t>
            </w:r>
            <w:r>
              <w:rPr>
                <w:rFonts w:hint="eastAsia" w:ascii="宋体" w:hAnsi="宋体" w:eastAsia="宋体" w:cs="宋体"/>
                <w:color w:val="auto"/>
                <w:sz w:val="22"/>
                <w:szCs w:val="22"/>
                <w:highlight w:val="none"/>
                <w:lang w:eastAsia="zh-CN"/>
              </w:rPr>
              <w:t>）</w:t>
            </w:r>
          </w:p>
        </w:tc>
        <w:tc>
          <w:tcPr>
            <w:tcW w:w="1050"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75</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4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1305"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信号灯倒计时芯片</w:t>
            </w:r>
          </w:p>
        </w:tc>
        <w:tc>
          <w:tcPr>
            <w:tcW w:w="5491" w:type="dxa"/>
            <w:tcBorders>
              <w:tl2br w:val="nil"/>
              <w:tr2bl w:val="nil"/>
            </w:tcBorders>
            <w:vAlign w:val="center"/>
          </w:tcPr>
          <w:p>
            <w:pPr>
              <w:keepNext w:val="0"/>
              <w:keepLines w:val="0"/>
              <w:pageBreakBefore w:val="0"/>
              <w:kinsoku/>
              <w:wordWrap/>
              <w:overflowPunct/>
              <w:topLinePunct w:val="0"/>
              <w:bidi w:val="0"/>
              <w:snapToGrid/>
              <w:spacing w:line="34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信号灯（车灯、人灯）倒计时芯片更新，实现车灯、人灯同步的半（全）程倒计时（可调）</w:t>
            </w:r>
            <w:r>
              <w:rPr>
                <w:rFonts w:hint="eastAsia" w:ascii="宋体" w:hAnsi="宋体" w:eastAsia="宋体" w:cs="宋体"/>
                <w:color w:val="auto"/>
                <w:sz w:val="22"/>
                <w:szCs w:val="22"/>
                <w:highlight w:val="none"/>
                <w:lang w:eastAsia="zh-CN"/>
              </w:rPr>
              <w:t>。</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rPr>
              <w:t>75</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路口</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4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c>
          <w:tcPr>
            <w:tcW w:w="130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光网设备</w:t>
            </w: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根据运营商提供的网络方式定制。支持PON上行，支持PPPOE/静态IP/DHCP 或 支持带千兆光口的网络设备</w:t>
            </w:r>
            <w:r>
              <w:rPr>
                <w:rFonts w:hint="eastAsia" w:ascii="宋体" w:hAnsi="宋体" w:eastAsia="宋体" w:cs="宋体"/>
                <w:color w:val="auto"/>
                <w:sz w:val="22"/>
                <w:szCs w:val="22"/>
                <w:highlight w:val="none"/>
                <w:lang w:eastAsia="zh-CN"/>
              </w:rPr>
              <w:t>。</w:t>
            </w:r>
          </w:p>
        </w:tc>
        <w:tc>
          <w:tcPr>
            <w:tcW w:w="1050"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75</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套</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30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路口工业级交换机</w:t>
            </w: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8个10/100M自适应电口，2个100M/1G SFP光口，2个复用的10/100/1000M自适应电口，温度范围为5~55℃</w:t>
            </w:r>
            <w:r>
              <w:rPr>
                <w:rFonts w:hint="eastAsia" w:ascii="宋体" w:hAnsi="宋体" w:eastAsia="宋体" w:cs="宋体"/>
                <w:color w:val="auto"/>
                <w:sz w:val="22"/>
                <w:szCs w:val="22"/>
                <w:highlight w:val="none"/>
                <w:lang w:eastAsia="zh-CN"/>
              </w:rPr>
              <w:t>。</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rPr>
              <w:t>75</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4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w:t>
            </w:r>
          </w:p>
        </w:tc>
        <w:tc>
          <w:tcPr>
            <w:tcW w:w="1305"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防雷器</w:t>
            </w:r>
          </w:p>
        </w:tc>
        <w:tc>
          <w:tcPr>
            <w:tcW w:w="5491" w:type="dxa"/>
            <w:tcBorders>
              <w:tl2br w:val="nil"/>
              <w:tr2bl w:val="nil"/>
            </w:tcBorders>
            <w:vAlign w:val="center"/>
          </w:tcPr>
          <w:p>
            <w:pPr>
              <w:keepNext w:val="0"/>
              <w:keepLines w:val="0"/>
              <w:pageBreakBefore w:val="0"/>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电源防雷器，单相过电压保护器，最大持续工作电压Uc≥385V，标称放电电流In≥20kA</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最大放电电流Imax≥40kA</w:t>
            </w:r>
            <w:r>
              <w:rPr>
                <w:rFonts w:hint="eastAsia" w:ascii="宋体" w:hAnsi="宋体" w:eastAsia="宋体" w:cs="宋体"/>
                <w:color w:val="auto"/>
                <w:sz w:val="22"/>
                <w:szCs w:val="22"/>
                <w:highlight w:val="none"/>
                <w:lang w:eastAsia="zh-CN"/>
              </w:rPr>
              <w:t>。</w:t>
            </w:r>
          </w:p>
        </w:tc>
        <w:tc>
          <w:tcPr>
            <w:tcW w:w="1050"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75</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42"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p>
        </w:tc>
        <w:tc>
          <w:tcPr>
            <w:tcW w:w="1305"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稳压器</w:t>
            </w:r>
          </w:p>
        </w:tc>
        <w:tc>
          <w:tcPr>
            <w:tcW w:w="5491" w:type="dxa"/>
            <w:tcBorders>
              <w:tl2br w:val="nil"/>
              <w:tr2bl w:val="nil"/>
            </w:tcBorders>
            <w:vAlign w:val="center"/>
          </w:tcPr>
          <w:p>
            <w:pPr>
              <w:keepNext w:val="0"/>
              <w:keepLines w:val="0"/>
              <w:pageBreakBefore w:val="0"/>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单相高精度全自动交流电源稳压器，有延时、过压、欠压等保护功能，1.5KVA/3KVA/5KVA根据路口实际负荷配置</w:t>
            </w:r>
            <w:r>
              <w:rPr>
                <w:rFonts w:hint="eastAsia" w:ascii="宋体" w:hAnsi="宋体" w:eastAsia="宋体" w:cs="宋体"/>
                <w:color w:val="auto"/>
                <w:sz w:val="22"/>
                <w:szCs w:val="22"/>
                <w:highlight w:val="none"/>
                <w:lang w:eastAsia="zh-CN"/>
              </w:rPr>
              <w:t>。</w:t>
            </w:r>
          </w:p>
        </w:tc>
        <w:tc>
          <w:tcPr>
            <w:tcW w:w="1050"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75</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42"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305"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区域控制主机</w:t>
            </w:r>
          </w:p>
        </w:tc>
        <w:tc>
          <w:tcPr>
            <w:tcW w:w="5491" w:type="dxa"/>
            <w:tcBorders>
              <w:tl2br w:val="nil"/>
              <w:tr2bl w:val="nil"/>
            </w:tcBorders>
            <w:vAlign w:val="center"/>
          </w:tcPr>
          <w:p>
            <w:pPr>
              <w:keepNext w:val="0"/>
              <w:keepLines w:val="0"/>
              <w:pageBreakBefore w:val="0"/>
              <w:kinsoku/>
              <w:wordWrap/>
              <w:overflowPunct/>
              <w:topLinePunct w:val="0"/>
              <w:bidi w:val="0"/>
              <w:snapToGrid/>
              <w:spacing w:line="34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机架式2U服务器/英特尔至强8核4110CPU 2.1GHZ*2/16GB DDR4*6/600GB SAS 10K*5/</w:t>
            </w:r>
            <w:r>
              <w:rPr>
                <w:rFonts w:hint="eastAsia" w:ascii="宋体" w:hAnsi="宋体" w:cs="宋体"/>
                <w:color w:val="auto"/>
                <w:sz w:val="22"/>
                <w:szCs w:val="22"/>
                <w:highlight w:val="none"/>
                <w:lang w:val="en-US" w:eastAsia="zh-CN"/>
              </w:rPr>
              <w:t>高性能</w:t>
            </w:r>
            <w:r>
              <w:rPr>
                <w:rFonts w:hint="eastAsia" w:ascii="宋体" w:hAnsi="宋体" w:eastAsia="宋体" w:cs="宋体"/>
                <w:color w:val="auto"/>
                <w:sz w:val="22"/>
                <w:szCs w:val="22"/>
                <w:highlight w:val="none"/>
                <w:lang w:val="en-US" w:eastAsia="zh-CN"/>
              </w:rPr>
              <w:t xml:space="preserve"> 2GB RAID控制器/双口千兆/750W单电源/上架导轨。</w:t>
            </w:r>
          </w:p>
        </w:tc>
        <w:tc>
          <w:tcPr>
            <w:tcW w:w="1050"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台</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42"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9</w:t>
            </w:r>
          </w:p>
        </w:tc>
        <w:tc>
          <w:tcPr>
            <w:tcW w:w="1305"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车辆特征智能识别及检索系统</w:t>
            </w: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1.过车图片实时识别</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实现基础信息的结构化识别：识别位置（前、后）、有无号牌、号牌种类、号牌号码、车辆类型、车身颜色、车标、车辆子品牌、品牌可信度、号牌可信度。</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2.过车图片特征识别</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实现驾驶人未系安全带、驾驶人拨打手机、主驾驶放下遮阳板、副驾驶放下遮阳板、粘贴临时号牌、是否粘贴年检等标志、是否有挂件、是否摆放摆件等行为或特征的识别。支持提取车辆特征码，车辆特征码存储分布式数据库上。</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3.车辆特征轨迹分析</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按照识别位置、有无号牌、号牌种类、号牌号码、车辆类型、车身颜色、车标、有无年检标志、有无挂件、有无摆件、主副驾驶是否放下遮阳板、驾驶人是否系安全带、驾驶人是否拨打手机等条件查询轨迹，结果返回时间不超过3秒。</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4.违法驾驶行为取证</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支持驾乘人员未按规定使用安全带、驾驶时拨打接听手持电话、摩托车骑乘人员未按规定佩戴安全头盔等违法行为的取证，支持使用自定义违法代码。</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5.违法驾驶行为统计</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支持按照管理部门、道路类型、道路代码等多个数据维度对违法驾驶行为进行统计分析，为打击违法驾驶行为提供数据分析。</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6.无牌车分析</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通过机动车号牌的识别以及粘贴临时号牌的识别，分析未粘贴或未按规定粘贴临时号牌的无牌车，小车准确率80%以上，大车准确率40%以上。支持实时预警，实时预警从收到过车数据到预警3秒以内。</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7.嫌疑假牌车分析</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通过机动车号牌识别、品牌识别以及与机动车登记信息的碰撞比对，分析出嫌疑使用伪造、变造机动车号牌的车辆以及嫌疑办理注销、转移业务后继续使用应当收回的机动车号牌的车辆，准确率90%以上。支持实时预警与离线取证，实时预警从收到过车数据到预警3秒以内。</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8.嫌疑套牌车分析</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通过机动车号牌识别、品牌识别以及与机动车登记信息的碰撞比对，分析出嫌疑使用其他机动车号牌的车辆以及嫌疑使用伪造、变造机动车号牌的车辆，准确率30%以上。支持实时预警与离线取证，实时预警从收到过车数据到预警3秒以内。</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9.嫌疑车辆相似度分析（自动以图搜车）</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首先，后台自动将每天产生的嫌疑使用伪造变造机动车号牌车辆、嫌疑使用其他机动车号牌车辆、嫌疑未悬挂机动车号牌车辆以及非现场人工筛选出来的涉牌违法车辆作为嫌疑车辆，对每一辆嫌疑车辆，通过与海量过车记录的相似度分析，找出与嫌疑车辆高度相似但号牌不同的车辆。其次，人工对后台分析的相似车辆进行确认，找出短期内频繁变换机动车号牌行为的涉牌违法车辆，提供过车轨迹查询、机动车登记信息查询、违法记录查询等查询的快捷功能，进一步分析查证涉牌违法车辆的真实号牌信息。最后，支持使用嫌疑车辆信息与相似车辆信息进行直接布控或采集非现场违法。</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在千万数据集中，对百辆车进行以图搜车，总耗时不大于2小时。</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10.自定义以图搜车</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用户自选图片进行车辆基础信息识别、特征提取、相似度比对并返回相似度较高的记录作为相似车辆。以图搜车搜索条件可选车标品牌、车辆品牌型号、车辆类型、车身颜色、过车时间、行政区划、卡口。对于搜索出来的结果需要人工进行确认，人工确认时同样提供过车轨迹查询、机动车登记信息查询、违法记录查询等查询的快捷功能，支持对确认结果进行人工布控、采集非现场违法。</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11.在10万数据集进行1张图片的以图搜车总时间在3分钟以内。</w:t>
            </w:r>
          </w:p>
        </w:tc>
        <w:tc>
          <w:tcPr>
            <w:tcW w:w="1050"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42"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305"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信号专网网络服务费</w:t>
            </w: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采用能实现故障快速定位的IPRAN、PTN等专用网络，部署在信号专网（与互联网完全隔离），对路口到机房的接入网络上进行线路保护。要求提供的传输带宽不低于2M。</w:t>
            </w:r>
          </w:p>
        </w:tc>
        <w:tc>
          <w:tcPr>
            <w:tcW w:w="1050"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75</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点</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42"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305"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系统安装部署、对接调试服务</w:t>
            </w: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1.车辆特征智能识别与检索比对系统部署。</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2.根据系统运行要求，在服务器设备上搭建系统运行的环境如：操作系统、运行组件等，完成软件系统部署的前置条件。</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3.完成与集成指挥平台的对接。</w:t>
            </w:r>
          </w:p>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4.完成车辆特征智能识别与检索比对系统的联调测试。</w:t>
            </w:r>
          </w:p>
        </w:tc>
        <w:tc>
          <w:tcPr>
            <w:tcW w:w="1050"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42"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1305"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项目建设</w:t>
            </w:r>
          </w:p>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管理费</w:t>
            </w: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含货物包装、运输、装卸、保险、培训以及所有风险责任等各项费用</w:t>
            </w:r>
            <w:r>
              <w:rPr>
                <w:rFonts w:hint="eastAsia" w:ascii="宋体" w:hAnsi="宋体" w:cs="宋体"/>
                <w:i w:val="0"/>
                <w:iCs w:val="0"/>
                <w:color w:val="auto"/>
                <w:kern w:val="0"/>
                <w:sz w:val="22"/>
                <w:szCs w:val="22"/>
                <w:highlight w:val="none"/>
                <w:u w:val="none"/>
                <w:lang w:val="en-US" w:eastAsia="zh-CN" w:bidi="ar"/>
              </w:rPr>
              <w:t>。</w:t>
            </w:r>
          </w:p>
        </w:tc>
        <w:tc>
          <w:tcPr>
            <w:tcW w:w="1050"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p>
        </w:tc>
        <w:tc>
          <w:tcPr>
            <w:tcW w:w="608" w:type="dxa"/>
            <w:tcBorders>
              <w:tl2br w:val="nil"/>
              <w:tr2bl w:val="nil"/>
            </w:tcBorders>
            <w:vAlign w:val="center"/>
          </w:tcPr>
          <w:p>
            <w:pPr>
              <w:keepNext w:val="0"/>
              <w:keepLines w:val="0"/>
              <w:pageBreakBefore w:val="0"/>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项</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81"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二、土建工程部分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2" w:type="dxa"/>
            <w:vMerge w:val="restart"/>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05" w:type="dxa"/>
            <w:vMerge w:val="restart"/>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SCATS智能信系统辅材</w:t>
            </w: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KVV22-12*1.5</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14640</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2" w:type="dxa"/>
            <w:vMerge w:val="continue"/>
            <w:tcBorders>
              <w:tl2br w:val="nil"/>
              <w:tr2bl w:val="nil"/>
            </w:tcBorders>
            <w:vAlign w:val="center"/>
          </w:tcPr>
          <w:p>
            <w:pPr>
              <w:pStyle w:val="2"/>
              <w:keepNext w:val="0"/>
              <w:keepLines w:val="0"/>
              <w:pageBreakBefore w:val="0"/>
              <w:kinsoku/>
              <w:wordWrap/>
              <w:overflowPunct/>
              <w:topLinePunct w:val="0"/>
              <w:bidi w:val="0"/>
              <w:snapToGrid/>
              <w:spacing w:after="0" w:line="340" w:lineRule="exact"/>
              <w:rPr>
                <w:rFonts w:hint="eastAsia" w:ascii="宋体" w:hAnsi="宋体" w:eastAsia="宋体" w:cs="宋体"/>
                <w:color w:val="auto"/>
                <w:sz w:val="22"/>
                <w:szCs w:val="22"/>
                <w:highlight w:val="none"/>
                <w:lang w:val="en-US" w:eastAsia="zh-CN"/>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KVV22-3*1.5</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17430</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2" w:type="dxa"/>
            <w:vMerge w:val="continue"/>
            <w:tcBorders>
              <w:tl2br w:val="nil"/>
              <w:tr2bl w:val="nil"/>
            </w:tcBorders>
            <w:vAlign w:val="center"/>
          </w:tcPr>
          <w:p>
            <w:pPr>
              <w:pStyle w:val="2"/>
              <w:keepNext w:val="0"/>
              <w:keepLines w:val="0"/>
              <w:pageBreakBefore w:val="0"/>
              <w:kinsoku/>
              <w:wordWrap/>
              <w:overflowPunct/>
              <w:topLinePunct w:val="0"/>
              <w:bidi w:val="0"/>
              <w:snapToGrid/>
              <w:spacing w:after="0" w:line="340" w:lineRule="exact"/>
              <w:rPr>
                <w:rFonts w:hint="eastAsia" w:ascii="宋体" w:hAnsi="宋体" w:eastAsia="宋体" w:cs="宋体"/>
                <w:color w:val="auto"/>
                <w:sz w:val="22"/>
                <w:szCs w:val="22"/>
                <w:highlight w:val="none"/>
                <w:lang w:val="en-US" w:eastAsia="zh-CN"/>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单模4芯光缆 </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2955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RVV3*2.5  </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线缆穿线、接线施工</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42"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305"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SCATS智能信系统安装调试费</w:t>
            </w: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含前端信号板卡、信号机箱、防雷器、稳压器、交换机、光网设备、服务器等所有设备的安装、调测、信号平台对接上线、试运行等费用。</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2" w:type="dxa"/>
            <w:vMerge w:val="restart"/>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p>
            <w:pPr>
              <w:pStyle w:val="2"/>
              <w:keepNext w:val="0"/>
              <w:keepLines w:val="0"/>
              <w:pageBreakBefore w:val="0"/>
              <w:kinsoku/>
              <w:wordWrap/>
              <w:overflowPunct/>
              <w:topLinePunct w:val="0"/>
              <w:bidi w:val="0"/>
              <w:snapToGrid/>
              <w:spacing w:after="0" w:line="340" w:lineRule="exact"/>
              <w:rPr>
                <w:rFonts w:hint="eastAsia" w:ascii="宋体" w:hAnsi="宋体" w:eastAsia="宋体" w:cs="宋体"/>
                <w:color w:val="auto"/>
                <w:sz w:val="22"/>
                <w:szCs w:val="22"/>
                <w:highlight w:val="none"/>
                <w:lang w:val="en-US" w:eastAsia="zh-CN"/>
              </w:rPr>
            </w:pPr>
          </w:p>
        </w:tc>
        <w:tc>
          <w:tcPr>
            <w:tcW w:w="1305" w:type="dxa"/>
            <w:vMerge w:val="restart"/>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SCATS智能信号系统基础土建施工</w:t>
            </w: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1#手孔，井150mm厚C15混凝土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240mm厚砌砖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井内外壁水泥抹面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840*450mm井盖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包括配件、模板、挖、填、运土方</w:t>
            </w:r>
            <w:r>
              <w:rPr>
                <w:rFonts w:hint="eastAsia" w:ascii="宋体" w:hAnsi="宋体" w:eastAsia="宋体" w:cs="宋体"/>
                <w:color w:val="auto"/>
                <w:sz w:val="22"/>
                <w:szCs w:val="22"/>
                <w:highlight w:val="none"/>
                <w:lang w:eastAsia="zh-CN"/>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48</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座</w:t>
            </w:r>
          </w:p>
        </w:tc>
        <w:tc>
          <w:tcPr>
            <w:tcW w:w="785" w:type="dxa"/>
            <w:tcBorders>
              <w:tl2br w:val="nil"/>
              <w:tr2bl w:val="nil"/>
            </w:tcBorders>
            <w:vAlign w:val="top"/>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2#手孔井，150mm厚C15混凝土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240mm厚砌砖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井内外壁水泥抹面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950*840mm井盖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包括配件、模板、挖、填、运土方</w:t>
            </w:r>
            <w:r>
              <w:rPr>
                <w:rFonts w:hint="eastAsia" w:ascii="宋体" w:hAnsi="宋体" w:eastAsia="宋体" w:cs="宋体"/>
                <w:color w:val="auto"/>
                <w:sz w:val="22"/>
                <w:szCs w:val="22"/>
                <w:highlight w:val="none"/>
                <w:lang w:eastAsia="zh-CN"/>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rPr>
              <w:t>座</w:t>
            </w:r>
          </w:p>
        </w:tc>
        <w:tc>
          <w:tcPr>
            <w:tcW w:w="785" w:type="dxa"/>
            <w:tcBorders>
              <w:tl2br w:val="nil"/>
              <w:tr2bl w:val="nil"/>
            </w:tcBorders>
            <w:vAlign w:val="top"/>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非开挖段，2*PE110(壁厚7cm)，含泥浆外运</w:t>
            </w:r>
            <w:r>
              <w:rPr>
                <w:rFonts w:hint="eastAsia" w:ascii="宋体" w:hAnsi="宋体" w:eastAsia="宋体" w:cs="宋体"/>
                <w:color w:val="auto"/>
                <w:sz w:val="22"/>
                <w:szCs w:val="22"/>
                <w:highlight w:val="none"/>
                <w:lang w:eastAsia="zh-CN"/>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984</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top"/>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KPC115波纹管</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156</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top"/>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车行道开挖及修复</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82.5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top"/>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人行道开挖及修复</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1548.75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top"/>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绿化带开挖及修复</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577.5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top"/>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val="en-US" w:bidi="ar-SA"/>
              </w:rPr>
              <w:t>PE110，埋地敷设</w:t>
            </w:r>
            <w:r>
              <w:rPr>
                <w:rFonts w:hint="eastAsia" w:ascii="宋体" w:hAnsi="宋体" w:eastAsia="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bidi="ar-SA"/>
              </w:rPr>
              <w:t>总埋深0.7m</w:t>
            </w:r>
            <w:r>
              <w:rPr>
                <w:rFonts w:hint="eastAsia" w:ascii="宋体" w:hAnsi="宋体" w:eastAsia="宋体" w:cs="宋体"/>
                <w:color w:val="auto"/>
                <w:kern w:val="2"/>
                <w:sz w:val="22"/>
                <w:szCs w:val="22"/>
                <w:highlight w:val="none"/>
                <w:lang w:val="en-US" w:eastAsia="zh-CN" w:bidi="ar-SA"/>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3023.25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top"/>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val="en-US" w:bidi="ar-SA"/>
              </w:rPr>
              <w:t>镀锌钢管 SC100，埋地敷设</w:t>
            </w:r>
            <w:r>
              <w:rPr>
                <w:rFonts w:hint="eastAsia" w:ascii="宋体" w:hAnsi="宋体" w:eastAsia="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bidi="ar-SA"/>
              </w:rPr>
              <w:t>总埋深0.7m</w:t>
            </w:r>
            <w:r>
              <w:rPr>
                <w:rFonts w:hint="eastAsia" w:ascii="宋体" w:hAnsi="宋体" w:eastAsia="宋体" w:cs="宋体"/>
                <w:color w:val="auto"/>
                <w:kern w:val="2"/>
                <w:sz w:val="22"/>
                <w:szCs w:val="22"/>
                <w:highlight w:val="none"/>
                <w:lang w:val="en-US" w:eastAsia="zh-CN" w:bidi="ar-SA"/>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58.5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785" w:type="dxa"/>
            <w:tcBorders>
              <w:tl2br w:val="nil"/>
              <w:tr2bl w:val="nil"/>
            </w:tcBorders>
            <w:vAlign w:val="top"/>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42"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05"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491"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rPr>
              <w:t>信号机箱基础</w:t>
            </w:r>
            <w:r>
              <w:rPr>
                <w:rFonts w:hint="eastAsia" w:ascii="宋体" w:hAnsi="宋体" w:eastAsia="宋体" w:cs="宋体"/>
                <w:color w:val="auto"/>
                <w:sz w:val="22"/>
                <w:szCs w:val="22"/>
                <w:highlight w:val="none"/>
                <w:lang w:val="en-US" w:eastAsia="zh-CN"/>
              </w:rPr>
              <w:t>定制</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w:t>
            </w:r>
          </w:p>
        </w:tc>
        <w:tc>
          <w:tcPr>
            <w:tcW w:w="608"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785"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305" w:type="dxa"/>
            <w:tcBorders>
              <w:tl2br w:val="nil"/>
              <w:tr2bl w:val="nil"/>
            </w:tcBorders>
            <w:shd w:val="clear" w:color="000000" w:fill="FFFFFF"/>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勘察设计费</w:t>
            </w:r>
          </w:p>
        </w:tc>
        <w:tc>
          <w:tcPr>
            <w:tcW w:w="5491" w:type="dxa"/>
            <w:tcBorders>
              <w:tl2br w:val="nil"/>
              <w:tr2bl w:val="nil"/>
            </w:tcBorders>
            <w:shd w:val="clear" w:color="000000" w:fill="FFFFFF"/>
            <w:vAlign w:val="center"/>
          </w:tcPr>
          <w:p>
            <w:pPr>
              <w:keepNext w:val="0"/>
              <w:keepLines w:val="0"/>
              <w:pageBreakBefore w:val="0"/>
              <w:widowControl/>
              <w:suppressLineNumbers w:val="0"/>
              <w:kinsoku/>
              <w:wordWrap/>
              <w:overflowPunct/>
              <w:topLinePunct w:val="0"/>
              <w:bidi w:val="0"/>
              <w:snapToGrid/>
              <w:spacing w:line="34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申报点位勘察、清单配置、地形图、安装位置及取景图片、经纬度，施工复勘配合等，并让具有设计资质的第三方公司出具施工图纸，竣工图纸。75套信号路口。</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08" w:type="dxa"/>
            <w:tcBorders>
              <w:tl2br w:val="nil"/>
              <w:tr2bl w:val="nil"/>
            </w:tcBorders>
            <w:noWrap/>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785" w:type="dxa"/>
            <w:tcBorders>
              <w:tl2br w:val="nil"/>
              <w:tr2bl w:val="nil"/>
            </w:tcBorders>
            <w:vAlign w:val="center"/>
          </w:tcPr>
          <w:p>
            <w:pPr>
              <w:keepNext w:val="0"/>
              <w:keepLines w:val="0"/>
              <w:pageBreakBefore w:val="0"/>
              <w:widowControl/>
              <w:suppressLineNumbers w:val="0"/>
              <w:kinsoku/>
              <w:wordWrap/>
              <w:overflowPunct/>
              <w:topLinePunct w:val="0"/>
              <w:bidi w:val="0"/>
              <w:snapToGrid/>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keepNext w:val="0"/>
        <w:keepLines w:val="0"/>
        <w:pageBreakBefore w:val="0"/>
        <w:kinsoku/>
        <w:wordWrap/>
        <w:overflowPunct/>
        <w:topLinePunct w:val="0"/>
        <w:bidi w:val="0"/>
        <w:snapToGrid/>
        <w:spacing w:line="3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其他要求</w:t>
      </w:r>
    </w:p>
    <w:p>
      <w:pPr>
        <w:keepNext w:val="0"/>
        <w:keepLines w:val="0"/>
        <w:pageBreakBefore w:val="0"/>
        <w:numPr>
          <w:ilvl w:val="0"/>
          <w:numId w:val="17"/>
        </w:numPr>
        <w:kinsoku/>
        <w:wordWrap/>
        <w:topLinePunct w:val="0"/>
        <w:bidi w:val="0"/>
        <w:snapToGrid/>
        <w:spacing w:line="360" w:lineRule="exact"/>
        <w:ind w:left="0" w:leftChars="0"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有设备如无特别注明的均为制造厂出厂的标准配置。投标人可根据以上所列设备的技术配置及技术性能要求</w:t>
      </w:r>
      <w:r>
        <w:rPr>
          <w:rFonts w:hint="eastAsia" w:ascii="宋体" w:hAnsi="宋体" w:eastAsia="宋体" w:cs="宋体"/>
          <w:b/>
          <w:color w:val="auto"/>
          <w:sz w:val="22"/>
          <w:szCs w:val="22"/>
          <w:highlight w:val="none"/>
        </w:rPr>
        <w:t>作为</w:t>
      </w:r>
      <w:r>
        <w:rPr>
          <w:rFonts w:hint="eastAsia" w:ascii="宋体" w:hAnsi="宋体" w:eastAsia="宋体" w:cs="宋体"/>
          <w:b/>
          <w:color w:val="auto"/>
          <w:sz w:val="22"/>
          <w:szCs w:val="22"/>
          <w:highlight w:val="none"/>
          <w:lang w:val="zh-CN"/>
        </w:rPr>
        <w:t>参考选用投标产品，但所选投标产品的技术配置及技术性能应相当于或高于招标文件要求，并满足采购需求，否则将可能作出对投标人不利的评定。</w:t>
      </w:r>
    </w:p>
    <w:p>
      <w:pPr>
        <w:keepNext w:val="0"/>
        <w:keepLines w:val="0"/>
        <w:pageBreakBefore w:val="0"/>
        <w:numPr>
          <w:ilvl w:val="0"/>
          <w:numId w:val="17"/>
        </w:numPr>
        <w:kinsoku/>
        <w:wordWrap/>
        <w:topLinePunct w:val="0"/>
        <w:bidi w:val="0"/>
        <w:snapToGrid/>
        <w:spacing w:line="360" w:lineRule="exact"/>
        <w:ind w:left="0" w:leftChars="0" w:firstLine="442" w:firstLineChars="200"/>
        <w:rPr>
          <w:rFonts w:hint="eastAsia" w:ascii="宋体" w:hAnsi="宋体" w:eastAsia="宋体" w:cs="宋体"/>
          <w:b/>
          <w:bCs/>
          <w:color w:val="auto"/>
          <w:spacing w:val="-6"/>
          <w:sz w:val="22"/>
          <w:szCs w:val="22"/>
          <w:highlight w:val="none"/>
        </w:rPr>
      </w:pPr>
      <w:r>
        <w:rPr>
          <w:rFonts w:hint="eastAsia" w:ascii="宋体" w:hAnsi="宋体" w:eastAsia="宋体" w:cs="宋体"/>
          <w:b/>
          <w:color w:val="auto"/>
          <w:sz w:val="22"/>
          <w:szCs w:val="22"/>
          <w:highlight w:val="none"/>
          <w:lang w:val="en-US" w:eastAsia="zh-CN"/>
        </w:rPr>
        <w:t>建设设备清单均为采购初步清单方案，投标人认为以上设备无法满足采购需要和实际需要的应在投标时补充相应设备，但不得低于以上参数配置要求。中标人须按照项目需求提供，该费用包含在投标报价中。</w:t>
      </w:r>
    </w:p>
    <w:p>
      <w:pPr>
        <w:pStyle w:val="30"/>
        <w:keepNext w:val="0"/>
        <w:keepLines w:val="0"/>
        <w:pageBreakBefore w:val="0"/>
        <w:kinsoku/>
        <w:wordWrap/>
        <w:overflowPunct/>
        <w:topLinePunct w:val="0"/>
        <w:autoSpaceDE/>
        <w:autoSpaceDN/>
        <w:bidi w:val="0"/>
        <w:spacing w:line="340" w:lineRule="exact"/>
        <w:ind w:left="0"/>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五</w:t>
      </w:r>
      <w:r>
        <w:rPr>
          <w:rFonts w:hint="eastAsia" w:ascii="宋体" w:hAnsi="宋体" w:eastAsia="宋体" w:cs="宋体"/>
          <w:b/>
          <w:bCs/>
          <w:color w:val="auto"/>
          <w:spacing w:val="-6"/>
          <w:sz w:val="22"/>
          <w:szCs w:val="22"/>
          <w:highlight w:val="none"/>
          <w:lang w:val="en-US" w:eastAsia="zh-CN"/>
        </w:rPr>
        <w:t>.</w:t>
      </w:r>
      <w:r>
        <w:rPr>
          <w:rFonts w:hint="eastAsia" w:ascii="宋体" w:hAnsi="宋体" w:eastAsia="宋体" w:cs="宋体"/>
          <w:b/>
          <w:bCs/>
          <w:color w:val="auto"/>
          <w:spacing w:val="-6"/>
          <w:sz w:val="22"/>
          <w:szCs w:val="22"/>
          <w:highlight w:val="none"/>
        </w:rPr>
        <w:t>其他</w:t>
      </w:r>
    </w:p>
    <w:p>
      <w:pPr>
        <w:keepNext w:val="0"/>
        <w:keepLines w:val="0"/>
        <w:pageBreakBefore w:val="0"/>
        <w:kinsoku/>
        <w:wordWrap/>
        <w:overflowPunct/>
        <w:topLinePunct w:val="0"/>
        <w:autoSpaceDE/>
        <w:autoSpaceDN/>
        <w:bidi w:val="0"/>
        <w:adjustRightInd/>
        <w:snapToGrid w:val="0"/>
        <w:spacing w:line="340" w:lineRule="exact"/>
        <w:ind w:left="0" w:firstLine="418" w:firstLineChars="200"/>
        <w:jc w:val="both"/>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1.除招标文件中所明确的采购需求外，欢迎其他能满足本项目采购需求且性能相当于或高于所明确采购需求的产品参加投标报价。同时在采购需求偏离表中作出详细对比说明。</w:t>
      </w:r>
    </w:p>
    <w:p>
      <w:pPr>
        <w:keepNext w:val="0"/>
        <w:keepLines w:val="0"/>
        <w:pageBreakBefore w:val="0"/>
        <w:kinsoku/>
        <w:wordWrap/>
        <w:overflowPunct/>
        <w:topLinePunct w:val="0"/>
        <w:autoSpaceDE/>
        <w:autoSpaceDN/>
        <w:bidi w:val="0"/>
        <w:adjustRightInd/>
        <w:snapToGrid w:val="0"/>
        <w:spacing w:line="340" w:lineRule="exact"/>
        <w:ind w:left="0" w:firstLine="418" w:firstLineChars="200"/>
        <w:jc w:val="both"/>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w:t>
      </w:r>
      <w:r>
        <w:rPr>
          <w:rFonts w:hint="eastAsia" w:ascii="宋体" w:hAnsi="宋体" w:cs="宋体"/>
          <w:b/>
          <w:bCs/>
          <w:color w:val="auto"/>
          <w:spacing w:val="-6"/>
          <w:sz w:val="22"/>
          <w:szCs w:val="22"/>
          <w:highlight w:val="none"/>
          <w:lang w:eastAsia="zh-CN"/>
        </w:rPr>
        <w:t>投标人</w:t>
      </w:r>
      <w:r>
        <w:rPr>
          <w:rFonts w:hint="eastAsia" w:ascii="宋体" w:hAnsi="宋体" w:eastAsia="宋体" w:cs="宋体"/>
          <w:b/>
          <w:bCs/>
          <w:color w:val="auto"/>
          <w:spacing w:val="-6"/>
          <w:sz w:val="22"/>
          <w:szCs w:val="22"/>
          <w:highlight w:val="none"/>
        </w:rPr>
        <w:t>必须做出实质性响应，否则视为投标无效。</w:t>
      </w:r>
    </w:p>
    <w:p>
      <w:pPr>
        <w:keepNext w:val="0"/>
        <w:keepLines w:val="0"/>
        <w:pageBreakBefore w:val="0"/>
        <w:kinsoku/>
        <w:wordWrap/>
        <w:overflowPunct/>
        <w:topLinePunct w:val="0"/>
        <w:autoSpaceDE/>
        <w:autoSpaceDN/>
        <w:bidi w:val="0"/>
        <w:adjustRightInd/>
        <w:snapToGrid w:val="0"/>
        <w:spacing w:line="340" w:lineRule="exact"/>
        <w:ind w:left="0" w:firstLine="418" w:firstLineChars="200"/>
        <w:jc w:val="both"/>
        <w:textAlignment w:val="auto"/>
        <w:rPr>
          <w:rFonts w:hint="eastAsia" w:ascii="宋体" w:hAnsi="宋体" w:eastAsia="宋体" w:cs="宋体"/>
          <w:b/>
          <w:bCs/>
          <w:color w:val="auto"/>
          <w:spacing w:val="-6"/>
          <w:sz w:val="22"/>
          <w:szCs w:val="22"/>
          <w:highlight w:val="none"/>
          <w:lang w:eastAsia="zh-CN"/>
        </w:rPr>
      </w:pPr>
      <w:r>
        <w:rPr>
          <w:rFonts w:hint="eastAsia" w:ascii="宋体" w:hAnsi="宋体" w:eastAsia="宋体" w:cs="宋体"/>
          <w:b/>
          <w:bCs/>
          <w:color w:val="auto"/>
          <w:spacing w:val="-6"/>
          <w:sz w:val="22"/>
          <w:szCs w:val="22"/>
          <w:highlight w:val="none"/>
        </w:rPr>
        <w:t>3.如采购需求中未特别注明需执行的国家相关标准、行业标准、地方标准或者其他标准、规范，则统一执行最新标准、规范</w:t>
      </w:r>
      <w:r>
        <w:rPr>
          <w:rFonts w:hint="eastAsia" w:ascii="宋体" w:hAnsi="宋体" w:eastAsia="宋体" w:cs="宋体"/>
          <w:b/>
          <w:bCs/>
          <w:color w:val="auto"/>
          <w:spacing w:val="-6"/>
          <w:sz w:val="22"/>
          <w:szCs w:val="22"/>
          <w:highlight w:val="none"/>
          <w:lang w:eastAsia="zh-CN"/>
        </w:rPr>
        <w:t>。</w:t>
      </w:r>
    </w:p>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br w:type="page"/>
      </w:r>
      <w:r>
        <w:rPr>
          <w:rFonts w:hint="eastAsia" w:ascii="宋体" w:hAnsi="宋体" w:eastAsia="宋体" w:cs="宋体"/>
          <w:b/>
          <w:color w:val="auto"/>
          <w:sz w:val="24"/>
          <w:szCs w:val="24"/>
          <w:highlight w:val="none"/>
          <w:lang w:val="en-US" w:eastAsia="zh-CN"/>
        </w:rPr>
        <w:t>第二章 标项2：2022年温州市电子警察系统项目采购需求</w:t>
      </w:r>
    </w:p>
    <w:p>
      <w:pPr>
        <w:keepNext w:val="0"/>
        <w:keepLines w:val="0"/>
        <w:pageBreakBefore w:val="0"/>
        <w:kinsoku/>
        <w:wordWrap/>
        <w:overflowPunct/>
        <w:topLinePunct w:val="0"/>
        <w:autoSpaceDE/>
        <w:autoSpaceDN/>
        <w:bidi w:val="0"/>
        <w:adjustRightInd/>
        <w:snapToGrid w:val="0"/>
        <w:spacing w:line="340" w:lineRule="exact"/>
        <w:ind w:left="0" w:firstLine="643" w:firstLineChars="200"/>
        <w:jc w:val="left"/>
        <w:textAlignment w:val="auto"/>
        <w:rPr>
          <w:rFonts w:hint="eastAsia" w:ascii="宋体" w:hAnsi="宋体" w:eastAsia="宋体" w:cs="宋体"/>
          <w:b/>
          <w:color w:val="auto"/>
          <w:sz w:val="32"/>
          <w:highlight w:val="none"/>
        </w:rPr>
      </w:pPr>
    </w:p>
    <w:p>
      <w:pPr>
        <w:pStyle w:val="16"/>
        <w:adjustRightInd/>
        <w:snapToGrid w:val="0"/>
        <w:spacing w:line="360" w:lineRule="exact"/>
        <w:textAlignment w:val="auto"/>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一.采购内容及数量</w:t>
      </w:r>
    </w:p>
    <w:tbl>
      <w:tblPr>
        <w:tblStyle w:val="31"/>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070"/>
        <w:gridCol w:w="1538"/>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pPr>
              <w:spacing w:line="360" w:lineRule="exact"/>
              <w:jc w:val="center"/>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highlight w:val="none"/>
              </w:rPr>
              <w:t>标项</w:t>
            </w:r>
          </w:p>
        </w:tc>
        <w:tc>
          <w:tcPr>
            <w:tcW w:w="4070" w:type="dxa"/>
            <w:vAlign w:val="center"/>
          </w:tcPr>
          <w:p>
            <w:pPr>
              <w:spacing w:line="360" w:lineRule="exact"/>
              <w:jc w:val="center"/>
              <w:rPr>
                <w:rFonts w:hint="eastAsia" w:ascii="宋体" w:hAnsi="宋体" w:eastAsia="宋体" w:cs="宋体"/>
                <w:bCs/>
                <w:color w:val="auto"/>
                <w:spacing w:val="-6"/>
                <w:sz w:val="22"/>
                <w:highlight w:val="none"/>
                <w:lang w:eastAsia="zh-CN"/>
              </w:rPr>
            </w:pPr>
            <w:r>
              <w:rPr>
                <w:rFonts w:hint="eastAsia" w:ascii="宋体" w:hAnsi="宋体" w:cs="宋体"/>
                <w:bCs/>
                <w:color w:val="auto"/>
                <w:spacing w:val="-6"/>
                <w:sz w:val="22"/>
                <w:highlight w:val="none"/>
                <w:lang w:eastAsia="zh-CN"/>
              </w:rPr>
              <w:t>标项名称</w:t>
            </w:r>
          </w:p>
        </w:tc>
        <w:tc>
          <w:tcPr>
            <w:tcW w:w="1538" w:type="dxa"/>
            <w:vAlign w:val="center"/>
          </w:tcPr>
          <w:p>
            <w:pPr>
              <w:spacing w:line="360" w:lineRule="exact"/>
              <w:jc w:val="center"/>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highlight w:val="none"/>
              </w:rPr>
              <w:t>数量</w:t>
            </w:r>
          </w:p>
        </w:tc>
        <w:tc>
          <w:tcPr>
            <w:tcW w:w="1982" w:type="dxa"/>
            <w:vAlign w:val="center"/>
          </w:tcPr>
          <w:p>
            <w:pPr>
              <w:spacing w:line="360" w:lineRule="exact"/>
              <w:jc w:val="center"/>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pPr>
              <w:widowControl/>
              <w:spacing w:line="360" w:lineRule="exact"/>
              <w:jc w:val="center"/>
              <w:rPr>
                <w:rFonts w:hint="eastAsia" w:ascii="宋体" w:hAnsi="宋体" w:eastAsia="宋体" w:cs="宋体"/>
                <w:bCs/>
                <w:color w:val="auto"/>
                <w:kern w:val="0"/>
                <w:sz w:val="22"/>
                <w:highlight w:val="none"/>
                <w:lang w:eastAsia="zh-CN"/>
              </w:rPr>
            </w:pPr>
            <w:r>
              <w:rPr>
                <w:rFonts w:hint="eastAsia" w:ascii="宋体" w:hAnsi="宋体" w:cs="宋体"/>
                <w:bCs/>
                <w:color w:val="auto"/>
                <w:kern w:val="0"/>
                <w:sz w:val="22"/>
                <w:highlight w:val="none"/>
                <w:lang w:val="en-US" w:eastAsia="zh-CN"/>
              </w:rPr>
              <w:t>2</w:t>
            </w:r>
          </w:p>
        </w:tc>
        <w:tc>
          <w:tcPr>
            <w:tcW w:w="4070" w:type="dxa"/>
            <w:vAlign w:val="center"/>
          </w:tcPr>
          <w:p>
            <w:pPr>
              <w:snapToGrid w:val="0"/>
              <w:spacing w:line="360" w:lineRule="exact"/>
              <w:jc w:val="center"/>
              <w:rPr>
                <w:rFonts w:hint="eastAsia" w:ascii="宋体" w:hAnsi="宋体" w:eastAsia="宋体" w:cs="宋体"/>
                <w:bCs/>
                <w:color w:val="auto"/>
                <w:sz w:val="22"/>
                <w:highlight w:val="none"/>
                <w:lang w:val="zh-CN" w:eastAsia="zh-CN"/>
              </w:rPr>
            </w:pPr>
            <w:r>
              <w:rPr>
                <w:rFonts w:hint="eastAsia" w:ascii="宋体" w:hAnsi="宋体" w:eastAsia="宋体" w:cs="宋体"/>
                <w:color w:val="auto"/>
                <w:sz w:val="22"/>
                <w:highlight w:val="none"/>
                <w:lang w:eastAsia="zh-CN"/>
              </w:rPr>
              <w:t xml:space="preserve">2022年温州市电子警察系统项目 </w:t>
            </w:r>
          </w:p>
        </w:tc>
        <w:tc>
          <w:tcPr>
            <w:tcW w:w="1538" w:type="dxa"/>
            <w:vAlign w:val="center"/>
          </w:tcPr>
          <w:p>
            <w:pPr>
              <w:spacing w:line="360" w:lineRule="exac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1批</w:t>
            </w:r>
          </w:p>
        </w:tc>
        <w:tc>
          <w:tcPr>
            <w:tcW w:w="1982" w:type="dxa"/>
            <w:vAlign w:val="center"/>
          </w:tcPr>
          <w:p>
            <w:pPr>
              <w:spacing w:line="360" w:lineRule="exact"/>
              <w:jc w:val="center"/>
              <w:rPr>
                <w:rFonts w:hint="eastAsia" w:ascii="宋体" w:hAnsi="宋体" w:eastAsia="宋体" w:cs="宋体"/>
                <w:bCs/>
                <w:color w:val="auto"/>
                <w:spacing w:val="-6"/>
                <w:sz w:val="22"/>
                <w:highlight w:val="none"/>
              </w:rPr>
            </w:pPr>
          </w:p>
        </w:tc>
      </w:tr>
    </w:tbl>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二.为落实政府采购政策需满足的要求：</w:t>
      </w:r>
    </w:p>
    <w:tbl>
      <w:tblPr>
        <w:tblStyle w:val="31"/>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879"/>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8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政策名称</w:t>
            </w:r>
          </w:p>
        </w:tc>
        <w:tc>
          <w:tcPr>
            <w:tcW w:w="5451"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28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政府采购促进中小企业发展</w:t>
            </w:r>
          </w:p>
        </w:tc>
        <w:tc>
          <w:tcPr>
            <w:tcW w:w="5451" w:type="dxa"/>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28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政府采购支持监狱企业发展</w:t>
            </w:r>
          </w:p>
        </w:tc>
        <w:tc>
          <w:tcPr>
            <w:tcW w:w="5451" w:type="dxa"/>
            <w:vAlign w:val="center"/>
          </w:tcPr>
          <w:p>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28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政府采购促进残疾人就业</w:t>
            </w:r>
          </w:p>
        </w:tc>
        <w:tc>
          <w:tcPr>
            <w:tcW w:w="5451" w:type="dxa"/>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28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政府采购节能环保产品</w:t>
            </w:r>
          </w:p>
        </w:tc>
        <w:tc>
          <w:tcPr>
            <w:tcW w:w="5451"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pPr>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▲2、采购人拟采购的产品属于政府强制采购的节能产品品目清单范围的，投标人未按招标文件要求提供国家确定的认证机构出具的、处于有效期之内的节能产品认证证书的，投标无效。</w:t>
            </w:r>
          </w:p>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本项目强制采购节能产品为：</w:t>
            </w:r>
            <w:r>
              <w:rPr>
                <w:rFonts w:hint="eastAsia" w:ascii="宋体" w:hAnsi="宋体" w:eastAsia="宋体" w:cs="宋体"/>
                <w:color w:val="auto"/>
                <w:sz w:val="22"/>
                <w:highlight w:val="none"/>
              </w:rPr>
              <w:t>无</w:t>
            </w:r>
            <w:r>
              <w:rPr>
                <w:rFonts w:hint="eastAsia" w:ascii="宋体" w:hAnsi="宋体" w:eastAsia="宋体" w:cs="宋体"/>
                <w:b/>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2879"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政府采购进口产品</w:t>
            </w:r>
          </w:p>
        </w:tc>
        <w:tc>
          <w:tcPr>
            <w:tcW w:w="5451" w:type="dxa"/>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不适用</w:t>
            </w:r>
          </w:p>
        </w:tc>
      </w:tr>
    </w:tbl>
    <w:p>
      <w:pPr>
        <w:snapToGrid w:val="0"/>
        <w:spacing w:line="360" w:lineRule="exact"/>
        <w:outlineLvl w:val="0"/>
        <w:rPr>
          <w:rFonts w:hint="eastAsia" w:ascii="宋体" w:hAnsi="宋体" w:eastAsia="宋体" w:cs="宋体"/>
          <w:b/>
          <w:bCs/>
          <w:color w:val="auto"/>
          <w:spacing w:val="-6"/>
          <w:sz w:val="22"/>
          <w:highlight w:val="none"/>
        </w:rPr>
      </w:pPr>
      <w:r>
        <w:rPr>
          <w:rFonts w:hint="eastAsia" w:ascii="宋体" w:hAnsi="宋体" w:eastAsia="宋体" w:cs="宋体"/>
          <w:b/>
          <w:bCs/>
          <w:color w:val="auto"/>
          <w:kern w:val="0"/>
          <w:sz w:val="22"/>
          <w:highlight w:val="none"/>
        </w:rPr>
        <w:t>三.</w:t>
      </w:r>
      <w:r>
        <w:rPr>
          <w:rFonts w:hint="eastAsia" w:ascii="宋体" w:hAnsi="宋体" w:eastAsia="宋体" w:cs="宋体"/>
          <w:b/>
          <w:bCs/>
          <w:color w:val="auto"/>
          <w:spacing w:val="-6"/>
          <w:sz w:val="22"/>
          <w:highlight w:val="none"/>
        </w:rPr>
        <w:t>商务要求（技术要求里另有注明的以技术要求为准）</w:t>
      </w:r>
    </w:p>
    <w:tbl>
      <w:tblPr>
        <w:tblStyle w:val="31"/>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付款方式</w:t>
            </w:r>
          </w:p>
        </w:tc>
        <w:tc>
          <w:tcPr>
            <w:tcW w:w="8217" w:type="dxa"/>
            <w:tcBorders>
              <w:tl2br w:val="nil"/>
              <w:tr2bl w:val="nil"/>
            </w:tcBorders>
            <w:vAlign w:val="center"/>
          </w:tcPr>
          <w:p>
            <w:pPr>
              <w:spacing w:line="35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▲合同生效以及具备实施条件后7个工作日内，</w:t>
            </w:r>
            <w:r>
              <w:rPr>
                <w:rFonts w:hint="eastAsia" w:ascii="宋体" w:hAnsi="宋体" w:eastAsia="宋体" w:cs="宋体"/>
                <w:color w:val="auto"/>
                <w:sz w:val="22"/>
                <w:szCs w:val="22"/>
                <w:highlight w:val="none"/>
                <w:u w:val="single"/>
              </w:rPr>
              <w:t>向中标人支付</w:t>
            </w:r>
            <w:r>
              <w:rPr>
                <w:rFonts w:hint="eastAsia" w:ascii="宋体" w:hAnsi="宋体" w:eastAsia="宋体" w:cs="宋体"/>
                <w:color w:val="auto"/>
                <w:sz w:val="22"/>
                <w:szCs w:val="22"/>
                <w:highlight w:val="none"/>
                <w:u w:val="single"/>
                <w:lang w:val="en-US" w:eastAsia="zh-CN"/>
              </w:rPr>
              <w:t>合同总金额45%</w:t>
            </w:r>
            <w:r>
              <w:rPr>
                <w:rFonts w:hint="eastAsia" w:ascii="宋体" w:hAnsi="宋体" w:eastAsia="宋体" w:cs="宋体"/>
                <w:color w:val="auto"/>
                <w:sz w:val="22"/>
                <w:szCs w:val="22"/>
                <w:highlight w:val="none"/>
                <w:u w:val="single"/>
              </w:rPr>
              <w:t>的预付款</w:t>
            </w:r>
            <w:r>
              <w:rPr>
                <w:rFonts w:hint="eastAsia" w:ascii="宋体" w:hAnsi="宋体" w:eastAsia="宋体" w:cs="宋体"/>
                <w:color w:val="auto"/>
                <w:sz w:val="22"/>
                <w:highlight w:val="none"/>
                <w:u w:val="single"/>
              </w:rPr>
              <w:t>（具体金额以财政具体到位资金为准），中标人完成全部供货、安装、调试等工作，并通过终验后，收到中标人出具全额增值税发票后7个工作日内，采购人支付合同全款。</w:t>
            </w:r>
          </w:p>
          <w:p>
            <w:pPr>
              <w:spacing w:line="350" w:lineRule="exact"/>
              <w:rPr>
                <w:rFonts w:hint="eastAsia" w:ascii="宋体" w:hAnsi="宋体" w:eastAsia="宋体" w:cs="宋体"/>
                <w:color w:val="auto"/>
                <w:sz w:val="22"/>
                <w:highlight w:val="none"/>
                <w:u w:val="single"/>
              </w:rPr>
            </w:pPr>
            <w:r>
              <w:rPr>
                <w:rFonts w:hint="eastAsia" w:ascii="宋体" w:hAnsi="宋体" w:eastAsia="宋体" w:cs="宋体"/>
                <w:color w:val="auto"/>
                <w:sz w:val="22"/>
                <w:szCs w:val="22"/>
                <w:highlight w:val="none"/>
                <w:u w:val="single"/>
                <w:lang w:val="en-US" w:eastAsia="zh-CN"/>
              </w:rPr>
              <w:t>注：在合同签订时，中标人明确表示无需预付款或者主动要求降低预付款比例的，按实际比例计。采购人对于满足合同约定支付条件的，自收到发票后7个工作日内将资金支付到合同约定的中标人账户。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交付时间</w:t>
            </w:r>
          </w:p>
        </w:tc>
        <w:tc>
          <w:tcPr>
            <w:tcW w:w="8217" w:type="dxa"/>
            <w:tcBorders>
              <w:tl2br w:val="nil"/>
              <w:tr2bl w:val="nil"/>
            </w:tcBorders>
            <w:vAlign w:val="center"/>
          </w:tcPr>
          <w:p>
            <w:pPr>
              <w:pStyle w:val="12"/>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合同签订后12个月内完成系统建设</w:t>
            </w:r>
            <w:r>
              <w:rPr>
                <w:rFonts w:hint="eastAsia" w:ascii="宋体" w:hAnsi="宋体" w:eastAsia="宋体" w:cs="宋体"/>
                <w:color w:val="auto"/>
                <w:sz w:val="22"/>
                <w:highlight w:val="none"/>
                <w:lang w:val="en-US" w:eastAsia="zh-CN"/>
              </w:rPr>
              <w:t>和初验，</w:t>
            </w:r>
            <w:r>
              <w:rPr>
                <w:rFonts w:hint="eastAsia" w:ascii="宋体" w:hAnsi="宋体" w:eastAsia="宋体" w:cs="宋体"/>
                <w:color w:val="auto"/>
                <w:sz w:val="22"/>
                <w:highlight w:val="none"/>
              </w:rPr>
              <w:t>并完成</w:t>
            </w:r>
            <w:r>
              <w:rPr>
                <w:rFonts w:hint="eastAsia" w:ascii="宋体" w:hAnsi="宋体" w:eastAsia="宋体" w:cs="宋体"/>
                <w:color w:val="auto"/>
                <w:sz w:val="22"/>
                <w:highlight w:val="none"/>
                <w:lang w:val="en-US" w:eastAsia="zh-CN"/>
              </w:rPr>
              <w:t>至少3个月的</w:t>
            </w:r>
            <w:r>
              <w:rPr>
                <w:rFonts w:hint="eastAsia" w:ascii="宋体" w:hAnsi="宋体" w:eastAsia="宋体" w:cs="宋体"/>
                <w:color w:val="auto"/>
                <w:sz w:val="22"/>
                <w:highlight w:val="none"/>
              </w:rPr>
              <w:t>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交付地点</w:t>
            </w:r>
          </w:p>
        </w:tc>
        <w:tc>
          <w:tcPr>
            <w:tcW w:w="8217" w:type="dxa"/>
            <w:tcBorders>
              <w:tl2br w:val="nil"/>
              <w:tr2bl w:val="nil"/>
            </w:tcBorders>
            <w:vAlign w:val="center"/>
          </w:tcPr>
          <w:p>
            <w:pPr>
              <w:pStyle w:val="12"/>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质保期</w:t>
            </w:r>
          </w:p>
        </w:tc>
        <w:tc>
          <w:tcPr>
            <w:tcW w:w="8217" w:type="dxa"/>
            <w:tcBorders>
              <w:tl2br w:val="nil"/>
              <w:tr2bl w:val="nil"/>
            </w:tcBorders>
            <w:vAlign w:val="center"/>
          </w:tcPr>
          <w:p>
            <w:pPr>
              <w:pStyle w:val="12"/>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所有产品质保期自验收之日起5年（若采购清单中已明确质保期，则以采购清单为准），在此质保期内，如在正常使用过程中出现的质量问题，供应商须负责免费维修、维护或升级。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spacing w:line="288"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服务标准</w:t>
            </w:r>
          </w:p>
        </w:tc>
        <w:tc>
          <w:tcPr>
            <w:tcW w:w="8217" w:type="dxa"/>
            <w:tcBorders>
              <w:tl2br w:val="nil"/>
              <w:tr2bl w:val="nil"/>
            </w:tcBorders>
            <w:vAlign w:val="center"/>
          </w:tcPr>
          <w:p>
            <w:pPr>
              <w:widowControl/>
              <w:spacing w:line="36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在服务提供期间，中标人对温州市公安局交通管理局提出的在合同范围内具体需求进行调研、调整和完善，并提供3个月试运行等服务，试运行期按照运维考核标准要求进行，不达标则延长期限，至达标为止。</w:t>
            </w:r>
          </w:p>
          <w:p>
            <w:pPr>
              <w:widowControl/>
              <w:spacing w:line="36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（2）本项目建设过程中，投标人应充分考虑所提供解决方案的可行性和合理性，并保证项目落地实施。</w:t>
            </w:r>
          </w:p>
          <w:p>
            <w:pPr>
              <w:widowControl/>
              <w:spacing w:line="36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（3）投标人应允许温州市公安局交通管理局的工作人员参与系统的安装、测试、诊断及解决问题等各项工作。</w:t>
            </w:r>
          </w:p>
          <w:p>
            <w:pPr>
              <w:widowControl/>
              <w:spacing w:line="36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（4）投标人应保证系统中所有材料设备在质保期满后5年内对于故障部件的更换有合适的配件。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服务效率</w:t>
            </w:r>
          </w:p>
        </w:tc>
        <w:tc>
          <w:tcPr>
            <w:tcW w:w="8217" w:type="dxa"/>
            <w:tcBorders>
              <w:tl2br w:val="nil"/>
              <w:tr2bl w:val="nil"/>
            </w:tcBorders>
            <w:vAlign w:val="center"/>
          </w:tcPr>
          <w:p>
            <w:pPr>
              <w:pStyle w:val="12"/>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服务运行过程中发现的技术缺陷必须第一时间修改；提供7×24小时响应服务；半小时内做出明确响应和安排，4小时内做出故障诊断报告。如需现场服务的，具有解决故障能力的工程师应在1小时内到达现场；在节假日，提供7×24小时不间断值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keepNext w:val="0"/>
              <w:keepLines w:val="0"/>
              <w:pageBreakBefore w:val="0"/>
              <w:kinsoku/>
              <w:wordWrap/>
              <w:overflowPunct/>
              <w:topLinePunct w:val="0"/>
              <w:autoSpaceDE/>
              <w:autoSpaceDN/>
              <w:bidi w:val="0"/>
              <w:spacing w:line="340" w:lineRule="exact"/>
              <w:ind w:left="0" w:left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验收标准</w:t>
            </w:r>
          </w:p>
        </w:tc>
        <w:tc>
          <w:tcPr>
            <w:tcW w:w="8217" w:type="dxa"/>
            <w:tcBorders>
              <w:tl2br w:val="nil"/>
              <w:tr2bl w:val="nil"/>
            </w:tcBorders>
            <w:vAlign w:val="center"/>
          </w:tcPr>
          <w:p>
            <w:pPr>
              <w:pStyle w:val="12"/>
              <w:widowControl/>
              <w:adjustRightInd w:val="0"/>
              <w:snapToGri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合同履约验收参照《温州市政府采购履约验收办法》(温财采[2020]6号)相关规定。合同履约达到验收条件时，</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书面发起验收申请，</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或者其委托的采购代理机构在收到</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中标人应在项目设备安装调试后、系统上线前，进行完整设备及系统测试后，向采购人提供详细的设备及系统上线方案，由采购人确认。在采购人确认无误后，中标人应负责按设备及系统上线方案进行系统的安装调试工作。在安装、调试过程中，中标人应对采购人技术人员所提出的问题给予满意的答复，并提供安装调试过程中的各种文档资料，以便于采购人能掌握操作方法和维修方法。项目上线后，中标人应向采购人提供安装、调试报告，报告中应包括安装调试结果和安装调试过程中出现的问题及解决办法等内容。</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项目上线、设备及系统的安装调试工作完成后，中标人可向采购人申请项目初验申请，项目初验工作按照具备运行条件（监理签字盖章确认）等实际情况进行，项目通过初验后应进行至少为期3个月的试运行，中标人应派遣技术人员免费在现场进行技术服务，负责设备及系统试运行阶段的服务工作。</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在试运行期间，由于</w:t>
            </w:r>
            <w:r>
              <w:rPr>
                <w:rFonts w:hint="eastAsia" w:ascii="宋体" w:hAnsi="宋体" w:eastAsia="宋体" w:cs="宋体"/>
                <w:color w:val="auto"/>
                <w:sz w:val="22"/>
                <w:szCs w:val="22"/>
                <w:highlight w:val="none"/>
                <w:lang w:val="en-US" w:eastAsia="zh-CN"/>
              </w:rPr>
              <w:t>中标人原因</w:t>
            </w:r>
            <w:r>
              <w:rPr>
                <w:rFonts w:hint="eastAsia" w:ascii="宋体" w:hAnsi="宋体" w:eastAsia="宋体" w:cs="宋体"/>
                <w:color w:val="auto"/>
                <w:sz w:val="22"/>
                <w:szCs w:val="22"/>
                <w:highlight w:val="none"/>
                <w:lang w:eastAsia="zh-CN"/>
              </w:rPr>
              <w:t>达不到</w:t>
            </w:r>
            <w:r>
              <w:rPr>
                <w:rFonts w:hint="eastAsia" w:ascii="宋体" w:hAnsi="宋体" w:eastAsia="宋体" w:cs="宋体"/>
                <w:color w:val="auto"/>
                <w:sz w:val="22"/>
                <w:szCs w:val="22"/>
                <w:highlight w:val="none"/>
                <w:lang w:val="en-US" w:eastAsia="zh-CN"/>
              </w:rPr>
              <w:t>终验</w:t>
            </w:r>
            <w:r>
              <w:rPr>
                <w:rFonts w:hint="eastAsia" w:ascii="宋体" w:hAnsi="宋体" w:eastAsia="宋体" w:cs="宋体"/>
                <w:color w:val="auto"/>
                <w:sz w:val="22"/>
                <w:szCs w:val="22"/>
                <w:highlight w:val="none"/>
                <w:lang w:eastAsia="zh-CN"/>
              </w:rPr>
              <w:t>要求，中标人应负责解决。因</w:t>
            </w:r>
            <w:r>
              <w:rPr>
                <w:rFonts w:hint="eastAsia" w:ascii="宋体" w:hAnsi="宋体" w:eastAsia="宋体" w:cs="宋体"/>
                <w:color w:val="auto"/>
                <w:sz w:val="22"/>
                <w:szCs w:val="22"/>
                <w:highlight w:val="none"/>
                <w:lang w:val="en-US" w:eastAsia="zh-CN"/>
              </w:rPr>
              <w:t>此产生</w:t>
            </w:r>
            <w:r>
              <w:rPr>
                <w:rFonts w:hint="eastAsia" w:ascii="宋体" w:hAnsi="宋体" w:eastAsia="宋体" w:cs="宋体"/>
                <w:color w:val="auto"/>
                <w:sz w:val="22"/>
                <w:szCs w:val="22"/>
                <w:highlight w:val="none"/>
                <w:lang w:eastAsia="zh-CN"/>
              </w:rPr>
              <w:t>的一切费用由中标人承担，且试运行期相应顺延，</w:t>
            </w:r>
            <w:r>
              <w:rPr>
                <w:rFonts w:hint="eastAsia" w:ascii="宋体" w:hAnsi="宋体" w:eastAsia="宋体" w:cs="宋体"/>
                <w:color w:val="auto"/>
                <w:sz w:val="22"/>
                <w:szCs w:val="22"/>
                <w:highlight w:val="none"/>
                <w:lang w:val="en-US" w:eastAsia="zh-CN"/>
              </w:rPr>
              <w:t>在顺延期间产生的一切</w:t>
            </w:r>
            <w:r>
              <w:rPr>
                <w:rFonts w:hint="eastAsia" w:ascii="宋体" w:hAnsi="宋体" w:eastAsia="宋体" w:cs="宋体"/>
                <w:color w:val="auto"/>
                <w:sz w:val="22"/>
                <w:szCs w:val="22"/>
                <w:highlight w:val="none"/>
                <w:lang w:eastAsia="zh-CN"/>
              </w:rPr>
              <w:t>费用由中标人承担。</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项目试运行结束后，由中标人提出申请，对照项目验收主要指标和标准组织验收，采购人报请主管部门组织专家终验。</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中标人应在工程结束15日内时向采购人提交一式1份完整的相应技术文档及用户手册。</w:t>
            </w:r>
          </w:p>
          <w:p>
            <w:pPr>
              <w:pStyle w:val="12"/>
              <w:widowControl/>
              <w:adjustRightInd w:val="0"/>
              <w:snapToGri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以上产生的所有</w:t>
            </w:r>
            <w:r>
              <w:rPr>
                <w:rFonts w:hint="eastAsia" w:ascii="宋体" w:hAnsi="宋体" w:eastAsia="宋体" w:cs="宋体"/>
                <w:color w:val="auto"/>
                <w:sz w:val="22"/>
                <w:szCs w:val="22"/>
                <w:highlight w:val="none"/>
                <w:lang w:eastAsia="zh-CN"/>
              </w:rPr>
              <w:t>费用由中标人承担。</w:t>
            </w:r>
          </w:p>
          <w:p>
            <w:pPr>
              <w:pStyle w:val="12"/>
              <w:widowControl/>
              <w:adjustRightInd w:val="0"/>
              <w:snapToGrid w:val="0"/>
              <w:spacing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注：投标人应</w:t>
            </w:r>
            <w:r>
              <w:rPr>
                <w:rFonts w:hint="eastAsia" w:ascii="宋体" w:hAnsi="宋体" w:eastAsia="宋体" w:cs="宋体"/>
                <w:color w:val="auto"/>
                <w:sz w:val="22"/>
                <w:szCs w:val="22"/>
                <w:highlight w:val="none"/>
              </w:rPr>
              <w:t>于投标文件中提供合同货物的验收标准和检测办法，并在验收中提供采购人认可的相应检测手段，验收标准应符合中国有关的国家、地方、行业的标准，如若中标，经采购人确认后作为验收的依据。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pPr>
              <w:spacing w:line="34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其他</w:t>
            </w:r>
          </w:p>
        </w:tc>
        <w:tc>
          <w:tcPr>
            <w:tcW w:w="8217" w:type="dxa"/>
            <w:tcBorders>
              <w:tl2br w:val="nil"/>
              <w:tr2bl w:val="nil"/>
            </w:tcBorders>
            <w:vAlign w:val="center"/>
          </w:tcPr>
          <w:p>
            <w:pPr>
              <w:widowControl/>
              <w:spacing w:line="34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1.培训：</w:t>
            </w:r>
          </w:p>
          <w:p>
            <w:pPr>
              <w:widowControl/>
              <w:spacing w:line="36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1.1培训内容要求：培训内容至少包括基础知识，系统管理，数据管理、系统软硬件维护、系统功能使用。并根据培训对象业务要求，提供响应的培训项目。1.2培训方式要求：</w:t>
            </w:r>
            <w:r>
              <w:rPr>
                <w:rFonts w:hint="eastAsia" w:ascii="宋体" w:hAnsi="宋体" w:eastAsia="宋体" w:cs="宋体"/>
                <w:color w:val="auto"/>
                <w:sz w:val="22"/>
                <w:highlight w:val="none"/>
              </w:rPr>
              <w:t>培训方式为集中授课，并编制详尽的使用手册，供使用人员参考、使用。</w:t>
            </w:r>
          </w:p>
          <w:p>
            <w:pPr>
              <w:widowControl/>
              <w:spacing w:line="36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1.3培训次数要求：不少于半天。</w:t>
            </w:r>
          </w:p>
          <w:p>
            <w:pPr>
              <w:widowControl/>
              <w:spacing w:line="36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1.4培训人员要求：</w:t>
            </w:r>
            <w:r>
              <w:rPr>
                <w:rFonts w:hint="eastAsia" w:ascii="宋体" w:hAnsi="宋体" w:eastAsia="宋体" w:cs="宋体"/>
                <w:color w:val="auto"/>
                <w:sz w:val="22"/>
                <w:highlight w:val="none"/>
              </w:rPr>
              <w:t>主要培训对象为业务人员和日常维护技术人员。</w:t>
            </w:r>
            <w:r>
              <w:rPr>
                <w:rFonts w:hint="eastAsia" w:ascii="宋体" w:hAnsi="宋体" w:eastAsia="宋体" w:cs="宋体"/>
                <w:bCs/>
                <w:color w:val="auto"/>
                <w:sz w:val="22"/>
                <w:highlight w:val="none"/>
              </w:rPr>
              <w:t>每个培训内容的相关人员，具体人数视采购人需求而定。</w:t>
            </w:r>
          </w:p>
          <w:p>
            <w:pPr>
              <w:widowControl/>
              <w:spacing w:line="34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2.技术支持：</w:t>
            </w:r>
          </w:p>
          <w:p>
            <w:pPr>
              <w:widowControl/>
              <w:spacing w:line="34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中标人应及时免费提供合同产品软件的升级，免费提供合同产品新功能和应用的资料。</w:t>
            </w:r>
          </w:p>
          <w:p>
            <w:pPr>
              <w:widowControl/>
              <w:spacing w:line="34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3.安装调试（若需要安装调试）：</w:t>
            </w:r>
          </w:p>
          <w:p>
            <w:pPr>
              <w:widowControl/>
              <w:spacing w:line="34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3.1 安装地点：采购人指定地点。</w:t>
            </w:r>
          </w:p>
          <w:p>
            <w:pPr>
              <w:widowControl/>
              <w:spacing w:line="34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3.2 安装完成时间：接到采购人通知后在规定的时间内完成安装和调试，如在规定的时间内由于中标人的原因不能完成安装和调试，中标人应承担由此给采购人造成的损失。</w:t>
            </w:r>
          </w:p>
          <w:p>
            <w:pPr>
              <w:widowControl/>
              <w:spacing w:line="34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3.3 安装标准：符合我国国家有关技术规范要求和技术标准，所有的软件和硬件必须保证同时安装到位。</w:t>
            </w:r>
          </w:p>
          <w:p>
            <w:pPr>
              <w:widowControl/>
              <w:spacing w:line="34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3.4 中标人免费提供合同产品的安装服务。</w:t>
            </w:r>
          </w:p>
          <w:p>
            <w:pPr>
              <w:widowControl/>
              <w:spacing w:line="340" w:lineRule="exac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3.5 中标人在投标文件中应提供安装调试计划、对安装场地和环境的要求。</w:t>
            </w:r>
          </w:p>
        </w:tc>
      </w:tr>
    </w:tbl>
    <w:p>
      <w:pPr>
        <w:numPr>
          <w:ilvl w:val="0"/>
          <w:numId w:val="18"/>
        </w:numPr>
        <w:snapToGrid w:val="0"/>
        <w:spacing w:line="34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技术要求</w:t>
      </w:r>
    </w:p>
    <w:p>
      <w:pPr>
        <w:pStyle w:val="6"/>
        <w:spacing w:before="0" w:after="0" w:line="360" w:lineRule="exact"/>
        <w:rPr>
          <w:rFonts w:hint="eastAsia" w:ascii="宋体" w:hAnsi="宋体" w:eastAsia="宋体" w:cs="宋体"/>
          <w:color w:val="auto"/>
          <w:sz w:val="22"/>
          <w:szCs w:val="22"/>
          <w:highlight w:val="none"/>
        </w:rPr>
      </w:pPr>
      <w:bookmarkStart w:id="289" w:name="_Toc119685660"/>
      <w:bookmarkStart w:id="290" w:name="_Toc23475"/>
      <w:bookmarkStart w:id="291" w:name="_Toc105574492"/>
      <w:r>
        <w:rPr>
          <w:rFonts w:hint="eastAsia" w:ascii="宋体" w:hAnsi="宋体" w:eastAsia="宋体" w:cs="宋体"/>
          <w:color w:val="auto"/>
          <w:sz w:val="22"/>
          <w:szCs w:val="22"/>
          <w:highlight w:val="none"/>
        </w:rPr>
        <w:t>（一）项目背景</w:t>
      </w:r>
      <w:bookmarkEnd w:id="289"/>
    </w:p>
    <w:p>
      <w:pPr>
        <w:pStyle w:val="83"/>
        <w:spacing w:after="0" w:line="360" w:lineRule="exact"/>
        <w:ind w:left="0" w:leftChars="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随着温州城市的发展，部分道路的交通科技基础设施建设并没有跟上，电子警察（卡口）系统覆盖率仍然偏低，造成部分道路的交通管控不到位，交通违法行为无法得到有效的管理，不利于城市交通文明创建，对于群众出行安全也是潜在的隐患。</w:t>
      </w:r>
    </w:p>
    <w:p>
      <w:pPr>
        <w:pStyle w:val="6"/>
        <w:spacing w:before="0" w:after="0" w:line="360" w:lineRule="exact"/>
        <w:rPr>
          <w:rFonts w:hint="eastAsia" w:ascii="宋体" w:hAnsi="宋体" w:eastAsia="宋体" w:cs="宋体"/>
          <w:color w:val="auto"/>
          <w:sz w:val="22"/>
          <w:szCs w:val="22"/>
          <w:highlight w:val="none"/>
        </w:rPr>
      </w:pPr>
      <w:bookmarkStart w:id="292" w:name="_Toc119685661"/>
      <w:r>
        <w:rPr>
          <w:rFonts w:hint="eastAsia" w:ascii="宋体" w:hAnsi="宋体" w:eastAsia="宋体" w:cs="宋体"/>
          <w:color w:val="auto"/>
          <w:sz w:val="22"/>
          <w:szCs w:val="22"/>
          <w:highlight w:val="none"/>
        </w:rPr>
        <w:t>（二）项目</w:t>
      </w:r>
      <w:bookmarkEnd w:id="292"/>
      <w:r>
        <w:rPr>
          <w:rFonts w:hint="eastAsia" w:ascii="宋体" w:hAnsi="宋体" w:eastAsia="宋体" w:cs="宋体"/>
          <w:color w:val="auto"/>
          <w:sz w:val="22"/>
          <w:szCs w:val="22"/>
          <w:highlight w:val="none"/>
        </w:rPr>
        <w:t>建设内容</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本项目围绕市区电子警察系统建设，分以下四个部分进行建设：</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一部分是机动车电子警察系统的建设，新建主干道路口新国标环保型电子警察50套及新增移动式电子警察36套，通过集成于一体化抓拍单元的电子警察系统，对过往车辆进行实施有效的监控抓拍，一方面能够缓解日益繁忙的交通勤务管理与警力不足之间的矛盾，同时在一定程度上消除了道路交通管理在时间和空间上的“盲点”，有效地抑制了机动车驾驶员的交通违法行为。</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二部分是电动自行车管控系统的建设，针对市区范围内重要的非机动车道，新建电动自行车管控系统80套，对过往电动自行车进行交通违法抓拍、提醒、管控，规范电动自行车出行，一定程度上减少交通事故发生和降低交通事故亡人。</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第三部分是电动自行车管理违法系统。电动车自行车管理违法系统需基于GA/T 1400-2017《公安视频图像信息应用系统》协议基础和交警数据协议接口进行数据接入扩展，在现有视频专网到公安内网的跨网数据摆渡通道上增加电动自行车数据类型，定义新的数据传输规范，支持电动自行车过车抓拍、违法抓拍分类传输，支持实现各厂家、多来源、多类型电动自行车数据的整合接入，同时兼容其他各类主题数据接入，汇聚全市电动自行车抓拍人脸数据、车牌数据、车辆库数据，提供全市交警部门电动自行车管理业务的统一门户，具体功能模块详见建设模块清单。</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四部分是微信安全记分管理系统的建设，温州交通安全码是温州交警以便民服务、畅通信息为目标，为方便广大交通参与者日常出行，提升交通安全意识，采取的一项数字化管理服务措施。温州交通安全码覆盖在温所有交通参与者，包含机动车及电动自行车，实现“一人一码、动态赋色”。当前，温州交管局已建设统一温州交警微信平台，在互联网上面向全市人民群众提供相关查询、办理、展示等服务，本系统是在温州交警微信平台现有基础上进行的升级开发，具体功能模块详见建设模块清单。</w:t>
      </w:r>
    </w:p>
    <w:p>
      <w:pPr>
        <w:pStyle w:val="6"/>
        <w:spacing w:before="0"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（三）采购内容</w:t>
      </w:r>
    </w:p>
    <w:p>
      <w:pPr>
        <w:widowControl/>
        <w:adjustRightInd w:val="0"/>
        <w:snapToGrid w:val="0"/>
        <w:spacing w:line="340" w:lineRule="exact"/>
        <w:jc w:val="left"/>
        <w:rPr>
          <w:rFonts w:hint="eastAsia" w:ascii="宋体" w:hAnsi="宋体" w:eastAsia="宋体" w:cs="宋体"/>
          <w:b/>
          <w:bCs/>
          <w:color w:val="auto"/>
          <w:sz w:val="22"/>
          <w:highlight w:val="none"/>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5273"/>
        <w:gridCol w:w="167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序号</w:t>
            </w:r>
          </w:p>
        </w:tc>
        <w:tc>
          <w:tcPr>
            <w:tcW w:w="52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内容</w:t>
            </w:r>
          </w:p>
        </w:tc>
        <w:tc>
          <w:tcPr>
            <w:tcW w:w="16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数量</w:t>
            </w:r>
          </w:p>
        </w:tc>
        <w:tc>
          <w:tcPr>
            <w:tcW w:w="1269"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w:t>
            </w:r>
          </w:p>
        </w:tc>
        <w:tc>
          <w:tcPr>
            <w:tcW w:w="52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机动车电子警察</w:t>
            </w:r>
          </w:p>
        </w:tc>
        <w:tc>
          <w:tcPr>
            <w:tcW w:w="16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w:t>
            </w:r>
          </w:p>
        </w:tc>
        <w:tc>
          <w:tcPr>
            <w:tcW w:w="1269"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w:t>
            </w:r>
          </w:p>
        </w:tc>
        <w:tc>
          <w:tcPr>
            <w:tcW w:w="52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非机动车管控</w:t>
            </w:r>
          </w:p>
        </w:tc>
        <w:tc>
          <w:tcPr>
            <w:tcW w:w="16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w:t>
            </w:r>
          </w:p>
        </w:tc>
        <w:tc>
          <w:tcPr>
            <w:tcW w:w="1269"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w:t>
            </w:r>
          </w:p>
        </w:tc>
        <w:tc>
          <w:tcPr>
            <w:tcW w:w="52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电动自行车违法管理系统开发</w:t>
            </w:r>
          </w:p>
        </w:tc>
        <w:tc>
          <w:tcPr>
            <w:tcW w:w="16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w:t>
            </w:r>
          </w:p>
        </w:tc>
        <w:tc>
          <w:tcPr>
            <w:tcW w:w="1269"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4</w:t>
            </w:r>
          </w:p>
        </w:tc>
        <w:tc>
          <w:tcPr>
            <w:tcW w:w="52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微信安全记分管理系统</w:t>
            </w:r>
          </w:p>
        </w:tc>
        <w:tc>
          <w:tcPr>
            <w:tcW w:w="16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w:t>
            </w:r>
          </w:p>
        </w:tc>
        <w:tc>
          <w:tcPr>
            <w:tcW w:w="1269"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5</w:t>
            </w:r>
          </w:p>
        </w:tc>
        <w:tc>
          <w:tcPr>
            <w:tcW w:w="52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配套实施</w:t>
            </w:r>
          </w:p>
        </w:tc>
        <w:tc>
          <w:tcPr>
            <w:tcW w:w="1673"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w:t>
            </w:r>
          </w:p>
        </w:tc>
        <w:tc>
          <w:tcPr>
            <w:tcW w:w="1269" w:type="dxa"/>
          </w:tcPr>
          <w:p>
            <w:pPr>
              <w:widowControl/>
              <w:adjustRightInd w:val="0"/>
              <w:snapToGrid w:val="0"/>
              <w:spacing w:line="34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w:t>
            </w:r>
          </w:p>
        </w:tc>
      </w:tr>
    </w:tbl>
    <w:p>
      <w:pPr>
        <w:widowControl/>
        <w:adjustRightInd w:val="0"/>
        <w:snapToGrid w:val="0"/>
        <w:spacing w:line="340" w:lineRule="exact"/>
        <w:jc w:val="left"/>
        <w:rPr>
          <w:rFonts w:hint="eastAsia" w:ascii="宋体" w:hAnsi="宋体" w:eastAsia="宋体" w:cs="宋体"/>
          <w:b/>
          <w:bCs/>
          <w:color w:val="auto"/>
          <w:sz w:val="22"/>
          <w:highlight w:val="none"/>
        </w:rPr>
      </w:pPr>
    </w:p>
    <w:p>
      <w:pPr>
        <w:widowControl/>
        <w:numPr>
          <w:ilvl w:val="0"/>
          <w:numId w:val="19"/>
        </w:numPr>
        <w:adjustRightInd w:val="0"/>
        <w:snapToGrid w:val="0"/>
        <w:spacing w:line="340" w:lineRule="exact"/>
        <w:jc w:val="left"/>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采购</w:t>
      </w:r>
      <w:r>
        <w:rPr>
          <w:rFonts w:hint="eastAsia" w:ascii="宋体" w:hAnsi="宋体" w:eastAsia="宋体" w:cs="宋体"/>
          <w:b/>
          <w:color w:val="auto"/>
          <w:sz w:val="22"/>
          <w:highlight w:val="none"/>
        </w:rPr>
        <w:t>清单</w:t>
      </w:r>
    </w:p>
    <w:p>
      <w:pPr>
        <w:pStyle w:val="6"/>
        <w:spacing w:before="0" w:after="0" w:line="360" w:lineRule="exact"/>
        <w:rPr>
          <w:rFonts w:hint="eastAsia" w:ascii="宋体" w:hAnsi="宋体" w:eastAsia="宋体" w:cs="宋体"/>
          <w:bCs w:val="0"/>
          <w:color w:val="auto"/>
          <w:kern w:val="2"/>
          <w:sz w:val="22"/>
          <w:szCs w:val="22"/>
          <w:highlight w:val="none"/>
        </w:rPr>
      </w:pPr>
      <w:r>
        <w:rPr>
          <w:rFonts w:hint="eastAsia" w:ascii="宋体" w:hAnsi="宋体" w:eastAsia="宋体" w:cs="宋体"/>
          <w:bCs w:val="0"/>
          <w:color w:val="auto"/>
          <w:kern w:val="2"/>
          <w:sz w:val="22"/>
          <w:szCs w:val="22"/>
          <w:highlight w:val="none"/>
        </w:rPr>
        <w:t>1.硬件清单</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4831"/>
        <w:gridCol w:w="1151"/>
        <w:gridCol w:w="89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gridSpan w:val="5"/>
            <w:vAlign w:val="center"/>
          </w:tcPr>
          <w:p>
            <w:pPr>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一、机动车电子警察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1564"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900万像素环保/生态电警抓拍单元</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86</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900万像素环保/生态卡口抓拍单元</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50</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环保一体灯</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150</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路口终端服务器</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18</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红绿灯信号检测器</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18</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磁盘阵列1</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8T专用硬盘</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48</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块</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抱箍</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286</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只</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托盘</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286</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无线传输模块</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36</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移动电警路口存储</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36</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光纤收发器</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32</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对</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13</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8口工业级交换机</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32</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14</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智能网络箱</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86</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光纤接入ONU</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18</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16</w:t>
            </w:r>
          </w:p>
        </w:tc>
        <w:tc>
          <w:tcPr>
            <w:tcW w:w="4831" w:type="dxa"/>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卡口图片人脸智能识别预警模块服务器</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17</w:t>
            </w:r>
          </w:p>
        </w:tc>
        <w:tc>
          <w:tcPr>
            <w:tcW w:w="4831" w:type="dxa"/>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卡口图片人脸智能识别预警模块</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gridSpan w:val="5"/>
            <w:vAlign w:val="center"/>
          </w:tcPr>
          <w:p>
            <w:pPr>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二、非机动车管控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1200万像素抓拍单元1</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30</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Merge w:val="restart"/>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用于非机动车闯红灯、不按导向、闯禁令等路口场景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非机动车管控终端1</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Merge w:val="continue"/>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非机动车红绿灯信号检测器1</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Merge w:val="continue"/>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1200万像素抓拍单元2</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50</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Merge w:val="restart"/>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用于非机动车行驶中不戴头盔、载人、逆行、越线停车等路段场景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非机动车管控终端2</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25</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Merge w:val="continue"/>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非机动车红绿灯信号检测器2</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25</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Merge w:val="continue"/>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抱箍</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80</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只</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托盘</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80</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磁盘阵列2</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8T专用硬盘</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36</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块</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光纤收发器</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40</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对</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智能网络箱</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80</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13</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非机动车大数据服务器</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台</w:t>
            </w:r>
          </w:p>
        </w:tc>
        <w:tc>
          <w:tcPr>
            <w:tcW w:w="1564"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14</w:t>
            </w:r>
          </w:p>
        </w:tc>
        <w:tc>
          <w:tcPr>
            <w:tcW w:w="483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光纤接入ONU</w:t>
            </w:r>
          </w:p>
        </w:tc>
        <w:tc>
          <w:tcPr>
            <w:tcW w:w="115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40</w:t>
            </w:r>
          </w:p>
        </w:tc>
        <w:tc>
          <w:tcPr>
            <w:tcW w:w="89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1564" w:type="dxa"/>
            <w:vAlign w:val="center"/>
          </w:tcPr>
          <w:p>
            <w:pPr>
              <w:jc w:val="center"/>
              <w:rPr>
                <w:rFonts w:hint="eastAsia" w:ascii="宋体" w:hAnsi="宋体" w:eastAsia="宋体" w:cs="宋体"/>
                <w:color w:val="auto"/>
                <w:sz w:val="22"/>
                <w:highlight w:val="none"/>
              </w:rPr>
            </w:pPr>
          </w:p>
        </w:tc>
      </w:tr>
    </w:tbl>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2.软件清单</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5070"/>
        <w:gridCol w:w="865"/>
        <w:gridCol w:w="68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507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系统名称</w:t>
            </w:r>
          </w:p>
        </w:tc>
        <w:tc>
          <w:tcPr>
            <w:tcW w:w="865"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6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126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0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507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电动自行车违法管理系统开发</w:t>
            </w:r>
          </w:p>
        </w:tc>
        <w:tc>
          <w:tcPr>
            <w:tcW w:w="865"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6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w:t>
            </w:r>
          </w:p>
        </w:tc>
        <w:tc>
          <w:tcPr>
            <w:tcW w:w="1260" w:type="dxa"/>
            <w:vAlign w:val="center"/>
          </w:tcPr>
          <w:p>
            <w:pPr>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5070"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微信安全记分管理系统</w:t>
            </w:r>
          </w:p>
        </w:tc>
        <w:tc>
          <w:tcPr>
            <w:tcW w:w="865"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68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w:t>
            </w:r>
          </w:p>
        </w:tc>
        <w:tc>
          <w:tcPr>
            <w:tcW w:w="1260" w:type="dxa"/>
            <w:vAlign w:val="center"/>
          </w:tcPr>
          <w:p>
            <w:pPr>
              <w:jc w:val="center"/>
              <w:rPr>
                <w:rFonts w:hint="eastAsia" w:ascii="宋体" w:hAnsi="宋体" w:eastAsia="宋体" w:cs="宋体"/>
                <w:color w:val="auto"/>
                <w:sz w:val="22"/>
                <w:highlight w:val="none"/>
              </w:rPr>
            </w:pPr>
          </w:p>
        </w:tc>
      </w:tr>
    </w:tbl>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3.配套实施清单</w:t>
      </w:r>
    </w:p>
    <w:tbl>
      <w:tblPr>
        <w:tblStyle w:val="31"/>
        <w:tblW w:w="8445" w:type="dxa"/>
        <w:tblInd w:w="91" w:type="dxa"/>
        <w:tblLayout w:type="autofit"/>
        <w:tblCellMar>
          <w:top w:w="0" w:type="dxa"/>
          <w:left w:w="108" w:type="dxa"/>
          <w:bottom w:w="0" w:type="dxa"/>
          <w:right w:w="108" w:type="dxa"/>
        </w:tblCellMar>
      </w:tblPr>
      <w:tblGrid>
        <w:gridCol w:w="928"/>
        <w:gridCol w:w="3419"/>
        <w:gridCol w:w="1598"/>
        <w:gridCol w:w="1585"/>
        <w:gridCol w:w="915"/>
      </w:tblGrid>
      <w:tr>
        <w:tblPrEx>
          <w:tblCellMar>
            <w:top w:w="0" w:type="dxa"/>
            <w:left w:w="108" w:type="dxa"/>
            <w:bottom w:w="0" w:type="dxa"/>
            <w:right w:w="108" w:type="dxa"/>
          </w:tblCellMar>
        </w:tblPrEx>
        <w:trPr>
          <w:trHeight w:val="397" w:hRule="atLeast"/>
        </w:trPr>
        <w:tc>
          <w:tcPr>
            <w:tcW w:w="8445"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一、硬件杆件部分</w:t>
            </w:r>
          </w:p>
        </w:tc>
      </w:tr>
      <w:tr>
        <w:tblPrEx>
          <w:tblCellMar>
            <w:top w:w="0" w:type="dxa"/>
            <w:left w:w="108" w:type="dxa"/>
            <w:bottom w:w="0" w:type="dxa"/>
            <w:right w:w="108" w:type="dxa"/>
          </w:tblCellMar>
        </w:tblPrEx>
        <w:trPr>
          <w:trHeight w:val="397" w:hRule="atLeast"/>
        </w:trPr>
        <w:tc>
          <w:tcPr>
            <w:tcW w:w="92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41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名称</w:t>
            </w:r>
          </w:p>
        </w:tc>
        <w:tc>
          <w:tcPr>
            <w:tcW w:w="159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15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CellMar>
            <w:top w:w="0" w:type="dxa"/>
            <w:left w:w="108" w:type="dxa"/>
            <w:bottom w:w="0" w:type="dxa"/>
            <w:right w:w="108" w:type="dxa"/>
          </w:tblCellMar>
        </w:tblPrEx>
        <w:trPr>
          <w:trHeight w:val="397" w:hRule="atLeast"/>
        </w:trPr>
        <w:tc>
          <w:tcPr>
            <w:tcW w:w="9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p>
        </w:tc>
        <w:tc>
          <w:tcPr>
            <w:tcW w:w="34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固定电警杆件1（定制）</w:t>
            </w:r>
          </w:p>
        </w:tc>
        <w:tc>
          <w:tcPr>
            <w:tcW w:w="15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20</w:t>
            </w:r>
          </w:p>
        </w:tc>
        <w:tc>
          <w:tcPr>
            <w:tcW w:w="15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根</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trPr>
        <w:tc>
          <w:tcPr>
            <w:tcW w:w="9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2</w:t>
            </w:r>
          </w:p>
        </w:tc>
        <w:tc>
          <w:tcPr>
            <w:tcW w:w="341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固定电警杆件2（定制）</w:t>
            </w:r>
          </w:p>
        </w:tc>
        <w:tc>
          <w:tcPr>
            <w:tcW w:w="15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20</w:t>
            </w:r>
          </w:p>
        </w:tc>
        <w:tc>
          <w:tcPr>
            <w:tcW w:w="158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根</w:t>
            </w:r>
          </w:p>
        </w:tc>
        <w:tc>
          <w:tcPr>
            <w:tcW w:w="9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trPr>
        <w:tc>
          <w:tcPr>
            <w:tcW w:w="9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3</w:t>
            </w:r>
          </w:p>
        </w:tc>
        <w:tc>
          <w:tcPr>
            <w:tcW w:w="341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非机动车杆件（定制）</w:t>
            </w:r>
          </w:p>
        </w:tc>
        <w:tc>
          <w:tcPr>
            <w:tcW w:w="15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40</w:t>
            </w:r>
          </w:p>
        </w:tc>
        <w:tc>
          <w:tcPr>
            <w:tcW w:w="158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根</w:t>
            </w:r>
          </w:p>
        </w:tc>
        <w:tc>
          <w:tcPr>
            <w:tcW w:w="9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trPr>
        <w:tc>
          <w:tcPr>
            <w:tcW w:w="9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4</w:t>
            </w:r>
          </w:p>
        </w:tc>
        <w:tc>
          <w:tcPr>
            <w:tcW w:w="341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挑臂支架（定制）</w:t>
            </w:r>
          </w:p>
        </w:tc>
        <w:tc>
          <w:tcPr>
            <w:tcW w:w="15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20</w:t>
            </w:r>
          </w:p>
        </w:tc>
        <w:tc>
          <w:tcPr>
            <w:tcW w:w="158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个</w:t>
            </w:r>
          </w:p>
        </w:tc>
        <w:tc>
          <w:tcPr>
            <w:tcW w:w="91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trPr>
        <w:tc>
          <w:tcPr>
            <w:tcW w:w="8445" w:type="dxa"/>
            <w:gridSpan w:val="5"/>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二、开挖管道部分</w:t>
            </w:r>
          </w:p>
        </w:tc>
      </w:tr>
      <w:tr>
        <w:tblPrEx>
          <w:tblCellMar>
            <w:top w:w="0" w:type="dxa"/>
            <w:left w:w="108" w:type="dxa"/>
            <w:bottom w:w="0" w:type="dxa"/>
            <w:right w:w="108" w:type="dxa"/>
          </w:tblCellMar>
        </w:tblPrEx>
        <w:trPr>
          <w:trHeight w:val="397" w:hRule="atLeast"/>
        </w:trPr>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固定电警地下钻孔敷设</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40</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方向</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trPr>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2</w:t>
            </w: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非机动车管控系统地下钻孔敷设</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40</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方向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trPr>
        <w:tc>
          <w:tcPr>
            <w:tcW w:w="84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三、配套服务</w:t>
            </w:r>
          </w:p>
        </w:tc>
      </w:tr>
      <w:tr>
        <w:tblPrEx>
          <w:tblCellMar>
            <w:top w:w="0" w:type="dxa"/>
            <w:left w:w="108" w:type="dxa"/>
            <w:bottom w:w="0" w:type="dxa"/>
            <w:right w:w="108" w:type="dxa"/>
          </w:tblCellMar>
        </w:tblPrEx>
        <w:trPr>
          <w:trHeight w:val="397" w:hRule="atLeast"/>
        </w:trPr>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光纤链路服务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trPr>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2</w:t>
            </w: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设备运行能耗服务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trPr>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3</w:t>
            </w:r>
          </w:p>
        </w:tc>
        <w:tc>
          <w:tcPr>
            <w:tcW w:w="3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安装集成调试服务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2"/>
                <w:highlight w:val="none"/>
              </w:rPr>
            </w:pPr>
          </w:p>
        </w:tc>
      </w:tr>
    </w:tbl>
    <w:p>
      <w:pPr>
        <w:pStyle w:val="6"/>
        <w:spacing w:before="0"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4.清单技术参数</w:t>
      </w:r>
      <w:bookmarkEnd w:id="290"/>
      <w:bookmarkEnd w:id="291"/>
      <w:bookmarkStart w:id="293" w:name="_Toc38462866"/>
      <w:bookmarkEnd w:id="293"/>
      <w:bookmarkStart w:id="294" w:name="_Toc38462868"/>
      <w:bookmarkEnd w:id="294"/>
      <w:bookmarkStart w:id="295" w:name="_Toc38463084"/>
      <w:bookmarkEnd w:id="295"/>
      <w:bookmarkStart w:id="296" w:name="_Toc38463086"/>
      <w:bookmarkEnd w:id="296"/>
    </w:p>
    <w:p>
      <w:pPr>
        <w:pStyle w:val="6"/>
        <w:spacing w:before="0"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4.1硬件清单技术参数</w:t>
      </w:r>
    </w:p>
    <w:tbl>
      <w:tblPr>
        <w:tblStyle w:val="32"/>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541"/>
        <w:gridCol w:w="7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7" w:type="dxa"/>
            <w:gridSpan w:val="3"/>
            <w:vAlign w:val="center"/>
          </w:tcPr>
          <w:p>
            <w:pPr>
              <w:pStyle w:val="6"/>
              <w:spacing w:before="0"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一、机动车</w:t>
            </w:r>
            <w:r>
              <w:rPr>
                <w:rFonts w:hint="eastAsia" w:ascii="宋体" w:hAnsi="宋体" w:eastAsia="宋体" w:cs="宋体"/>
                <w:color w:val="auto"/>
                <w:sz w:val="22"/>
                <w:szCs w:val="22"/>
                <w:highlight w:val="none"/>
                <w:lang w:val="en-US" w:eastAsia="zh-CN"/>
              </w:rPr>
              <w:t>电子警察部分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w:t>
            </w:r>
          </w:p>
        </w:tc>
        <w:tc>
          <w:tcPr>
            <w:tcW w:w="756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900万像素环保/生态电警抓拍单元</w:t>
            </w:r>
          </w:p>
        </w:tc>
        <w:tc>
          <w:tcPr>
            <w:tcW w:w="7569" w:type="dxa"/>
            <w:vAlign w:val="center"/>
          </w:tcPr>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1.包含高清一体化嵌入式摄像机、高清镜头、室外防护罩、电源适配器等；</w:t>
            </w:r>
          </w:p>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★2.内置2个1英寸全局曝光CMOS；可分别输出黑白及彩色图像，可对视频图像和抓拍图片进行融合输出；</w:t>
            </w:r>
          </w:p>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3.分辨率≥4096x2160；最低照度彩色≤0.021x，黑白≤0.011x，宽动态能力≥120dB；</w:t>
            </w:r>
          </w:p>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4.支持检出两眼瞳距 13 像素点以上的人脸图片，支持侧脸过滤功能；</w:t>
            </w:r>
          </w:p>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5.支持人脸目标抓拍头肩照或全景照，模式可选；</w:t>
            </w:r>
          </w:p>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6.支持机动车抓拍、非机动车抓拍、行人抓拍；支持超速、压线、逆行、禁止大货车等违法行为；支持车牌识别、车型识别、车身颜色识别、违章检测、车辆品牌等特征检测；</w:t>
            </w:r>
          </w:p>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支持多种车辆违法行为检测：压线、逆行、闯红灯、不按导向行驶、不礼让行人、不系安全带、开车打手机等，并支持在部局集指平台备案相应违法行为</w:t>
            </w:r>
            <w:r>
              <w:rPr>
                <w:rFonts w:hint="eastAsia" w:ascii="宋体" w:hAnsi="宋体" w:eastAsia="宋体" w:cs="宋体"/>
                <w:b/>
                <w:bCs/>
                <w:color w:val="auto"/>
                <w:sz w:val="22"/>
                <w:highlight w:val="none"/>
              </w:rPr>
              <w:t>（商务和技术文件中提供经国家认可检测机构出具的合格检测报告，否则视为负偏离）</w:t>
            </w:r>
            <w:r>
              <w:rPr>
                <w:rFonts w:hint="eastAsia" w:ascii="宋体" w:hAnsi="宋体" w:eastAsia="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900万像素环保/生态卡口抓拍单元</w:t>
            </w:r>
          </w:p>
        </w:tc>
        <w:tc>
          <w:tcPr>
            <w:tcW w:w="7569" w:type="dxa"/>
            <w:vAlign w:val="center"/>
          </w:tcPr>
          <w:p>
            <w:pPr>
              <w:widowControl/>
              <w:jc w:val="left"/>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1.包含高清一体化嵌入式摄像机、高清镜头、室外防护罩、电源适配器等；</w:t>
            </w:r>
          </w:p>
          <w:p>
            <w:pPr>
              <w:widowControl/>
              <w:jc w:val="left"/>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★2.内置2个1英寸全局曝光CMOS；可分别输出黑白及彩色图像，可对视频图像和抓拍图片进行融合输出；</w:t>
            </w:r>
          </w:p>
          <w:p>
            <w:pPr>
              <w:widowControl/>
              <w:jc w:val="left"/>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3.分辨率≥4096x2160，最低照度彩色≤0.021x，黑白≤0.011x，宽动态能力≥120dB；</w:t>
            </w:r>
          </w:p>
          <w:p>
            <w:pPr>
              <w:widowControl/>
              <w:jc w:val="left"/>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4.支持检出两眼瞳距 13 像素点以上的人脸图片，支持侧脸过滤功能；</w:t>
            </w:r>
          </w:p>
          <w:p>
            <w:pPr>
              <w:widowControl/>
              <w:jc w:val="left"/>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5.支持人脸目标抓拍头肩照或全景照，模式可选；</w:t>
            </w:r>
          </w:p>
          <w:p>
            <w:pPr>
              <w:widowControl/>
              <w:jc w:val="left"/>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6.支持机动车抓拍、非机动车抓拍、行人抓拍；支持超速、压线、逆行、禁止大货车等违法行为；支持车牌识别、车型识别、车身颜色识别、违章检测、车辆品牌等特征检测；</w:t>
            </w:r>
          </w:p>
          <w:p>
            <w:pPr>
              <w:widowControl/>
              <w:jc w:val="left"/>
              <w:textAlignment w:val="bottom"/>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★7、支持多种车辆违法行为检测：压线、逆行、闯红灯、不按导向行驶、不礼让行人、不系安全带、开车打手机等，并支持在部局集指平台备案相应违法行为</w:t>
            </w:r>
            <w:r>
              <w:rPr>
                <w:rFonts w:hint="eastAsia" w:ascii="宋体" w:hAnsi="宋体" w:eastAsia="宋体" w:cs="宋体"/>
                <w:b/>
                <w:bCs/>
                <w:color w:val="auto"/>
                <w:sz w:val="22"/>
                <w:highlight w:val="none"/>
              </w:rPr>
              <w:t>（商务和技术文件中提供经国家认可检测机构出具的合格检测报告，否则视为负偏离）</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环保一体灯</w:t>
            </w:r>
          </w:p>
        </w:tc>
        <w:tc>
          <w:tcPr>
            <w:tcW w:w="7569" w:type="dxa"/>
            <w:vAlign w:val="center"/>
          </w:tcPr>
          <w:p>
            <w:pPr>
              <w:widowControl/>
              <w:numPr>
                <w:ilvl w:val="0"/>
                <w:numId w:val="2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采用24颗LED芯片；</w:t>
            </w:r>
          </w:p>
          <w:p>
            <w:pPr>
              <w:widowControl/>
              <w:numPr>
                <w:ilvl w:val="0"/>
                <w:numId w:val="2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LED频闪支持PWM跟随触发；</w:t>
            </w:r>
          </w:p>
          <w:p>
            <w:pPr>
              <w:widowControl/>
              <w:numPr>
                <w:ilvl w:val="0"/>
                <w:numId w:val="2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气体爆闪具有防误触发功能；</w:t>
            </w:r>
          </w:p>
          <w:p>
            <w:pPr>
              <w:widowControl/>
              <w:numPr>
                <w:ilvl w:val="0"/>
                <w:numId w:val="2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可覆盖1个车道；</w:t>
            </w:r>
          </w:p>
          <w:p>
            <w:pPr>
              <w:widowControl/>
              <w:numPr>
                <w:ilvl w:val="0"/>
                <w:numId w:val="2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气体光源回电时间小于70ms，支持超速连拍；</w:t>
            </w:r>
          </w:p>
          <w:p>
            <w:pPr>
              <w:widowControl/>
              <w:numPr>
                <w:ilvl w:val="0"/>
                <w:numId w:val="2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气体补光控制具有峰值抑制功能；</w:t>
            </w:r>
          </w:p>
          <w:p>
            <w:pPr>
              <w:widowControl/>
              <w:numPr>
                <w:ilvl w:val="0"/>
                <w:numId w:val="2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支持LED频闪、LED爆闪、白光气体爆闪及红外爆闪模式；</w:t>
            </w:r>
          </w:p>
          <w:p>
            <w:pPr>
              <w:widowControl/>
              <w:numPr>
                <w:ilvl w:val="0"/>
                <w:numId w:val="2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支持相机误触发保护功能，触发信号输入异常时自动保护、且自动恢复；</w:t>
            </w:r>
          </w:p>
          <w:p>
            <w:pPr>
              <w:widowControl/>
              <w:numPr>
                <w:ilvl w:val="0"/>
                <w:numId w:val="2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防护等级不小于IP65，增加透气孔，保持内外压强均衡，可靠防水、防尘。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路口终端服务器</w:t>
            </w:r>
          </w:p>
        </w:tc>
        <w:tc>
          <w:tcPr>
            <w:tcW w:w="7569" w:type="dxa"/>
            <w:vAlign w:val="center"/>
          </w:tcPr>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★支持接入不低于12路网络抓拍摄像机进行图片合成与上传。</w:t>
            </w:r>
          </w:p>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设备采用嵌入式linux实时操作系统。</w:t>
            </w:r>
          </w:p>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支持配置多种字符叠加、图片合成模式。</w:t>
            </w:r>
          </w:p>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支持易拆卸硬盘设计，便于施工操作与后期维护。</w:t>
            </w:r>
          </w:p>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最大支持4块3.5或2.5英寸硬盘接入，支持硬盘自动切换，当块硬盘损坏后，能自动切换至其它硬盘进行存储，本次配置一块4T硬盘。</w:t>
            </w:r>
          </w:p>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支持通过USB外接存储介质进行数据备份，备份数据类型、存储目录及文件命名可配置。</w:t>
            </w:r>
          </w:p>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支持对视频进行质量诊断并输出报警信息。</w:t>
            </w:r>
          </w:p>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支持实时显示接入的摄像机、线圈、车检器、红绿灯检测器等前端设备的工作状态、样机内部温度、工作时间等信息；外接机柜门时具有机柜门状态实时显示与查询功能。</w:t>
            </w:r>
          </w:p>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可设置图片的存储空间，在规定的空间内自动循环覆盖，剩余空间为录像存储空间。</w:t>
            </w:r>
          </w:p>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对于在记录过程中出现的系统死机或意外故障，设备能够在规定的时间内自动恢复其正常工作状态并使故障前的信息不丢失，支持断网续传、自动注册、黑白名单导入导出、数据防删改功能。</w:t>
            </w:r>
          </w:p>
          <w:p>
            <w:pPr>
              <w:widowControl/>
              <w:numPr>
                <w:ilvl w:val="0"/>
                <w:numId w:val="2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当数据库文件由于断电等原因损坏后，可以通过网页手动控制数据库修复，恢复过车数据査询功能。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红绿灯信号检测器</w:t>
            </w:r>
          </w:p>
        </w:tc>
        <w:tc>
          <w:tcPr>
            <w:tcW w:w="7569" w:type="dxa"/>
            <w:vAlign w:val="center"/>
          </w:tcPr>
          <w:p>
            <w:pPr>
              <w:widowControl/>
              <w:numPr>
                <w:ilvl w:val="0"/>
                <w:numId w:val="22"/>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交通灯信号检测器，支持16路AC220V信号接入；</w:t>
            </w:r>
          </w:p>
          <w:p>
            <w:pPr>
              <w:widowControl/>
              <w:numPr>
                <w:ilvl w:val="0"/>
                <w:numId w:val="22"/>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&gt;=4路RS485接口；</w:t>
            </w:r>
          </w:p>
          <w:p>
            <w:pPr>
              <w:widowControl/>
              <w:numPr>
                <w:ilvl w:val="0"/>
                <w:numId w:val="2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&gt;=5位拨码开关，用于设置设备地址、数据上传模式及波特率；</w:t>
            </w:r>
          </w:p>
          <w:p>
            <w:pPr>
              <w:widowControl/>
              <w:numPr>
                <w:ilvl w:val="0"/>
                <w:numId w:val="2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一个电源开关，AC220V供电。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磁盘阵列1</w:t>
            </w:r>
          </w:p>
        </w:tc>
        <w:tc>
          <w:tcPr>
            <w:tcW w:w="7569" w:type="dxa"/>
            <w:vAlign w:val="center"/>
          </w:tcPr>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48盘位磁盘阵列(其它盘位数规格的按等可靠性、等可用容量折算），单盘容量不小于8T，配置 10GE 接口数≥2 个，支持端口链路聚合、负载均衡，且不受最新国标、SDK 对接、ONIVF 等任一接入方式影响。</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可接入6T/8T/10T/12T/14T/16T/18T/20T SATA/SAS硬盘；支持NL-SAS 硬盘、HDD硬盘、SSD硬盘、氦气硬盘、空气硬盘；支持 CMR或SMR硬盘；支持硬盘交错/分时启动，节省功耗。</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支持SATA和SAS混插，支持不同品牌的硬盘混插；支持不同大小的硬盘混合使用，可显示硬盘的总容量（各个硬盘容量之和）。</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配备独立元数据系统、支持元数据系统组成RAID和网络RAID（N+M配置，且M≥8），一组RAID故障时其业务可自动切换至其他网络RAID组。</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支持网络raid纠删码技术，多台存储设备组建网络RAID，设置为负载均衡；单台或多台存储设备组建网络RAID，允许每组RAID中任意任意1-12个磁盘发生故障，数据不丢失，存储服务不中断。</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支持视音频、图片、智能数据流进行混合直存，无须存储服务器和图片服务器的参与，平台服务器宕机时，存储业务正常。</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支持国际GB/T 28181和Onvif视频流直存模式。</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支持iSCSI直存功能，前端网络摄像机和设备之间可直接通过iSCSI协议进行块存储。</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网络中断后重新恢复，可续存断网期间存储在前端设备中的录像文件，并可通过IE浏览器设置自动回传和手动回传；支持256路4Mbps的录像回传。</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当开启智能录像时，设备可根据前端接入路数、存储周期、码率等参数，自动选择N+M冗余级别较高的数据保护方式。</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可在操作界面查看数据重构状态，设备的磁盘或节点离线并重新插回后，可在界面显示离线磁盘或节点的数据重构过程，离线前数据不丢失。</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支持HLS协议，客户端可以进行全帧索引回放，并支持客户端下载视频文件。</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可扩展支持将前端一路视频流同时存入两台存储；支持双机间编码器和录像同步，故障时可进行互相接管。</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可对视音频、图片、结构化数据、对象等文件进行混合存储，并可通过http和https方式下载。</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可在KVM虚拟化环境下进行U盘等硬件热插拔；可对虚机镜像进行异常监控；可在无独立显卡情况下，使用主板CPU集成显卡为虚拟机提供视频图像显示能力。</w:t>
            </w:r>
          </w:p>
          <w:p>
            <w:pPr>
              <w:widowControl/>
              <w:numPr>
                <w:ilvl w:val="0"/>
                <w:numId w:val="2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支持大于4个容器，存储业务模块可存放在不同容器中，业务之间互相隔离，一个业务模块发生故障时，不影响其它业务模块。当一个业务模块异常，系统可自动重启业务模块并恢复原有业务。</w:t>
            </w:r>
          </w:p>
          <w:p>
            <w:pPr>
              <w:widowControl/>
              <w:numPr>
                <w:ilvl w:val="0"/>
                <w:numId w:val="23"/>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健康、亚健康、故障等。</w:t>
            </w:r>
          </w:p>
          <w:p>
            <w:pPr>
              <w:widowControl/>
              <w:numPr>
                <w:ilvl w:val="0"/>
                <w:numId w:val="23"/>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更换系统盘并配置好信息后，再次开机无需人工介入，可自动恢复业务，历史数据不应丢失。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8T专用硬盘</w:t>
            </w:r>
          </w:p>
        </w:tc>
        <w:tc>
          <w:tcPr>
            <w:tcW w:w="756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8T，7200RPM，3.5寸，SATA。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抱箍</w:t>
            </w:r>
          </w:p>
        </w:tc>
        <w:tc>
          <w:tcPr>
            <w:tcW w:w="756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托盘</w:t>
            </w:r>
          </w:p>
        </w:tc>
        <w:tc>
          <w:tcPr>
            <w:tcW w:w="756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无线传输模块</w:t>
            </w:r>
          </w:p>
        </w:tc>
        <w:tc>
          <w:tcPr>
            <w:tcW w:w="756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4G全网通无线传输模块（1个移动式电警1个）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移动电警路口存储</w:t>
            </w:r>
          </w:p>
        </w:tc>
        <w:tc>
          <w:tcPr>
            <w:tcW w:w="7569" w:type="dxa"/>
            <w:vAlign w:val="center"/>
          </w:tcPr>
          <w:p>
            <w:pPr>
              <w:widowControl/>
              <w:numPr>
                <w:ilvl w:val="0"/>
                <w:numId w:val="2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支持4个通道的过车记录存储、图片存储、视频存储、数据上传、视频流转发。</w:t>
            </w:r>
          </w:p>
          <w:p>
            <w:pPr>
              <w:widowControl/>
              <w:numPr>
                <w:ilvl w:val="0"/>
                <w:numId w:val="2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支持混合接入普通监控用摄像机、智慧监控摄像机、卡口电子警察抓拍机、网络球机等多种前端设备。</w:t>
            </w:r>
          </w:p>
          <w:p>
            <w:pPr>
              <w:widowControl/>
              <w:numPr>
                <w:ilvl w:val="0"/>
                <w:numId w:val="2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标配2TB硬盘存储，图片与录像可设置配额。</w:t>
            </w:r>
          </w:p>
          <w:p>
            <w:pPr>
              <w:widowControl/>
              <w:numPr>
                <w:ilvl w:val="0"/>
                <w:numId w:val="2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支持GPS校时功能、区间测速功能。</w:t>
            </w:r>
          </w:p>
          <w:p>
            <w:pPr>
              <w:widowControl/>
              <w:numPr>
                <w:ilvl w:val="0"/>
                <w:numId w:val="2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支持机柜门打开后声音报警及报警上传功能。</w:t>
            </w:r>
          </w:p>
          <w:p>
            <w:pPr>
              <w:widowControl/>
              <w:numPr>
                <w:ilvl w:val="0"/>
                <w:numId w:val="2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网络接口：4个100M以太网接口，2个千兆SFP接口。</w:t>
            </w:r>
          </w:p>
          <w:p>
            <w:pPr>
              <w:widowControl/>
              <w:numPr>
                <w:ilvl w:val="0"/>
                <w:numId w:val="24"/>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工作温度：-30℃～70℃。</w:t>
            </w:r>
          </w:p>
          <w:p>
            <w:pPr>
              <w:widowControl/>
              <w:numPr>
                <w:ilvl w:val="0"/>
                <w:numId w:val="24"/>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工作湿度：10%～90%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光纤收发器</w:t>
            </w:r>
          </w:p>
        </w:tc>
        <w:tc>
          <w:tcPr>
            <w:tcW w:w="7569" w:type="dxa"/>
            <w:vAlign w:val="center"/>
          </w:tcPr>
          <w:p>
            <w:pPr>
              <w:widowControl/>
              <w:numPr>
                <w:ilvl w:val="0"/>
                <w:numId w:val="25"/>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光口：1个千兆光口，距离20公里，FC口；</w:t>
            </w:r>
          </w:p>
          <w:p>
            <w:pPr>
              <w:widowControl/>
              <w:numPr>
                <w:ilvl w:val="0"/>
                <w:numId w:val="25"/>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单模单纤；电口：1个百兆网口；</w:t>
            </w:r>
          </w:p>
          <w:p>
            <w:pPr>
              <w:widowControl/>
              <w:numPr>
                <w:ilvl w:val="0"/>
                <w:numId w:val="25"/>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安装方式：工业导轨式。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13</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8口工业级交换机</w:t>
            </w:r>
          </w:p>
        </w:tc>
        <w:tc>
          <w:tcPr>
            <w:tcW w:w="7569" w:type="dxa"/>
            <w:vAlign w:val="center"/>
          </w:tcPr>
          <w:p>
            <w:pPr>
              <w:widowControl/>
              <w:numPr>
                <w:ilvl w:val="0"/>
                <w:numId w:val="2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提供8个千兆电口。</w:t>
            </w:r>
          </w:p>
          <w:p>
            <w:pPr>
              <w:widowControl/>
              <w:numPr>
                <w:ilvl w:val="0"/>
                <w:numId w:val="2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支持IEEE 802.3、 IEEE 802.3u、 IEEE 802.3x。</w:t>
            </w:r>
          </w:p>
          <w:p>
            <w:pPr>
              <w:widowControl/>
              <w:numPr>
                <w:ilvl w:val="0"/>
                <w:numId w:val="2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支持6 KV防浪涌。</w:t>
            </w:r>
          </w:p>
          <w:p>
            <w:pPr>
              <w:widowControl/>
              <w:numPr>
                <w:ilvl w:val="0"/>
                <w:numId w:val="2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线速转发。</w:t>
            </w:r>
          </w:p>
          <w:p>
            <w:pPr>
              <w:widowControl/>
              <w:numPr>
                <w:ilvl w:val="0"/>
                <w:numId w:val="2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存储转发交换方式。</w:t>
            </w:r>
          </w:p>
          <w:p>
            <w:pPr>
              <w:widowControl/>
              <w:numPr>
                <w:ilvl w:val="0"/>
                <w:numId w:val="2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支持端口管理。</w:t>
            </w:r>
          </w:p>
          <w:p>
            <w:pPr>
              <w:widowControl/>
              <w:numPr>
                <w:ilvl w:val="0"/>
                <w:numId w:val="2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坚固式高强度金属外壳。</w:t>
            </w:r>
          </w:p>
          <w:p>
            <w:pPr>
              <w:widowControl/>
              <w:numPr>
                <w:ilvl w:val="0"/>
                <w:numId w:val="2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工业导轨安装方式。</w:t>
            </w:r>
          </w:p>
          <w:p>
            <w:pPr>
              <w:widowControl/>
              <w:numPr>
                <w:ilvl w:val="0"/>
                <w:numId w:val="26"/>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无风扇设计，高可靠性。</w:t>
            </w:r>
          </w:p>
          <w:p>
            <w:pPr>
              <w:widowControl/>
              <w:numPr>
                <w:ilvl w:val="0"/>
                <w:numId w:val="26"/>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室外宽温设计（ -40℃~75℃）。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14</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智能网络箱</w:t>
            </w:r>
          </w:p>
        </w:tc>
        <w:tc>
          <w:tcPr>
            <w:tcW w:w="7569" w:type="dxa"/>
            <w:vAlign w:val="center"/>
          </w:tcPr>
          <w:p>
            <w:pPr>
              <w:widowControl/>
              <w:numPr>
                <w:ilvl w:val="0"/>
                <w:numId w:val="27"/>
              </w:numPr>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一体化智能管理单元，包含一体化电源模块；</w:t>
            </w:r>
          </w:p>
          <w:p>
            <w:pPr>
              <w:widowControl/>
              <w:numPr>
                <w:ilvl w:val="0"/>
                <w:numId w:val="27"/>
              </w:numPr>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空气开关、防浪涌保护器（40KA）；</w:t>
            </w:r>
          </w:p>
          <w:p>
            <w:pPr>
              <w:widowControl/>
              <w:numPr>
                <w:ilvl w:val="0"/>
                <w:numId w:val="27"/>
              </w:numPr>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一路AC220V输入，最大电流40A，三路AC220V输出，每路最大电流20A；</w:t>
            </w:r>
          </w:p>
          <w:p>
            <w:pPr>
              <w:widowControl/>
              <w:numPr>
                <w:ilvl w:val="0"/>
                <w:numId w:val="27"/>
              </w:numPr>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每一路AC220V输出，具备时控功能，同时可手动远程控制通断；</w:t>
            </w:r>
          </w:p>
          <w:p>
            <w:pPr>
              <w:widowControl/>
              <w:numPr>
                <w:ilvl w:val="0"/>
                <w:numId w:val="27"/>
              </w:numPr>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两路DC12V输出，总的电流不少于2、5A，带延时功能，延时不少于160ms，可供给光猫和交换机；</w:t>
            </w:r>
          </w:p>
          <w:p>
            <w:pPr>
              <w:widowControl/>
              <w:numPr>
                <w:ilvl w:val="0"/>
                <w:numId w:val="27"/>
              </w:numPr>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一路门禁报警输入、一路水浸报警输入、一个RS-232、一个RS-485透传接口；</w:t>
            </w:r>
          </w:p>
          <w:p>
            <w:pPr>
              <w:widowControl/>
              <w:numPr>
                <w:ilvl w:val="0"/>
                <w:numId w:val="27"/>
              </w:numPr>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一路GPIO口、一路10M-100M自适应可选电口；</w:t>
            </w:r>
          </w:p>
          <w:p>
            <w:pPr>
              <w:widowControl/>
              <w:numPr>
                <w:ilvl w:val="0"/>
                <w:numId w:val="27"/>
              </w:numPr>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具备UPS接口，可外接UPS，断电时切换UPS供电、智能充电，充满自动停止，有效保护电池，延长寿命；</w:t>
            </w:r>
          </w:p>
          <w:p>
            <w:pPr>
              <w:widowControl/>
              <w:numPr>
                <w:ilvl w:val="0"/>
                <w:numId w:val="27"/>
              </w:numPr>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具备断电告警功能，设备具有在外部供电中断时，实时将断电信息回传至平台或客户端并报警；</w:t>
            </w:r>
          </w:p>
          <w:p>
            <w:pPr>
              <w:widowControl/>
              <w:numPr>
                <w:ilvl w:val="0"/>
                <w:numId w:val="27"/>
              </w:numPr>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卡口专用智能网络箱要求尺寸：长：550</w:t>
            </w:r>
            <w:r>
              <w:rPr>
                <w:rFonts w:hint="eastAsia" w:ascii="宋体" w:hAnsi="宋体" w:eastAsia="宋体" w:cs="宋体"/>
                <w:color w:val="auto"/>
                <w:sz w:val="22"/>
                <w:highlight w:val="none"/>
              </w:rPr>
              <w:t>±10</w:t>
            </w:r>
            <w:r>
              <w:rPr>
                <w:rFonts w:hint="eastAsia" w:ascii="宋体" w:hAnsi="宋体" w:eastAsia="宋体" w:cs="宋体"/>
                <w:color w:val="auto"/>
                <w:kern w:val="0"/>
                <w:sz w:val="22"/>
                <w:highlight w:val="none"/>
                <w:lang w:bidi="ar"/>
              </w:rPr>
              <w:t xml:space="preserve"> 宽：260</w:t>
            </w:r>
            <w:r>
              <w:rPr>
                <w:rFonts w:hint="eastAsia" w:ascii="宋体" w:hAnsi="宋体" w:eastAsia="宋体" w:cs="宋体"/>
                <w:color w:val="auto"/>
                <w:sz w:val="22"/>
                <w:highlight w:val="none"/>
              </w:rPr>
              <w:t>±10</w:t>
            </w:r>
            <w:r>
              <w:rPr>
                <w:rFonts w:hint="eastAsia" w:ascii="宋体" w:hAnsi="宋体" w:eastAsia="宋体" w:cs="宋体"/>
                <w:color w:val="auto"/>
                <w:kern w:val="0"/>
                <w:sz w:val="22"/>
                <w:highlight w:val="none"/>
                <w:lang w:bidi="ar"/>
              </w:rPr>
              <w:t xml:space="preserve"> 高：745</w:t>
            </w:r>
            <w:r>
              <w:rPr>
                <w:rFonts w:hint="eastAsia" w:ascii="宋体" w:hAnsi="宋体" w:eastAsia="宋体" w:cs="宋体"/>
                <w:color w:val="auto"/>
                <w:sz w:val="22"/>
                <w:highlight w:val="none"/>
              </w:rPr>
              <w:t>±10</w:t>
            </w:r>
            <w:r>
              <w:rPr>
                <w:rFonts w:hint="eastAsia" w:ascii="宋体" w:hAnsi="宋体" w:eastAsia="宋体" w:cs="宋体"/>
                <w:color w:val="auto"/>
                <w:kern w:val="0"/>
                <w:sz w:val="22"/>
                <w:highlight w:val="none"/>
                <w:lang w:bidi="ar"/>
              </w:rPr>
              <w:t xml:space="preserve"> （单位：mm）。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光纤接入ONU</w:t>
            </w:r>
          </w:p>
        </w:tc>
        <w:tc>
          <w:tcPr>
            <w:tcW w:w="756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4 口全千兆 Gpon ONU，支持 OMCI、TR069协议。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16</w:t>
            </w:r>
          </w:p>
        </w:tc>
        <w:tc>
          <w:tcPr>
            <w:tcW w:w="1541" w:type="dxa"/>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卡口图片人脸智能识别预警模块服务器</w:t>
            </w:r>
          </w:p>
        </w:tc>
        <w:tc>
          <w:tcPr>
            <w:tcW w:w="7569" w:type="dxa"/>
            <w:vAlign w:val="center"/>
          </w:tcPr>
          <w:p>
            <w:pPr>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处理器 32核，2.6Ghz*2；内存512GB；系统盘 2×240GB SSD盘，RAID1，数据盘 4块，总容量16TB，SSD盘，RAID5；2个万兆网卡；4块图像处理卡（要求国产芯片，内存 24GB）。含3年原厂维保服务。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17</w:t>
            </w:r>
          </w:p>
        </w:tc>
        <w:tc>
          <w:tcPr>
            <w:tcW w:w="1541" w:type="dxa"/>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卡口图片人脸智能识别预警模块</w:t>
            </w:r>
          </w:p>
        </w:tc>
        <w:tc>
          <w:tcPr>
            <w:tcW w:w="7569" w:type="dxa"/>
            <w:vAlign w:val="center"/>
          </w:tcPr>
          <w:p>
            <w:pPr>
              <w:widowControl/>
              <w:numPr>
                <w:ilvl w:val="0"/>
                <w:numId w:val="28"/>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★能够按照公安交通集成指挥平台人脸识别服务软件接口要求提供接口服务。</w:t>
            </w: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sz w:val="22"/>
                <w:highlight w:val="none"/>
              </w:rPr>
              <w:t>商务和技术文件中提供经国家认可检测机构出具的合格检测报告或证明材料，否则视为负偏离</w:t>
            </w:r>
            <w:r>
              <w:rPr>
                <w:rFonts w:hint="eastAsia" w:ascii="宋体" w:hAnsi="宋体" w:eastAsia="宋体" w:cs="宋体"/>
                <w:b/>
                <w:bCs/>
                <w:color w:val="auto"/>
                <w:kern w:val="0"/>
                <w:sz w:val="22"/>
                <w:highlight w:val="none"/>
                <w:lang w:bidi="ar"/>
              </w:rPr>
              <w:t xml:space="preserve">） </w:t>
            </w:r>
          </w:p>
          <w:p>
            <w:pPr>
              <w:widowControl/>
              <w:numPr>
                <w:ilvl w:val="0"/>
                <w:numId w:val="28"/>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人脸检测与特征提取，每秒并发访问50次以上，单次平均返回时间不超过1秒；特征库要求单块显卡至少支持存储2000万特征；1比N比对在N为6000万的前提下，每秒并发比对不小于50次，单次返回时间不超过1秒，在相似度大于可信阈值的前提下，TOP1准确率不小于95%；1比1比对在误识率低于十万分之一的前提下，拒识率低于10%。</w:t>
            </w:r>
          </w:p>
          <w:p>
            <w:pPr>
              <w:widowControl/>
              <w:numPr>
                <w:ilvl w:val="0"/>
                <w:numId w:val="28"/>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系统支持卡口过车驾驶人实时识别功能。驾驶人员出现在摄像头画面中，人脸抓拍照与本地常口库人员的特征进行比对，比对结果超过预设阈值时，系统即可认定过车驾驶人员身份。</w:t>
            </w:r>
          </w:p>
          <w:p>
            <w:pPr>
              <w:widowControl/>
              <w:numPr>
                <w:ilvl w:val="0"/>
                <w:numId w:val="28"/>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应用人脸识别新技术，提取卡口图片中的驾驶人人脸特征值，通过本地人口人脸特征比对平台确定驾驶人身份，与全国机动车驾驶人信息库进行实时比对分析，主动发现驾驶证异常行为，并通过集成指挥平台实时推送预警，通知民警现场拦截。</w:t>
            </w:r>
          </w:p>
          <w:p>
            <w:pPr>
              <w:widowControl/>
              <w:numPr>
                <w:ilvl w:val="0"/>
                <w:numId w:val="28"/>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★系统支持人脸布控功能。当布控人员出现在布控摄像头画面中，人脸抓拍照与重点人员库中照片的特征比对结果超过预设阈值时，系统实时进行报警。</w:t>
            </w:r>
          </w:p>
          <w:p>
            <w:pPr>
              <w:widowControl/>
              <w:numPr>
                <w:ilvl w:val="0"/>
                <w:numId w:val="28"/>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针对车辆抓拍图片流数据进行后端集中智能解析，完成的对人脸的结构化信息、特征值、目标小图、场景图等内容的分析、提取、存储、管理。为后续数据分析和业务应用提供服务。以分类、比对等方法实现基础的智能化应用。如1：1人证核验、1：N身份核验、抓拍、实时检索、布控告警等动态分析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7" w:type="dxa"/>
            <w:gridSpan w:val="3"/>
            <w:vAlign w:val="center"/>
          </w:tcPr>
          <w:p>
            <w:pPr>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二、非机动车管控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1200万像素抓拍单元1</w:t>
            </w:r>
          </w:p>
        </w:tc>
        <w:tc>
          <w:tcPr>
            <w:tcW w:w="7569" w:type="dxa"/>
            <w:vAlign w:val="center"/>
          </w:tcPr>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包含高清一体化嵌入式摄像机、高清镜头、室外防护罩、相机内置网络信号防雷器、电源适配器等。</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图像传感器：&gt;=1英寸GMOS。</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★内置专用智能芯片搭载非机动车专用算法，提升非机动车号牌和违法识别的准确性。</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★分辨率：1200万像素以上</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图片格式：JPEG。</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视频压缩支持H.265、H.264、M-JPEG。</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支持非机动车车牌、机动车车牌识别功能</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支持非机动车闯红灯、非占机抓拍功能，支持覆盖双车道，同时支持机动车闯红灯、压线、逆行、不按导向行驶等违法行为抓拍。</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支持非机动车不戴头盔，载人，逆行，越线停车等检测抓拍。</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支持摩托车闯红灯、不按导向、闯禁令等违法行为抓拍。</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支持机动车、二轮车（摩托车、自行车、电动二轮车）、三轮车和行人分类检测。</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支持对设定区域内的机动车、非机动车是否悬挂车牌的情况进行检测并显示。</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红绿灯信号检测方式：红绿灯检测器、视频检测。</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支持对驾驶非机动车和摩托车未戴头盔行为进行检测，可区分全盔或半盔，戴头盔的检出率不低于90%。</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支持对非机动车闯红灯抓拍，可对闯红灯目标的人体和人脸抠图，全天的捕获率不低于99%。</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支持机动车车标识别功能，数据库中包含410种车标信息，白天和晚上的识别率均不低于99%。</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支持对主程序和智能算法分别进行升级，可对多台设备同时进行批量升级，升级过程中视频画面不应丢失。</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支持远程数据上传，可将抓拍的图片上传给终端服务器、FTP服务器或者后端平台等。</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★支持对接超高频RFID读写应用，实现非机动车RFID电子车牌信息的获取。</w:t>
            </w:r>
          </w:p>
          <w:p>
            <w:pPr>
              <w:widowControl/>
              <w:numPr>
                <w:ilvl w:val="0"/>
                <w:numId w:val="29"/>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具有防尘、防水、网络防雷、防浪涌等功能。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非机动车管控终端1</w:t>
            </w:r>
          </w:p>
        </w:tc>
        <w:tc>
          <w:tcPr>
            <w:tcW w:w="7569" w:type="dxa"/>
            <w:vAlign w:val="center"/>
          </w:tcPr>
          <w:p>
            <w:pPr>
              <w:widowControl/>
              <w:numPr>
                <w:ilvl w:val="0"/>
                <w:numId w:val="30"/>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★支持对抓拍机抓拍的非机动车数据（抓拍及违章数据）进行接收、存储、查询、转发。</w:t>
            </w:r>
          </w:p>
          <w:p>
            <w:pPr>
              <w:widowControl/>
              <w:numPr>
                <w:ilvl w:val="0"/>
                <w:numId w:val="30"/>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支持配置多种字符叠加、图片合成模式。</w:t>
            </w:r>
          </w:p>
          <w:p>
            <w:pPr>
              <w:widowControl/>
              <w:numPr>
                <w:ilvl w:val="0"/>
                <w:numId w:val="30"/>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内置4T硬盘。</w:t>
            </w:r>
          </w:p>
          <w:p>
            <w:pPr>
              <w:widowControl/>
              <w:numPr>
                <w:ilvl w:val="0"/>
                <w:numId w:val="30"/>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硬盘接口：4个SATA接口，单SATA接口可支持最大6TB容量硬盘。</w:t>
            </w:r>
          </w:p>
          <w:p>
            <w:pPr>
              <w:widowControl/>
              <w:numPr>
                <w:ilvl w:val="0"/>
                <w:numId w:val="3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网络接口：16个1000M以太网接口，1个内部和1个外部。10/100/1000M自适应以太网接口，1个内部和1个外部千兆可光电切换光纤接口。</w:t>
            </w:r>
          </w:p>
          <w:p>
            <w:pPr>
              <w:widowControl/>
              <w:numPr>
                <w:ilvl w:val="0"/>
                <w:numId w:val="3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其他接口：2个RS-232接口、2个RS-485接口、1个USB3.0接口、2路报警输入接口、2路报警输出接口、1个音频输入接口、1个音频输出接口。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非机动车红绿灯信号检测器1</w:t>
            </w:r>
          </w:p>
        </w:tc>
        <w:tc>
          <w:tcPr>
            <w:tcW w:w="7569" w:type="dxa"/>
            <w:vAlign w:val="center"/>
          </w:tcPr>
          <w:p>
            <w:pPr>
              <w:widowControl/>
              <w:numPr>
                <w:ilvl w:val="0"/>
                <w:numId w:val="31"/>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交通灯信号检测器，支持16路AC220V信号接入。</w:t>
            </w:r>
          </w:p>
          <w:p>
            <w:pPr>
              <w:widowControl/>
              <w:numPr>
                <w:ilvl w:val="0"/>
                <w:numId w:val="3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&gt;=4路RS485接口。</w:t>
            </w:r>
          </w:p>
          <w:p>
            <w:pPr>
              <w:widowControl/>
              <w:numPr>
                <w:ilvl w:val="0"/>
                <w:numId w:val="3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&gt;=5位拨码开关，用于设置设备地址、数据上传模式及波特率。</w:t>
            </w:r>
          </w:p>
          <w:p>
            <w:pPr>
              <w:widowControl/>
              <w:numPr>
                <w:ilvl w:val="0"/>
                <w:numId w:val="3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一个电源开关，AC220V供电。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1200万像素抓拍单元2</w:t>
            </w:r>
          </w:p>
        </w:tc>
        <w:tc>
          <w:tcPr>
            <w:tcW w:w="7569" w:type="dxa"/>
            <w:vAlign w:val="center"/>
          </w:tcPr>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包含高清一体化嵌入式摄像机、高清镜头、室外防护罩、相机内置网络信号防雷器、电源适配器等。</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图像传感器：&gt;=1英寸GMOS。</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★内置专用智能芯片搭载非机动车专用算法，提升非机动车号牌和违法识别的准确性。</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★分辨率：1200万像素以上</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图片格式：JPEG。</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视频压缩支持H.265、H.264、M-JPEG。</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支持非机动车车牌、机动车车牌识别功能</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支持非机动车闯红灯、非占机抓拍功能，支持覆盖双车道，同时支持机动车闯红灯、压线、逆行、不按导向行驶等违法行为抓拍。</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支持非机动车不戴头盔，载人，逆行，越线停车等检测抓拍。</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支持摩托车闯红灯、不按导向、闯禁令等违法行为抓拍。</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支持机动车、二轮车（摩托车、自行车、电动二轮车）、三轮车和行人分类检测。</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支持对设定区域内的机动车、非机动车是否悬挂车牌的情况进行检测并显示。</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红绿灯信号检测方式：红绿灯检测器、视频检测。</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支持对驾驶非机动车和摩托车未戴头盔行为进行检测，可区分全盔或半盔，戴头盔的检出率不低于90%。</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支持对非机动车闯红灯抓拍，可对闯红灯目标的人体和人脸抠图，全天的捕获率不低于99%。</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支持机动车车标识别功能，数据库中包含410种车标信息，白天和晚上的识别率均不低于99%。</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支持对主程序和智能算法分别进行升级，可对多台设备同时进行批量升级，升级过程中视频画面不应丢失。</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支持远程数据上传，可将抓拍的图片上传给终端服务器、FTP服务器或者后端平台等。</w:t>
            </w:r>
          </w:p>
          <w:p>
            <w:pPr>
              <w:widowControl/>
              <w:numPr>
                <w:ilvl w:val="0"/>
                <w:numId w:val="32"/>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★支持对接超高频RFID读写应用，实现非机动车RFID电子车牌信息的获取。</w:t>
            </w:r>
          </w:p>
          <w:p>
            <w:pPr>
              <w:widowControl/>
              <w:numPr>
                <w:ilvl w:val="0"/>
                <w:numId w:val="32"/>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具有防尘、防水、网络防雷、防浪涌等功能。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非机动车管控终端2</w:t>
            </w:r>
          </w:p>
        </w:tc>
        <w:tc>
          <w:tcPr>
            <w:tcW w:w="7569" w:type="dxa"/>
            <w:vAlign w:val="center"/>
          </w:tcPr>
          <w:p>
            <w:pPr>
              <w:widowControl/>
              <w:numPr>
                <w:ilvl w:val="0"/>
                <w:numId w:val="3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★支持对抓拍机抓拍的非机动车数据（抓拍及违章数据）进行接收、存储、查询、转发。</w:t>
            </w:r>
          </w:p>
          <w:p>
            <w:pPr>
              <w:widowControl/>
              <w:numPr>
                <w:ilvl w:val="0"/>
                <w:numId w:val="3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支持配置多种字符叠加、图片合成模式。</w:t>
            </w:r>
          </w:p>
          <w:p>
            <w:pPr>
              <w:widowControl/>
              <w:numPr>
                <w:ilvl w:val="0"/>
                <w:numId w:val="3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内置4T硬盘。</w:t>
            </w:r>
          </w:p>
          <w:p>
            <w:pPr>
              <w:widowControl/>
              <w:numPr>
                <w:ilvl w:val="0"/>
                <w:numId w:val="3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硬盘接口：4个SATA接口，单SATA接口可支持最大6TB容量硬盘。</w:t>
            </w:r>
          </w:p>
          <w:p>
            <w:pPr>
              <w:widowControl/>
              <w:numPr>
                <w:ilvl w:val="0"/>
                <w:numId w:val="33"/>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网络接口：16个1000M以太网接口，1个内部和1个外部。10/100/1000M自适应以太网接口，1个内部和1个外部千兆可光电切换光纤接口。</w:t>
            </w:r>
          </w:p>
          <w:p>
            <w:pPr>
              <w:widowControl/>
              <w:numPr>
                <w:ilvl w:val="0"/>
                <w:numId w:val="33"/>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其他接口：2个RS-232接口、2个RS-485接口、1个USB3.0接口、2路报警输入接口、2路报警输出接口、1个音频输入接口、1个音频输出接口。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非机动车红绿灯信号检测器2</w:t>
            </w:r>
          </w:p>
        </w:tc>
        <w:tc>
          <w:tcPr>
            <w:tcW w:w="7569" w:type="dxa"/>
            <w:vAlign w:val="center"/>
          </w:tcPr>
          <w:p>
            <w:pPr>
              <w:widowControl/>
              <w:numPr>
                <w:ilvl w:val="0"/>
                <w:numId w:val="31"/>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交通灯信号检测器，支持16路AC220V信号接入。</w:t>
            </w:r>
          </w:p>
          <w:p>
            <w:pPr>
              <w:widowControl/>
              <w:numPr>
                <w:ilvl w:val="0"/>
                <w:numId w:val="3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&gt;=4路RS485接口。</w:t>
            </w:r>
          </w:p>
          <w:p>
            <w:pPr>
              <w:widowControl/>
              <w:numPr>
                <w:ilvl w:val="0"/>
                <w:numId w:val="31"/>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&gt;=5位拨码开关，用于设置设备地址、数据上传模式及波特率。</w:t>
            </w:r>
          </w:p>
          <w:p>
            <w:pPr>
              <w:widowControl/>
              <w:numPr>
                <w:ilvl w:val="0"/>
                <w:numId w:val="31"/>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一个电源开关，AC220V供电。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抱箍</w:t>
            </w:r>
          </w:p>
        </w:tc>
        <w:tc>
          <w:tcPr>
            <w:tcW w:w="756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托盘</w:t>
            </w:r>
          </w:p>
        </w:tc>
        <w:tc>
          <w:tcPr>
            <w:tcW w:w="756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磁盘阵列2</w:t>
            </w:r>
          </w:p>
        </w:tc>
        <w:tc>
          <w:tcPr>
            <w:tcW w:w="7569" w:type="dxa"/>
            <w:vAlign w:val="center"/>
          </w:tcPr>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36盘位磁盘阵列(其它盘位数规格的按等可靠性、等可用容量折算），单盘容量不小于8T，配置10GE接口数≥2个，支持端口链路聚合、负载均衡，且不受最新国标、SDK对接、ONIVF等任一接入方式影响。</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可接入6T/8T/10T/12T/14T/16T/18T/20T SATA/SAS硬盘；支持NL-SAS 硬盘、HDD硬盘、SSD硬盘、氦气硬盘、空气硬盘；支持 CMR或SMR硬盘；支持硬盘交错/分时启动，节省功耗。</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支持SATA和SAS混插，支持不同品牌的硬盘混插；支持不同大小的硬盘混合使用，可显示硬盘的总容量（各个硬盘容量之和）。</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配备独立元数据系统、支持元数据系统组成RAID和网络RAID（N+M配置，且M≥8），一组RAID故障时其业务可自动切换至其他网络RAID组。</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支持网络raid纠删码技术，多台存储设备组建网络RAID，设置为负载均衡；单台或多台存储设备组建网络RAID，允许每组RAID中任意任意1-12个磁盘发生故障，数据不丢失，存储服务不中断。</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支持视音频、图片、智能数据流进行混合直存，无须存储服务器和图片服务器的参与，平台服务器宕机时，存储业务正常。</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支持国际GB/T 28181和Onvif视频流直存模式。</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支持iSCSI直存功能，前端网络摄像机和设备之间可直接通过iSCSI协议进行块存储。</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网络中断后重新恢复，可续存断网期间存储在前端设备中的录像文件，并可通过IE浏览器设置自动回传和手动回传；支持256路4Mbps的录像回传。</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当开启智能录像时，设备可根据前端接入路数、存储周期、码率等参数，自动选择N+M冗余级别较高的数据保护方式。</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可在操作界面查看数据重构状态，设备的磁盘或节点离线并重新插回后，可在界面显示离线磁盘或节点的数据重构过程，离线前数据不丢失。</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支持HLS协议，客户端可以进行全帧索引回放，并支持客户端下载视频文件。</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可扩展支持将前端一路视频流同时存入两台存储；支持双机间编码器和录像同步，故障时可进行互相接管。</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可对视音频、图片、结构化数据、对象等文件进行混合存储，并可通过http和https方式下载。</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可在KVM虚拟化环境下进行U盘等硬件热插拔；可对虚机镜像进行异常监控；可在无独立显卡情况下，使用主板CPU集成显卡为虚拟机提供视频图像显示能力</w:t>
            </w:r>
          </w:p>
          <w:p>
            <w:pPr>
              <w:widowControl/>
              <w:numPr>
                <w:ilvl w:val="0"/>
                <w:numId w:val="34"/>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支持大于4个容器，存储业务模块可存放在不同容器中，业务之间互相隔离，一个业务模块发生故障时，不影响其它业务模块。当一个业务模块异常，系统可自动重启业务模块并恢复原有业务。</w:t>
            </w:r>
          </w:p>
          <w:p>
            <w:pPr>
              <w:widowControl/>
              <w:numPr>
                <w:ilvl w:val="0"/>
                <w:numId w:val="34"/>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健康、亚健康、故障等。</w:t>
            </w:r>
          </w:p>
          <w:p>
            <w:pPr>
              <w:widowControl/>
              <w:numPr>
                <w:ilvl w:val="0"/>
                <w:numId w:val="34"/>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更换系统盘并配置好信息后，再次开机无需人工介入，可自动恢复业务，历史数据不应丢失。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8T专用硬盘</w:t>
            </w:r>
          </w:p>
        </w:tc>
        <w:tc>
          <w:tcPr>
            <w:tcW w:w="756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8T，7200RPM，3.5寸，SATA。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光纤收发器</w:t>
            </w:r>
          </w:p>
        </w:tc>
        <w:tc>
          <w:tcPr>
            <w:tcW w:w="7569" w:type="dxa"/>
            <w:vAlign w:val="center"/>
          </w:tcPr>
          <w:p>
            <w:pPr>
              <w:widowControl/>
              <w:numPr>
                <w:ilvl w:val="0"/>
                <w:numId w:val="35"/>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光口：1个千兆光口，距离20公里，FC口；</w:t>
            </w:r>
          </w:p>
          <w:p>
            <w:pPr>
              <w:widowControl/>
              <w:numPr>
                <w:ilvl w:val="0"/>
                <w:numId w:val="35"/>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单模单纤；电口：1个百兆网口；</w:t>
            </w:r>
          </w:p>
          <w:p>
            <w:pPr>
              <w:widowControl/>
              <w:numPr>
                <w:ilvl w:val="0"/>
                <w:numId w:val="35"/>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安装方式：工业导轨式。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智能网络箱</w:t>
            </w:r>
          </w:p>
        </w:tc>
        <w:tc>
          <w:tcPr>
            <w:tcW w:w="7569" w:type="dxa"/>
            <w:vAlign w:val="center"/>
          </w:tcPr>
          <w:p>
            <w:pPr>
              <w:widowControl/>
              <w:numPr>
                <w:ilvl w:val="0"/>
                <w:numId w:val="3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一体化智能管理单元，包含一体化电源模块。</w:t>
            </w:r>
          </w:p>
          <w:p>
            <w:pPr>
              <w:widowControl/>
              <w:numPr>
                <w:ilvl w:val="0"/>
                <w:numId w:val="3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含空气开关、防浪涌保护器（40KA）。</w:t>
            </w:r>
          </w:p>
          <w:p>
            <w:pPr>
              <w:widowControl/>
              <w:numPr>
                <w:ilvl w:val="0"/>
                <w:numId w:val="3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一路AC220V输入，最大电流40A，三路AC220V输出，每路最大电流20A。</w:t>
            </w:r>
          </w:p>
          <w:p>
            <w:pPr>
              <w:widowControl/>
              <w:numPr>
                <w:ilvl w:val="0"/>
                <w:numId w:val="3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每一路AC220V输出，具备时控功能，同时可手动远程控制通断。</w:t>
            </w:r>
          </w:p>
          <w:p>
            <w:pPr>
              <w:widowControl/>
              <w:numPr>
                <w:ilvl w:val="0"/>
                <w:numId w:val="3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两路DC12V输出，总的电流不少于2、5A，带延时功能，延时不少于160ms，可供给光猫和交换机。</w:t>
            </w:r>
          </w:p>
          <w:p>
            <w:pPr>
              <w:widowControl/>
              <w:numPr>
                <w:ilvl w:val="0"/>
                <w:numId w:val="3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一路门禁报警输入、一路水浸报警输入、一个RS-232、一个RS-485透传接口。</w:t>
            </w:r>
          </w:p>
          <w:p>
            <w:pPr>
              <w:widowControl/>
              <w:numPr>
                <w:ilvl w:val="0"/>
                <w:numId w:val="3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一路GPIO口、一路10M-100M自适应可选电口。</w:t>
            </w:r>
          </w:p>
          <w:p>
            <w:pPr>
              <w:widowControl/>
              <w:numPr>
                <w:ilvl w:val="0"/>
                <w:numId w:val="36"/>
              </w:numPr>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具备UPS接口，可外接UPS，断电时切换UPS供电、智能充电，充满自动停止，有效保护电池，延长寿命。</w:t>
            </w:r>
          </w:p>
          <w:p>
            <w:pPr>
              <w:widowControl/>
              <w:numPr>
                <w:ilvl w:val="0"/>
                <w:numId w:val="36"/>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具备断电告警功能，设备具有在外部供电中断时，实时将断电信息回传至平台或客户端并报警。</w:t>
            </w:r>
          </w:p>
          <w:p>
            <w:pPr>
              <w:widowControl/>
              <w:numPr>
                <w:ilvl w:val="0"/>
                <w:numId w:val="36"/>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卡口专用智能网络箱要求尺寸：长：550</w:t>
            </w:r>
            <w:r>
              <w:rPr>
                <w:rFonts w:hint="eastAsia" w:ascii="宋体" w:hAnsi="宋体" w:eastAsia="宋体" w:cs="宋体"/>
                <w:color w:val="auto"/>
                <w:sz w:val="22"/>
                <w:highlight w:val="none"/>
              </w:rPr>
              <w:t>±10</w:t>
            </w:r>
            <w:r>
              <w:rPr>
                <w:rFonts w:hint="eastAsia" w:ascii="宋体" w:hAnsi="宋体" w:eastAsia="宋体" w:cs="宋体"/>
                <w:color w:val="auto"/>
                <w:kern w:val="0"/>
                <w:sz w:val="22"/>
                <w:highlight w:val="none"/>
                <w:lang w:bidi="ar"/>
              </w:rPr>
              <w:t xml:space="preserve"> 宽：260</w:t>
            </w:r>
            <w:r>
              <w:rPr>
                <w:rFonts w:hint="eastAsia" w:ascii="宋体" w:hAnsi="宋体" w:eastAsia="宋体" w:cs="宋体"/>
                <w:color w:val="auto"/>
                <w:sz w:val="22"/>
                <w:highlight w:val="none"/>
              </w:rPr>
              <w:t>±10</w:t>
            </w:r>
            <w:r>
              <w:rPr>
                <w:rFonts w:hint="eastAsia" w:ascii="宋体" w:hAnsi="宋体" w:eastAsia="宋体" w:cs="宋体"/>
                <w:color w:val="auto"/>
                <w:kern w:val="0"/>
                <w:sz w:val="22"/>
                <w:highlight w:val="none"/>
                <w:lang w:bidi="ar"/>
              </w:rPr>
              <w:t xml:space="preserve"> 高：745</w:t>
            </w:r>
            <w:r>
              <w:rPr>
                <w:rFonts w:hint="eastAsia" w:ascii="宋体" w:hAnsi="宋体" w:eastAsia="宋体" w:cs="宋体"/>
                <w:color w:val="auto"/>
                <w:sz w:val="22"/>
                <w:highlight w:val="none"/>
              </w:rPr>
              <w:t>±10</w:t>
            </w:r>
            <w:r>
              <w:rPr>
                <w:rFonts w:hint="eastAsia" w:ascii="宋体" w:hAnsi="宋体" w:eastAsia="宋体" w:cs="宋体"/>
                <w:color w:val="auto"/>
                <w:kern w:val="0"/>
                <w:sz w:val="22"/>
                <w:highlight w:val="none"/>
                <w:lang w:bidi="ar"/>
              </w:rPr>
              <w:t xml:space="preserve"> （单位：mm）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13</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非机动车大数据服务器</w:t>
            </w:r>
          </w:p>
        </w:tc>
        <w:tc>
          <w:tcPr>
            <w:tcW w:w="7569" w:type="dxa"/>
            <w:vAlign w:val="center"/>
          </w:tcPr>
          <w:p>
            <w:pPr>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硬件规格</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CPU ：2颗16核 X86架构CPU</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内存：256GB DDR4</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硬盘：240G M.2*1（系统）+240G SSD*1 + 480G SSD*6 + 2T 7.2K SATA *4(RAID10) + RAID卡</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热插拔 支持</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RAID：硬盘组RAID10(2T*4)</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外部接口：OCP 万兆光口（2个）+ 千兆电口（2个）；USB4个；VGA1个；最大支持10个PCIE扩展，含2个专用</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机箱规格：2U 机架式服务器机箱</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电源模块：高效能800W铂金1+1 CRPS冗余电源</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散热模块：最大4个热插拔冗余风扇</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功耗模块：AC:200-240V 50Hz</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本服务器含：</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大数据组件：</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1、基于Hadoop的大数据基础平台，提供消息订阅Kafka、分布式文件系统HDFS、资源调度Yarn、NoSQL数据库HBase、全文检索ElasticSearch、内存计算框架Spark、流计算SparkStreaming、分布式协调Zookeeper、工作流Oozie、流计算Flink、列式存储系统Kudu、数据仓库Hive、交互式引擎Impala、文件存储MongoDB、内存数据库Redis、图数据库等基础组件；</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★2、一站式大数据运维管理平台，具备自动安装部署、集群管理、服务管理、告警管理、系统监控、日志管理、备份管理、审计管理、租户管理、用户管理、系统配置等运维管理功能；</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3、精细化监控：支持面向分布式服务的监控告警，提供高可靠、安全、易用的集群监控能力，集采集、存储、展示、分析于一体，支持大规模集群的节点、服务监控和告警；</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4、元数据中心：支持统一元数据管理、数据接入与数据处理结果被元数据中心统一管理，并由元数据中心统一维护数据血缘；</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5、鉴权中心：平台集中鉴权管理服务，通过鉴权中心记录的租户相关信息分割集群资源，防止资源的过度占用。用户可以按需使用租户中资源，同时对资源进行权限管理分配，提高数据安全性；</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6、多租户资源隔离：基于容器化技术服务部署，支持同一服务多实例部署，提升异构环境的资源利用率，提升多组织共享存储计算资源场景下的数据安全性，有效解决集群异构硬件环境的混合部署或升级；</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7、支持Kerberos身份验证，全栈技术组件支持Kerberos安全认证。系统支持提供安全模式和普通模式两种服务；</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8、大数据集群支持横向扩展，可同时扩展计算量和存储量，集群支持在线扩容、减容；</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9、 可视化的服务组件控制，服务启/停、平滑升级，支持升级失败服务回滚；</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10、 数据存储支持多副本写入，至少包含3个副本，具有分布式容错机制，支持自动副本重建；</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11、支持HA（HighAvailability）高可用；NameNode、ResourcesManager、HMaster等系统核心组件均支持HA部署，保障系统可靠性；</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12、具备应对极端环境保持高可用性，在异常断网、断电状况造成系统关机的，在数据块未损坏的情况下，系统具备自动恢复脚本。</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感知数据支撑组件：</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1、内存管理：基于Arrow格式组织数据的、独立的、基于内存的分布式缓存引擎系统，支持从Kafka、HBase中拉取数据并以表的形式存储于内存中，可通过Spark加载内存数据进行计算和分析，方便上层计算引擎快速加载数据，提高分析效率；</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2、多维预统计：支持数据多维预统计能力，支持历史数据创建立方，支持实时数据创建立方，支持通过SQL查询，支持缓存查询；</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 xml:space="preserve">3、表管理：支持通过SQL及图形化界面快速建表、建库，支持表元信息管理、数据生命周期管理、支持表空间监控、数据分布监控，支持数据增长自适应存储； </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4、数据流水线模块：支持通过SQL等配置数据采集流水线服务，构建消费数据入库、创建数据索引、创建数据立方的实时服务，支持配置多条数据流水；</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5、OLAP引擎：支持SQL查询和多维查询，支持ANSI-SQL2003标准，SQL覆盖的综合查询场景包括全文检索（全索引、半索引）、精确查询、模糊查询、多维预统计查询；</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6、弹性调度框架：支持对计算任务逻辑计划进行资源预估，对实时计算资源进行监控，按照特定决策规则实现计算任务弹性调度，保障计算任务的高可用，防止计算集群崩溃。</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7、集成人脸算法模型比对库，为上层应用提供能力支撑：集成人体算法模型比对库，为上层应用提供能力支撑：集成车辆算法模型比对库，为上层应用提供能力支撑：</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深度优化组件：</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Hadoop(HDFS)：深度优化具有可靠性高、高扩展性、高容错性、通用硬件、读写吞吐量高等特点。</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Hbase：深度优化具有高可靠性、高性能、面向列族、可水平扩展、KV系统、高效主键查询、高效连续读取等特点。</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Zookeeper：深度优化为分布式应用提供高效且可靠的协调服务，将复杂且容易出错的分布式一致性服务封装起来。</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Kafka：深度优化具有可扩展、高性能、吞吐量高、延时低，高可靠等特点。</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Spark：深度优化具有可扩展、高性能、支持复杂业务处理，适用大规模、低延时数据分析等特点。</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ES：深度优化具有可扩展，分布式，大量数据时可以快速检索等特点。</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自主开发组件：</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UDE：分布式OLAP系统，支持主键亚秒级点查，秒级综合检索、多维统计，以及范围扫描计算多种应用场景。</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JobScheduler：所有服务统一使用该服务进行资源调度</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DataCollector:采取配置文件控制数据入库，简化开发，方便用户快速实现自己业务</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DataTable：简化表信息的操作和维护，实现对外的统一管理和展示</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Shepherd：打通各个组件之间的存储表执行权限的关系，同时可以在各个用户切换不同租户时不需要做其他额外的操作，就可以直接使用不同租户下的资源</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Alces：多维预统计分析，减少计算的资源和资源消耗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14</w:t>
            </w:r>
          </w:p>
        </w:tc>
        <w:tc>
          <w:tcPr>
            <w:tcW w:w="1541"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光纤接入ONU</w:t>
            </w:r>
          </w:p>
        </w:tc>
        <w:tc>
          <w:tcPr>
            <w:tcW w:w="7569" w:type="dxa"/>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4 口全千兆 Gpon ONU，支持 OMCI、TR069协议。</w:t>
            </w:r>
          </w:p>
        </w:tc>
      </w:tr>
    </w:tbl>
    <w:p>
      <w:pPr>
        <w:pStyle w:val="7"/>
        <w:numPr>
          <w:ilvl w:val="1"/>
          <w:numId w:val="0"/>
        </w:numPr>
        <w:rPr>
          <w:rFonts w:hint="eastAsia" w:ascii="宋体" w:hAnsi="宋体" w:eastAsia="宋体" w:cs="宋体"/>
          <w:color w:val="auto"/>
          <w:sz w:val="22"/>
          <w:szCs w:val="22"/>
          <w:highlight w:val="none"/>
        </w:rPr>
      </w:pPr>
      <w:bookmarkStart w:id="297" w:name="_Toc119685698"/>
      <w:r>
        <w:rPr>
          <w:rFonts w:hint="eastAsia" w:ascii="宋体" w:hAnsi="宋体" w:eastAsia="宋体" w:cs="宋体"/>
          <w:color w:val="auto"/>
          <w:sz w:val="22"/>
          <w:szCs w:val="22"/>
          <w:highlight w:val="none"/>
        </w:rPr>
        <w:t>4.2软件</w:t>
      </w:r>
      <w:bookmarkEnd w:id="297"/>
      <w:r>
        <w:rPr>
          <w:rFonts w:hint="eastAsia" w:ascii="宋体" w:hAnsi="宋体" w:eastAsia="宋体" w:cs="宋体"/>
          <w:color w:val="auto"/>
          <w:sz w:val="22"/>
          <w:szCs w:val="22"/>
          <w:highlight w:val="none"/>
        </w:rPr>
        <w:t>模块要求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31"/>
        <w:gridCol w:w="1221"/>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3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系统名称</w:t>
            </w: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主要功能</w:t>
            </w:r>
          </w:p>
        </w:tc>
        <w:tc>
          <w:tcPr>
            <w:tcW w:w="668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31" w:type="dxa"/>
            <w:vMerge w:val="restart"/>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电动自行车违法管理系统开发</w:t>
            </w:r>
          </w:p>
        </w:tc>
        <w:tc>
          <w:tcPr>
            <w:tcW w:w="1221" w:type="dxa"/>
            <w:vAlign w:val="center"/>
          </w:tcPr>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系统架构升级</w:t>
            </w:r>
          </w:p>
        </w:tc>
        <w:tc>
          <w:tcPr>
            <w:tcW w:w="6681" w:type="dxa"/>
            <w:vAlign w:val="center"/>
          </w:tcPr>
          <w:p>
            <w:pPr>
              <w:numPr>
                <w:ilvl w:val="0"/>
                <w:numId w:val="37"/>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基于GA/T 1400-2017《公安视频图像信息应用系统》协议基础和交警城道数据协议接口进行数据接入扩展，在现有视频专网到公安内网的跨网数据摆渡通道上增加电动自行车数据类型，定义新的数据传输接口。</w:t>
            </w:r>
          </w:p>
          <w:p>
            <w:pPr>
              <w:numPr>
                <w:ilvl w:val="0"/>
                <w:numId w:val="37"/>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支持电动自行车过车抓拍、违法抓拍分类传输。</w:t>
            </w:r>
          </w:p>
          <w:p>
            <w:pPr>
              <w:numPr>
                <w:ilvl w:val="0"/>
                <w:numId w:val="37"/>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支持实现各厂家、多来源、多类型电动自行车数据的整合接入，同时兼容其他各类主题数据接入。</w:t>
            </w:r>
          </w:p>
          <w:p>
            <w:pPr>
              <w:numPr>
                <w:ilvl w:val="0"/>
                <w:numId w:val="37"/>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支持汇聚接收温州全市电动自行车过车和违法相关的人脸数据、车牌数据、车辆库数据，提供全市交警部门电动自行车管理业务的统一门户。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应用系统对接</w:t>
            </w:r>
          </w:p>
        </w:tc>
        <w:tc>
          <w:tcPr>
            <w:tcW w:w="6681" w:type="dxa"/>
            <w:vAlign w:val="center"/>
          </w:tcPr>
          <w:p>
            <w:pPr>
              <w:numPr>
                <w:ilvl w:val="0"/>
                <w:numId w:val="38"/>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对接温州市公安局人脸比对系统的接口，推送人脸数据至常住人口库进行人脸比对分析，获取电动自行车违法者的身份信息。</w:t>
            </w:r>
          </w:p>
          <w:p>
            <w:pPr>
              <w:numPr>
                <w:ilvl w:val="0"/>
                <w:numId w:val="38"/>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支持外卖人员名单库管理，通过身份信息调用外卖人员库，确认违法者是否为外卖人员并获取其联系方式。</w:t>
            </w:r>
          </w:p>
          <w:p>
            <w:pPr>
              <w:numPr>
                <w:ilvl w:val="0"/>
                <w:numId w:val="38"/>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车辆数据对接电动自行车备案库，获取违法车辆的相关信息。</w:t>
            </w:r>
          </w:p>
          <w:p>
            <w:pPr>
              <w:numPr>
                <w:ilvl w:val="0"/>
                <w:numId w:val="38"/>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对接温州交警大数据平台，共享电动自行车业务数据，为相关**大数据实战应用提供数据支撑。</w:t>
            </w:r>
          </w:p>
          <w:p>
            <w:pPr>
              <w:numPr>
                <w:ilvl w:val="0"/>
                <w:numId w:val="38"/>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对接短信告知系统，实现电动自行车违法数据短信推送。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过车查询</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支持正常过车查询功能，支持按时间、按地点、按抓拍类型、按车牌号码查询过车数据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违法查询</w:t>
            </w:r>
          </w:p>
        </w:tc>
        <w:tc>
          <w:tcPr>
            <w:tcW w:w="6681" w:type="dxa"/>
            <w:vAlign w:val="center"/>
          </w:tcPr>
          <w:p>
            <w:pPr>
              <w:numPr>
                <w:ilvl w:val="0"/>
                <w:numId w:val="39"/>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系统支持违法查询功能，支持按违法时间、违法地点、审核状态、抓拍类型、车牌号码、姓名、证件号码、最小相似度、违法类型等条件查询电动自行车的违法数据，支持全部导出、选中导出违法数据。</w:t>
            </w:r>
          </w:p>
          <w:p>
            <w:pPr>
              <w:numPr>
                <w:ilvl w:val="0"/>
                <w:numId w:val="39"/>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支持按照人脸比对相似度阈值过滤电动自行车数据，其中相似度阈值可配置。</w:t>
            </w:r>
          </w:p>
          <w:p>
            <w:pPr>
              <w:numPr>
                <w:ilvl w:val="0"/>
                <w:numId w:val="39"/>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支持按照时间维度过滤抽取电动自行车数据，支持时间维度之外的数据进行批量作废。</w:t>
            </w:r>
          </w:p>
          <w:p>
            <w:pPr>
              <w:numPr>
                <w:ilvl w:val="0"/>
                <w:numId w:val="39"/>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支持电动车过车数据和违法数据分别上传，查询。正面数据比对支持人脸比对后留存被查。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违法审核</w:t>
            </w:r>
          </w:p>
        </w:tc>
        <w:tc>
          <w:tcPr>
            <w:tcW w:w="6681" w:type="dxa"/>
            <w:vAlign w:val="center"/>
          </w:tcPr>
          <w:p>
            <w:pPr>
              <w:numPr>
                <w:ilvl w:val="0"/>
                <w:numId w:val="40"/>
              </w:numPr>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sz w:val="22"/>
                <w:szCs w:val="22"/>
                <w:highlight w:val="none"/>
              </w:rPr>
              <w:t>支持对电动自行车违法数据进行自动审核与人工审核:自动审核支持启用或禁用功能，并支持预设人脸比对相似度阈值，系统根据预设的人脸比对相似度阈值进行自动审核；人工审核支持“人工审核”电动自行车违法数据，并支持“批量作废”。（</w:t>
            </w:r>
            <w:r>
              <w:rPr>
                <w:rFonts w:hint="eastAsia" w:ascii="宋体" w:hAnsi="宋体" w:eastAsia="宋体" w:cs="宋体"/>
                <w:b/>
                <w:bCs/>
                <w:color w:val="auto"/>
                <w:sz w:val="22"/>
                <w:szCs w:val="22"/>
                <w:highlight w:val="none"/>
              </w:rPr>
              <w:t>商务和技术文件中提供经国家认可检测机构出具的合格检测报告，否则视为负偏离）</w:t>
            </w:r>
          </w:p>
          <w:p>
            <w:pPr>
              <w:numPr>
                <w:ilvl w:val="0"/>
                <w:numId w:val="40"/>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电动自行车违法审核支持添加温州（黄牌）、温州（绿牌）选择项，适配温州本地电动自行车号牌。</w:t>
            </w:r>
          </w:p>
          <w:p>
            <w:pPr>
              <w:numPr>
                <w:ilvl w:val="0"/>
                <w:numId w:val="40"/>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审核过程中，确认违法时，校验车牌号码，若为温州（黄牌），后面车牌号需要7位，若为温州（绿牌），后面需要XX（英文，比如DT/LC/OU/LW）+6位数字；校验成功才算初审成功，否则提醒车牌号不符合规则，请核验；车牌更正之后，无法匹配车主信息，作废该数据。</w:t>
            </w:r>
          </w:p>
          <w:p>
            <w:pPr>
              <w:numPr>
                <w:ilvl w:val="0"/>
                <w:numId w:val="40"/>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违章数据初审之后，调用人员档案接口，利用身份证匹配相关人员手机号，调用短信平台接口，发送违章提醒短信。</w:t>
            </w:r>
          </w:p>
          <w:p>
            <w:pPr>
              <w:numPr>
                <w:ilvl w:val="0"/>
                <w:numId w:val="40"/>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支持初审数据不被循环覆盖，保证初审数据长期有效性。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违法复审</w:t>
            </w:r>
          </w:p>
        </w:tc>
        <w:tc>
          <w:tcPr>
            <w:tcW w:w="6681" w:type="dxa"/>
            <w:vAlign w:val="center"/>
          </w:tcPr>
          <w:p>
            <w:pPr>
              <w:numPr>
                <w:ilvl w:val="0"/>
                <w:numId w:val="41"/>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系统支持对电动自行车违法数据进行复审，系统默认筛选“初审通过”的违法数据。</w:t>
            </w:r>
          </w:p>
          <w:p>
            <w:pPr>
              <w:numPr>
                <w:ilvl w:val="0"/>
                <w:numId w:val="41"/>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系统可通过抓拍类型选择“人脸抓拍”、“车牌抓拍”或“人脸+车牌”进行分类复审；同时支持“批量作废”功能。</w:t>
            </w:r>
          </w:p>
          <w:p>
            <w:pPr>
              <w:numPr>
                <w:ilvl w:val="0"/>
                <w:numId w:val="41"/>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电动自行车违法复审支持添加温州（黄牌）、温州（绿牌）选择项，适配温州本地电动自行车号牌。</w:t>
            </w:r>
          </w:p>
          <w:p>
            <w:pPr>
              <w:numPr>
                <w:ilvl w:val="0"/>
                <w:numId w:val="41"/>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支持复审数据不被循环覆盖，保证复审数据长期有效性。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车辆档案</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支持车辆档案管理功能，支持通过车牌号码、姓名、证件号码、所属企业查询车辆档案信息，同时支持档案信息编辑。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统计分析</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平台支持对电动自行车违法数据按违法地点、按人员、按违法类型、 按区域、按车牌、按企业多个维度进行统计分析。并支持全部导出、选中导出统计结果，从而为电动自行车违法专项整治活动、精准勤务提供数据支撑。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数据监测</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对电动自行车违法数据进行实时监测，并通过图表进行直观展示。数据监测界面可展示电动自行车本月/本年违法次数、违法路口排行TOP5及违法次数、电动自行车本月/本年违法率变化趋势、电动自行车违法率本月/本年排行榜、区域本月/本年违法数量、违法类型本月/本年TOP5、人员/车辆违法数量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行人闯红灯模块</w:t>
            </w:r>
          </w:p>
        </w:tc>
        <w:tc>
          <w:tcPr>
            <w:tcW w:w="6681" w:type="dxa"/>
          </w:tcPr>
          <w:p>
            <w:pPr>
              <w:numPr>
                <w:ilvl w:val="0"/>
                <w:numId w:val="42"/>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支持接入现有已建行人闯红灯抓拍系统的数据，支持调用公安人脸比对系统实现人员身份信息识别。</w:t>
            </w:r>
          </w:p>
          <w:p>
            <w:pPr>
              <w:numPr>
                <w:ilvl w:val="0"/>
                <w:numId w:val="42"/>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支持按违法地点、违法时间、违法人姓名、违法人证件号码、审核状态等条件查询行人闯红灯违法数据，并支持全部导出、选中导出查询结果。</w:t>
            </w:r>
          </w:p>
          <w:p>
            <w:pPr>
              <w:numPr>
                <w:ilvl w:val="0"/>
                <w:numId w:val="42"/>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对行人闯红灯违法数据进行自动审核与人工审核。自动审核：支持启用和禁用自动审核功能，并支持预设人脸相似度阈值，系统根据预设的人脸相似度阈值进行自动审核。人工审核：支持人工审核行人闯红灯违法数据。</w:t>
            </w:r>
          </w:p>
          <w:p>
            <w:pPr>
              <w:numPr>
                <w:ilvl w:val="0"/>
                <w:numId w:val="42"/>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按人员、按路口、按组织统计行人闯红灯违法次数与统计结果导出，并支持统计每个路口在设定时间内的行人次数、闯红灯次数、闯红灯违法率，以及统计结果导出，从而为行人闯红灯违法专项整治行动、精准勤务提供数据支撑。</w:t>
            </w:r>
          </w:p>
          <w:p>
            <w:pPr>
              <w:numPr>
                <w:ilvl w:val="0"/>
                <w:numId w:val="42"/>
              </w:numPr>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sz w:val="22"/>
                <w:szCs w:val="22"/>
                <w:highlight w:val="none"/>
              </w:rPr>
              <w:t>支持对行人闯红灯违法数据进行实时监测与展示，包括今日违法数、今日/近7天/近30天各路口闯红灯数排行TOP5、今日各时段闯红灯总数排行TOP5、本月/本年个人闯红灯次数排行TOP5、本月/本年各路口闯红灯率排行TOP5，从而为行人闯红灯违法专项整治行动、精准勤务提供大数据辅助决策；并实时监测与展示本月、本年闯红灯数变化趋势，以展示行人闯红灯违法管控工作所取得的成果。</w:t>
            </w:r>
            <w:r>
              <w:rPr>
                <w:rFonts w:hint="eastAsia" w:ascii="宋体" w:hAnsi="宋体" w:eastAsia="宋体" w:cs="宋体"/>
                <w:b/>
                <w:bCs/>
                <w:color w:val="auto"/>
                <w:sz w:val="22"/>
                <w:szCs w:val="22"/>
                <w:highlight w:val="none"/>
              </w:rPr>
              <w:t>（商务和技术文件中提供经国家认可检测机构出具的合格检测报告，否则视为负偏离）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信息发送</w:t>
            </w:r>
          </w:p>
        </w:tc>
        <w:tc>
          <w:tcPr>
            <w:tcW w:w="6681" w:type="dxa"/>
            <w:vAlign w:val="center"/>
          </w:tcPr>
          <w:p>
            <w:pPr>
              <w:numPr>
                <w:ilvl w:val="0"/>
                <w:numId w:val="43"/>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支持对接全省外卖人员库实现外卖人员电动自行车违法信息的短信发送。</w:t>
            </w:r>
          </w:p>
          <w:p>
            <w:pPr>
              <w:numPr>
                <w:ilvl w:val="0"/>
                <w:numId w:val="43"/>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支持对接温州公安常住人口库实现电动自行车违法人员信息获取，通过所在居委会进行定向通告。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31" w:type="dxa"/>
            <w:vMerge w:val="restart"/>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微信安全记分管理</w:t>
            </w: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积分获取管理</w:t>
            </w:r>
          </w:p>
        </w:tc>
        <w:tc>
          <w:tcPr>
            <w:tcW w:w="6681" w:type="dxa"/>
            <w:vAlign w:val="center"/>
          </w:tcPr>
          <w:p>
            <w:pPr>
              <w:numPr>
                <w:ilvl w:val="0"/>
                <w:numId w:val="44"/>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通过志愿者进行申请站岗打卡，志愿者通过完成站岗任务，得到交警大队审核后，获取相应的任务积分。</w:t>
            </w:r>
          </w:p>
          <w:p>
            <w:pPr>
              <w:numPr>
                <w:ilvl w:val="0"/>
                <w:numId w:val="44"/>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在交警微发布平台新增志愿者身份属性，志愿者可通过转发文章获得积分。</w:t>
            </w:r>
          </w:p>
          <w:p>
            <w:pPr>
              <w:numPr>
                <w:ilvl w:val="0"/>
                <w:numId w:val="44"/>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在微信平台我要举报系统中新增志愿者身份，举报成功后，增加交通文明分。</w:t>
            </w:r>
          </w:p>
          <w:p>
            <w:pPr>
              <w:numPr>
                <w:ilvl w:val="0"/>
                <w:numId w:val="44"/>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对温州交警微信平台其他应用模块进行升级，植入积分获取规则。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积分记录管理</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后台管理员可查看每个用户的加分纪录；支持多个查询条件搜索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积分排行榜</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在微信平台展示积分排行榜；可支持月度、季度、年度排行；将积分与用户五色码关联，对于显示积分排行列表前几名用户置为金码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勋章获取管理</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开发勋章获取模型，可配置勋章获取规则；系统可根据管理员配置的模型自动给用户生成勋章。如针对表现良好用户进行小程序勋章奖励：</w:t>
            </w:r>
          </w:p>
          <w:p>
            <w:pPr>
              <w:numPr>
                <w:ilvl w:val="0"/>
                <w:numId w:val="45"/>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坚持不违反用户授予勋章</w:t>
            </w:r>
          </w:p>
          <w:p>
            <w:pPr>
              <w:numPr>
                <w:ilvl w:val="0"/>
                <w:numId w:val="45"/>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交通安全积分到达指定分数授予勋章</w:t>
            </w:r>
          </w:p>
          <w:p>
            <w:pPr>
              <w:numPr>
                <w:ilvl w:val="0"/>
                <w:numId w:val="45"/>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违法举报达到xx次授予勋章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用户勋章展示</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温州交警微信小程序端获取个人鉴权后读取个人相关数据，展示个人所获勋章和勋章获得的明细记录。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勋章规则展示</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对系统的勋章进行评级规则说明，勋章获得途径说明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安全码生成</w:t>
            </w:r>
          </w:p>
        </w:tc>
        <w:tc>
          <w:tcPr>
            <w:tcW w:w="6681" w:type="dxa"/>
            <w:vAlign w:val="center"/>
          </w:tcPr>
          <w:p>
            <w:pPr>
              <w:numPr>
                <w:ilvl w:val="0"/>
                <w:numId w:val="46"/>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创建安全码生成模型，管理员可在后台配置五色安全码的各色分值规则，包括各色安全码的分值标准，各个颜色最低分值等规则；对动态码进行分级，分为黑、红、黄、绿、金5个颜色，黑码为终身禁驾人员。</w:t>
            </w:r>
          </w:p>
          <w:p>
            <w:pPr>
              <w:numPr>
                <w:ilvl w:val="0"/>
                <w:numId w:val="46"/>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通过对接六合一违法接口，查询用户的交通违法信息，分析用户交通违法的类型，与五色安全码生成模型进行匹配，自动给用户进行安全码定级；涉及多个六合一接口对接与分析。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安全码变码管理</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与微信平台的志愿者站岗打卡系统做对接，通过路面站岗打卡进行安全码降级操作（如红码变绿码）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安全码用户管理</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管理员可查看所有五色安全码用户清单，可对用户色码进行修改；可对用户进行拉黑操作；可查看每个用户的积分明细信息，可对具体某条积分进行撤回操作；可对某个用户进行积分添加修改操作。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志愿者管理</w:t>
            </w:r>
          </w:p>
        </w:tc>
        <w:tc>
          <w:tcPr>
            <w:tcW w:w="6681" w:type="dxa"/>
            <w:vAlign w:val="center"/>
          </w:tcPr>
          <w:p>
            <w:pPr>
              <w:numPr>
                <w:ilvl w:val="0"/>
                <w:numId w:val="47"/>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微信用户可在微信端进行志愿者申请；在微信端设置志愿者角色，志愿者可通过接收与完成微信平台的相关任务，来获取相应的平台积分；积分可用于五色码的降级变色。</w:t>
            </w:r>
          </w:p>
          <w:p>
            <w:pPr>
              <w:numPr>
                <w:ilvl w:val="0"/>
                <w:numId w:val="47"/>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管理员可对志愿者申请进行审核通过或驳回。</w:t>
            </w:r>
          </w:p>
          <w:p>
            <w:pPr>
              <w:numPr>
                <w:ilvl w:val="0"/>
                <w:numId w:val="47"/>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新增志愿者身份的任务分配；后台管理员可向指定志愿者发布任务。</w:t>
            </w:r>
          </w:p>
          <w:p>
            <w:pPr>
              <w:numPr>
                <w:ilvl w:val="0"/>
                <w:numId w:val="47"/>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根据交通违法类型进行赋分管理，对各种违法行为代码进行赋分操作，分机动车与非机动车；当用户有交通违法行为时，自动根据该赋分对用户的积分与五色码进行更新。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vAlign w:val="center"/>
          </w:tcPr>
          <w:p>
            <w:pPr>
              <w:jc w:val="center"/>
              <w:rPr>
                <w:rFonts w:hint="eastAsia" w:ascii="宋体" w:hAnsi="宋体" w:eastAsia="宋体" w:cs="宋体"/>
                <w:color w:val="auto"/>
                <w:sz w:val="22"/>
                <w:szCs w:val="22"/>
                <w:highlight w:val="none"/>
              </w:rPr>
            </w:pPr>
          </w:p>
        </w:tc>
        <w:tc>
          <w:tcPr>
            <w:tcW w:w="1131" w:type="dxa"/>
            <w:vMerge w:val="continue"/>
            <w:vAlign w:val="center"/>
          </w:tcPr>
          <w:p>
            <w:pPr>
              <w:jc w:val="center"/>
              <w:rPr>
                <w:rFonts w:hint="eastAsia" w:ascii="宋体" w:hAnsi="宋体" w:eastAsia="宋体" w:cs="宋体"/>
                <w:color w:val="auto"/>
                <w:sz w:val="22"/>
                <w:szCs w:val="22"/>
                <w:highlight w:val="none"/>
              </w:rPr>
            </w:pPr>
          </w:p>
        </w:tc>
        <w:tc>
          <w:tcPr>
            <w:tcW w:w="1221"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协警通对接</w:t>
            </w:r>
          </w:p>
        </w:tc>
        <w:tc>
          <w:tcPr>
            <w:tcW w:w="6681"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协警通可通过车主身份证查询到安全码颜色</w:t>
            </w:r>
          </w:p>
        </w:tc>
      </w:tr>
    </w:tbl>
    <w:p>
      <w:pPr>
        <w:pStyle w:val="88"/>
        <w:spacing w:line="3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4.3配套实施要求</w:t>
      </w:r>
    </w:p>
    <w:tbl>
      <w:tblPr>
        <w:tblStyle w:val="3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777"/>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gridSpan w:val="3"/>
            <w:shd w:val="clear" w:color="auto" w:fill="auto"/>
            <w:vAlign w:val="center"/>
          </w:tcPr>
          <w:p>
            <w:pPr>
              <w:widowControl/>
              <w:jc w:val="center"/>
              <w:textAlignment w:val="center"/>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一、硬件杆件部分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1" w:type="dxa"/>
            <w:shd w:val="clear" w:color="auto" w:fill="auto"/>
            <w:vAlign w:val="center"/>
          </w:tcPr>
          <w:p>
            <w:pPr>
              <w:widowControl/>
              <w:jc w:val="center"/>
              <w:textAlignment w:val="center"/>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序号</w:t>
            </w:r>
          </w:p>
        </w:tc>
        <w:tc>
          <w:tcPr>
            <w:tcW w:w="1777" w:type="dxa"/>
            <w:shd w:val="clear" w:color="auto" w:fill="auto"/>
            <w:vAlign w:val="center"/>
          </w:tcPr>
          <w:p>
            <w:pPr>
              <w:widowControl/>
              <w:jc w:val="center"/>
              <w:textAlignment w:val="center"/>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产品</w:t>
            </w:r>
          </w:p>
        </w:tc>
        <w:tc>
          <w:tcPr>
            <w:tcW w:w="6680" w:type="dxa"/>
            <w:shd w:val="clear" w:color="auto" w:fill="auto"/>
            <w:vAlign w:val="center"/>
          </w:tcPr>
          <w:p>
            <w:pPr>
              <w:widowControl/>
              <w:jc w:val="center"/>
              <w:textAlignment w:val="center"/>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1" w:type="dxa"/>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p>
        </w:tc>
        <w:tc>
          <w:tcPr>
            <w:tcW w:w="1777"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固定电警杆件1（定制）</w:t>
            </w:r>
          </w:p>
        </w:tc>
        <w:tc>
          <w:tcPr>
            <w:tcW w:w="6680"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1、根据部位与要求选择摄像机安装方式。立杆规格如下：材质:优质Q235/Q345钢材；8角杆 立杆管径：上口径≥280MM，下口径≥340MM；立杆壁厚8mm；高度：≥6500MM；挑臂壁厚6MM，挑壁7-10M。有较高强度抗台风、防摄像机抖动、防攀爬、防腐性能，安装好后，整体强度能防御12级以上台风、8级以上地震。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1" w:type="dxa"/>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2</w:t>
            </w:r>
          </w:p>
        </w:tc>
        <w:tc>
          <w:tcPr>
            <w:tcW w:w="1777"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固定电警杆件2（定制）</w:t>
            </w:r>
          </w:p>
        </w:tc>
        <w:tc>
          <w:tcPr>
            <w:tcW w:w="6680"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1、根据部位与要求选择摄像机安装方式。立杆规格如下：材质:优质Q235/Q345钢材；8角杆 立杆管径：上口径≥300MM，下口径≥360MM；立杆壁厚8mm；高度：≥6500MM；挑臂壁厚6MM+5MM，挑壁11-14M。有较高强度抗台风、防摄像机抖动、防攀爬、防腐性能，安装好后，整体强度能防御12级以上台风、8级以上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1" w:type="dxa"/>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3</w:t>
            </w:r>
          </w:p>
        </w:tc>
        <w:tc>
          <w:tcPr>
            <w:tcW w:w="1777"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非机动车杆件（定制）</w:t>
            </w:r>
          </w:p>
        </w:tc>
        <w:tc>
          <w:tcPr>
            <w:tcW w:w="6680"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立杆规格如下：材质：优质Q235/Q345钢材；8角杆 立杆管径：上口径≥210MM，下口径≥280MM；立杆壁厚6mm；高度：≥6500MM；挑臂壁厚≥5MM，挑壁3-5M。有较高强度抗台风、防摄像机抖动、防攀爬、防腐性能，安装好后，整体强度能防御12级以上台风、8级以上地震。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1" w:type="dxa"/>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4</w:t>
            </w:r>
          </w:p>
        </w:tc>
        <w:tc>
          <w:tcPr>
            <w:tcW w:w="1777"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挑臂支架（定制）</w:t>
            </w:r>
          </w:p>
        </w:tc>
        <w:tc>
          <w:tcPr>
            <w:tcW w:w="6680"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根据实际情况借杆并增加挑臂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gridSpan w:val="3"/>
            <w:shd w:val="clear" w:color="auto" w:fill="auto"/>
            <w:vAlign w:val="center"/>
          </w:tcPr>
          <w:p>
            <w:pPr>
              <w:widowControl/>
              <w:jc w:val="center"/>
              <w:textAlignment w:val="center"/>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二、开挖管道部分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1" w:type="dxa"/>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p>
        </w:tc>
        <w:tc>
          <w:tcPr>
            <w:tcW w:w="1777"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固定电警地下钻孔敷设</w:t>
            </w:r>
          </w:p>
        </w:tc>
        <w:tc>
          <w:tcPr>
            <w:tcW w:w="6680"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完成1个方向的地下钻孔管道敷设费用（包含所需的人行道开挖、绿化带开挖、顶管、PE管、2孔手工井，孔径：Φ110等）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1" w:type="dxa"/>
            <w:shd w:val="clear" w:color="auto" w:fill="auto"/>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2</w:t>
            </w:r>
          </w:p>
        </w:tc>
        <w:tc>
          <w:tcPr>
            <w:tcW w:w="1777"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非机动车管控系统地下钻孔敷设</w:t>
            </w:r>
          </w:p>
        </w:tc>
        <w:tc>
          <w:tcPr>
            <w:tcW w:w="6680"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完成1个方向的地下钻孔管道敷设费用（包含所需的人行道开挖、绿化带开挖、顶管、PE管、2孔手工井，孔径：Φ110等）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78" w:type="dxa"/>
            <w:gridSpan w:val="3"/>
            <w:shd w:val="clear" w:color="auto" w:fill="auto"/>
            <w:vAlign w:val="center"/>
          </w:tcPr>
          <w:p>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b/>
                <w:bCs/>
                <w:color w:val="auto"/>
                <w:kern w:val="0"/>
                <w:sz w:val="22"/>
                <w:highlight w:val="none"/>
                <w:lang w:bidi="ar"/>
              </w:rPr>
              <w:t>三、配套服务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1" w:type="dxa"/>
            <w:shd w:val="clear" w:color="auto" w:fill="auto"/>
            <w:vAlign w:val="center"/>
          </w:tcPr>
          <w:p>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1</w:t>
            </w:r>
          </w:p>
        </w:tc>
        <w:tc>
          <w:tcPr>
            <w:tcW w:w="1777" w:type="dxa"/>
            <w:shd w:val="clear" w:color="auto" w:fill="auto"/>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光纤链路服务</w:t>
            </w:r>
          </w:p>
        </w:tc>
        <w:tc>
          <w:tcPr>
            <w:tcW w:w="6680" w:type="dxa"/>
            <w:shd w:val="clear" w:color="auto" w:fill="auto"/>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视频专网链路，带宽不低于200M，服务期3个月。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1" w:type="dxa"/>
            <w:shd w:val="clear" w:color="auto" w:fill="auto"/>
            <w:vAlign w:val="center"/>
          </w:tcPr>
          <w:p>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2</w:t>
            </w:r>
          </w:p>
        </w:tc>
        <w:tc>
          <w:tcPr>
            <w:tcW w:w="1777" w:type="dxa"/>
            <w:shd w:val="clear" w:color="auto" w:fill="auto"/>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设备运行能耗服务</w:t>
            </w:r>
          </w:p>
        </w:tc>
        <w:tc>
          <w:tcPr>
            <w:tcW w:w="6680" w:type="dxa"/>
            <w:shd w:val="clear" w:color="auto" w:fill="auto"/>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本项目固定电警、移动电警、非机动车抓拍设备、后端存储设备运行能耗电费，服务期3个月。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1" w:type="dxa"/>
            <w:shd w:val="clear" w:color="auto" w:fill="auto"/>
            <w:vAlign w:val="center"/>
          </w:tcPr>
          <w:p>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3</w:t>
            </w:r>
          </w:p>
        </w:tc>
        <w:tc>
          <w:tcPr>
            <w:tcW w:w="1777" w:type="dxa"/>
            <w:shd w:val="clear" w:color="auto" w:fill="auto"/>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安装集成调试服务</w:t>
            </w:r>
          </w:p>
        </w:tc>
        <w:tc>
          <w:tcPr>
            <w:tcW w:w="6680" w:type="dxa"/>
            <w:shd w:val="clear" w:color="auto" w:fill="auto"/>
            <w:vAlign w:val="center"/>
          </w:tcPr>
          <w:p>
            <w:pPr>
              <w:widowControl/>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立杆实施部分：含40个固定电警方向、40个非机动车抓拍方向的立杆基础的开挖、做模、浇筑、立杆吊装、路面平整、修补、回填、废土清运等工作及材料，线缆、线缆敷设，前端设备安装、调测（多个摄像机、补光灯、机箱、信号检测器、相关配件等），辅材、附件、工具、人工等的全部服务。</w:t>
            </w:r>
          </w:p>
          <w:p>
            <w:pPr>
              <w:pStyle w:val="2"/>
              <w:ind w:firstLine="0" w:firstLineChars="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借杆与挑壁安装：含20个固定电警借杆、36个移动电警借杆、20个非机动车管控系统借杆、20个非机动车管控系统挑壁借杆所涉及的挑臂支架安装，线缆、线缆敷设，前端设备安装、调测（摄像机、机箱等），辅材、附件、工具、人工等的全部服务。</w:t>
            </w:r>
          </w:p>
          <w:p>
            <w:pPr>
              <w:pStyle w:val="2"/>
              <w:ind w:firstLine="0" w:firstLineChars="0"/>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后端存储：包含服务器、后端存储等设备的上架与调试服务。</w:t>
            </w:r>
          </w:p>
        </w:tc>
      </w:tr>
    </w:tbl>
    <w:p>
      <w:pPr>
        <w:pStyle w:val="88"/>
        <w:spacing w:line="360" w:lineRule="exact"/>
        <w:ind w:left="0" w:firstLine="0" w:firstLineChars="0"/>
        <w:rPr>
          <w:rFonts w:hint="eastAsia" w:ascii="宋体" w:hAnsi="宋体" w:eastAsia="宋体" w:cs="宋体"/>
          <w:color w:val="auto"/>
          <w:sz w:val="22"/>
          <w:szCs w:val="22"/>
          <w:highlight w:val="none"/>
        </w:rPr>
      </w:pPr>
    </w:p>
    <w:p>
      <w:pPr>
        <w:pStyle w:val="88"/>
        <w:spacing w:line="360" w:lineRule="exact"/>
        <w:ind w:left="0" w:firstLine="0" w:firstLineChars="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5.项目实施要求</w:t>
      </w:r>
      <w:r>
        <w:rPr>
          <w:rFonts w:hint="eastAsia" w:ascii="宋体" w:hAnsi="宋体" w:eastAsia="宋体" w:cs="宋体"/>
          <w:bCs/>
          <w:color w:val="auto"/>
          <w:sz w:val="22"/>
          <w:szCs w:val="22"/>
          <w:highlight w:val="none"/>
        </w:rPr>
        <w:t xml:space="preserve"> </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要求供应商对本项目建设的前端抓拍机数量的10%进行第三方检测，项目正式验收时需提供第三方检测报告。</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要求供应商对本项目建设的软件系统完成第三方功能与性能检测，项目正式验收时需提供第三方检测报告。</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要求供应商对本项目建设的软件系统完成二级等保测评一次，项目正式验收时需提供等保测评报告。</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本项目建设的点位、清单配置、安装位置、取景图片、经纬度、施工复勘配合等工作，需由具有设计资质的第三方公司出具施工图纸与竣工图纸。</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本项目80套非机动车管控系统的场景划分仅为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初步规划，</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可根据项目实际实施情况进行场景调整，由此产生的额外实施成本（包括但不限于配套的设备、人工、辅材、对应的研发投入等）由投标人承担，</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不再另行支付费用。</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本项目抓拍单元产品需符合GAT832-2014-《道路交通安全违法行为图像取证技术规范》，保证在验收后可持续运维5年以上。</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供应商须安排有能力的项目组成员进行本次项目的开发建设。</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供应商应在项目实施前进场实地调研，编制详细的实施方案，并提交温州市公安局交通管理局认可。</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实施过程应严格执行相关的规范，并保证安全。</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供应商应根据温州市公安局交通管理局的需要，在规定的时间内，保证质量，完成系统升级。</w:t>
      </w:r>
    </w:p>
    <w:p>
      <w:pPr>
        <w:pStyle w:val="88"/>
        <w:numPr>
          <w:ilvl w:val="0"/>
          <w:numId w:val="48"/>
        </w:numPr>
        <w:spacing w:line="360" w:lineRule="exact"/>
        <w:ind w:lef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质量控制要求：供应商需要配备专职的质量管理人员，全过程跟踪和管理项目质量，提交完成的项目文档，确保进度计划的执行和质量控制。</w:t>
      </w:r>
    </w:p>
    <w:p>
      <w:pPr>
        <w:pStyle w:val="7"/>
        <w:numPr>
          <w:ilvl w:val="1"/>
          <w:numId w:val="0"/>
        </w:numPr>
        <w:spacing w:line="360" w:lineRule="exact"/>
        <w:rPr>
          <w:rFonts w:hint="eastAsia" w:ascii="宋体" w:hAnsi="宋体" w:eastAsia="宋体" w:cs="宋体"/>
          <w:color w:val="auto"/>
          <w:sz w:val="22"/>
          <w:szCs w:val="22"/>
          <w:highlight w:val="none"/>
        </w:rPr>
      </w:pPr>
      <w:bookmarkStart w:id="298" w:name="_Toc119685704"/>
      <w:r>
        <w:rPr>
          <w:rFonts w:hint="eastAsia" w:ascii="宋体" w:hAnsi="宋体" w:eastAsia="宋体" w:cs="宋体"/>
          <w:color w:val="auto"/>
          <w:sz w:val="22"/>
          <w:szCs w:val="22"/>
          <w:highlight w:val="none"/>
        </w:rPr>
        <w:t>6.技术力量与人员配置</w:t>
      </w:r>
      <w:bookmarkEnd w:id="298"/>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84"/>
        <w:gridCol w:w="4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4"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技术人员类型</w:t>
            </w:r>
          </w:p>
        </w:tc>
        <w:tc>
          <w:tcPr>
            <w:tcW w:w="2246"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4"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项目经理</w:t>
            </w:r>
          </w:p>
        </w:tc>
        <w:tc>
          <w:tcPr>
            <w:tcW w:w="2246"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4"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技术总监</w:t>
            </w:r>
          </w:p>
        </w:tc>
        <w:tc>
          <w:tcPr>
            <w:tcW w:w="2246"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4"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系统架构师</w:t>
            </w:r>
          </w:p>
        </w:tc>
        <w:tc>
          <w:tcPr>
            <w:tcW w:w="2246"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4"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前端开发人员</w:t>
            </w:r>
          </w:p>
        </w:tc>
        <w:tc>
          <w:tcPr>
            <w:tcW w:w="2246"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4"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后端开发人员</w:t>
            </w:r>
          </w:p>
        </w:tc>
        <w:tc>
          <w:tcPr>
            <w:tcW w:w="2246"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4"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施工调试人员</w:t>
            </w:r>
          </w:p>
        </w:tc>
        <w:tc>
          <w:tcPr>
            <w:tcW w:w="2246"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4"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安全员</w:t>
            </w:r>
          </w:p>
        </w:tc>
        <w:tc>
          <w:tcPr>
            <w:tcW w:w="2246" w:type="pct"/>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r>
    </w:tbl>
    <w:p>
      <w:pPr>
        <w:pStyle w:val="7"/>
        <w:numPr>
          <w:ilvl w:val="1"/>
          <w:numId w:val="0"/>
        </w:num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7.报价要求</w:t>
      </w:r>
    </w:p>
    <w:p>
      <w:pPr>
        <w:pStyle w:val="89"/>
        <w:numPr>
          <w:ilvl w:val="0"/>
          <w:numId w:val="49"/>
        </w:numPr>
        <w:spacing w:line="360" w:lineRule="exact"/>
        <w:ind w:left="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供应商应考虑企业自身实力、经验及项目实施过程中的各种因素，根据采购要求，详细说明所能提供的各项具体内容，自主确定报价，实行总价包干。</w:t>
      </w:r>
    </w:p>
    <w:p>
      <w:pPr>
        <w:pStyle w:val="89"/>
        <w:numPr>
          <w:ilvl w:val="0"/>
          <w:numId w:val="49"/>
        </w:numPr>
        <w:spacing w:line="360" w:lineRule="exact"/>
        <w:ind w:left="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投标人的报价应包括完成本项目全部供货及合同义务可能发生的全部费用，即货物的供货、包装、运输、装卸、安装调试、勘察设计费、管理费、质保期内软件升级、汇率风险、采购代理服务费、售后服务、材料税费、搬运费、税费（含税货物）以及完成合同所需的一切本身和不可或缺的所有工作开支、政策性文件规定，合同包含的所有风险、责任等相关各项其他可能产生的全部费用。实行固定费用总包干，投标人应根据上述因素自行考虑含入投标总价。 </w:t>
      </w:r>
    </w:p>
    <w:p>
      <w:pPr>
        <w:pStyle w:val="89"/>
        <w:numPr>
          <w:ilvl w:val="0"/>
          <w:numId w:val="49"/>
        </w:numPr>
        <w:spacing w:line="360" w:lineRule="exact"/>
        <w:ind w:left="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以下是本项目相关报价要求：</w:t>
      </w:r>
    </w:p>
    <w:p>
      <w:pPr>
        <w:pStyle w:val="89"/>
        <w:numPr>
          <w:ilvl w:val="0"/>
          <w:numId w:val="50"/>
        </w:numPr>
        <w:spacing w:line="360" w:lineRule="exact"/>
        <w:ind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供应商必须对全部内容进行报价，只对部分内容进行报价的供应商将按无效投标处理。</w:t>
      </w:r>
    </w:p>
    <w:p>
      <w:pPr>
        <w:pStyle w:val="89"/>
        <w:numPr>
          <w:ilvl w:val="0"/>
          <w:numId w:val="50"/>
        </w:numPr>
        <w:spacing w:line="360" w:lineRule="exact"/>
        <w:ind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本项目建设过程中，投标人应充分考虑所提供解决方案的可行性和合理性，并保证项目落地实施，投标人负责承担实现功能所需的全部费用，包括相应的税费。</w:t>
      </w:r>
    </w:p>
    <w:p>
      <w:pPr>
        <w:pStyle w:val="7"/>
        <w:numPr>
          <w:ilvl w:val="1"/>
          <w:numId w:val="0"/>
        </w:num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8.其他要求</w:t>
      </w:r>
    </w:p>
    <w:p>
      <w:pPr>
        <w:pStyle w:val="89"/>
        <w:numPr>
          <w:ilvl w:val="0"/>
          <w:numId w:val="51"/>
        </w:numPr>
        <w:spacing w:line="360" w:lineRule="exact"/>
        <w:ind w:left="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本技术规范要求提出的是最低限度的基本技术要求，并未对所有技术细节作出规定，要求中标人在初步业务需求、技术要求和采购人实际需求的基础上进行开发，投标人在中标后应进行进一步调研，根据具体需求深化分析，提供符合本技术要求和国家标准、行业标准的优质产品。采购人需求在开发期和试运行期，仍有可能不断完善，投标人须承诺在采购需求和政策法规范围内，随着采购人需求的变动随时做出响应，修改应用软件，并不断进行完善。</w:t>
      </w:r>
    </w:p>
    <w:p>
      <w:pPr>
        <w:pStyle w:val="89"/>
        <w:numPr>
          <w:ilvl w:val="0"/>
          <w:numId w:val="51"/>
        </w:numPr>
        <w:spacing w:line="360" w:lineRule="exact"/>
        <w:ind w:left="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投标人应本着认真负责的态度组织技术队伍，做好投标的整体技术方案并提出开发、维护、服务以及今后技术支持的措施计划和承诺。</w:t>
      </w:r>
    </w:p>
    <w:p>
      <w:pPr>
        <w:pStyle w:val="89"/>
        <w:numPr>
          <w:ilvl w:val="0"/>
          <w:numId w:val="51"/>
        </w:numPr>
        <w:spacing w:line="360" w:lineRule="exact"/>
        <w:ind w:left="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供应商应允许采购人的工作人员参与系统的安装、测试、诊断及解决问题等各项工作。</w:t>
      </w:r>
    </w:p>
    <w:p>
      <w:pPr>
        <w:pStyle w:val="30"/>
        <w:spacing w:line="340" w:lineRule="exact"/>
        <w:ind w:left="418" w:hanging="418"/>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五.其他</w:t>
      </w:r>
    </w:p>
    <w:p>
      <w:pPr>
        <w:snapToGrid w:val="0"/>
        <w:spacing w:line="34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snapToGrid w:val="0"/>
        <w:spacing w:line="34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2.带“★”的为重要条款。带“▲且加下划线”的有关技术和商务条款为实质性条款，投标人方必须做出实质性响应，否则视为投标无效。</w:t>
      </w:r>
    </w:p>
    <w:p>
      <w:pPr>
        <w:snapToGrid w:val="0"/>
        <w:spacing w:line="34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w:t>
      </w:r>
      <w:r>
        <w:rPr>
          <w:rFonts w:hint="eastAsia" w:ascii="宋体" w:hAnsi="宋体" w:cs="宋体"/>
          <w:b/>
          <w:bCs/>
          <w:color w:val="auto"/>
          <w:spacing w:val="-6"/>
          <w:sz w:val="22"/>
          <w:highlight w:val="none"/>
          <w:lang w:val="en-US" w:eastAsia="zh-CN"/>
        </w:rPr>
        <w:t>采购需求</w:t>
      </w:r>
      <w:r>
        <w:rPr>
          <w:rFonts w:hint="eastAsia" w:ascii="宋体" w:hAnsi="宋体" w:eastAsia="宋体" w:cs="宋体"/>
          <w:b/>
          <w:bCs/>
          <w:color w:val="auto"/>
          <w:spacing w:val="-6"/>
          <w:sz w:val="22"/>
          <w:highlight w:val="none"/>
        </w:rPr>
        <w:t>中未特别注明需执行的国家相关标准、行业标准、地方标准或者其他标准、规范，则统一执行最新标准、规范。</w:t>
      </w:r>
    </w:p>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第六部分   评标原则及方法</w:t>
      </w:r>
    </w:p>
    <w:p>
      <w:pPr>
        <w:pStyle w:val="3"/>
        <w:keepNext w:val="0"/>
        <w:keepLines w:val="0"/>
        <w:pageBreakBefore w:val="0"/>
        <w:widowControl w:val="0"/>
        <w:kinsoku/>
        <w:wordWrap/>
        <w:overflowPunct/>
        <w:topLinePunct w:val="0"/>
        <w:autoSpaceDE/>
        <w:autoSpaceDN/>
        <w:bidi w:val="0"/>
        <w:adjustRightInd w:val="0"/>
        <w:snapToGrid w:val="0"/>
        <w:spacing w:after="0" w:line="360" w:lineRule="auto"/>
        <w:ind w:firstLine="442" w:firstLineChars="20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根据《中华人民共和国政府采购法》等相关法规特制定以下评标办法。</w:t>
      </w:r>
    </w:p>
    <w:p>
      <w:pPr>
        <w:keepNext w:val="0"/>
        <w:keepLines w:val="0"/>
        <w:pageBreakBefore w:val="0"/>
        <w:widowControl w:val="0"/>
        <w:numPr>
          <w:ilvl w:val="0"/>
          <w:numId w:val="52"/>
        </w:numPr>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总  则</w:t>
      </w:r>
    </w:p>
    <w:p>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二.评标组织</w:t>
      </w:r>
    </w:p>
    <w:p>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评标工作由采</w:t>
      </w:r>
      <w:r>
        <w:rPr>
          <w:rFonts w:hint="eastAsia" w:ascii="宋体" w:hAnsi="宋体" w:eastAsia="宋体" w:cs="宋体"/>
          <w:color w:val="auto"/>
          <w:sz w:val="22"/>
          <w:szCs w:val="22"/>
          <w:highlight w:val="none"/>
        </w:rPr>
        <w:t>购人依法组建的评审小组负责，评标全过程由有关部门指导监督。</w:t>
      </w:r>
    </w:p>
    <w:p>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三.评标程序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四.评标办法</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本评标办法采用百分制综合评分法，商务和技术</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rPr>
        <w:t>分（商务和技术权值</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rPr>
        <w:t>%），报价3</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分（价格权值30%）。最大限度地满足招标文件中规定的各项综合评价标准且综合得分最高的投标人，将被推荐为中标候选人。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评分细则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1.商务和技术分的评定</w:t>
      </w:r>
    </w:p>
    <w:p>
      <w:pPr>
        <w:pStyle w:val="57"/>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标项</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：2022年温州市交管信控系统项目</w:t>
      </w:r>
    </w:p>
    <w:tbl>
      <w:tblPr>
        <w:tblStyle w:val="31"/>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25"/>
        <w:gridCol w:w="839"/>
        <w:gridCol w:w="616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序号</w:t>
            </w:r>
          </w:p>
        </w:tc>
        <w:tc>
          <w:tcPr>
            <w:tcW w:w="1125"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评分内容</w:t>
            </w:r>
          </w:p>
        </w:tc>
        <w:tc>
          <w:tcPr>
            <w:tcW w:w="839"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分值</w:t>
            </w:r>
          </w:p>
        </w:tc>
        <w:tc>
          <w:tcPr>
            <w:tcW w:w="6164"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评审标准</w:t>
            </w:r>
          </w:p>
        </w:tc>
        <w:tc>
          <w:tcPr>
            <w:tcW w:w="91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snapToGrid w:val="0"/>
                <w:color w:val="auto"/>
                <w:kern w:val="0"/>
                <w:sz w:val="22"/>
                <w:szCs w:val="22"/>
                <w:highlight w:val="none"/>
                <w:lang w:val="en-US" w:eastAsia="zh-CN"/>
              </w:rPr>
            </w:pPr>
            <w:r>
              <w:rPr>
                <w:rFonts w:hint="eastAsia" w:ascii="宋体" w:hAnsi="宋体" w:eastAsia="宋体" w:cs="宋体"/>
                <w:b/>
                <w:snapToGrid w:val="0"/>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1</w:t>
            </w:r>
          </w:p>
        </w:tc>
        <w:tc>
          <w:tcPr>
            <w:tcW w:w="1125"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rPr>
              <w:t>投标人综合实力</w:t>
            </w:r>
          </w:p>
        </w:tc>
        <w:tc>
          <w:tcPr>
            <w:tcW w:w="839"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4</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投标人具有质量管理体系认证、环境管理体系认证、职业健康安全管理体系认证证书，信息安全管理体系认证证书，每提供1个得1分，最高4分。（商务和技术文件中提供有效证书，否则不得分。）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val="0"/>
                <w:bCs/>
                <w:snapToGrid w:val="0"/>
                <w:color w:val="auto"/>
                <w:kern w:val="0"/>
                <w:sz w:val="22"/>
                <w:szCs w:val="22"/>
                <w:highlight w:val="none"/>
                <w:lang w:val="en-US" w:eastAsia="zh-CN"/>
              </w:rPr>
            </w:pPr>
          </w:p>
        </w:tc>
        <w:tc>
          <w:tcPr>
            <w:tcW w:w="1125"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snapToGrid w:val="0"/>
                <w:color w:val="auto"/>
                <w:kern w:val="0"/>
                <w:sz w:val="22"/>
                <w:szCs w:val="22"/>
                <w:highlight w:val="none"/>
              </w:rPr>
            </w:pPr>
          </w:p>
        </w:tc>
        <w:tc>
          <w:tcPr>
            <w:tcW w:w="839"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3</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投标人提供自有光纤资源情况说明或提供本项目运营商光纤管道资源授权合同得3分，承诺在中标后5个工作</w:t>
            </w:r>
            <w:r>
              <w:rPr>
                <w:rFonts w:hint="eastAsia" w:ascii="宋体" w:hAnsi="宋体" w:cs="宋体"/>
                <w:color w:val="auto"/>
                <w:sz w:val="22"/>
                <w:szCs w:val="22"/>
                <w:highlight w:val="none"/>
                <w:lang w:val="en-US" w:eastAsia="zh-CN"/>
              </w:rPr>
              <w:t>日</w:t>
            </w:r>
            <w:r>
              <w:rPr>
                <w:rFonts w:hint="eastAsia" w:ascii="宋体" w:hAnsi="宋体" w:eastAsia="宋体" w:cs="宋体"/>
                <w:color w:val="auto"/>
                <w:sz w:val="22"/>
                <w:szCs w:val="22"/>
                <w:highlight w:val="none"/>
                <w:lang w:val="en-US" w:eastAsia="zh-CN"/>
              </w:rPr>
              <w:t>内提供本项目运营商光纤管道资源授权合同的得1.5分</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（商务和技术文件中提供证明材料，否则不得分）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2</w:t>
            </w:r>
          </w:p>
        </w:tc>
        <w:tc>
          <w:tcPr>
            <w:tcW w:w="1125" w:type="dxa"/>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b/>
                <w:snapToGrid w:val="0"/>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同类服务项目业绩</w:t>
            </w:r>
          </w:p>
        </w:tc>
        <w:tc>
          <w:tcPr>
            <w:tcW w:w="839" w:type="dxa"/>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3</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根据投标人2019年1月1日至本项目投标截止时间止承建过信号</w:t>
            </w:r>
            <w:r>
              <w:rPr>
                <w:rFonts w:hint="eastAsia" w:ascii="宋体" w:hAnsi="宋体" w:cs="宋体"/>
                <w:color w:val="auto"/>
                <w:sz w:val="22"/>
                <w:szCs w:val="22"/>
                <w:highlight w:val="none"/>
                <w:lang w:val="en-US" w:eastAsia="zh-CN"/>
              </w:rPr>
              <w:t>类</w:t>
            </w:r>
            <w:r>
              <w:rPr>
                <w:rFonts w:hint="eastAsia" w:ascii="宋体" w:hAnsi="宋体" w:eastAsia="宋体" w:cs="宋体"/>
                <w:color w:val="auto"/>
                <w:sz w:val="22"/>
                <w:szCs w:val="22"/>
                <w:highlight w:val="none"/>
                <w:lang w:val="en-US" w:eastAsia="zh-CN"/>
              </w:rPr>
              <w:t>系统项目业绩，每提供一个得1分，最高得3分；（商务和技术文件中提供合同复印件，否则不得分。）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outlineLvl w:val="0"/>
              <w:rPr>
                <w:rFonts w:hint="default" w:ascii="宋体" w:hAnsi="宋体" w:eastAsia="宋体" w:cs="宋体"/>
                <w:b w:val="0"/>
                <w:bCs/>
                <w:snapToGrid w:val="0"/>
                <w:color w:val="auto"/>
                <w:kern w:val="0"/>
                <w:sz w:val="22"/>
                <w:szCs w:val="22"/>
                <w:highlight w:val="none"/>
                <w:lang w:val="en-US" w:eastAsia="zh-CN"/>
              </w:rPr>
            </w:pPr>
            <w:r>
              <w:rPr>
                <w:rFonts w:hint="eastAsia" w:ascii="宋体" w:hAnsi="宋体" w:cs="宋体"/>
                <w:b w:val="0"/>
                <w:bCs/>
                <w:snapToGrid w:val="0"/>
                <w:color w:val="auto"/>
                <w:kern w:val="0"/>
                <w:sz w:val="22"/>
                <w:szCs w:val="22"/>
                <w:highlight w:val="none"/>
                <w:lang w:val="en-US" w:eastAsia="zh-CN"/>
              </w:rPr>
              <w:t>3</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节能环保产品</w:t>
            </w:r>
          </w:p>
        </w:tc>
        <w:tc>
          <w:tcPr>
            <w:tcW w:w="839" w:type="dxa"/>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（商务和技术文件中提供有效证书，否则不得分。）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c>
          <w:tcPr>
            <w:tcW w:w="1125" w:type="dxa"/>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软、硬件配置选型情况</w:t>
            </w:r>
          </w:p>
        </w:tc>
        <w:tc>
          <w:tcPr>
            <w:tcW w:w="839" w:type="dxa"/>
            <w:vAlign w:val="center"/>
          </w:tcPr>
          <w:p>
            <w:pPr>
              <w:keepNext w:val="0"/>
              <w:keepLines w:val="0"/>
              <w:pageBreakBefore w:val="0"/>
              <w:widowControl/>
              <w:kinsoku/>
              <w:wordWrap/>
              <w:overflowPunct/>
              <w:topLinePunct w:val="0"/>
              <w:autoSpaceDE/>
              <w:autoSpaceDN/>
              <w:bidi w:val="0"/>
              <w:spacing w:line="340" w:lineRule="exact"/>
              <w:jc w:val="center"/>
              <w:rPr>
                <w:rFonts w:hint="default" w:ascii="宋体" w:hAnsi="宋体" w:eastAsia="宋体" w:cs="宋体"/>
                <w:b w:val="0"/>
                <w:bCs/>
                <w:color w:val="auto"/>
                <w:sz w:val="22"/>
                <w:szCs w:val="22"/>
                <w:highlight w:val="none"/>
                <w:lang w:val="en-US"/>
              </w:rPr>
            </w:pPr>
            <w:r>
              <w:rPr>
                <w:rFonts w:hint="eastAsia" w:ascii="宋体" w:hAnsi="宋体" w:cs="宋体"/>
                <w:b w:val="0"/>
                <w:bCs/>
                <w:color w:val="auto"/>
                <w:sz w:val="22"/>
                <w:szCs w:val="22"/>
                <w:highlight w:val="none"/>
                <w:lang w:val="en-US" w:eastAsia="zh-CN"/>
              </w:rPr>
              <w:t>7</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满足招标文件明确的全部</w:t>
            </w:r>
            <w:r>
              <w:rPr>
                <w:rFonts w:hint="eastAsia" w:ascii="宋体" w:hAnsi="宋体" w:eastAsia="宋体" w:cs="宋体"/>
                <w:b/>
                <w:bCs/>
                <w:color w:val="auto"/>
                <w:sz w:val="22"/>
                <w:szCs w:val="22"/>
                <w:highlight w:val="none"/>
                <w:u w:val="none"/>
                <w:lang w:val="en-US" w:eastAsia="zh-CN"/>
              </w:rPr>
              <w:t>技术要求-</w:t>
            </w:r>
            <w:r>
              <w:rPr>
                <w:rFonts w:hint="eastAsia" w:ascii="宋体" w:hAnsi="宋体" w:cs="宋体"/>
                <w:b/>
                <w:bCs/>
                <w:color w:val="auto"/>
                <w:sz w:val="22"/>
                <w:szCs w:val="22"/>
                <w:highlight w:val="none"/>
                <w:u w:val="none"/>
                <w:lang w:val="en-US" w:eastAsia="zh-CN"/>
              </w:rPr>
              <w:t>SCATS信号项目系统设备</w:t>
            </w:r>
            <w:r>
              <w:rPr>
                <w:rFonts w:hint="eastAsia" w:ascii="宋体" w:hAnsi="宋体" w:eastAsia="宋体" w:cs="宋体"/>
                <w:b/>
                <w:bCs/>
                <w:color w:val="auto"/>
                <w:sz w:val="22"/>
                <w:szCs w:val="22"/>
                <w:highlight w:val="none"/>
                <w:u w:val="none"/>
                <w:lang w:val="en-US" w:eastAsia="zh-CN"/>
              </w:rPr>
              <w:t>-参数配置</w:t>
            </w:r>
            <w:r>
              <w:rPr>
                <w:rFonts w:hint="eastAsia" w:ascii="宋体" w:hAnsi="宋体" w:eastAsia="宋体" w:cs="宋体"/>
                <w:color w:val="auto"/>
                <w:sz w:val="22"/>
                <w:szCs w:val="22"/>
                <w:highlight w:val="none"/>
                <w:lang w:val="en-US" w:eastAsia="zh-CN"/>
              </w:rPr>
              <w:t>的得满分：评审小组根据参数应答情况进行评分，评分要求如下：</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1）完全满足（无负偏离）得</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2）比较满足（负偏离项≤</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项）得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3）基本满足（</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＜负偏离项≤</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项）得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4）不太满足（</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＜负偏离项≤</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项）得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5）不满足（负偏离项＞</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项）得0分。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restart"/>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1125" w:type="dxa"/>
            <w:vMerge w:val="restart"/>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w:t>
            </w:r>
          </w:p>
          <w:p>
            <w:pPr>
              <w:keepNext w:val="0"/>
              <w:keepLines w:val="0"/>
              <w:pageBreakBefore w:val="0"/>
              <w:widowControl/>
              <w:kinsoku/>
              <w:wordWrap/>
              <w:overflowPunct/>
              <w:topLinePunct w:val="0"/>
              <w:autoSpaceDE/>
              <w:autoSpaceDN/>
              <w:bidi w:val="0"/>
              <w:spacing w:line="340" w:lineRule="exact"/>
              <w:jc w:val="left"/>
              <w:rPr>
                <w:rFonts w:hint="eastAsia" w:ascii="宋体" w:hAnsi="宋体" w:eastAsia="宋体" w:cs="宋体"/>
                <w:color w:val="auto"/>
                <w:sz w:val="22"/>
                <w:szCs w:val="22"/>
                <w:highlight w:val="none"/>
              </w:rPr>
            </w:pPr>
          </w:p>
        </w:tc>
        <w:tc>
          <w:tcPr>
            <w:tcW w:w="839" w:type="dxa"/>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技术方案的合理性，叙述的准确性，结构图、流程图、系统图等的完整性、准确性、规范性，方案的内容对实际需求的符合性综合打分（技术方案合理性强，叙述完整性、准确性、规范性强，方案完全满足项目要求的得6分；技术方案合理性较强，叙述完整性、准确性、规范性较强，方案比较满足项目要求的得4分；技术方案合理性一般，叙述完整性、准确性、规范性一般，方案基本满足项目要求的2得分；技术方案合理性不强，叙述完整性、准确性、规范性不强，方案不够满足项目要求的得1分；未提供的不得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continue"/>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kern w:val="2"/>
                <w:sz w:val="22"/>
                <w:szCs w:val="22"/>
                <w:highlight w:val="none"/>
                <w:lang w:val="en-US" w:eastAsia="zh-CN" w:bidi="ar-SA"/>
              </w:rPr>
            </w:pPr>
          </w:p>
        </w:tc>
        <w:tc>
          <w:tcPr>
            <w:tcW w:w="1125" w:type="dxa"/>
            <w:vMerge w:val="continue"/>
            <w:vAlign w:val="center"/>
          </w:tcPr>
          <w:p>
            <w:pPr>
              <w:keepNext w:val="0"/>
              <w:keepLines w:val="0"/>
              <w:pageBreakBefore w:val="0"/>
              <w:widowControl/>
              <w:kinsoku/>
              <w:wordWrap/>
              <w:overflowPunct/>
              <w:topLinePunct w:val="0"/>
              <w:autoSpaceDE/>
              <w:autoSpaceDN/>
              <w:bidi w:val="0"/>
              <w:spacing w:line="340" w:lineRule="exact"/>
              <w:jc w:val="left"/>
              <w:rPr>
                <w:rFonts w:hint="eastAsia" w:ascii="宋体" w:hAnsi="宋体" w:eastAsia="宋体" w:cs="宋体"/>
                <w:color w:val="auto"/>
                <w:sz w:val="22"/>
                <w:szCs w:val="22"/>
                <w:highlight w:val="none"/>
              </w:rPr>
            </w:pPr>
          </w:p>
        </w:tc>
        <w:tc>
          <w:tcPr>
            <w:tcW w:w="839" w:type="dxa"/>
            <w:vAlign w:val="center"/>
          </w:tcPr>
          <w:p>
            <w:pPr>
              <w:widowControl/>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6</w:t>
            </w:r>
          </w:p>
        </w:tc>
        <w:tc>
          <w:tcPr>
            <w:tcW w:w="6164" w:type="dxa"/>
            <w:vAlign w:val="center"/>
          </w:tcPr>
          <w:p>
            <w:pPr>
              <w:widowControl/>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根据投标人针对本项目提供应急方案及措施</w:t>
            </w:r>
            <w:r>
              <w:rPr>
                <w:rFonts w:hint="eastAsia" w:ascii="宋体" w:hAnsi="宋体" w:eastAsia="宋体" w:cs="宋体"/>
                <w:color w:val="auto"/>
                <w:sz w:val="22"/>
                <w:szCs w:val="22"/>
                <w:highlight w:val="none"/>
                <w:lang w:val="en-US" w:eastAsia="zh-CN"/>
              </w:rPr>
              <w:t>的科学性、合理性、可行性进行综合打分（</w:t>
            </w:r>
            <w:r>
              <w:rPr>
                <w:rFonts w:hint="eastAsia" w:ascii="宋体" w:hAnsi="宋体" w:cs="宋体"/>
                <w:color w:val="auto"/>
                <w:sz w:val="22"/>
                <w:szCs w:val="22"/>
                <w:highlight w:val="none"/>
                <w:lang w:val="en-US" w:eastAsia="zh-CN"/>
              </w:rPr>
              <w:t>应急方案及措施</w:t>
            </w:r>
            <w:r>
              <w:rPr>
                <w:rFonts w:hint="eastAsia" w:ascii="宋体" w:hAnsi="宋体" w:eastAsia="宋体" w:cs="宋体"/>
                <w:color w:val="auto"/>
                <w:sz w:val="22"/>
                <w:szCs w:val="22"/>
                <w:highlight w:val="none"/>
                <w:lang w:val="en-US" w:eastAsia="zh-CN"/>
              </w:rPr>
              <w:t>科学性、合理性、可行性强的6分；</w:t>
            </w:r>
            <w:r>
              <w:rPr>
                <w:rFonts w:hint="eastAsia" w:ascii="宋体" w:hAnsi="宋体" w:cs="宋体"/>
                <w:color w:val="auto"/>
                <w:sz w:val="22"/>
                <w:szCs w:val="22"/>
                <w:highlight w:val="none"/>
                <w:lang w:val="en-US" w:eastAsia="zh-CN"/>
              </w:rPr>
              <w:t>应急方案及措施</w:t>
            </w:r>
            <w:r>
              <w:rPr>
                <w:rFonts w:hint="eastAsia" w:ascii="宋体" w:hAnsi="宋体" w:eastAsia="宋体" w:cs="宋体"/>
                <w:color w:val="auto"/>
                <w:sz w:val="22"/>
                <w:szCs w:val="22"/>
                <w:highlight w:val="none"/>
                <w:lang w:val="en-US" w:eastAsia="zh-CN"/>
              </w:rPr>
              <w:t>科学性、合理性、可行性较强的得4分；</w:t>
            </w:r>
            <w:r>
              <w:rPr>
                <w:rFonts w:hint="eastAsia" w:ascii="宋体" w:hAnsi="宋体" w:cs="宋体"/>
                <w:color w:val="auto"/>
                <w:sz w:val="22"/>
                <w:szCs w:val="22"/>
                <w:highlight w:val="none"/>
                <w:lang w:val="en-US" w:eastAsia="zh-CN"/>
              </w:rPr>
              <w:t>应急方案及措施</w:t>
            </w:r>
            <w:r>
              <w:rPr>
                <w:rFonts w:hint="eastAsia" w:ascii="宋体" w:hAnsi="宋体" w:eastAsia="宋体" w:cs="宋体"/>
                <w:color w:val="auto"/>
                <w:sz w:val="22"/>
                <w:szCs w:val="22"/>
                <w:highlight w:val="none"/>
                <w:lang w:val="en-US" w:eastAsia="zh-CN"/>
              </w:rPr>
              <w:t>科学性、合理性、可行性一般的得2分；</w:t>
            </w:r>
            <w:r>
              <w:rPr>
                <w:rFonts w:hint="eastAsia" w:ascii="宋体" w:hAnsi="宋体" w:cs="宋体"/>
                <w:color w:val="auto"/>
                <w:sz w:val="22"/>
                <w:szCs w:val="22"/>
                <w:highlight w:val="none"/>
                <w:lang w:val="en-US" w:eastAsia="zh-CN"/>
              </w:rPr>
              <w:t>应急方案及措施</w:t>
            </w:r>
            <w:r>
              <w:rPr>
                <w:rFonts w:hint="eastAsia" w:ascii="宋体" w:hAnsi="宋体" w:eastAsia="宋体" w:cs="宋体"/>
                <w:color w:val="auto"/>
                <w:sz w:val="22"/>
                <w:szCs w:val="22"/>
                <w:highlight w:val="none"/>
                <w:lang w:val="en-US" w:eastAsia="zh-CN"/>
              </w:rPr>
              <w:t>科学性、合理性、可行性不强的得1分；未提供的不得分）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restart"/>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6</w:t>
            </w:r>
          </w:p>
        </w:tc>
        <w:tc>
          <w:tcPr>
            <w:tcW w:w="1125" w:type="dxa"/>
            <w:vMerge w:val="restart"/>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施工组织计划</w:t>
            </w:r>
          </w:p>
        </w:tc>
        <w:tc>
          <w:tcPr>
            <w:tcW w:w="839" w:type="dxa"/>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施工组织计划及方案的科学性、合理性、可行性进行综合打分（施工组织计划及方案科学性、合理性、可行性强的6分；施工组织计划及方案科学性、合理性、可行性较强的得4分；施工组织计划及方案科学性、合理性、可行性一般的得2分；施工组织计划及方案科学性、合理性、可行性不强的得1分；未提供的不得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continue"/>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color w:val="auto"/>
                <w:kern w:val="2"/>
                <w:sz w:val="22"/>
                <w:szCs w:val="22"/>
                <w:highlight w:val="none"/>
                <w:lang w:val="en-US" w:eastAsia="zh-CN" w:bidi="ar-SA"/>
              </w:rPr>
            </w:pPr>
          </w:p>
        </w:tc>
        <w:tc>
          <w:tcPr>
            <w:tcW w:w="1125" w:type="dxa"/>
            <w:vMerge w:val="continue"/>
            <w:vAlign w:val="center"/>
          </w:tcPr>
          <w:p>
            <w:pPr>
              <w:keepNext w:val="0"/>
              <w:keepLines w:val="0"/>
              <w:pageBreakBefore w:val="0"/>
              <w:widowControl/>
              <w:kinsoku/>
              <w:wordWrap/>
              <w:overflowPunct/>
              <w:topLinePunct w:val="0"/>
              <w:autoSpaceDE/>
              <w:autoSpaceDN/>
              <w:bidi w:val="0"/>
              <w:spacing w:line="340" w:lineRule="exact"/>
              <w:jc w:val="left"/>
              <w:rPr>
                <w:rFonts w:hint="eastAsia" w:ascii="宋体" w:hAnsi="宋体" w:eastAsia="宋体" w:cs="宋体"/>
                <w:color w:val="auto"/>
                <w:sz w:val="22"/>
                <w:szCs w:val="22"/>
                <w:highlight w:val="none"/>
              </w:rPr>
            </w:pPr>
          </w:p>
        </w:tc>
        <w:tc>
          <w:tcPr>
            <w:tcW w:w="839" w:type="dxa"/>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工期</w:t>
            </w:r>
            <w:r>
              <w:rPr>
                <w:rFonts w:hint="eastAsia" w:ascii="宋体" w:hAnsi="宋体" w:cs="宋体"/>
                <w:color w:val="auto"/>
                <w:sz w:val="22"/>
                <w:szCs w:val="22"/>
                <w:highlight w:val="none"/>
                <w:lang w:val="en-US" w:eastAsia="zh-CN"/>
              </w:rPr>
              <w:t>360</w:t>
            </w:r>
            <w:r>
              <w:rPr>
                <w:rFonts w:hint="eastAsia" w:ascii="宋体" w:hAnsi="宋体" w:eastAsia="宋体" w:cs="宋体"/>
                <w:color w:val="auto"/>
                <w:sz w:val="22"/>
                <w:szCs w:val="22"/>
                <w:highlight w:val="none"/>
                <w:lang w:val="en-US" w:eastAsia="zh-CN"/>
              </w:rPr>
              <w:t>天（不含试运行3个月）：仅满足工期要求的不得分，工期每缩短1天加0.2分，最多可加6分。（商务和技术文件中提供承诺函，否则不得分。）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restart"/>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p>
        </w:tc>
        <w:tc>
          <w:tcPr>
            <w:tcW w:w="1125" w:type="dxa"/>
            <w:vMerge w:val="restart"/>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项目履约能力</w:t>
            </w:r>
          </w:p>
        </w:tc>
        <w:tc>
          <w:tcPr>
            <w:tcW w:w="839" w:type="dxa"/>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投入本项目实施</w:t>
            </w:r>
            <w:r>
              <w:rPr>
                <w:rFonts w:hint="eastAsia" w:ascii="宋体" w:hAnsi="宋体" w:cs="宋体"/>
                <w:color w:val="auto"/>
                <w:sz w:val="22"/>
                <w:szCs w:val="22"/>
                <w:highlight w:val="none"/>
                <w:lang w:val="en-US" w:eastAsia="zh-CN"/>
              </w:rPr>
              <w:t>建设</w:t>
            </w:r>
            <w:r>
              <w:rPr>
                <w:rFonts w:hint="eastAsia" w:ascii="宋体" w:hAnsi="宋体" w:eastAsia="宋体" w:cs="宋体"/>
                <w:color w:val="auto"/>
                <w:sz w:val="22"/>
                <w:szCs w:val="22"/>
                <w:highlight w:val="none"/>
                <w:lang w:val="en-US" w:eastAsia="zh-CN"/>
              </w:rPr>
              <w:t>的主要技术能力：须持有信息系统项目管理师证书、一级建造师证书、注册信息安全专业人员证书、网络工程师（含应用）证书、IT服务项目经理，每提供一个得1.5分，</w:t>
            </w:r>
            <w:r>
              <w:rPr>
                <w:rFonts w:hint="eastAsia" w:ascii="宋体" w:hAnsi="宋体" w:eastAsia="宋体" w:cs="宋体"/>
                <w:b w:val="0"/>
                <w:bCs w:val="0"/>
                <w:color w:val="auto"/>
                <w:sz w:val="22"/>
                <w:szCs w:val="22"/>
                <w:highlight w:val="none"/>
                <w:lang w:val="en-US" w:eastAsia="zh-CN"/>
              </w:rPr>
              <w:t>最高得6分</w:t>
            </w:r>
            <w:r>
              <w:rPr>
                <w:rFonts w:hint="eastAsia" w:ascii="宋体" w:hAnsi="宋体" w:eastAsia="宋体" w:cs="宋体"/>
                <w:color w:val="auto"/>
                <w:sz w:val="22"/>
                <w:szCs w:val="22"/>
                <w:highlight w:val="none"/>
                <w:lang w:val="en-US" w:eastAsia="zh-CN"/>
              </w:rPr>
              <w:t>。（商务和技术文件中提供社保证明及相关证书复印件，两者缺一不可，否则不得分，同一人具有多个证书按一个证书计算，就高原则。）</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continue"/>
            <w:vAlign w:val="center"/>
          </w:tcPr>
          <w:p>
            <w:pPr>
              <w:keepNext w:val="0"/>
              <w:keepLines w:val="0"/>
              <w:pageBreakBefore w:val="0"/>
              <w:kinsoku/>
              <w:wordWrap/>
              <w:overflowPunct/>
              <w:topLinePunct w:val="0"/>
              <w:autoSpaceDE/>
              <w:autoSpaceDN/>
              <w:bidi w:val="0"/>
              <w:spacing w:line="340" w:lineRule="exact"/>
              <w:jc w:val="center"/>
              <w:rPr>
                <w:rFonts w:hint="eastAsia" w:ascii="宋体" w:hAnsi="宋体" w:eastAsia="宋体" w:cs="宋体"/>
                <w:color w:val="auto"/>
                <w:kern w:val="2"/>
                <w:sz w:val="22"/>
                <w:szCs w:val="22"/>
                <w:highlight w:val="none"/>
                <w:lang w:val="en-US" w:eastAsia="zh-CN" w:bidi="ar-SA"/>
              </w:rPr>
            </w:pPr>
          </w:p>
        </w:tc>
        <w:tc>
          <w:tcPr>
            <w:tcW w:w="1125" w:type="dxa"/>
            <w:vMerge w:val="continue"/>
            <w:vAlign w:val="center"/>
          </w:tcPr>
          <w:p>
            <w:pPr>
              <w:keepNext w:val="0"/>
              <w:keepLines w:val="0"/>
              <w:pageBreakBefore w:val="0"/>
              <w:kinsoku/>
              <w:wordWrap/>
              <w:overflowPunct/>
              <w:topLinePunct w:val="0"/>
              <w:autoSpaceDE/>
              <w:autoSpaceDN/>
              <w:bidi w:val="0"/>
              <w:spacing w:line="340" w:lineRule="exact"/>
              <w:jc w:val="center"/>
              <w:rPr>
                <w:rFonts w:hint="eastAsia" w:ascii="宋体" w:hAnsi="宋体" w:eastAsia="宋体" w:cs="宋体"/>
                <w:color w:val="auto"/>
                <w:sz w:val="22"/>
                <w:szCs w:val="22"/>
                <w:highlight w:val="none"/>
              </w:rPr>
            </w:pPr>
          </w:p>
        </w:tc>
        <w:tc>
          <w:tcPr>
            <w:tcW w:w="839" w:type="dxa"/>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投入项目支撑服务</w:t>
            </w:r>
            <w:r>
              <w:rPr>
                <w:rFonts w:hint="eastAsia" w:ascii="宋体" w:hAnsi="宋体" w:cs="宋体"/>
                <w:color w:val="auto"/>
                <w:sz w:val="22"/>
                <w:szCs w:val="22"/>
                <w:highlight w:val="none"/>
                <w:lang w:val="en-US" w:eastAsia="zh-CN"/>
              </w:rPr>
              <w:t>运维</w:t>
            </w:r>
            <w:r>
              <w:rPr>
                <w:rFonts w:hint="eastAsia" w:ascii="宋体" w:hAnsi="宋体" w:eastAsia="宋体" w:cs="宋体"/>
                <w:color w:val="auto"/>
                <w:sz w:val="22"/>
                <w:szCs w:val="22"/>
                <w:highlight w:val="none"/>
                <w:lang w:val="en-US" w:eastAsia="zh-CN"/>
              </w:rPr>
              <w:t>团队人员能力，每提供一个助工及以上得1分，</w:t>
            </w:r>
            <w:r>
              <w:rPr>
                <w:rFonts w:hint="eastAsia" w:ascii="宋体" w:hAnsi="宋体" w:eastAsia="宋体" w:cs="宋体"/>
                <w:b w:val="0"/>
                <w:bCs w:val="0"/>
                <w:color w:val="auto"/>
                <w:sz w:val="22"/>
                <w:szCs w:val="22"/>
                <w:highlight w:val="none"/>
                <w:lang w:val="en-US" w:eastAsia="zh-CN"/>
              </w:rPr>
              <w:t>最高得4分</w:t>
            </w:r>
            <w:r>
              <w:rPr>
                <w:rFonts w:hint="eastAsia" w:ascii="宋体" w:hAnsi="宋体" w:eastAsia="宋体" w:cs="宋体"/>
                <w:color w:val="auto"/>
                <w:sz w:val="22"/>
                <w:szCs w:val="22"/>
                <w:highlight w:val="none"/>
                <w:lang w:val="en-US" w:eastAsia="zh-CN"/>
              </w:rPr>
              <w:t>。（商务和技术文件中提供社保证明及相关证书复印件，两者缺一不可，否则不得分，同一人具有多个证书按一个证书计算，就高原则。）</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1125" w:type="dxa"/>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设备的供货方案</w:t>
            </w:r>
          </w:p>
        </w:tc>
        <w:tc>
          <w:tcPr>
            <w:tcW w:w="839" w:type="dxa"/>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对其所投产品的供货、安装、调试、验收标准及方案，包括方案是否具体、详细、可行，是否有利于项目实施；设计、安装、测试及验收标准应科学、合理，符合国家相关标准及规定等进行综合打分（方案科学性、合理性、可行性强，有利于项目实施的6分；方案科学性、合理性、可行性较强，比较有利于项目实施的得4分；方案科学性、合理性、可行性一般，基本有利于项目实施的得2分；方案科学性、合理性、可行性不强，项目实施性不足的得1分；未提供的不得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restart"/>
            <w:vAlign w:val="center"/>
          </w:tcPr>
          <w:p>
            <w:pPr>
              <w:keepNext w:val="0"/>
              <w:keepLines w:val="0"/>
              <w:pageBreakBefore w:val="0"/>
              <w:widowControl/>
              <w:kinsoku/>
              <w:wordWrap/>
              <w:overflowPunct/>
              <w:topLinePunct w:val="0"/>
              <w:autoSpaceDE/>
              <w:autoSpaceDN/>
              <w:bidi w:val="0"/>
              <w:spacing w:line="34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112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技术服务及能力保障</w:t>
            </w:r>
          </w:p>
        </w:tc>
        <w:tc>
          <w:tcPr>
            <w:tcW w:w="839" w:type="dxa"/>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根据投标人的针对本项目</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lang w:val="en-US" w:eastAsia="zh-CN"/>
              </w:rPr>
              <w:t>的服务网点、售后服务标准、服务管理制度等服务保障措施进行综合打分。（</w:t>
            </w:r>
            <w:r>
              <w:rPr>
                <w:rStyle w:val="90"/>
                <w:rFonts w:hint="eastAsia" w:ascii="宋体" w:hAnsi="宋体" w:eastAsia="宋体" w:cs="宋体"/>
                <w:color w:val="auto"/>
                <w:highlight w:val="none"/>
                <w:lang w:val="en-US" w:eastAsia="zh-CN" w:bidi="ar"/>
              </w:rPr>
              <w:t>适用性、可行性强的得6分；适用性、可行性较强的4分；适用性、可行性一般的得2分；适用性、可行性不强的得1分；不提供不得分。</w:t>
            </w:r>
            <w:r>
              <w:rPr>
                <w:rFonts w:hint="eastAsia" w:ascii="宋体" w:hAnsi="宋体" w:eastAsia="宋体" w:cs="宋体"/>
                <w:color w:val="auto"/>
                <w:sz w:val="22"/>
                <w:szCs w:val="22"/>
                <w:highlight w:val="none"/>
                <w:lang w:val="en-US" w:eastAsia="zh-CN"/>
              </w:rPr>
              <w:t>）</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continue"/>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sz w:val="22"/>
                <w:szCs w:val="22"/>
                <w:highlight w:val="none"/>
              </w:rPr>
            </w:pPr>
          </w:p>
        </w:tc>
        <w:tc>
          <w:tcPr>
            <w:tcW w:w="1125" w:type="dxa"/>
            <w:vMerge w:val="continue"/>
            <w:vAlign w:val="center"/>
          </w:tcPr>
          <w:p>
            <w:pPr>
              <w:keepNext w:val="0"/>
              <w:keepLines w:val="0"/>
              <w:pageBreakBefore w:val="0"/>
              <w:widowControl/>
              <w:kinsoku/>
              <w:wordWrap/>
              <w:overflowPunct/>
              <w:topLinePunct w:val="0"/>
              <w:autoSpaceDE/>
              <w:autoSpaceDN/>
              <w:bidi w:val="0"/>
              <w:spacing w:line="340" w:lineRule="exact"/>
              <w:jc w:val="left"/>
              <w:rPr>
                <w:rFonts w:hint="eastAsia" w:ascii="宋体" w:hAnsi="宋体" w:eastAsia="宋体" w:cs="宋体"/>
                <w:color w:val="auto"/>
                <w:sz w:val="22"/>
                <w:szCs w:val="22"/>
                <w:highlight w:val="none"/>
              </w:rPr>
            </w:pPr>
          </w:p>
        </w:tc>
        <w:tc>
          <w:tcPr>
            <w:tcW w:w="839" w:type="dxa"/>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根据投标人提供的故障响应修复时间、</w:t>
            </w:r>
            <w:r>
              <w:rPr>
                <w:rFonts w:hint="eastAsia" w:ascii="宋体" w:hAnsi="宋体" w:cs="宋体"/>
                <w:color w:val="auto"/>
                <w:sz w:val="22"/>
                <w:szCs w:val="22"/>
                <w:highlight w:val="none"/>
                <w:lang w:val="en-US" w:eastAsia="zh-CN"/>
              </w:rPr>
              <w:t>试运行期间</w:t>
            </w:r>
            <w:r>
              <w:rPr>
                <w:rFonts w:hint="eastAsia" w:ascii="宋体" w:hAnsi="宋体" w:eastAsia="宋体" w:cs="宋体"/>
                <w:color w:val="auto"/>
                <w:sz w:val="22"/>
                <w:szCs w:val="22"/>
                <w:highlight w:val="none"/>
                <w:lang w:val="en-US" w:eastAsia="zh-CN"/>
              </w:rPr>
              <w:t>巡检计划等情况进行综合打分。（</w:t>
            </w:r>
            <w:r>
              <w:rPr>
                <w:rStyle w:val="90"/>
                <w:rFonts w:hint="eastAsia" w:ascii="宋体" w:hAnsi="宋体" w:eastAsia="宋体" w:cs="宋体"/>
                <w:color w:val="auto"/>
                <w:highlight w:val="none"/>
                <w:lang w:val="en-US" w:eastAsia="zh-CN" w:bidi="ar"/>
              </w:rPr>
              <w:t>适用性、可行性强的得3分；适用性、可行性较强的2分；适用性、可行性一般的得1分；适用性、可行性不强的得0.5分；不提供不得分。</w:t>
            </w:r>
            <w:r>
              <w:rPr>
                <w:rFonts w:hint="eastAsia" w:ascii="宋体" w:hAnsi="宋体" w:eastAsia="宋体" w:cs="宋体"/>
                <w:color w:val="auto"/>
                <w:sz w:val="22"/>
                <w:szCs w:val="22"/>
                <w:highlight w:val="none"/>
                <w:lang w:val="en-US" w:eastAsia="zh-CN"/>
              </w:rPr>
              <w:t>）</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continue"/>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color w:val="auto"/>
                <w:sz w:val="22"/>
                <w:szCs w:val="22"/>
                <w:highlight w:val="none"/>
              </w:rPr>
            </w:pPr>
          </w:p>
        </w:tc>
        <w:tc>
          <w:tcPr>
            <w:tcW w:w="1125" w:type="dxa"/>
            <w:vMerge w:val="continue"/>
            <w:vAlign w:val="center"/>
          </w:tcPr>
          <w:p>
            <w:pPr>
              <w:keepNext w:val="0"/>
              <w:keepLines w:val="0"/>
              <w:pageBreakBefore w:val="0"/>
              <w:widowControl/>
              <w:kinsoku/>
              <w:wordWrap/>
              <w:overflowPunct/>
              <w:topLinePunct w:val="0"/>
              <w:autoSpaceDE/>
              <w:autoSpaceDN/>
              <w:bidi w:val="0"/>
              <w:spacing w:line="340" w:lineRule="exact"/>
              <w:jc w:val="left"/>
              <w:rPr>
                <w:rFonts w:hint="eastAsia" w:ascii="宋体" w:hAnsi="宋体" w:eastAsia="宋体" w:cs="宋体"/>
                <w:color w:val="auto"/>
                <w:sz w:val="22"/>
                <w:szCs w:val="22"/>
                <w:highlight w:val="none"/>
              </w:rPr>
            </w:pPr>
          </w:p>
        </w:tc>
        <w:tc>
          <w:tcPr>
            <w:tcW w:w="839" w:type="dxa"/>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16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培训方案的科学性、合理性、完整性进行综合打分（培训方案科学性、合理性、完整性强的3分；培训方案科学性、合理性、完整性较强的得2分；培训方案科学性、合理性、完整性一般的得1分；培训方案科学性、合理性、完整性不强的得0.5分；未提供的不得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bl>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标项2：2022年温州市电子警察系统项目</w:t>
      </w:r>
    </w:p>
    <w:tbl>
      <w:tblPr>
        <w:tblStyle w:val="31"/>
        <w:tblW w:w="0" w:type="auto"/>
        <w:tblInd w:w="91" w:type="dxa"/>
        <w:tblLayout w:type="autofit"/>
        <w:tblCellMar>
          <w:top w:w="0" w:type="dxa"/>
          <w:left w:w="108" w:type="dxa"/>
          <w:bottom w:w="0" w:type="dxa"/>
          <w:right w:w="108" w:type="dxa"/>
        </w:tblCellMar>
      </w:tblPr>
      <w:tblGrid>
        <w:gridCol w:w="514"/>
        <w:gridCol w:w="1439"/>
        <w:gridCol w:w="6192"/>
        <w:gridCol w:w="669"/>
        <w:gridCol w:w="1051"/>
      </w:tblGrid>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评分内容</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评分标准及细则</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投标人综合实力</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1、投标人具有质量体系认证、环境管理体系认证、职业健康安全管理体系认证证书，信息安全管理体系认证证书，每提供1个得1分，最高4分。（商务和技术文件中提供有效证书，否则不得分。）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2、投标人具备自有公安</w:t>
            </w:r>
            <w:r>
              <w:rPr>
                <w:rFonts w:hint="eastAsia" w:ascii="宋体" w:hAnsi="宋体" w:eastAsia="宋体" w:cs="宋体"/>
                <w:color w:val="auto"/>
                <w:sz w:val="22"/>
                <w:szCs w:val="22"/>
                <w:highlight w:val="none"/>
                <w:lang w:val="en-US" w:eastAsia="zh-CN"/>
              </w:rPr>
              <w:t>视频</w:t>
            </w:r>
            <w:r>
              <w:rPr>
                <w:rFonts w:hint="eastAsia" w:ascii="宋体" w:hAnsi="宋体" w:eastAsia="宋体" w:cs="宋体"/>
                <w:color w:val="auto"/>
                <w:sz w:val="22"/>
                <w:szCs w:val="22"/>
                <w:highlight w:val="none"/>
              </w:rPr>
              <w:t>专网机房服务能力的（提供机房材料证明，如房产证、现场照片）</w:t>
            </w:r>
            <w:r>
              <w:rPr>
                <w:rFonts w:hint="eastAsia" w:ascii="宋体" w:hAnsi="宋体" w:eastAsia="宋体" w:cs="宋体"/>
                <w:color w:val="auto"/>
                <w:sz w:val="22"/>
                <w:szCs w:val="22"/>
                <w:highlight w:val="none"/>
                <w:lang w:val="en-US" w:eastAsia="zh-CN"/>
              </w:rPr>
              <w:t>或提供</w:t>
            </w:r>
            <w:r>
              <w:rPr>
                <w:rFonts w:hint="eastAsia" w:ascii="宋体" w:hAnsi="宋体" w:eastAsia="宋体" w:cs="宋体"/>
                <w:color w:val="auto"/>
                <w:sz w:val="22"/>
                <w:szCs w:val="22"/>
                <w:highlight w:val="none"/>
              </w:rPr>
              <w:t>公安</w:t>
            </w:r>
            <w:r>
              <w:rPr>
                <w:rFonts w:hint="eastAsia" w:ascii="宋体" w:hAnsi="宋体" w:eastAsia="宋体" w:cs="宋体"/>
                <w:color w:val="auto"/>
                <w:sz w:val="22"/>
                <w:szCs w:val="22"/>
                <w:highlight w:val="none"/>
                <w:lang w:val="en-US" w:eastAsia="zh-CN"/>
              </w:rPr>
              <w:t>视频</w:t>
            </w:r>
            <w:r>
              <w:rPr>
                <w:rFonts w:hint="eastAsia" w:ascii="宋体" w:hAnsi="宋体" w:eastAsia="宋体" w:cs="宋体"/>
                <w:color w:val="auto"/>
                <w:sz w:val="22"/>
                <w:szCs w:val="22"/>
                <w:highlight w:val="none"/>
              </w:rPr>
              <w:t>专网机房</w:t>
            </w:r>
            <w:r>
              <w:rPr>
                <w:rFonts w:hint="eastAsia" w:ascii="宋体" w:hAnsi="宋体" w:eastAsia="宋体" w:cs="宋体"/>
                <w:color w:val="auto"/>
                <w:sz w:val="22"/>
                <w:szCs w:val="22"/>
                <w:highlight w:val="none"/>
                <w:lang w:val="en-US" w:eastAsia="zh-CN"/>
              </w:rPr>
              <w:t>服务资源授权合同</w:t>
            </w:r>
            <w:r>
              <w:rPr>
                <w:rFonts w:hint="eastAsia" w:ascii="宋体" w:hAnsi="宋体" w:eastAsia="宋体" w:cs="宋体"/>
                <w:color w:val="auto"/>
                <w:sz w:val="22"/>
                <w:szCs w:val="22"/>
                <w:highlight w:val="none"/>
              </w:rPr>
              <w:t>的（获得书面授权或租赁合同</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得3分，</w:t>
            </w:r>
            <w:r>
              <w:rPr>
                <w:rFonts w:hint="eastAsia" w:ascii="宋体" w:hAnsi="宋体" w:eastAsia="宋体" w:cs="宋体"/>
                <w:color w:val="auto"/>
                <w:sz w:val="22"/>
                <w:szCs w:val="22"/>
                <w:highlight w:val="none"/>
                <w:lang w:val="en-US" w:eastAsia="zh-CN"/>
              </w:rPr>
              <w:t>承诺在中标后5个工作日内提供服务资源授权合同</w:t>
            </w:r>
            <w:r>
              <w:rPr>
                <w:rFonts w:hint="eastAsia" w:ascii="宋体" w:hAnsi="宋体" w:eastAsia="宋体" w:cs="宋体"/>
                <w:color w:val="auto"/>
                <w:sz w:val="22"/>
                <w:szCs w:val="22"/>
                <w:highlight w:val="none"/>
              </w:rPr>
              <w:t>得1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（商务和技术文件中提供证明材料，否则不得分）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投标人提供自有光纤资源情况说明或提供本项目运营商光纤管道资源授权合同得3分，承诺在中标后5个工作日内提供本项目运营商光纤管道资源授权合同的得1.5分。（商务和技术文件中提供证明材料，否则不得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同类项目经验</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投标人2019年01月01日至本项目投标截止时间止（合同签订日期为准）具有类似项目业绩的，每提供1个得1分，最高得3分。</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注：提供合同复印件并加盖投标人公章，否则不得分。</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节能环保产品</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注：以上提供有效的证书原件扫描件并加盖电子签章，否则不得分。</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投标产品的性能及技术指标</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符合（负偏离）技术要求中标注“▲且加下划线”条款（不可偏离）的投标无效。满足招标文件明确的全部技术要求的得满分：评审小组根据参数应答和提供参数中所要求的证明材料情况进行评分，评分要求如下：</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根据所投产品技术参数与招标文件带“★”为重要参数要求的响应程度，不满足或负偏离的每项扣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分，本项共计20分，20</w:t>
            </w:r>
            <w:r>
              <w:rPr>
                <w:rFonts w:hint="eastAsia" w:ascii="宋体" w:hAnsi="宋体" w:cs="宋体"/>
                <w:color w:val="auto"/>
                <w:sz w:val="22"/>
                <w:szCs w:val="22"/>
                <w:highlight w:val="none"/>
                <w:lang w:eastAsia="zh-CN"/>
              </w:rPr>
              <w:t>分</w:t>
            </w:r>
            <w:bookmarkStart w:id="299" w:name="_GoBack"/>
            <w:bookmarkEnd w:id="299"/>
            <w:r>
              <w:rPr>
                <w:rFonts w:hint="eastAsia" w:ascii="宋体" w:hAnsi="宋体" w:eastAsia="宋体" w:cs="宋体"/>
                <w:color w:val="auto"/>
                <w:sz w:val="22"/>
                <w:szCs w:val="22"/>
                <w:highlight w:val="none"/>
              </w:rPr>
              <w:t>扣完为止。</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2、根据所投产品技术指标与招标文件一般参数要求的响应程度。</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1）完全满足（无负偏离）得4分；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2）较满足（负偏离项≤</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项）得3分；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3）一般满足（</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＜负偏离项≤</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项）得2分；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4）基本满足（</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＜负偏离项≤</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项）得1分；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5）不满足（负偏离项＞</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项）得0分。</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注：以上采购要求的内容必须在《采购需求偏离表》中完整体现。不能按照招标要求提供</w:t>
            </w:r>
            <w:r>
              <w:rPr>
                <w:rFonts w:hint="eastAsia" w:ascii="宋体" w:hAnsi="宋体" w:eastAsia="宋体" w:cs="宋体"/>
                <w:color w:val="auto"/>
                <w:sz w:val="22"/>
                <w:szCs w:val="22"/>
                <w:highlight w:val="none"/>
                <w:lang w:val="en-US" w:eastAsia="zh-CN"/>
              </w:rPr>
              <w:t>检测报告</w:t>
            </w:r>
            <w:r>
              <w:rPr>
                <w:rFonts w:hint="eastAsia" w:ascii="宋体" w:hAnsi="宋体" w:eastAsia="宋体" w:cs="宋体"/>
                <w:color w:val="auto"/>
                <w:sz w:val="22"/>
                <w:szCs w:val="22"/>
                <w:highlight w:val="none"/>
              </w:rPr>
              <w:t>等证明文件，视为负偏离。</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投标人技术方案的合理性，叙述的准确性，结构图、流程图、系统图等的完整性、准确性、规范性，方案的内容对实际需求的符合性综合考虑。(1)合理性、完整性、准确性、规范性强的得5分；(2)合理性、完整性、准确性、规范性较强的4分；(3)合理性、完整性、准确性、规范性一般的得3分；(4)合理性、完整性、准确性、规范性不强的得1分；(5)不提供不得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2、针对</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指定点位的增加、移机应急响应、**保障能力进行评分：(1)点位的增加、移机应急响应能力、**保障能力科学、合理的得3分；(2)点位的增加、移机应急响应能力、**保障能力比较科学、合理的得2分；(3)点位的增加、移机应急响应能力不够完整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分；(4)方案不太合理的得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分；(5)不提供不得分</w:t>
            </w:r>
            <w:r>
              <w:rPr>
                <w:rFonts w:hint="eastAsia" w:ascii="宋体" w:hAnsi="宋体" w:eastAsia="宋体" w:cs="宋体"/>
                <w:color w:val="auto"/>
                <w:sz w:val="22"/>
                <w:szCs w:val="22"/>
                <w:highlight w:val="none"/>
                <w:lang w:eastAsia="zh-CN"/>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主观分</w:t>
            </w: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投标人针对“非机车违法抓拍系统”建设的重难点进行分析，提供重难点解决方案与后续迭代升级方案建议等综合打分。(1)分析及建议适用性、可行性强的得5分；(2)分析及建议适用性、可行性较强的4分；(3)分析及建议适用性、可行性一般的得3分；(4)分析及建议适用性、可行性不强的得1分；(5)不提供不得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主观分</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保障措施</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各项保障措施，包括安全保证措施、质量保证措施、进度保证措施和环境保证措施等综合打分。(1)保障措施适用性、可行性强的得3分；(2)保障措施适用性、可行性较强的2分；(3)保障措施适用性、可行性一般的得1分；(4)保障措施适用性、可行性不强的得0.5分；(5)不提供不得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主观分</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施工、安装方案</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根据投标人提出的具体施工计划、安装方案是否符合相关施工标准要求，是否符合实际情况，由专家进行打分。(1)符合相关施工标准要求、符合实际的得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分；(2)比较符合相关施工标准要求、比较符合实际的得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分；(3)基本符合相关施工标准要求、基本符合实的得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分；(4)不够符合相关施工标准要求、不够符合实际的</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分；(5)未提供不得分。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主观分</w:t>
            </w:r>
          </w:p>
        </w:tc>
      </w:tr>
      <w:tr>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技术服务及力量保障</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1、项目负责人（一名）具有信息系统项目管理师、注册信息安全专业人员、传输与接入技术通信专业技术人员证书，证书全部提供的得3分，部分提供的得1分。</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2、技术负责人（一名）具有一级建造师（通信与广电工程）、高级网络与信息安全工程师、弱电系统集成项目经理(高级)，证书全部提供的得3分，部分提供的得1分。</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组成员（不含项目经理和技术负责人）中具有高级工程师(移动通信网络管理)、高级工程师（信息技术）、通信专业技术人员（互联网技术）、信息系统运维管理工程师、信息安全工程师证书，每提供1种证书的得0.5分，最多2分。</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注：以上人员需提供证书复印件的需加盖公章，未提供或提供不全不得分。</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售后服务能力</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根据供应商提供的售后运维服务方案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包括但不限于针对本项目提供的服务网点、主要设备（摄像机、存储）制造商提供的售后服务、响应时间等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的可行性、完整性、服务保障措施以及后续技术人员配备等综合打分。(1)适用性、可行性强的得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分；(2)适用性、可行性较强的</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分；(3)适用性、可行性一般的得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分；(4)适用性、可行性不强的得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分；(5)不提供不得分。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2.报价评分（3</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p>
      <w:pPr>
        <w:keepNext w:val="0"/>
        <w:keepLines w:val="0"/>
        <w:pageBreakBefore w:val="0"/>
        <w:kinsoku/>
        <w:wordWrap/>
        <w:overflowPunct/>
        <w:topLinePunct w:val="0"/>
        <w:autoSpaceDE/>
        <w:autoSpaceDN/>
        <w:bidi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2.1资格及符合性审查通过的有效投标人进入商务报价评分。</w:t>
      </w:r>
    </w:p>
    <w:p>
      <w:pPr>
        <w:keepNext w:val="0"/>
        <w:keepLines w:val="0"/>
        <w:pageBreakBefore w:val="0"/>
        <w:kinsoku/>
        <w:wordWrap/>
        <w:overflowPunct/>
        <w:topLinePunct w:val="0"/>
        <w:autoSpaceDE/>
        <w:autoSpaceDN/>
        <w:bidi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报价评分采用低价优先法计算，即满足招标文件要求且评审价格最低的为评标基准价，其价格分为满分。其他投标人的报价分按照下列公式计算：</w:t>
      </w:r>
    </w:p>
    <w:p>
      <w:pPr>
        <w:keepNext w:val="0"/>
        <w:keepLines w:val="0"/>
        <w:pageBreakBefore w:val="0"/>
        <w:kinsoku/>
        <w:wordWrap/>
        <w:overflowPunct/>
        <w:topLinePunct w:val="0"/>
        <w:autoSpaceDE/>
        <w:autoSpaceDN/>
        <w:bidi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报价分=（评标基准价/评审价格）×3</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w:t>
      </w:r>
    </w:p>
    <w:p>
      <w:pPr>
        <w:keepNext w:val="0"/>
        <w:keepLines w:val="0"/>
        <w:pageBreakBefore w:val="0"/>
        <w:kinsoku/>
        <w:wordWrap/>
        <w:overflowPunct/>
        <w:topLinePunct w:val="0"/>
        <w:autoSpaceDE/>
        <w:autoSpaceDN/>
        <w:bidi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注：以上四舍五入后保留小数</w:t>
      </w:r>
      <w:r>
        <w:rPr>
          <w:rFonts w:hint="eastAsia" w:ascii="宋体" w:hAnsi="宋体" w:eastAsia="宋体" w:cs="宋体"/>
          <w:color w:val="auto"/>
          <w:sz w:val="22"/>
          <w:highlight w:val="none"/>
        </w:rPr>
        <w:t>2位</w:t>
      </w:r>
    </w:p>
    <w:p>
      <w:pPr>
        <w:pageBreakBefore w:val="0"/>
        <w:kinsoku/>
        <w:wordWrap/>
        <w:overflowPunct/>
        <w:topLinePunct w:val="0"/>
        <w:bidi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投标如缺少须提供的一种功能或配置或服务，该价格将在其投标价的基础上加上其他投标人相应分项价格的最高价。如若中标，该缺漏项费用将由中标人自行承担，投标报价不做调整。</w:t>
      </w:r>
    </w:p>
    <w:p>
      <w:pPr>
        <w:pageBreakBefore w:val="0"/>
        <w:kinsoku/>
        <w:wordWrap/>
        <w:overflowPunct/>
        <w:topLinePunct w:val="0"/>
        <w:bidi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bCs/>
          <w:color w:val="auto"/>
          <w:sz w:val="22"/>
          <w:highlight w:val="none"/>
        </w:rPr>
        <w:t>2.2</w:t>
      </w:r>
      <w:r>
        <w:rPr>
          <w:rFonts w:hint="eastAsia" w:ascii="宋体" w:hAnsi="宋体" w:eastAsia="宋体" w:cs="宋体"/>
          <w:color w:val="auto"/>
          <w:sz w:val="22"/>
          <w:highlight w:val="none"/>
        </w:rPr>
        <w:t>投标人的综合评分为“商务和技术分”和“报价分”的总计。</w:t>
      </w:r>
    </w:p>
    <w:sectPr>
      <w:pgSz w:w="11906" w:h="16838"/>
      <w:pgMar w:top="1440" w:right="1083" w:bottom="1440" w:left="1083"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59" w:rightChars="17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 AQAADwAAAGRycy9kb3ducmV2LnhtbE2PwWrDMBBE74X8g9hAb40cG5rgWs4h0EtvTUuht421sUyl lZEUx/77qr20l4Vhhpm3zWF2VkwU4uBZwXZTgCDuvB64V/D+9vywBxETskbrmRQsFOHQru4arLW/ 8StNp9SLXMKxRgUmpbGWMnaGHMaNH4mzd/HBYcoy9FIHvOVyZ2VZFI/S4cB5weBIR0Pd1+nqFOzm D09jpCN9XqYumGHZ25dFqfv1tngCkWhOf2H4wc/o0Gams7+yjsIqyI+k35u9XVmBOCsoqwpk28j/ 7O03UEsDBBQAAAAIAIdO4kB3EBldwgEAAJkDAAAOAAAAZHJzL2Uyb0RvYy54bWytU8GO0zAQvSPx D5bvNEm1BTZqulpULUJCwGrhA1zHaSzZHmvsNOnfM3aaLiyXPXBxJuPJm/feTLZ3kzXspDBocA2v ViVnyklotTs2/NfPh3cfOQtRuFYYcKrhZxX43e7tm+3oa7WGHkyrkBGIC/XoG97H6OuiCLJXVoQV eOXosgO0ItIrHosWxUjo1hTrsnxfjICtR5AqBMru50t+QcTXAELXaan2IAerXJxRURkRSVLotQ98 l9l2nZLxe9cFFZlpOCmN+aQmFB/SWey2oj6i8L2WFwriNRReaLJCO2p6hdqLKNiA+h8oqyVCgC6u JNhiFpIdIRVV+cKbp154lbWQ1cFfTQ//D1Z+O/1AplvahDVnTlia+OMgWnaPCCOrkkGjDzXVPXmq jNMnmKh4yQdKJt1ThzY9SRGje7L3fLVXTZFJSt5sbqtyw5mkq+rmw+1mk1CK5489hvhZgWUpaDjS 9LKp4vQ1xLl0KUm9HDxoY/IEjfsrQZgpUyTmM8MUxekwXeQcoD2TmpEG33BHe86Z+eLI17QjS4BL cFiCwaM+9kStyryCvx8ikcjcUocZ9tKYJpbVXbYrrcSf77nq+Y/a/QZ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AsBAAAW0NvbnRlbnRfVHlwZXNd LnhtbFBLAQIUAAoAAAAAAIdO4kAAAAAAAAAAAAAAAAAGAAAAAAAAAAAAEAAAAA4DAABfcmVscy9Q SwECFAAUAAAACACHTuJAihRmPNEAAACUAQAACwAAAAAAAAABACAAAAAyAwAAX3JlbHMvLnJlbHNQ SwECFAAKAAAAAACHTuJAAAAAAAAAAAAAAAAABAAAAAAAAAAAABAAAAAAAAAAZHJzL1BLAQIUABQA AAAIAIdO4kCiUQJN0QAAAAMBAAAPAAAAAAAAAAEAIAAAACIAAABkcnMvZG93bnJldi54bWxQSwEC FAAUAAAACACHTuJAdxAZXcIBAACZAwAADgAAAAAAAAABACAAAAAgAQAAZHJzL2Uyb0RvYy54bWxQ SwUGAAAAAAYABgBZAQAAVAUAAAAA ">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A74D"/>
    <w:multiLevelType w:val="singleLevel"/>
    <w:tmpl w:val="8C9DA74D"/>
    <w:lvl w:ilvl="0" w:tentative="0">
      <w:start w:val="1"/>
      <w:numFmt w:val="decimal"/>
      <w:suff w:val="nothing"/>
      <w:lvlText w:val="%1．"/>
      <w:lvlJc w:val="left"/>
      <w:pPr>
        <w:ind w:left="0" w:firstLine="400"/>
      </w:pPr>
      <w:rPr>
        <w:rFonts w:hint="default"/>
      </w:rPr>
    </w:lvl>
  </w:abstractNum>
  <w:abstractNum w:abstractNumId="1">
    <w:nsid w:val="8CFFEF5C"/>
    <w:multiLevelType w:val="singleLevel"/>
    <w:tmpl w:val="8CFFEF5C"/>
    <w:lvl w:ilvl="0" w:tentative="0">
      <w:start w:val="1"/>
      <w:numFmt w:val="decimal"/>
      <w:lvlText w:val="(%1)"/>
      <w:lvlJc w:val="left"/>
      <w:pPr>
        <w:ind w:left="425" w:hanging="425"/>
      </w:pPr>
      <w:rPr>
        <w:rFonts w:hint="default"/>
      </w:rPr>
    </w:lvl>
  </w:abstractNum>
  <w:abstractNum w:abstractNumId="2">
    <w:nsid w:val="8F6D6761"/>
    <w:multiLevelType w:val="singleLevel"/>
    <w:tmpl w:val="8F6D6761"/>
    <w:lvl w:ilvl="0" w:tentative="0">
      <w:start w:val="1"/>
      <w:numFmt w:val="decimal"/>
      <w:lvlText w:val="%1."/>
      <w:lvlJc w:val="left"/>
      <w:pPr>
        <w:ind w:left="425" w:hanging="425"/>
      </w:pPr>
      <w:rPr>
        <w:rFonts w:hint="default"/>
      </w:rPr>
    </w:lvl>
  </w:abstractNum>
  <w:abstractNum w:abstractNumId="3">
    <w:nsid w:val="95453E24"/>
    <w:multiLevelType w:val="singleLevel"/>
    <w:tmpl w:val="95453E24"/>
    <w:lvl w:ilvl="0" w:tentative="0">
      <w:start w:val="1"/>
      <w:numFmt w:val="decimal"/>
      <w:lvlText w:val="%1."/>
      <w:lvlJc w:val="left"/>
      <w:pPr>
        <w:ind w:left="425" w:hanging="425"/>
      </w:pPr>
      <w:rPr>
        <w:rFonts w:hint="default"/>
      </w:rPr>
    </w:lvl>
  </w:abstractNum>
  <w:abstractNum w:abstractNumId="4">
    <w:nsid w:val="972CA605"/>
    <w:multiLevelType w:val="singleLevel"/>
    <w:tmpl w:val="972CA605"/>
    <w:lvl w:ilvl="0" w:tentative="0">
      <w:start w:val="1"/>
      <w:numFmt w:val="decimal"/>
      <w:lvlText w:val="%1."/>
      <w:lvlJc w:val="left"/>
      <w:pPr>
        <w:ind w:left="425" w:hanging="425"/>
      </w:pPr>
      <w:rPr>
        <w:rFonts w:hint="default"/>
      </w:rPr>
    </w:lvl>
  </w:abstractNum>
  <w:abstractNum w:abstractNumId="5">
    <w:nsid w:val="A04B62EC"/>
    <w:multiLevelType w:val="singleLevel"/>
    <w:tmpl w:val="A04B62EC"/>
    <w:lvl w:ilvl="0" w:tentative="0">
      <w:start w:val="1"/>
      <w:numFmt w:val="decimal"/>
      <w:lvlText w:val="%1."/>
      <w:lvlJc w:val="left"/>
      <w:pPr>
        <w:ind w:left="425" w:hanging="425"/>
      </w:pPr>
      <w:rPr>
        <w:rFonts w:hint="default"/>
      </w:rPr>
    </w:lvl>
  </w:abstractNum>
  <w:abstractNum w:abstractNumId="6">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7"/>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BA8C38A3"/>
    <w:multiLevelType w:val="singleLevel"/>
    <w:tmpl w:val="BA8C38A3"/>
    <w:lvl w:ilvl="0" w:tentative="0">
      <w:start w:val="1"/>
      <w:numFmt w:val="decimal"/>
      <w:lvlText w:val="%1."/>
      <w:lvlJc w:val="left"/>
      <w:pPr>
        <w:ind w:left="425" w:hanging="425"/>
      </w:pPr>
      <w:rPr>
        <w:rFonts w:hint="default"/>
      </w:rPr>
    </w:lvl>
  </w:abstractNum>
  <w:abstractNum w:abstractNumId="8">
    <w:nsid w:val="BCD11525"/>
    <w:multiLevelType w:val="singleLevel"/>
    <w:tmpl w:val="BCD11525"/>
    <w:lvl w:ilvl="0" w:tentative="0">
      <w:start w:val="1"/>
      <w:numFmt w:val="decimalEnclosedCircleChinese"/>
      <w:suff w:val="nothing"/>
      <w:lvlText w:val="%1　"/>
      <w:lvlJc w:val="left"/>
      <w:pPr>
        <w:ind w:left="0" w:firstLine="400"/>
      </w:pPr>
      <w:rPr>
        <w:rFonts w:hint="eastAsia"/>
      </w:rPr>
    </w:lvl>
  </w:abstractNum>
  <w:abstractNum w:abstractNumId="9">
    <w:nsid w:val="BFEBD49F"/>
    <w:multiLevelType w:val="singleLevel"/>
    <w:tmpl w:val="BFEBD49F"/>
    <w:lvl w:ilvl="0" w:tentative="0">
      <w:start w:val="1"/>
      <w:numFmt w:val="decimal"/>
      <w:lvlText w:val="%1."/>
      <w:lvlJc w:val="left"/>
      <w:pPr>
        <w:ind w:left="425" w:hanging="425"/>
      </w:pPr>
      <w:rPr>
        <w:rFonts w:hint="default"/>
      </w:rPr>
    </w:lvl>
  </w:abstractNum>
  <w:abstractNum w:abstractNumId="10">
    <w:nsid w:val="C52E8493"/>
    <w:multiLevelType w:val="singleLevel"/>
    <w:tmpl w:val="C52E8493"/>
    <w:lvl w:ilvl="0" w:tentative="0">
      <w:start w:val="1"/>
      <w:numFmt w:val="decimal"/>
      <w:lvlText w:val="%1."/>
      <w:lvlJc w:val="left"/>
      <w:pPr>
        <w:ind w:left="425" w:hanging="425"/>
      </w:pPr>
      <w:rPr>
        <w:rFonts w:hint="default"/>
      </w:rPr>
    </w:lvl>
  </w:abstractNum>
  <w:abstractNum w:abstractNumId="11">
    <w:nsid w:val="C8B16661"/>
    <w:multiLevelType w:val="singleLevel"/>
    <w:tmpl w:val="C8B16661"/>
    <w:lvl w:ilvl="0" w:tentative="0">
      <w:start w:val="1"/>
      <w:numFmt w:val="chineseCounting"/>
      <w:suff w:val="nothing"/>
      <w:lvlText w:val="%1、"/>
      <w:lvlJc w:val="left"/>
      <w:rPr>
        <w:rFonts w:hint="eastAsia"/>
      </w:rPr>
    </w:lvl>
  </w:abstractNum>
  <w:abstractNum w:abstractNumId="12">
    <w:nsid w:val="CDF50975"/>
    <w:multiLevelType w:val="singleLevel"/>
    <w:tmpl w:val="CDF50975"/>
    <w:lvl w:ilvl="0" w:tentative="0">
      <w:start w:val="1"/>
      <w:numFmt w:val="decimal"/>
      <w:lvlText w:val="(%1)"/>
      <w:lvlJc w:val="left"/>
      <w:pPr>
        <w:ind w:left="425" w:hanging="425"/>
      </w:pPr>
      <w:rPr>
        <w:rFonts w:hint="default"/>
      </w:rPr>
    </w:lvl>
  </w:abstractNum>
  <w:abstractNum w:abstractNumId="13">
    <w:nsid w:val="D0C299A9"/>
    <w:multiLevelType w:val="singleLevel"/>
    <w:tmpl w:val="D0C299A9"/>
    <w:lvl w:ilvl="0" w:tentative="0">
      <w:start w:val="1"/>
      <w:numFmt w:val="chineseCounting"/>
      <w:suff w:val="nothing"/>
      <w:lvlText w:val="（%1）"/>
      <w:lvlJc w:val="left"/>
      <w:rPr>
        <w:rFonts w:hint="eastAsia"/>
      </w:rPr>
    </w:lvl>
  </w:abstractNum>
  <w:abstractNum w:abstractNumId="14">
    <w:nsid w:val="DE4CD653"/>
    <w:multiLevelType w:val="singleLevel"/>
    <w:tmpl w:val="DE4CD653"/>
    <w:lvl w:ilvl="0" w:tentative="0">
      <w:start w:val="1"/>
      <w:numFmt w:val="decimal"/>
      <w:lvlText w:val="%1."/>
      <w:lvlJc w:val="left"/>
      <w:pPr>
        <w:ind w:left="425" w:hanging="425"/>
      </w:pPr>
      <w:rPr>
        <w:rFonts w:hint="default"/>
      </w:rPr>
    </w:lvl>
  </w:abstractNum>
  <w:abstractNum w:abstractNumId="15">
    <w:nsid w:val="E2D83085"/>
    <w:multiLevelType w:val="singleLevel"/>
    <w:tmpl w:val="E2D83085"/>
    <w:lvl w:ilvl="0" w:tentative="0">
      <w:start w:val="1"/>
      <w:numFmt w:val="decimalEnclosedCircleChinese"/>
      <w:suff w:val="nothing"/>
      <w:lvlText w:val="%1　"/>
      <w:lvlJc w:val="left"/>
      <w:pPr>
        <w:ind w:left="0" w:firstLine="400"/>
      </w:pPr>
      <w:rPr>
        <w:rFonts w:hint="eastAsia"/>
      </w:rPr>
    </w:lvl>
  </w:abstractNum>
  <w:abstractNum w:abstractNumId="16">
    <w:nsid w:val="EBB14E3F"/>
    <w:multiLevelType w:val="singleLevel"/>
    <w:tmpl w:val="EBB14E3F"/>
    <w:lvl w:ilvl="0" w:tentative="0">
      <w:start w:val="1"/>
      <w:numFmt w:val="decimal"/>
      <w:suff w:val="nothing"/>
      <w:lvlText w:val="（%1）"/>
      <w:lvlJc w:val="left"/>
    </w:lvl>
  </w:abstractNum>
  <w:abstractNum w:abstractNumId="17">
    <w:nsid w:val="ED202204"/>
    <w:multiLevelType w:val="singleLevel"/>
    <w:tmpl w:val="ED202204"/>
    <w:lvl w:ilvl="0" w:tentative="0">
      <w:start w:val="1"/>
      <w:numFmt w:val="decimal"/>
      <w:lvlText w:val="%1."/>
      <w:lvlJc w:val="left"/>
      <w:pPr>
        <w:ind w:left="425" w:hanging="425"/>
      </w:pPr>
      <w:rPr>
        <w:rFonts w:hint="default"/>
      </w:rPr>
    </w:lvl>
  </w:abstractNum>
  <w:abstractNum w:abstractNumId="18">
    <w:nsid w:val="F01BADDF"/>
    <w:multiLevelType w:val="singleLevel"/>
    <w:tmpl w:val="F01BADDF"/>
    <w:lvl w:ilvl="0" w:tentative="0">
      <w:start w:val="1"/>
      <w:numFmt w:val="decimal"/>
      <w:lvlText w:val="%1."/>
      <w:lvlJc w:val="left"/>
      <w:pPr>
        <w:ind w:left="425" w:hanging="425"/>
      </w:pPr>
      <w:rPr>
        <w:rFonts w:hint="default"/>
      </w:rPr>
    </w:lvl>
  </w:abstractNum>
  <w:abstractNum w:abstractNumId="19">
    <w:nsid w:val="F9EC2A9F"/>
    <w:multiLevelType w:val="singleLevel"/>
    <w:tmpl w:val="F9EC2A9F"/>
    <w:lvl w:ilvl="0" w:tentative="0">
      <w:start w:val="1"/>
      <w:numFmt w:val="decimal"/>
      <w:lvlText w:val="%1."/>
      <w:lvlJc w:val="left"/>
      <w:pPr>
        <w:tabs>
          <w:tab w:val="left" w:pos="312"/>
        </w:tabs>
      </w:pPr>
    </w:lvl>
  </w:abstractNum>
  <w:abstractNum w:abstractNumId="20">
    <w:nsid w:val="FB0E0A93"/>
    <w:multiLevelType w:val="singleLevel"/>
    <w:tmpl w:val="FB0E0A93"/>
    <w:lvl w:ilvl="0" w:tentative="0">
      <w:start w:val="1"/>
      <w:numFmt w:val="decimalEnclosedCircleChinese"/>
      <w:suff w:val="nothing"/>
      <w:lvlText w:val="%1　"/>
      <w:lvlJc w:val="left"/>
      <w:pPr>
        <w:ind w:left="0" w:firstLine="400"/>
      </w:pPr>
      <w:rPr>
        <w:rFonts w:hint="eastAsia"/>
      </w:rPr>
    </w:lvl>
  </w:abstractNum>
  <w:abstractNum w:abstractNumId="2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2">
    <w:nsid w:val="021C584F"/>
    <w:multiLevelType w:val="singleLevel"/>
    <w:tmpl w:val="021C584F"/>
    <w:lvl w:ilvl="0" w:tentative="0">
      <w:start w:val="4"/>
      <w:numFmt w:val="chineseCounting"/>
      <w:lvlText w:val="%1."/>
      <w:lvlJc w:val="left"/>
      <w:pPr>
        <w:tabs>
          <w:tab w:val="left" w:pos="312"/>
        </w:tabs>
      </w:pPr>
      <w:rPr>
        <w:rFonts w:hint="eastAsia"/>
      </w:rPr>
    </w:lvl>
  </w:abstractNum>
  <w:abstractNum w:abstractNumId="23">
    <w:nsid w:val="0BE944EA"/>
    <w:multiLevelType w:val="singleLevel"/>
    <w:tmpl w:val="0BE944EA"/>
    <w:lvl w:ilvl="0" w:tentative="0">
      <w:start w:val="1"/>
      <w:numFmt w:val="decimal"/>
      <w:lvlText w:val="%1."/>
      <w:lvlJc w:val="left"/>
      <w:pPr>
        <w:ind w:left="425" w:hanging="425"/>
      </w:pPr>
      <w:rPr>
        <w:rFonts w:hint="default"/>
      </w:rPr>
    </w:lvl>
  </w:abstractNum>
  <w:abstractNum w:abstractNumId="24">
    <w:nsid w:val="12B3AF4D"/>
    <w:multiLevelType w:val="singleLevel"/>
    <w:tmpl w:val="12B3AF4D"/>
    <w:lvl w:ilvl="0" w:tentative="0">
      <w:start w:val="1"/>
      <w:numFmt w:val="decimal"/>
      <w:lvlText w:val="%1."/>
      <w:lvlJc w:val="left"/>
      <w:pPr>
        <w:ind w:left="425" w:hanging="425"/>
      </w:pPr>
      <w:rPr>
        <w:rFonts w:hint="default"/>
      </w:rPr>
    </w:lvl>
  </w:abstractNum>
  <w:abstractNum w:abstractNumId="25">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26">
    <w:nsid w:val="1B18C489"/>
    <w:multiLevelType w:val="singleLevel"/>
    <w:tmpl w:val="1B18C489"/>
    <w:lvl w:ilvl="0" w:tentative="0">
      <w:start w:val="1"/>
      <w:numFmt w:val="decimal"/>
      <w:lvlText w:val="%1."/>
      <w:lvlJc w:val="left"/>
      <w:pPr>
        <w:ind w:left="425" w:hanging="425"/>
      </w:pPr>
      <w:rPr>
        <w:rFonts w:hint="default"/>
      </w:rPr>
    </w:lvl>
  </w:abstractNum>
  <w:abstractNum w:abstractNumId="27">
    <w:nsid w:val="21798722"/>
    <w:multiLevelType w:val="singleLevel"/>
    <w:tmpl w:val="21798722"/>
    <w:lvl w:ilvl="0" w:tentative="0">
      <w:start w:val="1"/>
      <w:numFmt w:val="decimalEnclosedCircleChinese"/>
      <w:suff w:val="nothing"/>
      <w:lvlText w:val="%1　"/>
      <w:lvlJc w:val="left"/>
      <w:pPr>
        <w:ind w:left="0" w:firstLine="400"/>
      </w:pPr>
      <w:rPr>
        <w:rFonts w:hint="eastAsia"/>
      </w:rPr>
    </w:lvl>
  </w:abstractNum>
  <w:abstractNum w:abstractNumId="28">
    <w:nsid w:val="21D920CC"/>
    <w:multiLevelType w:val="singleLevel"/>
    <w:tmpl w:val="21D920CC"/>
    <w:lvl w:ilvl="0" w:tentative="0">
      <w:start w:val="1"/>
      <w:numFmt w:val="decimal"/>
      <w:lvlText w:val="%1."/>
      <w:lvlJc w:val="left"/>
      <w:pPr>
        <w:ind w:left="425" w:hanging="425"/>
      </w:pPr>
      <w:rPr>
        <w:rFonts w:hint="default"/>
      </w:rPr>
    </w:lvl>
  </w:abstractNum>
  <w:abstractNum w:abstractNumId="29">
    <w:nsid w:val="22BA3550"/>
    <w:multiLevelType w:val="singleLevel"/>
    <w:tmpl w:val="22BA3550"/>
    <w:lvl w:ilvl="0" w:tentative="0">
      <w:start w:val="1"/>
      <w:numFmt w:val="decimal"/>
      <w:lvlText w:val="%1."/>
      <w:lvlJc w:val="left"/>
      <w:pPr>
        <w:ind w:left="425" w:hanging="425"/>
      </w:pPr>
      <w:rPr>
        <w:rFonts w:hint="default"/>
      </w:rPr>
    </w:lvl>
  </w:abstractNum>
  <w:abstractNum w:abstractNumId="30">
    <w:nsid w:val="2E07EBD8"/>
    <w:multiLevelType w:val="singleLevel"/>
    <w:tmpl w:val="2E07EBD8"/>
    <w:lvl w:ilvl="0" w:tentative="0">
      <w:start w:val="3"/>
      <w:numFmt w:val="decimal"/>
      <w:lvlText w:val="%1."/>
      <w:lvlJc w:val="left"/>
      <w:pPr>
        <w:tabs>
          <w:tab w:val="left" w:pos="312"/>
        </w:tabs>
      </w:pPr>
    </w:lvl>
  </w:abstractNum>
  <w:abstractNum w:abstractNumId="31">
    <w:nsid w:val="2E3AEEEF"/>
    <w:multiLevelType w:val="singleLevel"/>
    <w:tmpl w:val="2E3AEEEF"/>
    <w:lvl w:ilvl="0" w:tentative="0">
      <w:start w:val="1"/>
      <w:numFmt w:val="decimalEnclosedCircleChinese"/>
      <w:suff w:val="nothing"/>
      <w:lvlText w:val="%1　"/>
      <w:lvlJc w:val="left"/>
      <w:pPr>
        <w:ind w:left="0" w:firstLine="400"/>
      </w:pPr>
      <w:rPr>
        <w:rFonts w:hint="eastAsia"/>
      </w:rPr>
    </w:lvl>
  </w:abstractNum>
  <w:abstractNum w:abstractNumId="32">
    <w:nsid w:val="2EE1DC1D"/>
    <w:multiLevelType w:val="singleLevel"/>
    <w:tmpl w:val="2EE1DC1D"/>
    <w:lvl w:ilvl="0" w:tentative="0">
      <w:start w:val="1"/>
      <w:numFmt w:val="decimal"/>
      <w:lvlText w:val="%1."/>
      <w:lvlJc w:val="left"/>
      <w:pPr>
        <w:ind w:left="425" w:hanging="425"/>
      </w:pPr>
      <w:rPr>
        <w:rFonts w:hint="default"/>
      </w:rPr>
    </w:lvl>
  </w:abstractNum>
  <w:abstractNum w:abstractNumId="33">
    <w:nsid w:val="308A3DF5"/>
    <w:multiLevelType w:val="singleLevel"/>
    <w:tmpl w:val="308A3DF5"/>
    <w:lvl w:ilvl="0" w:tentative="0">
      <w:start w:val="1"/>
      <w:numFmt w:val="decimal"/>
      <w:lvlText w:val="%1."/>
      <w:lvlJc w:val="left"/>
      <w:pPr>
        <w:ind w:left="425" w:hanging="425"/>
      </w:pPr>
      <w:rPr>
        <w:rFonts w:hint="default"/>
      </w:rPr>
    </w:lvl>
  </w:abstractNum>
  <w:abstractNum w:abstractNumId="34">
    <w:nsid w:val="34FD475E"/>
    <w:multiLevelType w:val="singleLevel"/>
    <w:tmpl w:val="34FD475E"/>
    <w:lvl w:ilvl="0" w:tentative="0">
      <w:start w:val="1"/>
      <w:numFmt w:val="decimal"/>
      <w:lvlText w:val="%1."/>
      <w:lvlJc w:val="left"/>
      <w:pPr>
        <w:ind w:left="425" w:hanging="425"/>
      </w:pPr>
      <w:rPr>
        <w:rFonts w:hint="default"/>
      </w:rPr>
    </w:lvl>
  </w:abstractNum>
  <w:abstractNum w:abstractNumId="35">
    <w:nsid w:val="3F99885D"/>
    <w:multiLevelType w:val="singleLevel"/>
    <w:tmpl w:val="3F99885D"/>
    <w:lvl w:ilvl="0" w:tentative="0">
      <w:start w:val="1"/>
      <w:numFmt w:val="decimal"/>
      <w:lvlText w:val="%1."/>
      <w:lvlJc w:val="left"/>
      <w:pPr>
        <w:ind w:left="425" w:hanging="425"/>
      </w:pPr>
      <w:rPr>
        <w:rFonts w:hint="default"/>
      </w:rPr>
    </w:lvl>
  </w:abstractNum>
  <w:abstractNum w:abstractNumId="36">
    <w:nsid w:val="4880F4E8"/>
    <w:multiLevelType w:val="singleLevel"/>
    <w:tmpl w:val="4880F4E8"/>
    <w:lvl w:ilvl="0" w:tentative="0">
      <w:start w:val="1"/>
      <w:numFmt w:val="decimal"/>
      <w:lvlText w:val="(%1)"/>
      <w:lvlJc w:val="left"/>
      <w:pPr>
        <w:ind w:left="425" w:hanging="425"/>
      </w:pPr>
      <w:rPr>
        <w:rFonts w:hint="default"/>
      </w:rPr>
    </w:lvl>
  </w:abstractNum>
  <w:abstractNum w:abstractNumId="37">
    <w:nsid w:val="49F24A99"/>
    <w:multiLevelType w:val="singleLevel"/>
    <w:tmpl w:val="49F24A99"/>
    <w:lvl w:ilvl="0" w:tentative="0">
      <w:start w:val="1"/>
      <w:numFmt w:val="decimal"/>
      <w:lvlText w:val="(%1)"/>
      <w:lvlJc w:val="left"/>
      <w:pPr>
        <w:ind w:left="425" w:hanging="425"/>
      </w:pPr>
      <w:rPr>
        <w:rFonts w:hint="default"/>
      </w:rPr>
    </w:lvl>
  </w:abstractNum>
  <w:abstractNum w:abstractNumId="38">
    <w:nsid w:val="4C59000B"/>
    <w:multiLevelType w:val="singleLevel"/>
    <w:tmpl w:val="4C59000B"/>
    <w:lvl w:ilvl="0" w:tentative="0">
      <w:start w:val="1"/>
      <w:numFmt w:val="decimal"/>
      <w:suff w:val="nothing"/>
      <w:lvlText w:val="%1、"/>
      <w:lvlJc w:val="left"/>
    </w:lvl>
  </w:abstractNum>
  <w:abstractNum w:abstractNumId="39">
    <w:nsid w:val="557FD3DA"/>
    <w:multiLevelType w:val="singleLevel"/>
    <w:tmpl w:val="557FD3DA"/>
    <w:lvl w:ilvl="0" w:tentative="0">
      <w:start w:val="3"/>
      <w:numFmt w:val="chineseCounting"/>
      <w:suff w:val="nothing"/>
      <w:lvlText w:val="%1、"/>
      <w:lvlJc w:val="left"/>
      <w:rPr>
        <w:rFonts w:cs="Times New Roman"/>
      </w:rPr>
    </w:lvl>
  </w:abstractNum>
  <w:abstractNum w:abstractNumId="40">
    <w:nsid w:val="564B4684"/>
    <w:multiLevelType w:val="singleLevel"/>
    <w:tmpl w:val="564B4684"/>
    <w:lvl w:ilvl="0" w:tentative="0">
      <w:start w:val="1"/>
      <w:numFmt w:val="decimal"/>
      <w:lvlText w:val="%1."/>
      <w:lvlJc w:val="left"/>
      <w:pPr>
        <w:ind w:left="425" w:hanging="425"/>
      </w:pPr>
      <w:rPr>
        <w:rFonts w:hint="default"/>
      </w:rPr>
    </w:lvl>
  </w:abstractNum>
  <w:abstractNum w:abstractNumId="41">
    <w:nsid w:val="5771C739"/>
    <w:multiLevelType w:val="singleLevel"/>
    <w:tmpl w:val="5771C739"/>
    <w:lvl w:ilvl="0" w:tentative="0">
      <w:start w:val="1"/>
      <w:numFmt w:val="decimal"/>
      <w:suff w:val="nothing"/>
      <w:lvlText w:val="%1．"/>
      <w:lvlJc w:val="left"/>
      <w:pPr>
        <w:ind w:left="0" w:firstLine="400"/>
      </w:pPr>
      <w:rPr>
        <w:rFonts w:hint="default"/>
      </w:rPr>
    </w:lvl>
  </w:abstractNum>
  <w:abstractNum w:abstractNumId="42">
    <w:nsid w:val="582314EC"/>
    <w:multiLevelType w:val="singleLevel"/>
    <w:tmpl w:val="582314EC"/>
    <w:lvl w:ilvl="0" w:tentative="0">
      <w:start w:val="1"/>
      <w:numFmt w:val="decimal"/>
      <w:lvlText w:val="%1."/>
      <w:lvlJc w:val="left"/>
      <w:pPr>
        <w:ind w:left="425" w:hanging="425"/>
      </w:pPr>
      <w:rPr>
        <w:rFonts w:hint="default"/>
      </w:rPr>
    </w:lvl>
  </w:abstractNum>
  <w:abstractNum w:abstractNumId="43">
    <w:nsid w:val="59C7961D"/>
    <w:multiLevelType w:val="singleLevel"/>
    <w:tmpl w:val="59C7961D"/>
    <w:lvl w:ilvl="0" w:tentative="0">
      <w:start w:val="1"/>
      <w:numFmt w:val="decimal"/>
      <w:lvlText w:val="%1."/>
      <w:lvlJc w:val="left"/>
      <w:pPr>
        <w:ind w:left="425" w:hanging="425"/>
      </w:pPr>
      <w:rPr>
        <w:rFonts w:hint="default"/>
      </w:rPr>
    </w:lvl>
  </w:abstractNum>
  <w:abstractNum w:abstractNumId="44">
    <w:nsid w:val="5C7AC1D3"/>
    <w:multiLevelType w:val="singleLevel"/>
    <w:tmpl w:val="5C7AC1D3"/>
    <w:lvl w:ilvl="0" w:tentative="0">
      <w:start w:val="1"/>
      <w:numFmt w:val="decimal"/>
      <w:lvlText w:val="%1."/>
      <w:lvlJc w:val="left"/>
      <w:pPr>
        <w:ind w:left="425" w:hanging="425"/>
      </w:pPr>
      <w:rPr>
        <w:rFonts w:hint="default"/>
      </w:rPr>
    </w:lvl>
  </w:abstractNum>
  <w:abstractNum w:abstractNumId="45">
    <w:nsid w:val="5C84852F"/>
    <w:multiLevelType w:val="singleLevel"/>
    <w:tmpl w:val="5C84852F"/>
    <w:lvl w:ilvl="0" w:tentative="0">
      <w:start w:val="1"/>
      <w:numFmt w:val="decimal"/>
      <w:lvlText w:val="%1."/>
      <w:lvlJc w:val="left"/>
      <w:pPr>
        <w:ind w:left="425" w:hanging="425"/>
      </w:pPr>
      <w:rPr>
        <w:rFonts w:hint="default"/>
      </w:rPr>
    </w:lvl>
  </w:abstractNum>
  <w:abstractNum w:abstractNumId="46">
    <w:nsid w:val="5D8D2C4A"/>
    <w:multiLevelType w:val="singleLevel"/>
    <w:tmpl w:val="5D8D2C4A"/>
    <w:lvl w:ilvl="0" w:tentative="0">
      <w:start w:val="1"/>
      <w:numFmt w:val="decimal"/>
      <w:suff w:val="nothing"/>
      <w:lvlText w:val="%1．"/>
      <w:lvlJc w:val="left"/>
      <w:pPr>
        <w:ind w:left="0" w:firstLine="400"/>
      </w:pPr>
      <w:rPr>
        <w:rFonts w:hint="default"/>
      </w:rPr>
    </w:lvl>
  </w:abstractNum>
  <w:abstractNum w:abstractNumId="47">
    <w:nsid w:val="5E0EDD62"/>
    <w:multiLevelType w:val="singleLevel"/>
    <w:tmpl w:val="5E0EDD62"/>
    <w:lvl w:ilvl="0" w:tentative="0">
      <w:start w:val="1"/>
      <w:numFmt w:val="decimal"/>
      <w:lvlText w:val="%1."/>
      <w:lvlJc w:val="left"/>
      <w:pPr>
        <w:ind w:left="425" w:hanging="425"/>
      </w:pPr>
      <w:rPr>
        <w:rFonts w:hint="default"/>
      </w:rPr>
    </w:lvl>
  </w:abstractNum>
  <w:abstractNum w:abstractNumId="48">
    <w:nsid w:val="60855A7F"/>
    <w:multiLevelType w:val="singleLevel"/>
    <w:tmpl w:val="60855A7F"/>
    <w:lvl w:ilvl="0" w:tentative="0">
      <w:start w:val="4"/>
      <w:numFmt w:val="chineseCounting"/>
      <w:suff w:val="nothing"/>
      <w:lvlText w:val="（%1）"/>
      <w:lvlJc w:val="left"/>
      <w:rPr>
        <w:rFonts w:hint="eastAsia"/>
      </w:rPr>
    </w:lvl>
  </w:abstractNum>
  <w:abstractNum w:abstractNumId="49">
    <w:nsid w:val="6C79CF72"/>
    <w:multiLevelType w:val="singleLevel"/>
    <w:tmpl w:val="6C79CF72"/>
    <w:lvl w:ilvl="0" w:tentative="0">
      <w:start w:val="1"/>
      <w:numFmt w:val="decimal"/>
      <w:lvlText w:val="%1."/>
      <w:lvlJc w:val="left"/>
      <w:pPr>
        <w:ind w:left="425" w:hanging="425"/>
      </w:pPr>
      <w:rPr>
        <w:rFonts w:hint="default"/>
      </w:rPr>
    </w:lvl>
  </w:abstractNum>
  <w:abstractNum w:abstractNumId="50">
    <w:nsid w:val="6D0DCE5D"/>
    <w:multiLevelType w:val="singleLevel"/>
    <w:tmpl w:val="6D0DCE5D"/>
    <w:lvl w:ilvl="0" w:tentative="0">
      <w:start w:val="1"/>
      <w:numFmt w:val="decimal"/>
      <w:lvlText w:val="%1."/>
      <w:lvlJc w:val="left"/>
      <w:pPr>
        <w:ind w:left="425" w:hanging="425"/>
      </w:pPr>
      <w:rPr>
        <w:rFonts w:hint="default"/>
      </w:rPr>
    </w:lvl>
  </w:abstractNum>
  <w:abstractNum w:abstractNumId="51">
    <w:nsid w:val="71D209FA"/>
    <w:multiLevelType w:val="singleLevel"/>
    <w:tmpl w:val="71D209FA"/>
    <w:lvl w:ilvl="0" w:tentative="0">
      <w:start w:val="1"/>
      <w:numFmt w:val="decimal"/>
      <w:lvlText w:val="%1."/>
      <w:lvlJc w:val="left"/>
      <w:pPr>
        <w:ind w:left="425" w:hanging="425"/>
      </w:pPr>
      <w:rPr>
        <w:rFonts w:hint="default"/>
      </w:rPr>
    </w:lvl>
  </w:abstractNum>
  <w:num w:numId="1">
    <w:abstractNumId w:val="6"/>
  </w:num>
  <w:num w:numId="2">
    <w:abstractNumId w:val="30"/>
  </w:num>
  <w:num w:numId="3">
    <w:abstractNumId w:val="19"/>
  </w:num>
  <w:num w:numId="4">
    <w:abstractNumId w:val="16"/>
  </w:num>
  <w:num w:numId="5">
    <w:abstractNumId w:val="46"/>
  </w:num>
  <w:num w:numId="6">
    <w:abstractNumId w:val="0"/>
  </w:num>
  <w:num w:numId="7">
    <w:abstractNumId w:val="41"/>
  </w:num>
  <w:num w:numId="8">
    <w:abstractNumId w:val="21"/>
  </w:num>
  <w:num w:numId="9">
    <w:abstractNumId w:val="38"/>
  </w:num>
  <w:num w:numId="10">
    <w:abstractNumId w:val="11"/>
  </w:num>
  <w:num w:numId="11">
    <w:abstractNumId w:val="39"/>
  </w:num>
  <w:num w:numId="12">
    <w:abstractNumId w:val="13"/>
  </w:num>
  <w:num w:numId="13">
    <w:abstractNumId w:val="27"/>
  </w:num>
  <w:num w:numId="14">
    <w:abstractNumId w:val="31"/>
  </w:num>
  <w:num w:numId="15">
    <w:abstractNumId w:val="20"/>
  </w:num>
  <w:num w:numId="16">
    <w:abstractNumId w:val="15"/>
  </w:num>
  <w:num w:numId="17">
    <w:abstractNumId w:val="1"/>
  </w:num>
  <w:num w:numId="18">
    <w:abstractNumId w:val="22"/>
  </w:num>
  <w:num w:numId="19">
    <w:abstractNumId w:val="48"/>
  </w:num>
  <w:num w:numId="20">
    <w:abstractNumId w:val="33"/>
  </w:num>
  <w:num w:numId="21">
    <w:abstractNumId w:val="24"/>
  </w:num>
  <w:num w:numId="22">
    <w:abstractNumId w:val="7"/>
  </w:num>
  <w:num w:numId="23">
    <w:abstractNumId w:val="40"/>
  </w:num>
  <w:num w:numId="24">
    <w:abstractNumId w:val="32"/>
  </w:num>
  <w:num w:numId="25">
    <w:abstractNumId w:val="14"/>
  </w:num>
  <w:num w:numId="26">
    <w:abstractNumId w:val="4"/>
  </w:num>
  <w:num w:numId="27">
    <w:abstractNumId w:val="47"/>
  </w:num>
  <w:num w:numId="28">
    <w:abstractNumId w:val="18"/>
  </w:num>
  <w:num w:numId="29">
    <w:abstractNumId w:val="35"/>
  </w:num>
  <w:num w:numId="30">
    <w:abstractNumId w:val="50"/>
  </w:num>
  <w:num w:numId="31">
    <w:abstractNumId w:val="49"/>
  </w:num>
  <w:num w:numId="32">
    <w:abstractNumId w:val="29"/>
  </w:num>
  <w:num w:numId="33">
    <w:abstractNumId w:val="17"/>
  </w:num>
  <w:num w:numId="34">
    <w:abstractNumId w:val="51"/>
  </w:num>
  <w:num w:numId="35">
    <w:abstractNumId w:val="43"/>
  </w:num>
  <w:num w:numId="36">
    <w:abstractNumId w:val="2"/>
  </w:num>
  <w:num w:numId="37">
    <w:abstractNumId w:val="10"/>
  </w:num>
  <w:num w:numId="38">
    <w:abstractNumId w:val="34"/>
  </w:num>
  <w:num w:numId="39">
    <w:abstractNumId w:val="44"/>
  </w:num>
  <w:num w:numId="40">
    <w:abstractNumId w:val="26"/>
  </w:num>
  <w:num w:numId="41">
    <w:abstractNumId w:val="42"/>
  </w:num>
  <w:num w:numId="42">
    <w:abstractNumId w:val="9"/>
  </w:num>
  <w:num w:numId="43">
    <w:abstractNumId w:val="45"/>
  </w:num>
  <w:num w:numId="44">
    <w:abstractNumId w:val="23"/>
  </w:num>
  <w:num w:numId="45">
    <w:abstractNumId w:val="5"/>
  </w:num>
  <w:num w:numId="46">
    <w:abstractNumId w:val="3"/>
  </w:num>
  <w:num w:numId="47">
    <w:abstractNumId w:val="28"/>
  </w:num>
  <w:num w:numId="48">
    <w:abstractNumId w:val="12"/>
  </w:num>
  <w:num w:numId="49">
    <w:abstractNumId w:val="37"/>
  </w:num>
  <w:num w:numId="50">
    <w:abstractNumId w:val="8"/>
  </w:num>
  <w:num w:numId="51">
    <w:abstractNumId w:val="36"/>
  </w:num>
  <w:num w:numId="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65E5"/>
    <w:rsid w:val="00097A19"/>
    <w:rsid w:val="000A3D9E"/>
    <w:rsid w:val="000A4CA6"/>
    <w:rsid w:val="000A581B"/>
    <w:rsid w:val="000A5A7A"/>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3ECB"/>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34C5"/>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2A0D"/>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5E37"/>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1DD6"/>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3AE4"/>
    <w:rsid w:val="009C56FD"/>
    <w:rsid w:val="009D1541"/>
    <w:rsid w:val="009D1BA6"/>
    <w:rsid w:val="009D2A6B"/>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6BBF"/>
    <w:rsid w:val="00A770E3"/>
    <w:rsid w:val="00A8036F"/>
    <w:rsid w:val="00A82CC5"/>
    <w:rsid w:val="00A83BAC"/>
    <w:rsid w:val="00A86B79"/>
    <w:rsid w:val="00A87928"/>
    <w:rsid w:val="00A87D46"/>
    <w:rsid w:val="00A913C6"/>
    <w:rsid w:val="00A93780"/>
    <w:rsid w:val="00A9449A"/>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6E20"/>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D6D1B"/>
    <w:rsid w:val="00FE18B4"/>
    <w:rsid w:val="00FE1FB8"/>
    <w:rsid w:val="00FE2106"/>
    <w:rsid w:val="00FE28D5"/>
    <w:rsid w:val="00FE67CB"/>
    <w:rsid w:val="00FE750A"/>
    <w:rsid w:val="00FF0515"/>
    <w:rsid w:val="00FF4E6E"/>
    <w:rsid w:val="00FF65D0"/>
    <w:rsid w:val="00FF74F7"/>
    <w:rsid w:val="013C6B15"/>
    <w:rsid w:val="0144054E"/>
    <w:rsid w:val="0174421B"/>
    <w:rsid w:val="018717BE"/>
    <w:rsid w:val="01BF097B"/>
    <w:rsid w:val="01D105CE"/>
    <w:rsid w:val="01E73C24"/>
    <w:rsid w:val="021A76DB"/>
    <w:rsid w:val="022E22E4"/>
    <w:rsid w:val="02497F4C"/>
    <w:rsid w:val="02766999"/>
    <w:rsid w:val="02791447"/>
    <w:rsid w:val="02F07097"/>
    <w:rsid w:val="032A0016"/>
    <w:rsid w:val="033243A8"/>
    <w:rsid w:val="033C4F4D"/>
    <w:rsid w:val="035442EC"/>
    <w:rsid w:val="035B707C"/>
    <w:rsid w:val="03647E56"/>
    <w:rsid w:val="037126EF"/>
    <w:rsid w:val="0386205B"/>
    <w:rsid w:val="03AA5705"/>
    <w:rsid w:val="03E73237"/>
    <w:rsid w:val="03EE5F1E"/>
    <w:rsid w:val="04B067CA"/>
    <w:rsid w:val="04B7013D"/>
    <w:rsid w:val="04BB3243"/>
    <w:rsid w:val="04BF5738"/>
    <w:rsid w:val="04EA6E38"/>
    <w:rsid w:val="04EE55EA"/>
    <w:rsid w:val="04EF3205"/>
    <w:rsid w:val="0549108E"/>
    <w:rsid w:val="055C3249"/>
    <w:rsid w:val="056563FC"/>
    <w:rsid w:val="056A59C0"/>
    <w:rsid w:val="05B92DB0"/>
    <w:rsid w:val="0601511F"/>
    <w:rsid w:val="060B54D3"/>
    <w:rsid w:val="06102D2E"/>
    <w:rsid w:val="063B2D6C"/>
    <w:rsid w:val="06503F20"/>
    <w:rsid w:val="06506B03"/>
    <w:rsid w:val="069627A6"/>
    <w:rsid w:val="06AA7299"/>
    <w:rsid w:val="06CF225A"/>
    <w:rsid w:val="06F33957"/>
    <w:rsid w:val="07012726"/>
    <w:rsid w:val="07155AF2"/>
    <w:rsid w:val="07307513"/>
    <w:rsid w:val="076F1972"/>
    <w:rsid w:val="07DE064D"/>
    <w:rsid w:val="08525629"/>
    <w:rsid w:val="08591333"/>
    <w:rsid w:val="0871563A"/>
    <w:rsid w:val="087924D8"/>
    <w:rsid w:val="087F1B50"/>
    <w:rsid w:val="089859C0"/>
    <w:rsid w:val="089867F5"/>
    <w:rsid w:val="08A7269C"/>
    <w:rsid w:val="08BB5CE2"/>
    <w:rsid w:val="08E342B6"/>
    <w:rsid w:val="08F100D7"/>
    <w:rsid w:val="08FB0BD0"/>
    <w:rsid w:val="09141087"/>
    <w:rsid w:val="09420CC2"/>
    <w:rsid w:val="09437AA9"/>
    <w:rsid w:val="095306DD"/>
    <w:rsid w:val="09695409"/>
    <w:rsid w:val="0993275B"/>
    <w:rsid w:val="09A07C60"/>
    <w:rsid w:val="09EE5A33"/>
    <w:rsid w:val="09F33BC2"/>
    <w:rsid w:val="0A005A8E"/>
    <w:rsid w:val="0A005B38"/>
    <w:rsid w:val="0A012F12"/>
    <w:rsid w:val="0A46002E"/>
    <w:rsid w:val="0A5A21CE"/>
    <w:rsid w:val="0A600644"/>
    <w:rsid w:val="0A63046B"/>
    <w:rsid w:val="0A655977"/>
    <w:rsid w:val="0A6F30BC"/>
    <w:rsid w:val="0A714A90"/>
    <w:rsid w:val="0A7E6C48"/>
    <w:rsid w:val="0A8670D2"/>
    <w:rsid w:val="0A8A6649"/>
    <w:rsid w:val="0A8D0F9E"/>
    <w:rsid w:val="0AA76E5F"/>
    <w:rsid w:val="0AB440F8"/>
    <w:rsid w:val="0AD2601C"/>
    <w:rsid w:val="0AD84D58"/>
    <w:rsid w:val="0B085950"/>
    <w:rsid w:val="0B0D0CC4"/>
    <w:rsid w:val="0B212BCE"/>
    <w:rsid w:val="0B283234"/>
    <w:rsid w:val="0B2E3B34"/>
    <w:rsid w:val="0B914FAE"/>
    <w:rsid w:val="0B963D2B"/>
    <w:rsid w:val="0B9948AC"/>
    <w:rsid w:val="0BAD6DE0"/>
    <w:rsid w:val="0BBD289A"/>
    <w:rsid w:val="0BC35643"/>
    <w:rsid w:val="0BC6115D"/>
    <w:rsid w:val="0BD939C5"/>
    <w:rsid w:val="0BDA08F8"/>
    <w:rsid w:val="0BE8323B"/>
    <w:rsid w:val="0C0E0E49"/>
    <w:rsid w:val="0C0F3E0E"/>
    <w:rsid w:val="0C232562"/>
    <w:rsid w:val="0C2F5309"/>
    <w:rsid w:val="0C5A518D"/>
    <w:rsid w:val="0C6C454B"/>
    <w:rsid w:val="0C6F15EF"/>
    <w:rsid w:val="0CD56D9C"/>
    <w:rsid w:val="0CEA30EF"/>
    <w:rsid w:val="0D060C4A"/>
    <w:rsid w:val="0D7E5526"/>
    <w:rsid w:val="0D8867AE"/>
    <w:rsid w:val="0D8E5096"/>
    <w:rsid w:val="0DC70E1E"/>
    <w:rsid w:val="0DD37DB4"/>
    <w:rsid w:val="0E3039A1"/>
    <w:rsid w:val="0E333E3A"/>
    <w:rsid w:val="0E3D2E6B"/>
    <w:rsid w:val="0E401B23"/>
    <w:rsid w:val="0E8A18A4"/>
    <w:rsid w:val="0E9E3EDE"/>
    <w:rsid w:val="0EC518EB"/>
    <w:rsid w:val="0ECF454E"/>
    <w:rsid w:val="0EE22D8A"/>
    <w:rsid w:val="0EF735EC"/>
    <w:rsid w:val="0EF9511D"/>
    <w:rsid w:val="0F03003B"/>
    <w:rsid w:val="0F2A7991"/>
    <w:rsid w:val="0F31231F"/>
    <w:rsid w:val="0F7A251E"/>
    <w:rsid w:val="0F7B2B4A"/>
    <w:rsid w:val="0F9A317D"/>
    <w:rsid w:val="0FF33AF6"/>
    <w:rsid w:val="100E0CEE"/>
    <w:rsid w:val="10393BAA"/>
    <w:rsid w:val="10737E0E"/>
    <w:rsid w:val="10A71E01"/>
    <w:rsid w:val="10CC21FA"/>
    <w:rsid w:val="10E726BA"/>
    <w:rsid w:val="10EC2887"/>
    <w:rsid w:val="10F72164"/>
    <w:rsid w:val="110D5CB2"/>
    <w:rsid w:val="11106572"/>
    <w:rsid w:val="114E14F4"/>
    <w:rsid w:val="116A035F"/>
    <w:rsid w:val="116A6B46"/>
    <w:rsid w:val="11834E46"/>
    <w:rsid w:val="11875444"/>
    <w:rsid w:val="11970C4B"/>
    <w:rsid w:val="11A95278"/>
    <w:rsid w:val="11AF44DF"/>
    <w:rsid w:val="11C22AA6"/>
    <w:rsid w:val="11C852FC"/>
    <w:rsid w:val="11F72CE6"/>
    <w:rsid w:val="122951DD"/>
    <w:rsid w:val="123B7DDD"/>
    <w:rsid w:val="127C6B6A"/>
    <w:rsid w:val="12CF0657"/>
    <w:rsid w:val="12E95249"/>
    <w:rsid w:val="12F1671E"/>
    <w:rsid w:val="12FE2ECF"/>
    <w:rsid w:val="134E40D7"/>
    <w:rsid w:val="13511013"/>
    <w:rsid w:val="135C3DD4"/>
    <w:rsid w:val="135C7002"/>
    <w:rsid w:val="137D7A57"/>
    <w:rsid w:val="138D5393"/>
    <w:rsid w:val="13E7075D"/>
    <w:rsid w:val="13F33946"/>
    <w:rsid w:val="141745DC"/>
    <w:rsid w:val="14550204"/>
    <w:rsid w:val="14725E70"/>
    <w:rsid w:val="148E0ACB"/>
    <w:rsid w:val="149F31A0"/>
    <w:rsid w:val="14B118C5"/>
    <w:rsid w:val="14B415E1"/>
    <w:rsid w:val="14D43BDB"/>
    <w:rsid w:val="14F57E7D"/>
    <w:rsid w:val="15152C81"/>
    <w:rsid w:val="151B44F0"/>
    <w:rsid w:val="152E2DCC"/>
    <w:rsid w:val="153017B9"/>
    <w:rsid w:val="15574E0D"/>
    <w:rsid w:val="15914050"/>
    <w:rsid w:val="15CF6199"/>
    <w:rsid w:val="15F1546C"/>
    <w:rsid w:val="160547D6"/>
    <w:rsid w:val="161C40B5"/>
    <w:rsid w:val="16445414"/>
    <w:rsid w:val="16467CC8"/>
    <w:rsid w:val="165D579D"/>
    <w:rsid w:val="165F2BDF"/>
    <w:rsid w:val="16720653"/>
    <w:rsid w:val="16730A7D"/>
    <w:rsid w:val="168E46B6"/>
    <w:rsid w:val="168F7E12"/>
    <w:rsid w:val="16A87CE1"/>
    <w:rsid w:val="16B7318B"/>
    <w:rsid w:val="16E021C2"/>
    <w:rsid w:val="16FC2B38"/>
    <w:rsid w:val="17213D1A"/>
    <w:rsid w:val="172D195A"/>
    <w:rsid w:val="17845DA0"/>
    <w:rsid w:val="179E277E"/>
    <w:rsid w:val="17BC177E"/>
    <w:rsid w:val="17BE3B1C"/>
    <w:rsid w:val="17F14C98"/>
    <w:rsid w:val="18061007"/>
    <w:rsid w:val="18074726"/>
    <w:rsid w:val="18080A9E"/>
    <w:rsid w:val="18296253"/>
    <w:rsid w:val="18395DE4"/>
    <w:rsid w:val="185B4E3F"/>
    <w:rsid w:val="189E3CDE"/>
    <w:rsid w:val="18D32287"/>
    <w:rsid w:val="18ED538B"/>
    <w:rsid w:val="18F06F9F"/>
    <w:rsid w:val="18FC3FD1"/>
    <w:rsid w:val="18FF73A6"/>
    <w:rsid w:val="190A7145"/>
    <w:rsid w:val="191A45C5"/>
    <w:rsid w:val="192F2566"/>
    <w:rsid w:val="194E0081"/>
    <w:rsid w:val="195B397D"/>
    <w:rsid w:val="195F6609"/>
    <w:rsid w:val="19837ADE"/>
    <w:rsid w:val="19AF15A8"/>
    <w:rsid w:val="19D11159"/>
    <w:rsid w:val="19D83035"/>
    <w:rsid w:val="19D87710"/>
    <w:rsid w:val="1A2404DF"/>
    <w:rsid w:val="1A2A3728"/>
    <w:rsid w:val="1A512009"/>
    <w:rsid w:val="1A566CC7"/>
    <w:rsid w:val="1A6D5C1B"/>
    <w:rsid w:val="1A8644CD"/>
    <w:rsid w:val="1AA569B7"/>
    <w:rsid w:val="1AAB190A"/>
    <w:rsid w:val="1AB3650A"/>
    <w:rsid w:val="1ACB1C1D"/>
    <w:rsid w:val="1ADA6788"/>
    <w:rsid w:val="1AFA2B1C"/>
    <w:rsid w:val="1B662E08"/>
    <w:rsid w:val="1B68216E"/>
    <w:rsid w:val="1B6F77A7"/>
    <w:rsid w:val="1B704CD6"/>
    <w:rsid w:val="1B817D0B"/>
    <w:rsid w:val="1BA02227"/>
    <w:rsid w:val="1BA60CAE"/>
    <w:rsid w:val="1BD6575E"/>
    <w:rsid w:val="1BD85D3B"/>
    <w:rsid w:val="1BF66991"/>
    <w:rsid w:val="1C0804E7"/>
    <w:rsid w:val="1C1B04AC"/>
    <w:rsid w:val="1C1E24F0"/>
    <w:rsid w:val="1C5115AF"/>
    <w:rsid w:val="1C59360F"/>
    <w:rsid w:val="1C5A616E"/>
    <w:rsid w:val="1C5B0F48"/>
    <w:rsid w:val="1C5E1E7B"/>
    <w:rsid w:val="1C7F44D1"/>
    <w:rsid w:val="1CBA44B6"/>
    <w:rsid w:val="1CBC6A50"/>
    <w:rsid w:val="1D017434"/>
    <w:rsid w:val="1D386B0A"/>
    <w:rsid w:val="1D39665B"/>
    <w:rsid w:val="1D453B92"/>
    <w:rsid w:val="1D49325F"/>
    <w:rsid w:val="1D54432D"/>
    <w:rsid w:val="1D7066B8"/>
    <w:rsid w:val="1D873EC6"/>
    <w:rsid w:val="1DA444AF"/>
    <w:rsid w:val="1DB06DBB"/>
    <w:rsid w:val="1DC71769"/>
    <w:rsid w:val="1DD4347C"/>
    <w:rsid w:val="1DD866A7"/>
    <w:rsid w:val="1DEC0FD1"/>
    <w:rsid w:val="1E1632E0"/>
    <w:rsid w:val="1E1F64E2"/>
    <w:rsid w:val="1E4273A0"/>
    <w:rsid w:val="1E4708BE"/>
    <w:rsid w:val="1E5B402C"/>
    <w:rsid w:val="1E7F3375"/>
    <w:rsid w:val="1E9C0FD7"/>
    <w:rsid w:val="1EA27733"/>
    <w:rsid w:val="1EA71441"/>
    <w:rsid w:val="1EDB57B8"/>
    <w:rsid w:val="1F474417"/>
    <w:rsid w:val="1F7801F4"/>
    <w:rsid w:val="1FA051B1"/>
    <w:rsid w:val="1FBC5A21"/>
    <w:rsid w:val="1FE01BF2"/>
    <w:rsid w:val="1FF103F0"/>
    <w:rsid w:val="20005C3E"/>
    <w:rsid w:val="200C1FD7"/>
    <w:rsid w:val="202A0BEF"/>
    <w:rsid w:val="20676614"/>
    <w:rsid w:val="20A94F64"/>
    <w:rsid w:val="20B1574E"/>
    <w:rsid w:val="20BD49E5"/>
    <w:rsid w:val="20C12A4D"/>
    <w:rsid w:val="20D719F1"/>
    <w:rsid w:val="21043BFD"/>
    <w:rsid w:val="212906CA"/>
    <w:rsid w:val="212E3396"/>
    <w:rsid w:val="214F070A"/>
    <w:rsid w:val="21504889"/>
    <w:rsid w:val="21511091"/>
    <w:rsid w:val="216A59FA"/>
    <w:rsid w:val="218D304A"/>
    <w:rsid w:val="219915D3"/>
    <w:rsid w:val="219D45B2"/>
    <w:rsid w:val="21A672A2"/>
    <w:rsid w:val="21BC28A6"/>
    <w:rsid w:val="21C329A3"/>
    <w:rsid w:val="21E56FBC"/>
    <w:rsid w:val="21FA005D"/>
    <w:rsid w:val="21FB12EC"/>
    <w:rsid w:val="220137C3"/>
    <w:rsid w:val="221723EA"/>
    <w:rsid w:val="224F6446"/>
    <w:rsid w:val="225861FF"/>
    <w:rsid w:val="226C4FAD"/>
    <w:rsid w:val="22943A5C"/>
    <w:rsid w:val="229F47AE"/>
    <w:rsid w:val="22A27797"/>
    <w:rsid w:val="22C8691D"/>
    <w:rsid w:val="22D3233B"/>
    <w:rsid w:val="22DB5DF2"/>
    <w:rsid w:val="22E25839"/>
    <w:rsid w:val="22FF181D"/>
    <w:rsid w:val="232C7632"/>
    <w:rsid w:val="2333170A"/>
    <w:rsid w:val="234A2DC3"/>
    <w:rsid w:val="235A6F13"/>
    <w:rsid w:val="235F0AB2"/>
    <w:rsid w:val="237F1E99"/>
    <w:rsid w:val="23BC6D45"/>
    <w:rsid w:val="23FD21A6"/>
    <w:rsid w:val="24096C1E"/>
    <w:rsid w:val="2442787A"/>
    <w:rsid w:val="24493ED0"/>
    <w:rsid w:val="247450BF"/>
    <w:rsid w:val="248458D3"/>
    <w:rsid w:val="24AF30EF"/>
    <w:rsid w:val="24C31ACA"/>
    <w:rsid w:val="24C37822"/>
    <w:rsid w:val="24C979B7"/>
    <w:rsid w:val="24D228AC"/>
    <w:rsid w:val="24DE282F"/>
    <w:rsid w:val="2502156D"/>
    <w:rsid w:val="250234C2"/>
    <w:rsid w:val="2516370B"/>
    <w:rsid w:val="25427164"/>
    <w:rsid w:val="25525D92"/>
    <w:rsid w:val="25527D56"/>
    <w:rsid w:val="255B191F"/>
    <w:rsid w:val="255E2697"/>
    <w:rsid w:val="2563572A"/>
    <w:rsid w:val="25637736"/>
    <w:rsid w:val="256B31C5"/>
    <w:rsid w:val="25AE478C"/>
    <w:rsid w:val="25B90919"/>
    <w:rsid w:val="25DF5616"/>
    <w:rsid w:val="263B2C60"/>
    <w:rsid w:val="26411C1D"/>
    <w:rsid w:val="265453C2"/>
    <w:rsid w:val="26567ACD"/>
    <w:rsid w:val="26A175D7"/>
    <w:rsid w:val="26B464FA"/>
    <w:rsid w:val="26C94FDE"/>
    <w:rsid w:val="26D3098E"/>
    <w:rsid w:val="271E227A"/>
    <w:rsid w:val="272F1AD3"/>
    <w:rsid w:val="2741315F"/>
    <w:rsid w:val="279B1B14"/>
    <w:rsid w:val="27C77490"/>
    <w:rsid w:val="27F64177"/>
    <w:rsid w:val="28046D84"/>
    <w:rsid w:val="286B5532"/>
    <w:rsid w:val="288F52D5"/>
    <w:rsid w:val="28DF078B"/>
    <w:rsid w:val="28E5527A"/>
    <w:rsid w:val="28ED30E6"/>
    <w:rsid w:val="29162571"/>
    <w:rsid w:val="291D38AE"/>
    <w:rsid w:val="29215069"/>
    <w:rsid w:val="29216A36"/>
    <w:rsid w:val="29225D1F"/>
    <w:rsid w:val="29234A57"/>
    <w:rsid w:val="29321FE3"/>
    <w:rsid w:val="29476C8B"/>
    <w:rsid w:val="294E725A"/>
    <w:rsid w:val="29526C4F"/>
    <w:rsid w:val="29551B41"/>
    <w:rsid w:val="295558E1"/>
    <w:rsid w:val="29572E0D"/>
    <w:rsid w:val="29654128"/>
    <w:rsid w:val="29803570"/>
    <w:rsid w:val="29A5673B"/>
    <w:rsid w:val="29AC3EFF"/>
    <w:rsid w:val="29B95570"/>
    <w:rsid w:val="29CF4CDE"/>
    <w:rsid w:val="29EE601C"/>
    <w:rsid w:val="2A051311"/>
    <w:rsid w:val="2A141291"/>
    <w:rsid w:val="2A17665E"/>
    <w:rsid w:val="2A3519F9"/>
    <w:rsid w:val="2A5F5F98"/>
    <w:rsid w:val="2A7279D5"/>
    <w:rsid w:val="2A7B79DC"/>
    <w:rsid w:val="2A862EB1"/>
    <w:rsid w:val="2ACB1A84"/>
    <w:rsid w:val="2ACB7330"/>
    <w:rsid w:val="2AD479BA"/>
    <w:rsid w:val="2AEA3820"/>
    <w:rsid w:val="2AEC01AB"/>
    <w:rsid w:val="2AEDA948"/>
    <w:rsid w:val="2B06250A"/>
    <w:rsid w:val="2B451595"/>
    <w:rsid w:val="2B78175F"/>
    <w:rsid w:val="2B9039C7"/>
    <w:rsid w:val="2BC359F4"/>
    <w:rsid w:val="2BFA65AF"/>
    <w:rsid w:val="2BFF422E"/>
    <w:rsid w:val="2C2119A9"/>
    <w:rsid w:val="2C3B063C"/>
    <w:rsid w:val="2C51791C"/>
    <w:rsid w:val="2C6D06DB"/>
    <w:rsid w:val="2C933F4D"/>
    <w:rsid w:val="2C9D7CDC"/>
    <w:rsid w:val="2CA1763D"/>
    <w:rsid w:val="2CDF46B1"/>
    <w:rsid w:val="2CEC7F15"/>
    <w:rsid w:val="2CF319CD"/>
    <w:rsid w:val="2D106A69"/>
    <w:rsid w:val="2D3044ED"/>
    <w:rsid w:val="2D4A2971"/>
    <w:rsid w:val="2D8F14A1"/>
    <w:rsid w:val="2D8F3AF9"/>
    <w:rsid w:val="2D94069C"/>
    <w:rsid w:val="2DB7125F"/>
    <w:rsid w:val="2DF43E01"/>
    <w:rsid w:val="2E03773F"/>
    <w:rsid w:val="2E336E30"/>
    <w:rsid w:val="2E586EFC"/>
    <w:rsid w:val="2E5909BE"/>
    <w:rsid w:val="2E6C063D"/>
    <w:rsid w:val="2E731A57"/>
    <w:rsid w:val="2ECB3349"/>
    <w:rsid w:val="2EDC20CB"/>
    <w:rsid w:val="2F235B39"/>
    <w:rsid w:val="2F236C79"/>
    <w:rsid w:val="2F2D3DF4"/>
    <w:rsid w:val="2F4319EA"/>
    <w:rsid w:val="2F735768"/>
    <w:rsid w:val="2FA808A6"/>
    <w:rsid w:val="2FAD4710"/>
    <w:rsid w:val="2FD0497E"/>
    <w:rsid w:val="2FD6409B"/>
    <w:rsid w:val="30010B58"/>
    <w:rsid w:val="300A56D7"/>
    <w:rsid w:val="301E4C05"/>
    <w:rsid w:val="302774A3"/>
    <w:rsid w:val="303A0349"/>
    <w:rsid w:val="30566F21"/>
    <w:rsid w:val="30710A41"/>
    <w:rsid w:val="308B6CE7"/>
    <w:rsid w:val="30C3638E"/>
    <w:rsid w:val="30DC0F43"/>
    <w:rsid w:val="30F23983"/>
    <w:rsid w:val="31314B0F"/>
    <w:rsid w:val="31443D36"/>
    <w:rsid w:val="31611217"/>
    <w:rsid w:val="318159BF"/>
    <w:rsid w:val="319544E8"/>
    <w:rsid w:val="31975348"/>
    <w:rsid w:val="319A0EEB"/>
    <w:rsid w:val="31AA48F6"/>
    <w:rsid w:val="31C01998"/>
    <w:rsid w:val="31D66C4B"/>
    <w:rsid w:val="31E45E81"/>
    <w:rsid w:val="3204479C"/>
    <w:rsid w:val="32182B20"/>
    <w:rsid w:val="32226669"/>
    <w:rsid w:val="32261F27"/>
    <w:rsid w:val="32726352"/>
    <w:rsid w:val="32F26CE9"/>
    <w:rsid w:val="330E191A"/>
    <w:rsid w:val="33207E7D"/>
    <w:rsid w:val="33483B2E"/>
    <w:rsid w:val="336A563C"/>
    <w:rsid w:val="337E770A"/>
    <w:rsid w:val="339F6079"/>
    <w:rsid w:val="33B60C44"/>
    <w:rsid w:val="33E95046"/>
    <w:rsid w:val="3406659D"/>
    <w:rsid w:val="34066F3C"/>
    <w:rsid w:val="340B4EF1"/>
    <w:rsid w:val="341D068F"/>
    <w:rsid w:val="34316959"/>
    <w:rsid w:val="344E2731"/>
    <w:rsid w:val="345B6BC1"/>
    <w:rsid w:val="34685AE6"/>
    <w:rsid w:val="34AB3B17"/>
    <w:rsid w:val="34B01995"/>
    <w:rsid w:val="34B95D31"/>
    <w:rsid w:val="34DE1EC7"/>
    <w:rsid w:val="35192255"/>
    <w:rsid w:val="35287FAE"/>
    <w:rsid w:val="353E11C4"/>
    <w:rsid w:val="354B1E61"/>
    <w:rsid w:val="35581B81"/>
    <w:rsid w:val="35603A44"/>
    <w:rsid w:val="35896F5C"/>
    <w:rsid w:val="35AC6D6C"/>
    <w:rsid w:val="35C13050"/>
    <w:rsid w:val="35E429BA"/>
    <w:rsid w:val="35FE4C86"/>
    <w:rsid w:val="363E657D"/>
    <w:rsid w:val="36510EAD"/>
    <w:rsid w:val="366A5161"/>
    <w:rsid w:val="366F1AE0"/>
    <w:rsid w:val="36706BB8"/>
    <w:rsid w:val="367852F0"/>
    <w:rsid w:val="368E39AF"/>
    <w:rsid w:val="369A304A"/>
    <w:rsid w:val="369F433B"/>
    <w:rsid w:val="36B83D65"/>
    <w:rsid w:val="36D04A11"/>
    <w:rsid w:val="36F275DB"/>
    <w:rsid w:val="37134BE4"/>
    <w:rsid w:val="371948C9"/>
    <w:rsid w:val="371E57EF"/>
    <w:rsid w:val="373321D9"/>
    <w:rsid w:val="37485001"/>
    <w:rsid w:val="375A0A59"/>
    <w:rsid w:val="37691FF5"/>
    <w:rsid w:val="376B4967"/>
    <w:rsid w:val="377E4B13"/>
    <w:rsid w:val="379762ED"/>
    <w:rsid w:val="37A22AA5"/>
    <w:rsid w:val="37BB4333"/>
    <w:rsid w:val="37C849B6"/>
    <w:rsid w:val="37F0299C"/>
    <w:rsid w:val="37F61973"/>
    <w:rsid w:val="37F62926"/>
    <w:rsid w:val="386C755C"/>
    <w:rsid w:val="386F0D9D"/>
    <w:rsid w:val="389B032D"/>
    <w:rsid w:val="38AA793D"/>
    <w:rsid w:val="38B277DA"/>
    <w:rsid w:val="38BD1295"/>
    <w:rsid w:val="38DC1FD6"/>
    <w:rsid w:val="399A1496"/>
    <w:rsid w:val="39B42F70"/>
    <w:rsid w:val="39D52796"/>
    <w:rsid w:val="39D6051A"/>
    <w:rsid w:val="39EB1191"/>
    <w:rsid w:val="39FC65CC"/>
    <w:rsid w:val="39FE6F59"/>
    <w:rsid w:val="3A750E6E"/>
    <w:rsid w:val="3A941C32"/>
    <w:rsid w:val="3AA83C87"/>
    <w:rsid w:val="3AB67AB0"/>
    <w:rsid w:val="3AC628CD"/>
    <w:rsid w:val="3AD603BE"/>
    <w:rsid w:val="3AEF76EC"/>
    <w:rsid w:val="3AF2384C"/>
    <w:rsid w:val="3B002605"/>
    <w:rsid w:val="3B0E070B"/>
    <w:rsid w:val="3B0E7276"/>
    <w:rsid w:val="3B5A0033"/>
    <w:rsid w:val="3BA34E54"/>
    <w:rsid w:val="3BAD45C9"/>
    <w:rsid w:val="3BC477EF"/>
    <w:rsid w:val="3BD54ECE"/>
    <w:rsid w:val="3BE26336"/>
    <w:rsid w:val="3C0A5AD2"/>
    <w:rsid w:val="3C136345"/>
    <w:rsid w:val="3C260152"/>
    <w:rsid w:val="3C4F3ADC"/>
    <w:rsid w:val="3C5C187A"/>
    <w:rsid w:val="3C7F4555"/>
    <w:rsid w:val="3C9B5744"/>
    <w:rsid w:val="3CC276DE"/>
    <w:rsid w:val="3CFF78D5"/>
    <w:rsid w:val="3D1F4B70"/>
    <w:rsid w:val="3D3706E1"/>
    <w:rsid w:val="3D386FDD"/>
    <w:rsid w:val="3D4A629D"/>
    <w:rsid w:val="3D4C5425"/>
    <w:rsid w:val="3D6A1E76"/>
    <w:rsid w:val="3D944C04"/>
    <w:rsid w:val="3D96420D"/>
    <w:rsid w:val="3DF862BE"/>
    <w:rsid w:val="3E1C7AB3"/>
    <w:rsid w:val="3E522CC8"/>
    <w:rsid w:val="3E5C192C"/>
    <w:rsid w:val="3E6C53A7"/>
    <w:rsid w:val="3E826A0A"/>
    <w:rsid w:val="3EB06511"/>
    <w:rsid w:val="3EBC1C11"/>
    <w:rsid w:val="3EE8198D"/>
    <w:rsid w:val="3EF6D5F8"/>
    <w:rsid w:val="3F001701"/>
    <w:rsid w:val="3F01199F"/>
    <w:rsid w:val="3F0561CC"/>
    <w:rsid w:val="3F7B1879"/>
    <w:rsid w:val="3FB07CE1"/>
    <w:rsid w:val="3FC24032"/>
    <w:rsid w:val="3FE0008D"/>
    <w:rsid w:val="3FE27F44"/>
    <w:rsid w:val="3FE44DB0"/>
    <w:rsid w:val="40295C55"/>
    <w:rsid w:val="40461D6E"/>
    <w:rsid w:val="404F327E"/>
    <w:rsid w:val="40614807"/>
    <w:rsid w:val="40764F3C"/>
    <w:rsid w:val="40C75330"/>
    <w:rsid w:val="40CA7613"/>
    <w:rsid w:val="40ED7B88"/>
    <w:rsid w:val="40F40090"/>
    <w:rsid w:val="4119401A"/>
    <w:rsid w:val="4134318C"/>
    <w:rsid w:val="414420D7"/>
    <w:rsid w:val="41497185"/>
    <w:rsid w:val="414C1913"/>
    <w:rsid w:val="417D70A3"/>
    <w:rsid w:val="418740B0"/>
    <w:rsid w:val="419844D8"/>
    <w:rsid w:val="41A2034E"/>
    <w:rsid w:val="41B240A7"/>
    <w:rsid w:val="41D536E3"/>
    <w:rsid w:val="41F8600A"/>
    <w:rsid w:val="420014A1"/>
    <w:rsid w:val="4218131F"/>
    <w:rsid w:val="422D2160"/>
    <w:rsid w:val="42396A7D"/>
    <w:rsid w:val="42C03D90"/>
    <w:rsid w:val="42EC7954"/>
    <w:rsid w:val="42F9254F"/>
    <w:rsid w:val="43090FD9"/>
    <w:rsid w:val="430D0D7E"/>
    <w:rsid w:val="43313A24"/>
    <w:rsid w:val="43416A49"/>
    <w:rsid w:val="435C75F3"/>
    <w:rsid w:val="43715308"/>
    <w:rsid w:val="43AA5F6D"/>
    <w:rsid w:val="43BB6864"/>
    <w:rsid w:val="43E01243"/>
    <w:rsid w:val="43F00510"/>
    <w:rsid w:val="44133386"/>
    <w:rsid w:val="442858E1"/>
    <w:rsid w:val="4431474F"/>
    <w:rsid w:val="44321313"/>
    <w:rsid w:val="4437143D"/>
    <w:rsid w:val="4440430F"/>
    <w:rsid w:val="446C6E24"/>
    <w:rsid w:val="447E2A0F"/>
    <w:rsid w:val="448A411E"/>
    <w:rsid w:val="449A30DE"/>
    <w:rsid w:val="44A47695"/>
    <w:rsid w:val="44BE666B"/>
    <w:rsid w:val="44D9550F"/>
    <w:rsid w:val="45021EE6"/>
    <w:rsid w:val="450918B6"/>
    <w:rsid w:val="452F4F26"/>
    <w:rsid w:val="45405345"/>
    <w:rsid w:val="45463295"/>
    <w:rsid w:val="45875321"/>
    <w:rsid w:val="4588590C"/>
    <w:rsid w:val="45AB5E98"/>
    <w:rsid w:val="45C513B0"/>
    <w:rsid w:val="45C861FB"/>
    <w:rsid w:val="46014259"/>
    <w:rsid w:val="46187181"/>
    <w:rsid w:val="461C5622"/>
    <w:rsid w:val="462678CF"/>
    <w:rsid w:val="46602401"/>
    <w:rsid w:val="4668035E"/>
    <w:rsid w:val="468F73FE"/>
    <w:rsid w:val="469A0BA6"/>
    <w:rsid w:val="46A4761C"/>
    <w:rsid w:val="46BD0001"/>
    <w:rsid w:val="46CF3BB8"/>
    <w:rsid w:val="46F62080"/>
    <w:rsid w:val="46FC4F20"/>
    <w:rsid w:val="471A7100"/>
    <w:rsid w:val="47270310"/>
    <w:rsid w:val="47872571"/>
    <w:rsid w:val="478E4E27"/>
    <w:rsid w:val="47B570E5"/>
    <w:rsid w:val="47BD2B2E"/>
    <w:rsid w:val="47CC29CB"/>
    <w:rsid w:val="47CC540F"/>
    <w:rsid w:val="47FA7B8E"/>
    <w:rsid w:val="48042B34"/>
    <w:rsid w:val="482228FB"/>
    <w:rsid w:val="48304BEE"/>
    <w:rsid w:val="48524B0F"/>
    <w:rsid w:val="486C6A5B"/>
    <w:rsid w:val="488F4366"/>
    <w:rsid w:val="48D07210"/>
    <w:rsid w:val="48D86719"/>
    <w:rsid w:val="48F32F3B"/>
    <w:rsid w:val="490259A8"/>
    <w:rsid w:val="49095EA8"/>
    <w:rsid w:val="49132D3B"/>
    <w:rsid w:val="497425E1"/>
    <w:rsid w:val="498116C1"/>
    <w:rsid w:val="499F1C25"/>
    <w:rsid w:val="49AC50DE"/>
    <w:rsid w:val="49B101C9"/>
    <w:rsid w:val="49C05A4A"/>
    <w:rsid w:val="49E4340C"/>
    <w:rsid w:val="49F673AD"/>
    <w:rsid w:val="4A171FDA"/>
    <w:rsid w:val="4A1F34F0"/>
    <w:rsid w:val="4A3E1DFE"/>
    <w:rsid w:val="4A4F3F3B"/>
    <w:rsid w:val="4A557DC9"/>
    <w:rsid w:val="4A5859B6"/>
    <w:rsid w:val="4A5E5A7F"/>
    <w:rsid w:val="4A6F5CAB"/>
    <w:rsid w:val="4A7B361B"/>
    <w:rsid w:val="4A830A81"/>
    <w:rsid w:val="4A8E24A5"/>
    <w:rsid w:val="4AA85AA1"/>
    <w:rsid w:val="4AAC3CC5"/>
    <w:rsid w:val="4AB074A4"/>
    <w:rsid w:val="4AB859D6"/>
    <w:rsid w:val="4ADC18E8"/>
    <w:rsid w:val="4B3012BB"/>
    <w:rsid w:val="4B4F2A61"/>
    <w:rsid w:val="4B6206BA"/>
    <w:rsid w:val="4BA14318"/>
    <w:rsid w:val="4BC0573E"/>
    <w:rsid w:val="4BC75FB4"/>
    <w:rsid w:val="4BCD4F56"/>
    <w:rsid w:val="4BE15EC5"/>
    <w:rsid w:val="4C3B48FD"/>
    <w:rsid w:val="4C457A46"/>
    <w:rsid w:val="4C57618A"/>
    <w:rsid w:val="4CBD6FDE"/>
    <w:rsid w:val="4CE87073"/>
    <w:rsid w:val="4CF71222"/>
    <w:rsid w:val="4D2D61FC"/>
    <w:rsid w:val="4D9661D8"/>
    <w:rsid w:val="4DB45FFA"/>
    <w:rsid w:val="4DD62336"/>
    <w:rsid w:val="4DDF60E0"/>
    <w:rsid w:val="4DE107E9"/>
    <w:rsid w:val="4DEB5A29"/>
    <w:rsid w:val="4DF74D1B"/>
    <w:rsid w:val="4E0066F0"/>
    <w:rsid w:val="4E144BA8"/>
    <w:rsid w:val="4E324158"/>
    <w:rsid w:val="4E332FE3"/>
    <w:rsid w:val="4E57075F"/>
    <w:rsid w:val="4E846B0F"/>
    <w:rsid w:val="4E9A4715"/>
    <w:rsid w:val="4E9F1C96"/>
    <w:rsid w:val="4EA62F7D"/>
    <w:rsid w:val="4EAF0CD3"/>
    <w:rsid w:val="4EB4138B"/>
    <w:rsid w:val="4EE5527D"/>
    <w:rsid w:val="4EF76B75"/>
    <w:rsid w:val="4F307F99"/>
    <w:rsid w:val="4F5712D6"/>
    <w:rsid w:val="4F61758B"/>
    <w:rsid w:val="4F6F18D7"/>
    <w:rsid w:val="4FB9185A"/>
    <w:rsid w:val="4FE35DF0"/>
    <w:rsid w:val="4FE94B64"/>
    <w:rsid w:val="501C56B7"/>
    <w:rsid w:val="50530BC8"/>
    <w:rsid w:val="508C01A9"/>
    <w:rsid w:val="50A54FE5"/>
    <w:rsid w:val="50B0253B"/>
    <w:rsid w:val="50C15033"/>
    <w:rsid w:val="50FA20DB"/>
    <w:rsid w:val="51187221"/>
    <w:rsid w:val="5131350C"/>
    <w:rsid w:val="513C2EDD"/>
    <w:rsid w:val="51833443"/>
    <w:rsid w:val="519949CA"/>
    <w:rsid w:val="5199796C"/>
    <w:rsid w:val="51D146FF"/>
    <w:rsid w:val="51DC26E1"/>
    <w:rsid w:val="51DE196A"/>
    <w:rsid w:val="51E273BE"/>
    <w:rsid w:val="51E61FD0"/>
    <w:rsid w:val="51EF26CD"/>
    <w:rsid w:val="52244CE0"/>
    <w:rsid w:val="522A03F2"/>
    <w:rsid w:val="52341AFD"/>
    <w:rsid w:val="523B5CD2"/>
    <w:rsid w:val="52405BBF"/>
    <w:rsid w:val="52597C66"/>
    <w:rsid w:val="52791845"/>
    <w:rsid w:val="52847CC6"/>
    <w:rsid w:val="529D3D17"/>
    <w:rsid w:val="52B17872"/>
    <w:rsid w:val="52BA0C9C"/>
    <w:rsid w:val="52C06C9F"/>
    <w:rsid w:val="53187152"/>
    <w:rsid w:val="534C5B64"/>
    <w:rsid w:val="53515CAE"/>
    <w:rsid w:val="536107A3"/>
    <w:rsid w:val="538240B5"/>
    <w:rsid w:val="53AD440C"/>
    <w:rsid w:val="53DE163D"/>
    <w:rsid w:val="541455EA"/>
    <w:rsid w:val="542303F8"/>
    <w:rsid w:val="545D2753"/>
    <w:rsid w:val="54604F80"/>
    <w:rsid w:val="54612EE1"/>
    <w:rsid w:val="546209B4"/>
    <w:rsid w:val="54666D10"/>
    <w:rsid w:val="5478407C"/>
    <w:rsid w:val="5490425F"/>
    <w:rsid w:val="54961B6C"/>
    <w:rsid w:val="54967355"/>
    <w:rsid w:val="54D61543"/>
    <w:rsid w:val="54E818E7"/>
    <w:rsid w:val="54EC26DD"/>
    <w:rsid w:val="55052414"/>
    <w:rsid w:val="55090217"/>
    <w:rsid w:val="551A29AD"/>
    <w:rsid w:val="55364E1B"/>
    <w:rsid w:val="55437EFB"/>
    <w:rsid w:val="55844014"/>
    <w:rsid w:val="55AC05AB"/>
    <w:rsid w:val="55C34E73"/>
    <w:rsid w:val="55FC2402"/>
    <w:rsid w:val="55FC6482"/>
    <w:rsid w:val="561624E4"/>
    <w:rsid w:val="56433506"/>
    <w:rsid w:val="56617DD7"/>
    <w:rsid w:val="568238F3"/>
    <w:rsid w:val="56872F4C"/>
    <w:rsid w:val="56AB71DB"/>
    <w:rsid w:val="56BD2924"/>
    <w:rsid w:val="56D7133E"/>
    <w:rsid w:val="56D71B8E"/>
    <w:rsid w:val="57085EE4"/>
    <w:rsid w:val="570B3E02"/>
    <w:rsid w:val="571BFF49"/>
    <w:rsid w:val="571F415F"/>
    <w:rsid w:val="57213B92"/>
    <w:rsid w:val="573F5101"/>
    <w:rsid w:val="576D37A4"/>
    <w:rsid w:val="578E65D4"/>
    <w:rsid w:val="57B049BA"/>
    <w:rsid w:val="57B958F8"/>
    <w:rsid w:val="57C05CCD"/>
    <w:rsid w:val="57C413A5"/>
    <w:rsid w:val="57EE3484"/>
    <w:rsid w:val="57F80C60"/>
    <w:rsid w:val="58215AB6"/>
    <w:rsid w:val="582B0154"/>
    <w:rsid w:val="58862B72"/>
    <w:rsid w:val="58900C95"/>
    <w:rsid w:val="589C50B7"/>
    <w:rsid w:val="589E625B"/>
    <w:rsid w:val="58B20AEC"/>
    <w:rsid w:val="58BF52A9"/>
    <w:rsid w:val="58D87F55"/>
    <w:rsid w:val="58DF4FEC"/>
    <w:rsid w:val="58FE49B7"/>
    <w:rsid w:val="59021FD2"/>
    <w:rsid w:val="59267B33"/>
    <w:rsid w:val="592B4373"/>
    <w:rsid w:val="59615283"/>
    <w:rsid w:val="596662A5"/>
    <w:rsid w:val="59902F35"/>
    <w:rsid w:val="5994238E"/>
    <w:rsid w:val="5995052F"/>
    <w:rsid w:val="59B319EB"/>
    <w:rsid w:val="59D165F0"/>
    <w:rsid w:val="59E04505"/>
    <w:rsid w:val="59FA3177"/>
    <w:rsid w:val="5A3A0AA5"/>
    <w:rsid w:val="5A4F554A"/>
    <w:rsid w:val="5A506F3E"/>
    <w:rsid w:val="5A940D72"/>
    <w:rsid w:val="5AF46232"/>
    <w:rsid w:val="5B411CCC"/>
    <w:rsid w:val="5B6441D3"/>
    <w:rsid w:val="5B6B430D"/>
    <w:rsid w:val="5B7B31A9"/>
    <w:rsid w:val="5B83592D"/>
    <w:rsid w:val="5BA33C64"/>
    <w:rsid w:val="5BDD7F38"/>
    <w:rsid w:val="5C047B83"/>
    <w:rsid w:val="5C267747"/>
    <w:rsid w:val="5C414134"/>
    <w:rsid w:val="5C4D667C"/>
    <w:rsid w:val="5C9A3C1D"/>
    <w:rsid w:val="5CA7BEF0"/>
    <w:rsid w:val="5CEC1798"/>
    <w:rsid w:val="5D050023"/>
    <w:rsid w:val="5D077BAE"/>
    <w:rsid w:val="5D1B4EFD"/>
    <w:rsid w:val="5D232C38"/>
    <w:rsid w:val="5D276BDB"/>
    <w:rsid w:val="5D2E7780"/>
    <w:rsid w:val="5D787B8A"/>
    <w:rsid w:val="5D956205"/>
    <w:rsid w:val="5D983E4F"/>
    <w:rsid w:val="5DCB48EE"/>
    <w:rsid w:val="5DCF5602"/>
    <w:rsid w:val="5DE424DB"/>
    <w:rsid w:val="5DF448E5"/>
    <w:rsid w:val="5DF6A55E"/>
    <w:rsid w:val="5E2C3A7D"/>
    <w:rsid w:val="5E390CAF"/>
    <w:rsid w:val="5E3C6D30"/>
    <w:rsid w:val="5E4E37AD"/>
    <w:rsid w:val="5E5F5EF7"/>
    <w:rsid w:val="5E697D49"/>
    <w:rsid w:val="5E6D720A"/>
    <w:rsid w:val="5E7F4FE5"/>
    <w:rsid w:val="5EB23E2B"/>
    <w:rsid w:val="5EC5386C"/>
    <w:rsid w:val="5ECC7074"/>
    <w:rsid w:val="5EDA419A"/>
    <w:rsid w:val="5EE51AE4"/>
    <w:rsid w:val="5EF048AB"/>
    <w:rsid w:val="5F036FBE"/>
    <w:rsid w:val="5F0A15F3"/>
    <w:rsid w:val="5F433247"/>
    <w:rsid w:val="5F45258B"/>
    <w:rsid w:val="5F5D5201"/>
    <w:rsid w:val="5F690130"/>
    <w:rsid w:val="5F73BD68"/>
    <w:rsid w:val="5F966E18"/>
    <w:rsid w:val="5F970059"/>
    <w:rsid w:val="5F9A70E8"/>
    <w:rsid w:val="5FB0093D"/>
    <w:rsid w:val="5FE65556"/>
    <w:rsid w:val="5FE72386"/>
    <w:rsid w:val="600E2430"/>
    <w:rsid w:val="601E660F"/>
    <w:rsid w:val="603926E4"/>
    <w:rsid w:val="605F4B6B"/>
    <w:rsid w:val="609C6B9A"/>
    <w:rsid w:val="60AB1D4C"/>
    <w:rsid w:val="60B52778"/>
    <w:rsid w:val="60D90292"/>
    <w:rsid w:val="61022FB1"/>
    <w:rsid w:val="61031113"/>
    <w:rsid w:val="6113529D"/>
    <w:rsid w:val="61166383"/>
    <w:rsid w:val="614A63D5"/>
    <w:rsid w:val="614B4412"/>
    <w:rsid w:val="6155317E"/>
    <w:rsid w:val="615F1B75"/>
    <w:rsid w:val="61BB2FCE"/>
    <w:rsid w:val="61D57BE4"/>
    <w:rsid w:val="620432BC"/>
    <w:rsid w:val="629A0A03"/>
    <w:rsid w:val="62A15832"/>
    <w:rsid w:val="62A872C5"/>
    <w:rsid w:val="62C47FC5"/>
    <w:rsid w:val="62D31681"/>
    <w:rsid w:val="62D50185"/>
    <w:rsid w:val="62F449E2"/>
    <w:rsid w:val="630E388B"/>
    <w:rsid w:val="63360D48"/>
    <w:rsid w:val="63813D88"/>
    <w:rsid w:val="63896059"/>
    <w:rsid w:val="63AA056F"/>
    <w:rsid w:val="63B240BD"/>
    <w:rsid w:val="63FA14BE"/>
    <w:rsid w:val="640516EE"/>
    <w:rsid w:val="64257378"/>
    <w:rsid w:val="64284B5D"/>
    <w:rsid w:val="642E3C6C"/>
    <w:rsid w:val="64732602"/>
    <w:rsid w:val="64945730"/>
    <w:rsid w:val="64B97A50"/>
    <w:rsid w:val="64BC7EC9"/>
    <w:rsid w:val="64C85EB7"/>
    <w:rsid w:val="64DA6ACE"/>
    <w:rsid w:val="64E472EC"/>
    <w:rsid w:val="64F1387C"/>
    <w:rsid w:val="64FD041F"/>
    <w:rsid w:val="64FE7D01"/>
    <w:rsid w:val="64FF55AF"/>
    <w:rsid w:val="6510790A"/>
    <w:rsid w:val="654153AA"/>
    <w:rsid w:val="65470C2B"/>
    <w:rsid w:val="655D5D1D"/>
    <w:rsid w:val="657F4530"/>
    <w:rsid w:val="65847FCB"/>
    <w:rsid w:val="658D6CC0"/>
    <w:rsid w:val="659912BC"/>
    <w:rsid w:val="65E850A7"/>
    <w:rsid w:val="65F22F16"/>
    <w:rsid w:val="66177626"/>
    <w:rsid w:val="66205162"/>
    <w:rsid w:val="663C214A"/>
    <w:rsid w:val="664B3CD4"/>
    <w:rsid w:val="666770BE"/>
    <w:rsid w:val="666A2BB2"/>
    <w:rsid w:val="666B550A"/>
    <w:rsid w:val="668A491E"/>
    <w:rsid w:val="66CC6427"/>
    <w:rsid w:val="66E66872"/>
    <w:rsid w:val="67467301"/>
    <w:rsid w:val="675D5843"/>
    <w:rsid w:val="676952A1"/>
    <w:rsid w:val="676B24FB"/>
    <w:rsid w:val="67967A99"/>
    <w:rsid w:val="67C174B3"/>
    <w:rsid w:val="681A2772"/>
    <w:rsid w:val="681E5132"/>
    <w:rsid w:val="684626D0"/>
    <w:rsid w:val="684C208C"/>
    <w:rsid w:val="68982479"/>
    <w:rsid w:val="68AB5D80"/>
    <w:rsid w:val="68B02F4E"/>
    <w:rsid w:val="68E0239E"/>
    <w:rsid w:val="68E82796"/>
    <w:rsid w:val="68EC55F7"/>
    <w:rsid w:val="690560DF"/>
    <w:rsid w:val="69075C34"/>
    <w:rsid w:val="691A5EE6"/>
    <w:rsid w:val="691E5013"/>
    <w:rsid w:val="693F23B7"/>
    <w:rsid w:val="6956398A"/>
    <w:rsid w:val="696370F4"/>
    <w:rsid w:val="696C0310"/>
    <w:rsid w:val="69845C64"/>
    <w:rsid w:val="69B247C8"/>
    <w:rsid w:val="69C64714"/>
    <w:rsid w:val="69CA4852"/>
    <w:rsid w:val="69CC56B4"/>
    <w:rsid w:val="69EF59B1"/>
    <w:rsid w:val="6A0700E9"/>
    <w:rsid w:val="6A2B02B0"/>
    <w:rsid w:val="6A327563"/>
    <w:rsid w:val="6A3B457F"/>
    <w:rsid w:val="6A4109EA"/>
    <w:rsid w:val="6A4C7071"/>
    <w:rsid w:val="6AAA1233"/>
    <w:rsid w:val="6B3525B5"/>
    <w:rsid w:val="6B4337DD"/>
    <w:rsid w:val="6B5B3A72"/>
    <w:rsid w:val="6B6D5FC2"/>
    <w:rsid w:val="6C171503"/>
    <w:rsid w:val="6C1A7210"/>
    <w:rsid w:val="6C1B6850"/>
    <w:rsid w:val="6C225448"/>
    <w:rsid w:val="6C2C6080"/>
    <w:rsid w:val="6C350AD4"/>
    <w:rsid w:val="6C933EFE"/>
    <w:rsid w:val="6C9C5BD4"/>
    <w:rsid w:val="6CB76C88"/>
    <w:rsid w:val="6CEB1A97"/>
    <w:rsid w:val="6CF42ABF"/>
    <w:rsid w:val="6D1C298A"/>
    <w:rsid w:val="6D216851"/>
    <w:rsid w:val="6D5E2905"/>
    <w:rsid w:val="6D827B16"/>
    <w:rsid w:val="6D8E1695"/>
    <w:rsid w:val="6D9222C1"/>
    <w:rsid w:val="6D9803A2"/>
    <w:rsid w:val="6DA221C1"/>
    <w:rsid w:val="6DCD28E3"/>
    <w:rsid w:val="6DEA4F8E"/>
    <w:rsid w:val="6DF710C0"/>
    <w:rsid w:val="6DFE7A4F"/>
    <w:rsid w:val="6E0C0136"/>
    <w:rsid w:val="6E130DE5"/>
    <w:rsid w:val="6E194716"/>
    <w:rsid w:val="6E5A1A5A"/>
    <w:rsid w:val="6E7962F9"/>
    <w:rsid w:val="6EAE2137"/>
    <w:rsid w:val="6EB221A0"/>
    <w:rsid w:val="6EB44823"/>
    <w:rsid w:val="6ECF300F"/>
    <w:rsid w:val="6EEE712E"/>
    <w:rsid w:val="6F010C33"/>
    <w:rsid w:val="6F431348"/>
    <w:rsid w:val="6F58000D"/>
    <w:rsid w:val="6F7E7354"/>
    <w:rsid w:val="6F9A4163"/>
    <w:rsid w:val="6FCD1A6E"/>
    <w:rsid w:val="6FD77A28"/>
    <w:rsid w:val="6FEF9C0E"/>
    <w:rsid w:val="6FF35895"/>
    <w:rsid w:val="70291C46"/>
    <w:rsid w:val="70341DAC"/>
    <w:rsid w:val="70350C60"/>
    <w:rsid w:val="7075685A"/>
    <w:rsid w:val="70A30A11"/>
    <w:rsid w:val="70AC2981"/>
    <w:rsid w:val="70B7547C"/>
    <w:rsid w:val="70C04C1F"/>
    <w:rsid w:val="70CE4C96"/>
    <w:rsid w:val="70CF0B3D"/>
    <w:rsid w:val="71354387"/>
    <w:rsid w:val="714317DD"/>
    <w:rsid w:val="7162408D"/>
    <w:rsid w:val="71625915"/>
    <w:rsid w:val="71772542"/>
    <w:rsid w:val="71B21069"/>
    <w:rsid w:val="71CA73EC"/>
    <w:rsid w:val="71CC3CC0"/>
    <w:rsid w:val="71DB24DA"/>
    <w:rsid w:val="71F633F8"/>
    <w:rsid w:val="71F744F2"/>
    <w:rsid w:val="7218415A"/>
    <w:rsid w:val="721F5CC8"/>
    <w:rsid w:val="72450106"/>
    <w:rsid w:val="72860859"/>
    <w:rsid w:val="72A33D69"/>
    <w:rsid w:val="731A697D"/>
    <w:rsid w:val="733D4CBA"/>
    <w:rsid w:val="73410663"/>
    <w:rsid w:val="735A2220"/>
    <w:rsid w:val="73793F92"/>
    <w:rsid w:val="73D83477"/>
    <w:rsid w:val="73E43E5B"/>
    <w:rsid w:val="747924D5"/>
    <w:rsid w:val="748D443D"/>
    <w:rsid w:val="74B63C4A"/>
    <w:rsid w:val="74BF0839"/>
    <w:rsid w:val="74CF6187"/>
    <w:rsid w:val="74D30D95"/>
    <w:rsid w:val="74F62207"/>
    <w:rsid w:val="750D788E"/>
    <w:rsid w:val="752A5775"/>
    <w:rsid w:val="754A4575"/>
    <w:rsid w:val="7564688B"/>
    <w:rsid w:val="75745F30"/>
    <w:rsid w:val="75C74990"/>
    <w:rsid w:val="75CC5684"/>
    <w:rsid w:val="75D52C2D"/>
    <w:rsid w:val="76021F59"/>
    <w:rsid w:val="760807B1"/>
    <w:rsid w:val="765B1419"/>
    <w:rsid w:val="76652961"/>
    <w:rsid w:val="7671275F"/>
    <w:rsid w:val="76971CDF"/>
    <w:rsid w:val="769D4069"/>
    <w:rsid w:val="76A60379"/>
    <w:rsid w:val="76AA5144"/>
    <w:rsid w:val="76AC1D52"/>
    <w:rsid w:val="76DF0815"/>
    <w:rsid w:val="76E56A8E"/>
    <w:rsid w:val="76F83B54"/>
    <w:rsid w:val="773125E2"/>
    <w:rsid w:val="77AC0674"/>
    <w:rsid w:val="77BA7C86"/>
    <w:rsid w:val="77CC7198"/>
    <w:rsid w:val="77CE2B57"/>
    <w:rsid w:val="77D311F6"/>
    <w:rsid w:val="77E1438C"/>
    <w:rsid w:val="77E43DD2"/>
    <w:rsid w:val="77F6075E"/>
    <w:rsid w:val="77FB5427"/>
    <w:rsid w:val="780D0A8D"/>
    <w:rsid w:val="78151A26"/>
    <w:rsid w:val="78286AF7"/>
    <w:rsid w:val="782D3663"/>
    <w:rsid w:val="783366D1"/>
    <w:rsid w:val="7843265A"/>
    <w:rsid w:val="78663C24"/>
    <w:rsid w:val="788829E6"/>
    <w:rsid w:val="789B7702"/>
    <w:rsid w:val="78BA03C6"/>
    <w:rsid w:val="78D41F4B"/>
    <w:rsid w:val="78E11465"/>
    <w:rsid w:val="78F47D2D"/>
    <w:rsid w:val="78F64552"/>
    <w:rsid w:val="78F6798A"/>
    <w:rsid w:val="78FEEF46"/>
    <w:rsid w:val="793C5C50"/>
    <w:rsid w:val="796C0923"/>
    <w:rsid w:val="79795F5A"/>
    <w:rsid w:val="798D0AD2"/>
    <w:rsid w:val="79A41C7C"/>
    <w:rsid w:val="79C937D5"/>
    <w:rsid w:val="79DF1B4D"/>
    <w:rsid w:val="79F81E12"/>
    <w:rsid w:val="7A101951"/>
    <w:rsid w:val="7A1C65EB"/>
    <w:rsid w:val="7A60175F"/>
    <w:rsid w:val="7A951FC7"/>
    <w:rsid w:val="7AAD6B20"/>
    <w:rsid w:val="7AD54C34"/>
    <w:rsid w:val="7AED3CEE"/>
    <w:rsid w:val="7B020435"/>
    <w:rsid w:val="7B103C8D"/>
    <w:rsid w:val="7B1B0A15"/>
    <w:rsid w:val="7B214B9C"/>
    <w:rsid w:val="7B265465"/>
    <w:rsid w:val="7B3D9FA7"/>
    <w:rsid w:val="7B445833"/>
    <w:rsid w:val="7B7D212A"/>
    <w:rsid w:val="7BA41D67"/>
    <w:rsid w:val="7BA831B4"/>
    <w:rsid w:val="7BA86FCC"/>
    <w:rsid w:val="7BE2051A"/>
    <w:rsid w:val="7BF01892"/>
    <w:rsid w:val="7C013E7A"/>
    <w:rsid w:val="7C28417F"/>
    <w:rsid w:val="7C362405"/>
    <w:rsid w:val="7C4518F1"/>
    <w:rsid w:val="7C632338"/>
    <w:rsid w:val="7C691EE7"/>
    <w:rsid w:val="7C7D7BB2"/>
    <w:rsid w:val="7C7E7DC7"/>
    <w:rsid w:val="7CA05A4B"/>
    <w:rsid w:val="7CB20432"/>
    <w:rsid w:val="7CB26258"/>
    <w:rsid w:val="7CC40EDF"/>
    <w:rsid w:val="7CC70BC5"/>
    <w:rsid w:val="7CE3278B"/>
    <w:rsid w:val="7CE33D99"/>
    <w:rsid w:val="7CE75026"/>
    <w:rsid w:val="7CEC6459"/>
    <w:rsid w:val="7D2801DA"/>
    <w:rsid w:val="7D3A306F"/>
    <w:rsid w:val="7D4166AE"/>
    <w:rsid w:val="7D585054"/>
    <w:rsid w:val="7DA00BB7"/>
    <w:rsid w:val="7DA74434"/>
    <w:rsid w:val="7DAF5004"/>
    <w:rsid w:val="7DC557DE"/>
    <w:rsid w:val="7DEE4DFB"/>
    <w:rsid w:val="7DF1189C"/>
    <w:rsid w:val="7E073AC2"/>
    <w:rsid w:val="7E197D90"/>
    <w:rsid w:val="7E21461F"/>
    <w:rsid w:val="7E29605A"/>
    <w:rsid w:val="7E4C39D7"/>
    <w:rsid w:val="7E615386"/>
    <w:rsid w:val="7E63219A"/>
    <w:rsid w:val="7E6C0FC8"/>
    <w:rsid w:val="7E6E2BF3"/>
    <w:rsid w:val="7E8F68F6"/>
    <w:rsid w:val="7E953069"/>
    <w:rsid w:val="7EA832D9"/>
    <w:rsid w:val="7EA85A3A"/>
    <w:rsid w:val="7EBAEAA8"/>
    <w:rsid w:val="7EFF4B02"/>
    <w:rsid w:val="7F192FBE"/>
    <w:rsid w:val="7F4BB895"/>
    <w:rsid w:val="7F5D65DE"/>
    <w:rsid w:val="7F61630B"/>
    <w:rsid w:val="7F714AE8"/>
    <w:rsid w:val="7F7D6915"/>
    <w:rsid w:val="7F913F52"/>
    <w:rsid w:val="7F99375C"/>
    <w:rsid w:val="7FAF7D48"/>
    <w:rsid w:val="7FDD9412"/>
    <w:rsid w:val="7FE04BEF"/>
    <w:rsid w:val="7FFD1D74"/>
    <w:rsid w:val="7FFE4638"/>
    <w:rsid w:val="7FFF9244"/>
    <w:rsid w:val="9FBCEFEF"/>
    <w:rsid w:val="A7EF19A3"/>
    <w:rsid w:val="B7AFA605"/>
    <w:rsid w:val="BDDDBE5F"/>
    <w:rsid w:val="BFDFF4A1"/>
    <w:rsid w:val="BFED499C"/>
    <w:rsid w:val="BFFFDAC3"/>
    <w:rsid w:val="CF1F4758"/>
    <w:rsid w:val="D9FFEB83"/>
    <w:rsid w:val="DBFF2C18"/>
    <w:rsid w:val="DC7E0118"/>
    <w:rsid w:val="EDFF0F34"/>
    <w:rsid w:val="F1FD7830"/>
    <w:rsid w:val="F3DA4BD6"/>
    <w:rsid w:val="F755205E"/>
    <w:rsid w:val="FB27CF91"/>
    <w:rsid w:val="FBDB6B59"/>
    <w:rsid w:val="FBE715E6"/>
    <w:rsid w:val="FD9FF8E1"/>
    <w:rsid w:val="FDF11AFE"/>
    <w:rsid w:val="FEFEBA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87"/>
    <w:qFormat/>
    <w:uiPriority w:val="0"/>
    <w:pPr>
      <w:keepNext/>
      <w:keepLines/>
      <w:numPr>
        <w:ilvl w:val="1"/>
        <w:numId w:val="1"/>
      </w:numPr>
      <w:spacing w:line="413" w:lineRule="auto"/>
      <w:outlineLvl w:val="1"/>
    </w:pPr>
    <w:rPr>
      <w:rFonts w:ascii="Arial" w:hAnsi="Arial"/>
      <w:b/>
      <w:kern w:val="0"/>
      <w:sz w:val="32"/>
      <w:szCs w:val="24"/>
    </w:rPr>
  </w:style>
  <w:style w:type="paragraph" w:styleId="8">
    <w:name w:val="heading 3"/>
    <w:basedOn w:val="1"/>
    <w:next w:val="1"/>
    <w:qFormat/>
    <w:uiPriority w:val="9"/>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autoSpaceDE w:val="0"/>
      <w:autoSpaceDN w:val="0"/>
      <w:adjustRightInd w:val="0"/>
      <w:ind w:firstLine="420" w:firstLineChars="100"/>
      <w:jc w:val="left"/>
    </w:pPr>
    <w:rPr>
      <w:rFonts w:ascii="仿宋_GB2312"/>
      <w:b/>
      <w:kern w:val="0"/>
      <w:sz w:val="32"/>
      <w:szCs w:val="32"/>
    </w:rPr>
  </w:style>
  <w:style w:type="paragraph" w:styleId="3">
    <w:name w:val="Body Text"/>
    <w:basedOn w:val="1"/>
    <w:next w:val="4"/>
    <w:qFormat/>
    <w:uiPriority w:val="0"/>
    <w:pPr>
      <w:spacing w:after="120"/>
    </w:pPr>
  </w:style>
  <w:style w:type="paragraph" w:styleId="4">
    <w:name w:val="toc 4"/>
    <w:basedOn w:val="1"/>
    <w:next w:val="1"/>
    <w:unhideWhenUsed/>
    <w:qFormat/>
    <w:uiPriority w:val="39"/>
    <w:pPr>
      <w:ind w:left="1260" w:leftChars="600"/>
    </w:pPr>
  </w:style>
  <w:style w:type="paragraph" w:styleId="5">
    <w:name w:val="toc 6"/>
    <w:basedOn w:val="1"/>
    <w:next w:val="1"/>
    <w:qFormat/>
    <w:uiPriority w:val="0"/>
    <w:pPr>
      <w:spacing w:line="360" w:lineRule="auto"/>
      <w:ind w:left="1200" w:firstLine="200" w:firstLineChars="200"/>
      <w:jc w:val="left"/>
    </w:pPr>
    <w:rPr>
      <w:rFonts w:cs="Calibri"/>
      <w:sz w:val="18"/>
      <w:szCs w:val="18"/>
    </w:rPr>
  </w:style>
  <w:style w:type="paragraph" w:styleId="11">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2">
    <w:name w:val="annotation text"/>
    <w:basedOn w:val="1"/>
    <w:link w:val="69"/>
    <w:qFormat/>
    <w:uiPriority w:val="0"/>
    <w:pPr>
      <w:jc w:val="left"/>
    </w:pPr>
    <w:rPr>
      <w:rFonts w:ascii="Times New Roman" w:hAnsi="Times New Roman"/>
    </w:rPr>
  </w:style>
  <w:style w:type="paragraph" w:styleId="13">
    <w:name w:val="Body Text Indent"/>
    <w:basedOn w:val="1"/>
    <w:next w:val="1"/>
    <w:link w:val="75"/>
    <w:qFormat/>
    <w:uiPriority w:val="0"/>
    <w:pPr>
      <w:ind w:left="480" w:hanging="480" w:hangingChars="200"/>
    </w:pPr>
    <w:rPr>
      <w:sz w:val="24"/>
    </w:rPr>
  </w:style>
  <w:style w:type="paragraph" w:styleId="14">
    <w:name w:val="List 2"/>
    <w:basedOn w:val="1"/>
    <w:qFormat/>
    <w:uiPriority w:val="99"/>
    <w:pPr>
      <w:ind w:left="100" w:leftChars="200" w:hanging="200" w:hangingChars="200"/>
    </w:pPr>
    <w:rPr>
      <w:sz w:val="28"/>
      <w:szCs w:val="28"/>
    </w:rPr>
  </w:style>
  <w:style w:type="paragraph" w:styleId="15">
    <w:name w:val="Block Text"/>
    <w:basedOn w:val="1"/>
    <w:qFormat/>
    <w:uiPriority w:val="99"/>
    <w:pPr>
      <w:spacing w:after="120"/>
      <w:ind w:left="1440" w:leftChars="700" w:right="1440" w:rightChars="700"/>
    </w:pPr>
  </w:style>
  <w:style w:type="paragraph" w:styleId="16">
    <w:name w:val="Plain Text"/>
    <w:basedOn w:val="1"/>
    <w:next w:val="17"/>
    <w:link w:val="71"/>
    <w:qFormat/>
    <w:uiPriority w:val="0"/>
    <w:pPr>
      <w:widowControl/>
      <w:overflowPunct w:val="0"/>
      <w:autoSpaceDE w:val="0"/>
      <w:autoSpaceDN w:val="0"/>
      <w:adjustRightInd w:val="0"/>
      <w:jc w:val="left"/>
      <w:textAlignment w:val="baseline"/>
    </w:pPr>
    <w:rPr>
      <w:rFonts w:ascii="宋体" w:hAnsi="Courier New"/>
      <w:sz w:val="24"/>
    </w:rPr>
  </w:style>
  <w:style w:type="paragraph" w:styleId="17">
    <w:name w:val="toc 2"/>
    <w:basedOn w:val="1"/>
    <w:next w:val="1"/>
    <w:qFormat/>
    <w:uiPriority w:val="99"/>
    <w:pPr>
      <w:tabs>
        <w:tab w:val="right" w:leader="dot" w:pos="8302"/>
      </w:tabs>
      <w:ind w:left="200" w:leftChars="200"/>
    </w:pPr>
    <w:rPr>
      <w:b/>
      <w:sz w:val="24"/>
    </w:rPr>
  </w:style>
  <w:style w:type="paragraph" w:styleId="18">
    <w:name w:val="Date"/>
    <w:basedOn w:val="1"/>
    <w:next w:val="1"/>
    <w:qFormat/>
    <w:uiPriority w:val="0"/>
    <w:pPr>
      <w:ind w:left="2500" w:leftChars="2500"/>
    </w:pPr>
    <w:rPr>
      <w:rFonts w:eastAsia="楷体_GB2312"/>
      <w:sz w:val="32"/>
      <w:szCs w:val="20"/>
    </w:rPr>
  </w:style>
  <w:style w:type="paragraph" w:styleId="19">
    <w:name w:val="Body Text Indent 2"/>
    <w:basedOn w:val="1"/>
    <w:unhideWhenUsed/>
    <w:qFormat/>
    <w:uiPriority w:val="99"/>
    <w:pPr>
      <w:spacing w:after="120" w:line="480" w:lineRule="auto"/>
      <w:ind w:left="420" w:leftChars="200"/>
    </w:pPr>
  </w:style>
  <w:style w:type="paragraph" w:styleId="20">
    <w:name w:val="Balloon Text"/>
    <w:basedOn w:val="1"/>
    <w:link w:val="72"/>
    <w:qFormat/>
    <w:uiPriority w:val="0"/>
    <w:rPr>
      <w:rFonts w:ascii="Times New Roman" w:hAnsi="Times New Roman"/>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envelope return"/>
    <w:basedOn w:val="1"/>
    <w:qFormat/>
    <w:uiPriority w:val="0"/>
    <w:pPr>
      <w:snapToGrid w:val="0"/>
    </w:pPr>
    <w:rPr>
      <w:rFonts w:ascii="Arial" w:hAnsi="Arial"/>
    </w:rPr>
  </w:style>
  <w:style w:type="paragraph" w:styleId="23">
    <w:name w:val="header"/>
    <w:basedOn w:val="1"/>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unhideWhenUsed/>
    <w:qFormat/>
    <w:uiPriority w:val="0"/>
    <w:rPr>
      <w:rFonts w:ascii="Times New Roman" w:hAnsi="Times New Roman"/>
    </w:rPr>
  </w:style>
  <w:style w:type="paragraph" w:styleId="25">
    <w:name w:val="Subtitle"/>
    <w:basedOn w:val="1"/>
    <w:next w:val="1"/>
    <w:qFormat/>
    <w:uiPriority w:val="11"/>
    <w:pPr>
      <w:spacing w:before="240" w:after="60" w:line="312" w:lineRule="auto"/>
      <w:jc w:val="center"/>
      <w:outlineLvl w:val="1"/>
    </w:pPr>
    <w:rPr>
      <w:b/>
      <w:bCs/>
      <w:kern w:val="28"/>
      <w:sz w:val="32"/>
      <w:szCs w:val="32"/>
    </w:rPr>
  </w:style>
  <w:style w:type="paragraph" w:styleId="26">
    <w:name w:val="List"/>
    <w:basedOn w:val="1"/>
    <w:qFormat/>
    <w:uiPriority w:val="0"/>
    <w:pPr>
      <w:ind w:left="200" w:hanging="200" w:hangingChars="200"/>
    </w:pPr>
  </w:style>
  <w:style w:type="paragraph" w:styleId="27">
    <w:name w:val="footnote text"/>
    <w:basedOn w:val="1"/>
    <w:link w:val="74"/>
    <w:qFormat/>
    <w:uiPriority w:val="99"/>
    <w:pPr>
      <w:snapToGrid w:val="0"/>
      <w:jc w:val="left"/>
    </w:pPr>
    <w:rPr>
      <w:sz w:val="18"/>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annotation subject"/>
    <w:basedOn w:val="12"/>
    <w:next w:val="12"/>
    <w:link w:val="73"/>
    <w:qFormat/>
    <w:uiPriority w:val="0"/>
    <w:rPr>
      <w:b/>
      <w:bCs/>
    </w:rPr>
  </w:style>
  <w:style w:type="paragraph" w:styleId="30">
    <w:name w:val="Body Text First Indent 2"/>
    <w:basedOn w:val="13"/>
    <w:next w:val="1"/>
    <w:unhideWhenUsed/>
    <w:qFormat/>
    <w:uiPriority w:val="99"/>
    <w:pPr>
      <w:ind w:firstLine="420"/>
    </w:p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qFormat/>
    <w:uiPriority w:val="22"/>
    <w:rPr>
      <w:b/>
    </w:rPr>
  </w:style>
  <w:style w:type="character" w:styleId="35">
    <w:name w:val="page number"/>
    <w:basedOn w:val="33"/>
    <w:unhideWhenUsed/>
    <w:qFormat/>
    <w:uiPriority w:val="0"/>
  </w:style>
  <w:style w:type="character" w:styleId="36">
    <w:name w:val="Emphasis"/>
    <w:basedOn w:val="33"/>
    <w:qFormat/>
    <w:uiPriority w:val="20"/>
    <w:rPr>
      <w:i/>
      <w:iCs/>
    </w:rPr>
  </w:style>
  <w:style w:type="character" w:styleId="37">
    <w:name w:val="Hyperlink"/>
    <w:basedOn w:val="33"/>
    <w:qFormat/>
    <w:uiPriority w:val="0"/>
  </w:style>
  <w:style w:type="character" w:styleId="38">
    <w:name w:val="annotation reference"/>
    <w:basedOn w:val="33"/>
    <w:qFormat/>
    <w:uiPriority w:val="99"/>
    <w:rPr>
      <w:sz w:val="21"/>
      <w:szCs w:val="21"/>
    </w:rPr>
  </w:style>
  <w:style w:type="character" w:styleId="39">
    <w:name w:val="footnote reference"/>
    <w:basedOn w:val="33"/>
    <w:qFormat/>
    <w:uiPriority w:val="99"/>
    <w:rPr>
      <w:rFonts w:cs="Times New Roman"/>
      <w:vertAlign w:val="superscript"/>
    </w:rPr>
  </w:style>
  <w:style w:type="paragraph" w:customStyle="1" w:styleId="40">
    <w:name w:val="正文正"/>
    <w:basedOn w:val="1"/>
    <w:qFormat/>
    <w:uiPriority w:val="0"/>
    <w:pPr>
      <w:spacing w:line="560" w:lineRule="exact"/>
      <w:ind w:firstLine="561"/>
    </w:pPr>
    <w:rPr>
      <w:rFonts w:ascii="Calibri" w:hAnsi="Calibri"/>
      <w:sz w:val="28"/>
      <w:szCs w:val="28"/>
    </w:rPr>
  </w:style>
  <w:style w:type="paragraph" w:customStyle="1" w:styleId="4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Normal]"/>
    <w:qFormat/>
    <w:uiPriority w:val="99"/>
    <w:rPr>
      <w:rFonts w:ascii="宋体" w:hAnsi="宋体" w:eastAsia="宋体" w:cs="Times New Roman"/>
      <w:sz w:val="24"/>
      <w:szCs w:val="22"/>
      <w:lang w:val="zh-CN" w:eastAsia="zh-CN" w:bidi="ar-SA"/>
    </w:rPr>
  </w:style>
  <w:style w:type="paragraph" w:customStyle="1" w:styleId="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3"/>
    <w:qFormat/>
    <w:uiPriority w:val="0"/>
    <w:pPr>
      <w:adjustRightInd w:val="0"/>
      <w:spacing w:line="420" w:lineRule="atLeast"/>
      <w:jc w:val="left"/>
      <w:textAlignment w:val="baseline"/>
    </w:pPr>
    <w:rPr>
      <w:kern w:val="0"/>
      <w:szCs w:val="24"/>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6"/>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customStyle="1" w:styleId="57">
    <w:name w:val="列出段落1"/>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3"/>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paragraph" w:customStyle="1" w:styleId="67">
    <w:name w:val="Body text|3"/>
    <w:basedOn w:val="1"/>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9">
    <w:name w:val="批注文字 字符"/>
    <w:link w:val="12"/>
    <w:qFormat/>
    <w:uiPriority w:val="0"/>
    <w:rPr>
      <w:rFonts w:ascii="Times New Roman" w:hAnsi="Times New Roman" w:eastAsia="宋体" w:cs="Times New Roman"/>
      <w:kern w:val="2"/>
      <w:sz w:val="21"/>
      <w:szCs w:val="22"/>
    </w:rPr>
  </w:style>
  <w:style w:type="character" w:customStyle="1" w:styleId="70">
    <w:name w:val="font11"/>
    <w:qFormat/>
    <w:uiPriority w:val="0"/>
    <w:rPr>
      <w:rFonts w:hint="default" w:ascii="仿宋_GB2312" w:eastAsia="仿宋_GB2312" w:cs="仿宋_GB2312"/>
      <w:color w:val="000000"/>
      <w:sz w:val="24"/>
      <w:szCs w:val="24"/>
      <w:u w:val="none"/>
    </w:rPr>
  </w:style>
  <w:style w:type="character" w:customStyle="1" w:styleId="71">
    <w:name w:val="纯文本 字符"/>
    <w:link w:val="16"/>
    <w:qFormat/>
    <w:uiPriority w:val="0"/>
    <w:rPr>
      <w:rFonts w:ascii="宋体" w:hAnsi="Courier New"/>
      <w:kern w:val="2"/>
      <w:sz w:val="24"/>
      <w:szCs w:val="22"/>
    </w:rPr>
  </w:style>
  <w:style w:type="character" w:customStyle="1" w:styleId="72">
    <w:name w:val="批注框文本 字符"/>
    <w:link w:val="20"/>
    <w:qFormat/>
    <w:uiPriority w:val="0"/>
    <w:rPr>
      <w:kern w:val="2"/>
      <w:sz w:val="18"/>
      <w:szCs w:val="18"/>
    </w:rPr>
  </w:style>
  <w:style w:type="character" w:customStyle="1" w:styleId="73">
    <w:name w:val="批注主题 字符"/>
    <w:basedOn w:val="69"/>
    <w:link w:val="29"/>
    <w:qFormat/>
    <w:uiPriority w:val="0"/>
    <w:rPr>
      <w:rFonts w:ascii="Times New Roman" w:hAnsi="Times New Roman" w:eastAsia="宋体" w:cs="Times New Roman"/>
      <w:kern w:val="2"/>
      <w:sz w:val="21"/>
      <w:szCs w:val="22"/>
    </w:rPr>
  </w:style>
  <w:style w:type="character" w:customStyle="1" w:styleId="74">
    <w:name w:val="脚注文本 字符"/>
    <w:basedOn w:val="33"/>
    <w:link w:val="27"/>
    <w:qFormat/>
    <w:uiPriority w:val="99"/>
    <w:rPr>
      <w:rFonts w:ascii="Calibri" w:hAnsi="Calibri"/>
      <w:kern w:val="2"/>
      <w:sz w:val="18"/>
      <w:szCs w:val="22"/>
    </w:rPr>
  </w:style>
  <w:style w:type="character" w:customStyle="1" w:styleId="75">
    <w:name w:val="正文文本缩进 字符"/>
    <w:basedOn w:val="33"/>
    <w:link w:val="13"/>
    <w:qFormat/>
    <w:uiPriority w:val="0"/>
    <w:rPr>
      <w:rFonts w:hint="default" w:ascii="Calibri" w:hAnsi="Calibri" w:cs="Calibri"/>
      <w:kern w:val="2"/>
      <w:sz w:val="21"/>
      <w:szCs w:val="22"/>
    </w:rPr>
  </w:style>
  <w:style w:type="character" w:customStyle="1" w:styleId="76">
    <w:name w:val="bookmark-item"/>
    <w:basedOn w:val="33"/>
    <w:qFormat/>
    <w:uiPriority w:val="0"/>
  </w:style>
  <w:style w:type="paragraph" w:styleId="77">
    <w:name w:val="List Paragraph"/>
    <w:basedOn w:val="1"/>
    <w:qFormat/>
    <w:uiPriority w:val="34"/>
    <w:pPr>
      <w:ind w:firstLine="420" w:firstLineChars="200"/>
    </w:pPr>
  </w:style>
  <w:style w:type="character" w:customStyle="1" w:styleId="78">
    <w:name w:val="NormalCharacter"/>
    <w:semiHidden/>
    <w:qFormat/>
    <w:uiPriority w:val="0"/>
  </w:style>
  <w:style w:type="paragraph" w:customStyle="1" w:styleId="79">
    <w:name w:val="BodyText1I2"/>
    <w:basedOn w:val="80"/>
    <w:qFormat/>
    <w:uiPriority w:val="0"/>
    <w:pPr>
      <w:ind w:firstLine="420" w:firstLineChars="200"/>
    </w:pPr>
  </w:style>
  <w:style w:type="paragraph" w:customStyle="1" w:styleId="80">
    <w:name w:val="BodyTextIndent"/>
    <w:basedOn w:val="1"/>
    <w:qFormat/>
    <w:uiPriority w:val="0"/>
    <w:pPr>
      <w:spacing w:after="120"/>
      <w:ind w:left="420" w:leftChars="200"/>
    </w:pPr>
  </w:style>
  <w:style w:type="paragraph" w:customStyle="1" w:styleId="81">
    <w:name w:val="无间隔4"/>
    <w:qFormat/>
    <w:uiPriority w:val="0"/>
    <w:rPr>
      <w:rFonts w:ascii="Calibri" w:hAnsi="Calibri" w:eastAsia="宋体" w:cs="Times New Roman"/>
      <w:sz w:val="22"/>
      <w:szCs w:val="22"/>
      <w:lang w:val="en-US" w:eastAsia="en-US" w:bidi="ar-SA"/>
    </w:rPr>
  </w:style>
  <w:style w:type="paragraph" w:customStyle="1" w:styleId="82">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3">
    <w:name w:val="正文缩进1"/>
    <w:basedOn w:val="1"/>
    <w:next w:val="1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4">
    <w:name w:val="索引 11"/>
    <w:basedOn w:val="1"/>
    <w:next w:val="1"/>
    <w:qFormat/>
    <w:uiPriority w:val="99"/>
    <w:pPr>
      <w:adjustRightInd/>
      <w:spacing w:line="360" w:lineRule="auto"/>
    </w:pPr>
    <w:rPr>
      <w:rFonts w:ascii="仿宋_GB2312" w:eastAsia="仿宋_GB2312"/>
      <w:sz w:val="24"/>
      <w:szCs w:val="20"/>
    </w:rPr>
  </w:style>
  <w:style w:type="paragraph" w:customStyle="1" w:styleId="85">
    <w:name w:val="纯文本1"/>
    <w:basedOn w:val="1"/>
    <w:qFormat/>
    <w:uiPriority w:val="0"/>
    <w:pPr>
      <w:adjustRightInd/>
    </w:pPr>
    <w:rPr>
      <w:rFonts w:ascii="宋体" w:hAnsi="Courier New"/>
      <w:kern w:val="0"/>
      <w:sz w:val="20"/>
      <w:szCs w:val="20"/>
    </w:rPr>
  </w:style>
  <w:style w:type="paragraph" w:customStyle="1" w:styleId="8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87">
    <w:name w:val="标题 2 Char1"/>
    <w:link w:val="7"/>
    <w:qFormat/>
    <w:uiPriority w:val="0"/>
    <w:rPr>
      <w:rFonts w:ascii="Arial" w:hAnsi="Arial"/>
      <w:b/>
      <w:kern w:val="0"/>
      <w:sz w:val="32"/>
      <w:szCs w:val="24"/>
    </w:rPr>
  </w:style>
  <w:style w:type="paragraph" w:customStyle="1" w:styleId="88">
    <w:name w:val="投标正文"/>
    <w:basedOn w:val="1"/>
    <w:qFormat/>
    <w:uiPriority w:val="0"/>
    <w:pPr>
      <w:ind w:left="102" w:firstLine="200" w:firstLineChars="200"/>
    </w:pPr>
    <w:rPr>
      <w:rFonts w:ascii="Calibri" w:hAnsi="Calibri" w:eastAsiaTheme="minorEastAsia"/>
      <w:szCs w:val="24"/>
    </w:rPr>
  </w:style>
  <w:style w:type="paragraph" w:customStyle="1" w:styleId="89">
    <w:name w:val="列出段落3"/>
    <w:basedOn w:val="1"/>
    <w:qFormat/>
    <w:uiPriority w:val="0"/>
    <w:pPr>
      <w:spacing w:line="360" w:lineRule="auto"/>
      <w:ind w:firstLine="420" w:firstLineChars="200"/>
    </w:pPr>
    <w:rPr>
      <w:rFonts w:ascii="Calibri" w:hAnsi="Calibri"/>
      <w:sz w:val="24"/>
      <w:szCs w:val="22"/>
    </w:rPr>
  </w:style>
  <w:style w:type="character" w:customStyle="1" w:styleId="90">
    <w:name w:val="font01"/>
    <w:basedOn w:val="33"/>
    <w:qFormat/>
    <w:uiPriority w:val="0"/>
    <w:rPr>
      <w:rFonts w:hint="eastAsia" w:ascii="宋体" w:hAnsi="宋体" w:eastAsia="宋体" w:cs="宋体"/>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WORKGROUP</Company>
  <Pages>111</Pages>
  <Words>76663</Words>
  <Characters>82002</Characters>
  <Lines>319</Lines>
  <Paragraphs>89</Paragraphs>
  <TotalTime>7</TotalTime>
  <ScaleCrop>false</ScaleCrop>
  <LinksUpToDate>false</LinksUpToDate>
  <CharactersWithSpaces>86212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2022-09-03T11:30:00Z</dcterms:created>
  <dc:creator>Administrator</dc:creator>
  <cp:lastModifiedBy></cp:lastModifiedBy>
  <cp:lastPrinted>2023-03-09T00:47:00Z</cp:lastPrinted>
  <dcterms:modified xsi:type="dcterms:W3CDTF">2023-03-09T08:12:51Z</dcterms:modified>
  <dc:title>浙江省政府(分散)采购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DDC5B7E7A21548B7B4E1252934B90D6E</vt:lpwstr>
  </property>
  <property fmtid="{D5CDD505-2E9C-101B-9397-08002B2CF9AE}" pid="4" name="commondata">
    <vt:lpwstr>eyJoZGlkIjoiYjQ5YWNlMDcxZGY3YmQzNTllNDAxMWNmYzg3NWNlNTUifQ==</vt:lpwstr>
  </property>
</Properties>
</file>