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jc w:val="center"/>
        <w:rPr>
          <w:rFonts w:ascii="宋体" w:hAnsi="宋体" w:cs="宋体"/>
          <w:b/>
          <w:color w:val="auto"/>
          <w:sz w:val="84"/>
          <w:szCs w:val="84"/>
          <w:highlight w:val="none"/>
        </w:rPr>
      </w:pPr>
    </w:p>
    <w:p>
      <w:pPr>
        <w:spacing w:line="360" w:lineRule="auto"/>
        <w:jc w:val="center"/>
        <w:rPr>
          <w:rFonts w:ascii="宋体" w:hAnsi="宋体" w:cs="宋体"/>
          <w:b/>
          <w:color w:val="auto"/>
          <w:sz w:val="84"/>
          <w:szCs w:val="84"/>
          <w:highlight w:val="none"/>
        </w:rPr>
      </w:pPr>
    </w:p>
    <w:p>
      <w:pPr>
        <w:spacing w:line="360" w:lineRule="auto"/>
        <w:jc w:val="center"/>
        <w:rPr>
          <w:rFonts w:ascii="宋体" w:hAnsi="宋体" w:cs="宋体"/>
          <w:b/>
          <w:color w:val="auto"/>
          <w:spacing w:val="26"/>
          <w:sz w:val="84"/>
          <w:szCs w:val="84"/>
          <w:highlight w:val="none"/>
        </w:rPr>
      </w:pPr>
      <w:r>
        <w:rPr>
          <w:rFonts w:hint="eastAsia" w:ascii="宋体" w:hAnsi="宋体" w:cs="宋体"/>
          <w:b/>
          <w:color w:val="auto"/>
          <w:sz w:val="84"/>
          <w:szCs w:val="84"/>
          <w:highlight w:val="none"/>
        </w:rPr>
        <w:t>温州市政府(分散)采购</w:t>
      </w:r>
    </w:p>
    <w:p>
      <w:pPr>
        <w:spacing w:line="400" w:lineRule="exact"/>
        <w:ind w:firstLine="1885" w:firstLineChars="235"/>
        <w:rPr>
          <w:rFonts w:ascii="宋体" w:hAnsi="宋体" w:cs="宋体"/>
          <w:b/>
          <w:color w:val="auto"/>
          <w:spacing w:val="140"/>
          <w:sz w:val="52"/>
          <w:szCs w:val="52"/>
          <w:highlight w:val="none"/>
        </w:rPr>
      </w:pPr>
    </w:p>
    <w:p>
      <w:pPr>
        <w:spacing w:line="400" w:lineRule="exact"/>
        <w:ind w:firstLine="1885" w:firstLineChars="235"/>
        <w:rPr>
          <w:rFonts w:ascii="宋体" w:hAnsi="宋体" w:cs="宋体"/>
          <w:b/>
          <w:color w:val="auto"/>
          <w:spacing w:val="140"/>
          <w:sz w:val="52"/>
          <w:szCs w:val="52"/>
          <w:highlight w:val="none"/>
        </w:rPr>
      </w:pPr>
    </w:p>
    <w:p>
      <w:pPr>
        <w:spacing w:line="400" w:lineRule="exact"/>
        <w:ind w:firstLine="1885" w:firstLineChars="235"/>
        <w:rPr>
          <w:rFonts w:ascii="宋体" w:hAnsi="宋体" w:cs="宋体"/>
          <w:b/>
          <w:color w:val="auto"/>
          <w:spacing w:val="140"/>
          <w:sz w:val="52"/>
          <w:szCs w:val="52"/>
          <w:highlight w:val="none"/>
        </w:rPr>
      </w:pPr>
    </w:p>
    <w:p>
      <w:pPr>
        <w:spacing w:line="400" w:lineRule="exact"/>
        <w:ind w:firstLine="1885" w:firstLineChars="235"/>
        <w:rPr>
          <w:rFonts w:ascii="宋体" w:hAnsi="宋体" w:cs="宋体"/>
          <w:b/>
          <w:color w:val="auto"/>
          <w:spacing w:val="140"/>
          <w:sz w:val="52"/>
          <w:szCs w:val="52"/>
          <w:highlight w:val="none"/>
        </w:rPr>
      </w:pPr>
    </w:p>
    <w:p>
      <w:pPr>
        <w:spacing w:line="360" w:lineRule="auto"/>
        <w:jc w:val="center"/>
        <w:rPr>
          <w:rFonts w:ascii="宋体" w:hAnsi="宋体" w:cs="宋体"/>
          <w:b/>
          <w:color w:val="auto"/>
          <w:spacing w:val="140"/>
          <w:sz w:val="52"/>
          <w:szCs w:val="52"/>
          <w:highlight w:val="none"/>
        </w:rPr>
      </w:pPr>
      <w:r>
        <w:rPr>
          <w:rFonts w:hint="eastAsia" w:ascii="宋体" w:hAnsi="宋体" w:cs="宋体"/>
          <w:b/>
          <w:color w:val="auto"/>
          <w:spacing w:val="140"/>
          <w:sz w:val="52"/>
          <w:szCs w:val="52"/>
          <w:highlight w:val="none"/>
        </w:rPr>
        <w:t>招标文件</w:t>
      </w:r>
    </w:p>
    <w:p>
      <w:pPr>
        <w:spacing w:line="360" w:lineRule="auto"/>
        <w:jc w:val="center"/>
        <w:rPr>
          <w:rFonts w:ascii="宋体" w:hAnsi="宋体" w:cs="宋体"/>
          <w:b/>
          <w:color w:val="auto"/>
          <w:sz w:val="36"/>
          <w:highlight w:val="none"/>
        </w:rPr>
      </w:pPr>
      <w:r>
        <w:rPr>
          <w:rFonts w:hint="eastAsia" w:ascii="宋体" w:hAnsi="宋体" w:cs="宋体"/>
          <w:b/>
          <w:color w:val="auto"/>
          <w:sz w:val="36"/>
          <w:highlight w:val="none"/>
        </w:rPr>
        <w:t>（线上电子招投标）</w:t>
      </w:r>
    </w:p>
    <w:p>
      <w:pPr>
        <w:spacing w:line="400" w:lineRule="exact"/>
        <w:rPr>
          <w:rFonts w:ascii="宋体" w:hAnsi="宋体" w:cs="宋体"/>
          <w:b/>
          <w:color w:val="auto"/>
          <w:sz w:val="24"/>
          <w:highlight w:val="none"/>
        </w:rPr>
      </w:pPr>
    </w:p>
    <w:p>
      <w:pPr>
        <w:spacing w:line="400" w:lineRule="exact"/>
        <w:rPr>
          <w:rFonts w:ascii="宋体" w:hAnsi="宋体" w:cs="宋体"/>
          <w:b/>
          <w:color w:val="auto"/>
          <w:sz w:val="24"/>
          <w:highlight w:val="none"/>
        </w:rPr>
      </w:pPr>
    </w:p>
    <w:p>
      <w:pPr>
        <w:spacing w:line="400" w:lineRule="exact"/>
        <w:rPr>
          <w:rFonts w:ascii="宋体" w:hAnsi="宋体" w:cs="宋体"/>
          <w:b/>
          <w:color w:val="auto"/>
          <w:sz w:val="24"/>
          <w:highlight w:val="none"/>
        </w:rPr>
      </w:pPr>
    </w:p>
    <w:p>
      <w:pPr>
        <w:spacing w:line="400" w:lineRule="exact"/>
        <w:rPr>
          <w:rFonts w:ascii="宋体" w:hAnsi="宋体" w:cs="宋体"/>
          <w:b/>
          <w:color w:val="auto"/>
          <w:sz w:val="24"/>
          <w:highlight w:val="none"/>
        </w:rPr>
      </w:pPr>
    </w:p>
    <w:p>
      <w:pPr>
        <w:spacing w:line="400" w:lineRule="exact"/>
        <w:rPr>
          <w:rFonts w:ascii="宋体" w:hAnsi="宋体" w:cs="宋体"/>
          <w:b/>
          <w:color w:val="auto"/>
          <w:sz w:val="24"/>
          <w:highlight w:val="none"/>
        </w:rPr>
      </w:pPr>
    </w:p>
    <w:p>
      <w:pPr>
        <w:spacing w:line="400" w:lineRule="exact"/>
        <w:ind w:firstLine="1140" w:firstLineChars="300"/>
        <w:rPr>
          <w:rFonts w:ascii="宋体" w:hAnsi="宋体" w:cs="宋体"/>
          <w:color w:val="auto"/>
          <w:spacing w:val="40"/>
          <w:sz w:val="30"/>
          <w:highlight w:val="none"/>
        </w:rPr>
      </w:pPr>
    </w:p>
    <w:p>
      <w:pPr>
        <w:spacing w:line="360" w:lineRule="auto"/>
        <w:ind w:firstLine="2100" w:firstLineChars="700"/>
        <w:rPr>
          <w:rFonts w:hint="eastAsia" w:ascii="宋体" w:hAnsi="宋体" w:eastAsia="宋体" w:cs="宋体"/>
          <w:color w:val="auto"/>
          <w:sz w:val="30"/>
          <w:highlight w:val="none"/>
          <w:lang w:eastAsia="zh-CN"/>
        </w:rPr>
      </w:pPr>
      <w:r>
        <w:rPr>
          <w:rFonts w:hint="eastAsia" w:ascii="宋体" w:hAnsi="宋体" w:cs="宋体"/>
          <w:color w:val="auto"/>
          <w:sz w:val="30"/>
          <w:highlight w:val="none"/>
        </w:rPr>
        <w:t>项目编号：</w:t>
      </w:r>
      <w:r>
        <w:rPr>
          <w:rFonts w:hint="eastAsia" w:ascii="宋体" w:hAnsi="宋体" w:cs="宋体"/>
          <w:color w:val="auto"/>
          <w:sz w:val="30"/>
          <w:highlight w:val="none"/>
          <w:lang w:eastAsia="zh-CN"/>
        </w:rPr>
        <w:t>WZUZB2022017(GK)</w:t>
      </w:r>
    </w:p>
    <w:p>
      <w:pPr>
        <w:spacing w:line="360" w:lineRule="auto"/>
        <w:ind w:firstLine="2100" w:firstLineChars="700"/>
        <w:rPr>
          <w:rFonts w:ascii="宋体" w:hAnsi="宋体" w:cs="宋体"/>
          <w:color w:val="auto"/>
          <w:sz w:val="30"/>
          <w:highlight w:val="none"/>
        </w:rPr>
      </w:pPr>
      <w:r>
        <w:rPr>
          <w:rFonts w:hint="eastAsia" w:ascii="宋体" w:hAnsi="宋体" w:cs="宋体"/>
          <w:color w:val="auto"/>
          <w:sz w:val="30"/>
          <w:highlight w:val="none"/>
        </w:rPr>
        <w:t>招标项目：中文纸质图书</w:t>
      </w:r>
    </w:p>
    <w:p>
      <w:pPr>
        <w:pStyle w:val="27"/>
        <w:spacing w:before="0" w:beforeAutospacing="0" w:after="0" w:afterAutospacing="0" w:line="360" w:lineRule="auto"/>
        <w:ind w:firstLine="2100" w:firstLineChars="700"/>
        <w:jc w:val="both"/>
        <w:rPr>
          <w:color w:val="auto"/>
          <w:sz w:val="22"/>
          <w:highlight w:val="none"/>
        </w:rPr>
      </w:pPr>
      <w:r>
        <w:rPr>
          <w:rFonts w:hint="eastAsia"/>
          <w:color w:val="auto"/>
          <w:sz w:val="30"/>
          <w:highlight w:val="none"/>
        </w:rPr>
        <w:t>招标方式：公开招标</w:t>
      </w:r>
    </w:p>
    <w:p>
      <w:pPr>
        <w:spacing w:line="360" w:lineRule="auto"/>
        <w:ind w:firstLine="1140" w:firstLineChars="300"/>
        <w:rPr>
          <w:rFonts w:ascii="宋体" w:hAnsi="宋体" w:cs="宋体"/>
          <w:color w:val="auto"/>
          <w:spacing w:val="40"/>
          <w:sz w:val="30"/>
          <w:highlight w:val="none"/>
        </w:rPr>
      </w:pPr>
    </w:p>
    <w:p>
      <w:pPr>
        <w:spacing w:line="360" w:lineRule="auto"/>
        <w:ind w:firstLine="2240" w:firstLineChars="700"/>
        <w:rPr>
          <w:rFonts w:ascii="宋体" w:hAnsi="宋体" w:cs="宋体"/>
          <w:color w:val="auto"/>
          <w:spacing w:val="40"/>
          <w:sz w:val="24"/>
          <w:szCs w:val="24"/>
          <w:highlight w:val="none"/>
        </w:rPr>
      </w:pPr>
      <w:r>
        <w:rPr>
          <w:rFonts w:hint="eastAsia" w:ascii="宋体" w:hAnsi="宋体" w:cs="宋体"/>
          <w:color w:val="auto"/>
          <w:spacing w:val="40"/>
          <w:sz w:val="24"/>
          <w:szCs w:val="24"/>
          <w:highlight w:val="none"/>
        </w:rPr>
        <w:t>采购人：温州大学</w:t>
      </w:r>
    </w:p>
    <w:p>
      <w:pPr>
        <w:spacing w:line="360" w:lineRule="auto"/>
        <w:ind w:firstLine="2240" w:firstLineChars="700"/>
        <w:rPr>
          <w:rFonts w:ascii="宋体" w:hAnsi="宋体" w:cs="宋体"/>
          <w:color w:val="auto"/>
          <w:spacing w:val="40"/>
          <w:sz w:val="24"/>
          <w:szCs w:val="24"/>
          <w:highlight w:val="none"/>
        </w:rPr>
      </w:pPr>
      <w:r>
        <w:rPr>
          <w:rFonts w:hint="eastAsia" w:ascii="宋体" w:hAnsi="宋体" w:cs="宋体"/>
          <w:color w:val="auto"/>
          <w:spacing w:val="40"/>
          <w:sz w:val="24"/>
          <w:szCs w:val="24"/>
          <w:highlight w:val="none"/>
        </w:rPr>
        <w:t>采购代理机构：浙江乐诚工程咨询有限公司</w:t>
      </w:r>
    </w:p>
    <w:p>
      <w:pPr>
        <w:spacing w:line="360" w:lineRule="auto"/>
        <w:jc w:val="center"/>
        <w:rPr>
          <w:rFonts w:ascii="宋体" w:hAnsi="宋体" w:cs="宋体"/>
          <w:color w:val="auto"/>
          <w:spacing w:val="40"/>
          <w:sz w:val="28"/>
          <w:highlight w:val="none"/>
        </w:rPr>
      </w:pPr>
    </w:p>
    <w:p>
      <w:pPr>
        <w:spacing w:line="360" w:lineRule="auto"/>
        <w:jc w:val="center"/>
        <w:rPr>
          <w:rFonts w:ascii="宋体" w:hAnsi="宋体" w:cs="宋体"/>
          <w:color w:val="auto"/>
          <w:spacing w:val="40"/>
          <w:sz w:val="28"/>
          <w:highlight w:val="none"/>
        </w:rPr>
      </w:pPr>
    </w:p>
    <w:p>
      <w:pPr>
        <w:spacing w:line="360" w:lineRule="auto"/>
        <w:jc w:val="center"/>
        <w:rPr>
          <w:rFonts w:ascii="宋体" w:hAnsi="宋体" w:cs="宋体"/>
          <w:color w:val="auto"/>
          <w:spacing w:val="40"/>
          <w:sz w:val="28"/>
          <w:highlight w:val="none"/>
        </w:rPr>
      </w:pPr>
      <w:r>
        <w:rPr>
          <w:rFonts w:hint="eastAsia" w:ascii="宋体" w:hAnsi="宋体" w:cs="宋体"/>
          <w:color w:val="auto"/>
          <w:spacing w:val="40"/>
          <w:sz w:val="28"/>
          <w:highlight w:val="none"/>
        </w:rPr>
        <w:t>二0二二年</w:t>
      </w:r>
    </w:p>
    <w:p>
      <w:pPr>
        <w:spacing w:line="400" w:lineRule="exact"/>
        <w:jc w:val="center"/>
        <w:rPr>
          <w:rFonts w:ascii="宋体" w:hAnsi="宋体" w:cs="宋体"/>
          <w:b/>
          <w:color w:val="auto"/>
          <w:sz w:val="32"/>
          <w:highlight w:val="none"/>
        </w:rPr>
      </w:pPr>
      <w:r>
        <w:rPr>
          <w:rFonts w:hint="eastAsia" w:ascii="宋体" w:hAnsi="宋体" w:cs="宋体"/>
          <w:b/>
          <w:color w:val="auto"/>
          <w:sz w:val="32"/>
          <w:highlight w:val="none"/>
        </w:rPr>
        <w:t>目 录</w:t>
      </w:r>
    </w:p>
    <w:p>
      <w:pPr>
        <w:spacing w:line="400" w:lineRule="exact"/>
        <w:rPr>
          <w:rFonts w:ascii="宋体" w:hAnsi="宋体" w:cs="宋体"/>
          <w:color w:val="auto"/>
          <w:highlight w:val="none"/>
        </w:rPr>
      </w:pPr>
    </w:p>
    <w:p>
      <w:pPr>
        <w:snapToGrid w:val="0"/>
        <w:spacing w:line="400" w:lineRule="exact"/>
        <w:rPr>
          <w:rFonts w:ascii="宋体" w:hAnsi="宋体" w:cs="宋体"/>
          <w:color w:val="auto"/>
          <w:sz w:val="22"/>
          <w:highlight w:val="none"/>
        </w:rPr>
      </w:pPr>
      <w:r>
        <w:rPr>
          <w:rFonts w:hint="eastAsia" w:ascii="宋体" w:hAnsi="宋体" w:cs="宋体"/>
          <w:color w:val="auto"/>
          <w:sz w:val="22"/>
          <w:highlight w:val="none"/>
        </w:rPr>
        <w:t>第一部分  投标邀请书           ………………………………………………………………3</w:t>
      </w:r>
    </w:p>
    <w:p>
      <w:pPr>
        <w:spacing w:line="400" w:lineRule="exact"/>
        <w:ind w:left="1100" w:hanging="1100" w:hangingChars="500"/>
        <w:rPr>
          <w:rFonts w:hint="eastAsia" w:ascii="宋体" w:hAnsi="宋体" w:eastAsia="宋体" w:cs="宋体"/>
          <w:color w:val="auto"/>
          <w:sz w:val="22"/>
          <w:highlight w:val="none"/>
          <w:lang w:eastAsia="zh-CN"/>
        </w:rPr>
      </w:pPr>
      <w:r>
        <w:rPr>
          <w:rFonts w:hint="eastAsia" w:ascii="宋体" w:hAnsi="宋体" w:cs="宋体"/>
          <w:color w:val="auto"/>
          <w:sz w:val="22"/>
          <w:highlight w:val="none"/>
        </w:rPr>
        <w:t>第二部分  投标人须知           ………………………………………………………………</w:t>
      </w:r>
      <w:r>
        <w:rPr>
          <w:rFonts w:hint="eastAsia" w:ascii="宋体" w:hAnsi="宋体" w:cs="宋体"/>
          <w:color w:val="auto"/>
          <w:sz w:val="22"/>
          <w:highlight w:val="none"/>
          <w:lang w:val="en-US" w:eastAsia="zh-CN"/>
        </w:rPr>
        <w:t>6</w:t>
      </w:r>
    </w:p>
    <w:p>
      <w:pPr>
        <w:spacing w:line="400" w:lineRule="exact"/>
        <w:ind w:left="1100" w:hanging="1100" w:hangingChars="500"/>
        <w:rPr>
          <w:rFonts w:hint="eastAsia" w:ascii="宋体" w:hAnsi="宋体" w:eastAsia="宋体" w:cs="宋体"/>
          <w:color w:val="auto"/>
          <w:sz w:val="22"/>
          <w:highlight w:val="none"/>
          <w:lang w:eastAsia="zh-CN"/>
        </w:rPr>
      </w:pPr>
      <w:r>
        <w:rPr>
          <w:rFonts w:hint="eastAsia" w:ascii="宋体" w:hAnsi="宋体" w:cs="宋体"/>
          <w:color w:val="auto"/>
          <w:sz w:val="22"/>
          <w:highlight w:val="none"/>
        </w:rPr>
        <w:t xml:space="preserve">          投标人须知前附表     ………………………………………………………………</w:t>
      </w:r>
      <w:r>
        <w:rPr>
          <w:rFonts w:hint="eastAsia" w:ascii="宋体" w:hAnsi="宋体" w:cs="宋体"/>
          <w:color w:val="auto"/>
          <w:sz w:val="22"/>
          <w:highlight w:val="none"/>
          <w:lang w:val="en-US" w:eastAsia="zh-CN"/>
        </w:rPr>
        <w:t>6</w:t>
      </w:r>
    </w:p>
    <w:p>
      <w:pPr>
        <w:spacing w:line="400" w:lineRule="exact"/>
        <w:ind w:firstLine="1100" w:firstLineChars="500"/>
        <w:rPr>
          <w:rFonts w:hint="eastAsia" w:ascii="宋体" w:hAnsi="宋体" w:eastAsia="宋体" w:cs="宋体"/>
          <w:color w:val="auto"/>
          <w:sz w:val="22"/>
          <w:highlight w:val="none"/>
          <w:lang w:eastAsia="zh-CN"/>
        </w:rPr>
      </w:pPr>
      <w:r>
        <w:rPr>
          <w:rFonts w:hint="eastAsia" w:ascii="宋体" w:hAnsi="宋体" w:cs="宋体"/>
          <w:color w:val="auto"/>
          <w:sz w:val="22"/>
          <w:highlight w:val="none"/>
        </w:rPr>
        <w:t>一.说 明             ………………………………………………………………1</w:t>
      </w:r>
      <w:r>
        <w:rPr>
          <w:rFonts w:hint="eastAsia" w:ascii="宋体" w:hAnsi="宋体" w:cs="宋体"/>
          <w:color w:val="auto"/>
          <w:sz w:val="22"/>
          <w:highlight w:val="none"/>
          <w:lang w:val="en-US" w:eastAsia="zh-CN"/>
        </w:rPr>
        <w:t>0</w:t>
      </w:r>
    </w:p>
    <w:p>
      <w:pPr>
        <w:spacing w:line="400" w:lineRule="exact"/>
        <w:rPr>
          <w:rFonts w:ascii="宋体" w:hAnsi="宋体" w:cs="宋体"/>
          <w:color w:val="auto"/>
          <w:sz w:val="22"/>
          <w:highlight w:val="none"/>
        </w:rPr>
      </w:pPr>
      <w:r>
        <w:rPr>
          <w:rFonts w:hint="eastAsia" w:ascii="宋体" w:hAnsi="宋体" w:cs="宋体"/>
          <w:color w:val="auto"/>
          <w:sz w:val="22"/>
          <w:highlight w:val="none"/>
        </w:rPr>
        <w:t xml:space="preserve">          二.招标文件          ………………………………………………………………12</w:t>
      </w:r>
    </w:p>
    <w:p>
      <w:pPr>
        <w:spacing w:line="400" w:lineRule="exact"/>
        <w:rPr>
          <w:rFonts w:ascii="宋体" w:hAnsi="宋体" w:cs="宋体"/>
          <w:color w:val="auto"/>
          <w:sz w:val="22"/>
          <w:highlight w:val="none"/>
        </w:rPr>
      </w:pPr>
      <w:r>
        <w:rPr>
          <w:rFonts w:hint="eastAsia" w:ascii="宋体" w:hAnsi="宋体" w:cs="宋体"/>
          <w:color w:val="auto"/>
          <w:sz w:val="22"/>
          <w:highlight w:val="none"/>
        </w:rPr>
        <w:t xml:space="preserve">          三.投标文件的编制    ………………………………………………………………13</w:t>
      </w:r>
    </w:p>
    <w:p>
      <w:pPr>
        <w:spacing w:line="400" w:lineRule="exact"/>
        <w:rPr>
          <w:rFonts w:hint="eastAsia" w:ascii="宋体" w:hAnsi="宋体" w:eastAsia="宋体" w:cs="宋体"/>
          <w:color w:val="auto"/>
          <w:sz w:val="22"/>
          <w:highlight w:val="none"/>
          <w:lang w:eastAsia="zh-CN"/>
        </w:rPr>
      </w:pPr>
      <w:r>
        <w:rPr>
          <w:rFonts w:hint="eastAsia" w:ascii="宋体" w:hAnsi="宋体" w:cs="宋体"/>
          <w:color w:val="auto"/>
          <w:sz w:val="22"/>
          <w:highlight w:val="none"/>
        </w:rPr>
        <w:t xml:space="preserve">          四.投标文件的递交    ………………………………………………………………1</w:t>
      </w:r>
      <w:r>
        <w:rPr>
          <w:rFonts w:hint="eastAsia" w:ascii="宋体" w:hAnsi="宋体" w:cs="宋体"/>
          <w:color w:val="auto"/>
          <w:sz w:val="22"/>
          <w:highlight w:val="none"/>
          <w:lang w:val="en-US" w:eastAsia="zh-CN"/>
        </w:rPr>
        <w:t>6</w:t>
      </w:r>
    </w:p>
    <w:p>
      <w:pPr>
        <w:spacing w:line="400" w:lineRule="exact"/>
        <w:rPr>
          <w:rFonts w:ascii="宋体" w:hAnsi="宋体" w:cs="宋体"/>
          <w:color w:val="auto"/>
          <w:sz w:val="22"/>
          <w:highlight w:val="none"/>
        </w:rPr>
      </w:pPr>
      <w:r>
        <w:rPr>
          <w:rFonts w:hint="eastAsia" w:ascii="宋体" w:hAnsi="宋体" w:cs="宋体"/>
          <w:color w:val="auto"/>
          <w:sz w:val="22"/>
          <w:highlight w:val="none"/>
        </w:rPr>
        <w:t xml:space="preserve">          五.开标和评标        ………………………………………………………………16</w:t>
      </w:r>
    </w:p>
    <w:p>
      <w:pPr>
        <w:spacing w:line="400" w:lineRule="exact"/>
        <w:jc w:val="left"/>
        <w:rPr>
          <w:rFonts w:hint="eastAsia" w:ascii="宋体" w:hAnsi="宋体" w:eastAsia="宋体" w:cs="宋体"/>
          <w:color w:val="auto"/>
          <w:sz w:val="22"/>
          <w:highlight w:val="none"/>
          <w:lang w:eastAsia="zh-CN"/>
        </w:rPr>
      </w:pPr>
      <w:r>
        <w:rPr>
          <w:rFonts w:hint="eastAsia" w:ascii="宋体" w:hAnsi="宋体" w:cs="宋体"/>
          <w:color w:val="auto"/>
          <w:sz w:val="22"/>
          <w:highlight w:val="none"/>
        </w:rPr>
        <w:t xml:space="preserve">          六.授予合同          ………………………………………………………………2</w:t>
      </w:r>
      <w:r>
        <w:rPr>
          <w:rFonts w:hint="eastAsia" w:ascii="宋体" w:hAnsi="宋体" w:cs="宋体"/>
          <w:color w:val="auto"/>
          <w:sz w:val="22"/>
          <w:highlight w:val="none"/>
          <w:lang w:val="en-US" w:eastAsia="zh-CN"/>
        </w:rPr>
        <w:t>1</w:t>
      </w:r>
    </w:p>
    <w:p>
      <w:pPr>
        <w:spacing w:line="400" w:lineRule="exact"/>
        <w:ind w:firstLine="1100" w:firstLineChars="500"/>
        <w:jc w:val="left"/>
        <w:rPr>
          <w:rFonts w:hint="eastAsia" w:ascii="宋体" w:hAnsi="宋体" w:eastAsia="宋体" w:cs="宋体"/>
          <w:color w:val="auto"/>
          <w:sz w:val="22"/>
          <w:highlight w:val="none"/>
          <w:lang w:eastAsia="zh-CN"/>
        </w:rPr>
      </w:pPr>
      <w:r>
        <w:rPr>
          <w:rFonts w:hint="eastAsia" w:ascii="宋体" w:hAnsi="宋体" w:cs="宋体"/>
          <w:color w:val="auto"/>
          <w:sz w:val="22"/>
          <w:highlight w:val="none"/>
        </w:rPr>
        <w:t>七.可中止电子交易活动的情形………………………………………………………2</w:t>
      </w:r>
      <w:r>
        <w:rPr>
          <w:rFonts w:hint="eastAsia" w:ascii="宋体" w:hAnsi="宋体" w:cs="宋体"/>
          <w:color w:val="auto"/>
          <w:sz w:val="22"/>
          <w:highlight w:val="none"/>
          <w:lang w:val="en-US" w:eastAsia="zh-CN"/>
        </w:rPr>
        <w:t>1</w:t>
      </w:r>
    </w:p>
    <w:p>
      <w:pPr>
        <w:spacing w:line="400" w:lineRule="exact"/>
        <w:rPr>
          <w:rFonts w:hint="eastAsia" w:ascii="宋体" w:hAnsi="宋体" w:eastAsia="宋体" w:cs="宋体"/>
          <w:color w:val="auto"/>
          <w:sz w:val="22"/>
          <w:highlight w:val="none"/>
          <w:lang w:eastAsia="zh-CN"/>
        </w:rPr>
      </w:pPr>
      <w:r>
        <w:rPr>
          <w:rFonts w:hint="eastAsia" w:ascii="宋体" w:hAnsi="宋体" w:cs="宋体"/>
          <w:color w:val="auto"/>
          <w:sz w:val="22"/>
          <w:highlight w:val="none"/>
        </w:rPr>
        <w:t>第三部分  拟签订的合同文本     ………………………………………………………………2</w:t>
      </w:r>
      <w:r>
        <w:rPr>
          <w:rFonts w:hint="eastAsia" w:ascii="宋体" w:hAnsi="宋体" w:cs="宋体"/>
          <w:color w:val="auto"/>
          <w:sz w:val="22"/>
          <w:highlight w:val="none"/>
          <w:lang w:val="en-US" w:eastAsia="zh-CN"/>
        </w:rPr>
        <w:t>2</w:t>
      </w:r>
    </w:p>
    <w:p>
      <w:pPr>
        <w:spacing w:line="400" w:lineRule="exact"/>
        <w:rPr>
          <w:rFonts w:hint="eastAsia" w:ascii="宋体" w:hAnsi="宋体" w:eastAsia="宋体" w:cs="宋体"/>
          <w:color w:val="auto"/>
          <w:sz w:val="22"/>
          <w:highlight w:val="none"/>
          <w:lang w:eastAsia="zh-CN"/>
        </w:rPr>
      </w:pPr>
      <w:r>
        <w:rPr>
          <w:rFonts w:hint="eastAsia" w:ascii="宋体" w:hAnsi="宋体" w:cs="宋体"/>
          <w:color w:val="auto"/>
          <w:sz w:val="22"/>
          <w:highlight w:val="none"/>
        </w:rPr>
        <w:t>第四部分  附件                 ………………………………………………………………2</w:t>
      </w:r>
      <w:r>
        <w:rPr>
          <w:rFonts w:hint="eastAsia" w:ascii="宋体" w:hAnsi="宋体" w:cs="宋体"/>
          <w:color w:val="auto"/>
          <w:sz w:val="22"/>
          <w:highlight w:val="none"/>
          <w:lang w:val="en-US" w:eastAsia="zh-CN"/>
        </w:rPr>
        <w:t>8</w:t>
      </w:r>
    </w:p>
    <w:p>
      <w:pPr>
        <w:spacing w:line="400" w:lineRule="exact"/>
        <w:rPr>
          <w:rFonts w:hint="default" w:ascii="宋体" w:hAnsi="宋体" w:eastAsia="宋体" w:cs="宋体"/>
          <w:color w:val="auto"/>
          <w:sz w:val="22"/>
          <w:highlight w:val="none"/>
          <w:lang w:val="en-US" w:eastAsia="zh-CN"/>
        </w:rPr>
      </w:pPr>
      <w:r>
        <w:rPr>
          <w:rFonts w:hint="eastAsia" w:ascii="宋体" w:hAnsi="宋体" w:cs="宋体"/>
          <w:color w:val="auto"/>
          <w:sz w:val="22"/>
          <w:highlight w:val="none"/>
        </w:rPr>
        <w:t>第五部分  采购需求             ………………………………………………………………</w:t>
      </w:r>
      <w:r>
        <w:rPr>
          <w:rFonts w:hint="eastAsia" w:ascii="宋体" w:hAnsi="宋体" w:cs="宋体"/>
          <w:color w:val="auto"/>
          <w:sz w:val="22"/>
          <w:highlight w:val="none"/>
          <w:lang w:val="en-US" w:eastAsia="zh-CN"/>
        </w:rPr>
        <w:t>54</w:t>
      </w:r>
    </w:p>
    <w:p>
      <w:pPr>
        <w:spacing w:line="400" w:lineRule="exact"/>
        <w:rPr>
          <w:rFonts w:hint="eastAsia" w:ascii="宋体" w:hAnsi="宋体" w:eastAsia="宋体" w:cs="宋体"/>
          <w:color w:val="auto"/>
          <w:sz w:val="22"/>
          <w:highlight w:val="none"/>
          <w:lang w:eastAsia="zh-CN"/>
        </w:rPr>
      </w:pPr>
      <w:r>
        <w:rPr>
          <w:rFonts w:hint="eastAsia" w:ascii="宋体" w:hAnsi="宋体" w:cs="宋体"/>
          <w:color w:val="auto"/>
          <w:sz w:val="22"/>
          <w:highlight w:val="none"/>
        </w:rPr>
        <w:t>第六部分  评标原则及方法       ………………………………………………………………5</w:t>
      </w:r>
      <w:r>
        <w:rPr>
          <w:rFonts w:hint="eastAsia" w:ascii="宋体" w:hAnsi="宋体" w:cs="宋体"/>
          <w:color w:val="auto"/>
          <w:sz w:val="22"/>
          <w:highlight w:val="none"/>
          <w:lang w:val="en-US" w:eastAsia="zh-CN"/>
        </w:rPr>
        <w:t>9</w:t>
      </w:r>
    </w:p>
    <w:p>
      <w:pPr>
        <w:spacing w:line="400" w:lineRule="exact"/>
        <w:rPr>
          <w:rFonts w:ascii="宋体" w:hAnsi="宋体" w:cs="宋体"/>
          <w:b/>
          <w:color w:val="auto"/>
          <w:sz w:val="22"/>
          <w:highlight w:val="none"/>
        </w:rPr>
      </w:pPr>
    </w:p>
    <w:p>
      <w:pPr>
        <w:spacing w:line="400" w:lineRule="exact"/>
        <w:rPr>
          <w:rFonts w:ascii="宋体" w:hAnsi="宋体" w:cs="宋体"/>
          <w:color w:val="auto"/>
          <w:sz w:val="22"/>
          <w:highlight w:val="none"/>
        </w:rPr>
      </w:pPr>
      <w:r>
        <w:rPr>
          <w:rFonts w:hint="eastAsia" w:ascii="宋体" w:hAnsi="宋体" w:cs="宋体"/>
          <w:b/>
          <w:color w:val="auto"/>
          <w:sz w:val="24"/>
          <w:highlight w:val="none"/>
        </w:rPr>
        <w:t>注：标“▲且加下划线”为投标的实质性要求和条件，必须作出实质性响应，否则投标无效。加粗部分为着重提醒各投标人注意。各投标人必须认真阅读和理解招标文件中的每一个条款及要求，因误读招标文件而造成的后果，采购人和采购代理机构概不负责。</w:t>
      </w:r>
    </w:p>
    <w:p>
      <w:pPr>
        <w:spacing w:line="400" w:lineRule="exact"/>
        <w:rPr>
          <w:rFonts w:ascii="宋体" w:hAnsi="宋体" w:cs="宋体"/>
          <w:color w:val="auto"/>
          <w:sz w:val="22"/>
          <w:highlight w:val="none"/>
        </w:rPr>
      </w:pPr>
    </w:p>
    <w:p>
      <w:pPr>
        <w:spacing w:line="400" w:lineRule="exact"/>
        <w:jc w:val="center"/>
        <w:rPr>
          <w:rFonts w:ascii="宋体" w:hAnsi="宋体" w:cs="宋体"/>
          <w:b/>
          <w:color w:val="auto"/>
          <w:sz w:val="32"/>
          <w:highlight w:val="none"/>
        </w:rPr>
      </w:pPr>
    </w:p>
    <w:p>
      <w:pPr>
        <w:spacing w:line="400" w:lineRule="exact"/>
        <w:jc w:val="center"/>
        <w:rPr>
          <w:rFonts w:ascii="宋体" w:hAnsi="宋体" w:cs="宋体"/>
          <w:b/>
          <w:color w:val="auto"/>
          <w:sz w:val="32"/>
          <w:highlight w:val="none"/>
        </w:rPr>
      </w:pPr>
    </w:p>
    <w:p>
      <w:pPr>
        <w:spacing w:line="400" w:lineRule="exact"/>
        <w:rPr>
          <w:rFonts w:ascii="宋体" w:hAnsi="宋体" w:cs="宋体"/>
          <w:color w:val="auto"/>
          <w:highlight w:val="none"/>
        </w:rPr>
      </w:pPr>
      <w:r>
        <w:rPr>
          <w:rFonts w:hint="eastAsia" w:ascii="宋体" w:hAnsi="宋体" w:cs="宋体"/>
          <w:color w:val="auto"/>
          <w:highlight w:val="none"/>
        </w:rPr>
        <w:tab/>
      </w:r>
    </w:p>
    <w:p>
      <w:pPr>
        <w:spacing w:line="400" w:lineRule="exact"/>
        <w:rPr>
          <w:rFonts w:ascii="宋体" w:hAnsi="宋体" w:cs="宋体"/>
          <w:b/>
          <w:color w:val="auto"/>
          <w:sz w:val="48"/>
          <w:highlight w:val="none"/>
        </w:rPr>
      </w:pPr>
    </w:p>
    <w:p>
      <w:pPr>
        <w:spacing w:line="400" w:lineRule="exact"/>
        <w:rPr>
          <w:rFonts w:ascii="宋体" w:hAnsi="宋体" w:cs="宋体"/>
          <w:b/>
          <w:color w:val="auto"/>
          <w:sz w:val="48"/>
          <w:highlight w:val="none"/>
        </w:rPr>
      </w:pPr>
    </w:p>
    <w:p>
      <w:pPr>
        <w:spacing w:line="400" w:lineRule="exact"/>
        <w:rPr>
          <w:rFonts w:ascii="宋体" w:hAnsi="宋体" w:cs="宋体"/>
          <w:b/>
          <w:color w:val="auto"/>
          <w:sz w:val="48"/>
          <w:highlight w:val="none"/>
        </w:rPr>
      </w:pPr>
    </w:p>
    <w:p>
      <w:pPr>
        <w:spacing w:line="400" w:lineRule="exact"/>
        <w:rPr>
          <w:rFonts w:ascii="宋体" w:hAnsi="宋体" w:cs="宋体"/>
          <w:b/>
          <w:color w:val="auto"/>
          <w:sz w:val="48"/>
          <w:highlight w:val="none"/>
        </w:rPr>
      </w:pPr>
    </w:p>
    <w:p>
      <w:pPr>
        <w:pStyle w:val="15"/>
        <w:ind w:left="1470" w:right="1470"/>
        <w:rPr>
          <w:rFonts w:ascii="宋体" w:hAnsi="宋体" w:cs="宋体"/>
          <w:b/>
          <w:color w:val="auto"/>
          <w:sz w:val="48"/>
          <w:highlight w:val="none"/>
        </w:rPr>
      </w:pPr>
    </w:p>
    <w:p>
      <w:pPr>
        <w:pStyle w:val="15"/>
        <w:ind w:left="1470" w:right="1470"/>
        <w:rPr>
          <w:rFonts w:ascii="宋体" w:hAnsi="宋体" w:cs="宋体"/>
          <w:b/>
          <w:color w:val="auto"/>
          <w:sz w:val="48"/>
          <w:highlight w:val="none"/>
        </w:rPr>
      </w:pPr>
    </w:p>
    <w:p>
      <w:pPr>
        <w:pStyle w:val="15"/>
        <w:ind w:left="1470" w:right="1470"/>
        <w:rPr>
          <w:rFonts w:ascii="宋体" w:hAnsi="宋体" w:cs="宋体"/>
          <w:b/>
          <w:color w:val="auto"/>
          <w:sz w:val="48"/>
          <w:highlight w:val="none"/>
        </w:rPr>
      </w:pPr>
    </w:p>
    <w:p>
      <w:pPr>
        <w:pStyle w:val="15"/>
        <w:ind w:left="1470" w:right="1470"/>
        <w:rPr>
          <w:rFonts w:ascii="宋体" w:hAnsi="宋体" w:cs="宋体"/>
          <w:b/>
          <w:color w:val="auto"/>
          <w:sz w:val="48"/>
          <w:highlight w:val="none"/>
        </w:rPr>
      </w:pPr>
    </w:p>
    <w:p>
      <w:pPr>
        <w:pStyle w:val="27"/>
        <w:numPr>
          <w:ilvl w:val="0"/>
          <w:numId w:val="2"/>
        </w:numPr>
        <w:spacing w:before="0" w:beforeAutospacing="0" w:after="0" w:afterAutospacing="0" w:line="360" w:lineRule="exact"/>
        <w:jc w:val="center"/>
        <w:rPr>
          <w:b/>
          <w:color w:val="auto"/>
          <w:sz w:val="32"/>
          <w:highlight w:val="none"/>
        </w:rPr>
      </w:pPr>
      <w:r>
        <w:rPr>
          <w:rFonts w:hint="eastAsia"/>
          <w:b/>
          <w:color w:val="auto"/>
          <w:sz w:val="32"/>
          <w:highlight w:val="none"/>
        </w:rPr>
        <w:t>投标邀请书</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项目概况</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660" w:firstLineChars="300"/>
        <w:textAlignment w:val="auto"/>
        <w:rPr>
          <w:rFonts w:hint="eastAsia" w:ascii="宋体" w:hAnsi="宋体" w:eastAsia="宋体" w:cs="宋体"/>
          <w:sz w:val="22"/>
          <w:szCs w:val="22"/>
        </w:rPr>
      </w:pPr>
      <w:r>
        <w:rPr>
          <w:rFonts w:hint="eastAsia" w:ascii="宋体" w:hAnsi="宋体" w:eastAsia="宋体" w:cs="宋体"/>
          <w:sz w:val="22"/>
          <w:szCs w:val="22"/>
        </w:rPr>
        <w:t>中文纸质图书招标项目的潜在投标人应在</w:t>
      </w:r>
      <w:r>
        <w:rPr>
          <w:rFonts w:hint="eastAsia" w:ascii="宋体" w:hAnsi="宋体" w:eastAsia="宋体" w:cs="宋体"/>
          <w:sz w:val="22"/>
          <w:szCs w:val="22"/>
          <w:u w:val="none"/>
        </w:rPr>
        <w:t>政府采购云平台（https://www.zcygov.cn）</w:t>
      </w:r>
      <w:r>
        <w:rPr>
          <w:rFonts w:hint="eastAsia" w:ascii="宋体" w:hAnsi="宋体" w:eastAsia="宋体" w:cs="宋体"/>
          <w:sz w:val="22"/>
          <w:szCs w:val="22"/>
        </w:rPr>
        <w:t>获取（下载）招标文件，并于 2022年10月24日 09:00（北京时间）前递交（上传）投标文件。</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sz w:val="22"/>
          <w:szCs w:val="22"/>
        </w:rPr>
      </w:pPr>
      <w:r>
        <w:rPr>
          <w:rStyle w:val="33"/>
          <w:rFonts w:hint="eastAsia" w:ascii="宋体" w:hAnsi="宋体" w:eastAsia="宋体" w:cs="宋体"/>
          <w:sz w:val="22"/>
          <w:szCs w:val="22"/>
        </w:rPr>
        <w:t>一、项目基本情况</w:t>
      </w:r>
      <w:r>
        <w:rPr>
          <w:rFonts w:hint="eastAsia" w:ascii="宋体" w:hAnsi="宋体" w:eastAsia="宋体" w:cs="宋体"/>
          <w:sz w:val="22"/>
          <w:szCs w:val="22"/>
        </w:rPr>
        <w:t>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项目编号：WZUZB2022017(GK)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项目名称：中文纸质图书</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预算金额（元）：3500000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最高限价（元）：/,/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采购需求：</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标项一</w:t>
      </w:r>
      <w:r>
        <w:rPr>
          <w:rFonts w:hint="eastAsia" w:ascii="宋体" w:hAnsi="宋体" w:eastAsia="宋体" w:cs="宋体"/>
          <w:sz w:val="22"/>
          <w:szCs w:val="22"/>
        </w:rPr>
        <w:br w:type="textWrapping"/>
      </w:r>
      <w:r>
        <w:rPr>
          <w:rFonts w:hint="eastAsia" w:ascii="宋体" w:hAnsi="宋体" w:eastAsia="宋体" w:cs="宋体"/>
          <w:sz w:val="22"/>
          <w:szCs w:val="22"/>
        </w:rPr>
        <w:t>    标项名称: 中文纸质图书1 </w:t>
      </w:r>
      <w:r>
        <w:rPr>
          <w:rFonts w:hint="eastAsia" w:ascii="宋体" w:hAnsi="宋体" w:eastAsia="宋体" w:cs="宋体"/>
          <w:sz w:val="22"/>
          <w:szCs w:val="22"/>
        </w:rPr>
        <w:br w:type="textWrapping"/>
      </w:r>
      <w:r>
        <w:rPr>
          <w:rFonts w:hint="eastAsia" w:ascii="宋体" w:hAnsi="宋体" w:eastAsia="宋体" w:cs="宋体"/>
          <w:sz w:val="22"/>
          <w:szCs w:val="22"/>
        </w:rPr>
        <w:t>    数量: 1  </w:t>
      </w:r>
      <w:r>
        <w:rPr>
          <w:rFonts w:hint="eastAsia" w:ascii="宋体" w:hAnsi="宋体" w:eastAsia="宋体" w:cs="宋体"/>
          <w:sz w:val="22"/>
          <w:szCs w:val="22"/>
        </w:rPr>
        <w:br w:type="textWrapping"/>
      </w:r>
      <w:r>
        <w:rPr>
          <w:rFonts w:hint="eastAsia" w:ascii="宋体" w:hAnsi="宋体" w:eastAsia="宋体" w:cs="宋体"/>
          <w:sz w:val="22"/>
          <w:szCs w:val="22"/>
        </w:rPr>
        <w:t>    预算金额（元）: 1925000 </w:t>
      </w:r>
      <w:r>
        <w:rPr>
          <w:rFonts w:hint="eastAsia" w:ascii="宋体" w:hAnsi="宋体" w:eastAsia="宋体" w:cs="宋体"/>
          <w:sz w:val="22"/>
          <w:szCs w:val="22"/>
        </w:rPr>
        <w:br w:type="textWrapping"/>
      </w:r>
      <w:r>
        <w:rPr>
          <w:rFonts w:hint="eastAsia" w:ascii="宋体" w:hAnsi="宋体" w:eastAsia="宋体" w:cs="宋体"/>
          <w:sz w:val="22"/>
          <w:szCs w:val="22"/>
        </w:rPr>
        <w:t>    简要规格描述或项目基本概况介绍、用途：详见招标文件 </w:t>
      </w:r>
      <w:r>
        <w:rPr>
          <w:rFonts w:hint="eastAsia" w:ascii="宋体" w:hAnsi="宋体" w:eastAsia="宋体" w:cs="宋体"/>
          <w:sz w:val="22"/>
          <w:szCs w:val="22"/>
        </w:rPr>
        <w:br w:type="textWrapping"/>
      </w:r>
      <w:r>
        <w:rPr>
          <w:rFonts w:hint="eastAsia" w:ascii="宋体" w:hAnsi="宋体" w:eastAsia="宋体" w:cs="宋体"/>
          <w:sz w:val="22"/>
          <w:szCs w:val="22"/>
        </w:rPr>
        <w:t>    备注：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标项二</w:t>
      </w:r>
      <w:r>
        <w:rPr>
          <w:rFonts w:hint="eastAsia" w:ascii="宋体" w:hAnsi="宋体" w:eastAsia="宋体" w:cs="宋体"/>
          <w:sz w:val="22"/>
          <w:szCs w:val="22"/>
        </w:rPr>
        <w:br w:type="textWrapping"/>
      </w:r>
      <w:r>
        <w:rPr>
          <w:rFonts w:hint="eastAsia" w:ascii="宋体" w:hAnsi="宋体" w:eastAsia="宋体" w:cs="宋体"/>
          <w:sz w:val="22"/>
          <w:szCs w:val="22"/>
        </w:rPr>
        <w:t>    标项名称: 中文纸质图书2 </w:t>
      </w:r>
      <w:r>
        <w:rPr>
          <w:rFonts w:hint="eastAsia" w:ascii="宋体" w:hAnsi="宋体" w:eastAsia="宋体" w:cs="宋体"/>
          <w:sz w:val="22"/>
          <w:szCs w:val="22"/>
        </w:rPr>
        <w:br w:type="textWrapping"/>
      </w:r>
      <w:r>
        <w:rPr>
          <w:rFonts w:hint="eastAsia" w:ascii="宋体" w:hAnsi="宋体" w:eastAsia="宋体" w:cs="宋体"/>
          <w:sz w:val="22"/>
          <w:szCs w:val="22"/>
        </w:rPr>
        <w:t>    数量: 1  </w:t>
      </w:r>
      <w:r>
        <w:rPr>
          <w:rFonts w:hint="eastAsia" w:ascii="宋体" w:hAnsi="宋体" w:eastAsia="宋体" w:cs="宋体"/>
          <w:sz w:val="22"/>
          <w:szCs w:val="22"/>
        </w:rPr>
        <w:br w:type="textWrapping"/>
      </w:r>
      <w:r>
        <w:rPr>
          <w:rFonts w:hint="eastAsia" w:ascii="宋体" w:hAnsi="宋体" w:eastAsia="宋体" w:cs="宋体"/>
          <w:sz w:val="22"/>
          <w:szCs w:val="22"/>
        </w:rPr>
        <w:t>    预算金额（元）: 1575000 </w:t>
      </w:r>
      <w:r>
        <w:rPr>
          <w:rFonts w:hint="eastAsia" w:ascii="宋体" w:hAnsi="宋体" w:eastAsia="宋体" w:cs="宋体"/>
          <w:sz w:val="22"/>
          <w:szCs w:val="22"/>
        </w:rPr>
        <w:br w:type="textWrapping"/>
      </w:r>
      <w:r>
        <w:rPr>
          <w:rFonts w:hint="eastAsia" w:ascii="宋体" w:hAnsi="宋体" w:eastAsia="宋体" w:cs="宋体"/>
          <w:sz w:val="22"/>
          <w:szCs w:val="22"/>
        </w:rPr>
        <w:t>    简要规格描述或项目基本概况介绍、用途：详见招标文件 </w:t>
      </w:r>
      <w:r>
        <w:rPr>
          <w:rFonts w:hint="eastAsia" w:ascii="宋体" w:hAnsi="宋体" w:eastAsia="宋体" w:cs="宋体"/>
          <w:sz w:val="22"/>
          <w:szCs w:val="22"/>
        </w:rPr>
        <w:br w:type="textWrapping"/>
      </w:r>
      <w:r>
        <w:rPr>
          <w:rFonts w:hint="eastAsia" w:ascii="宋体" w:hAnsi="宋体" w:eastAsia="宋体" w:cs="宋体"/>
          <w:sz w:val="22"/>
          <w:szCs w:val="22"/>
        </w:rPr>
        <w:t>    备注：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合同履约期限：标项 1、2，详见招标文件</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本项目（是）接受联合体投标。</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Style w:val="33"/>
          <w:rFonts w:hint="eastAsia" w:ascii="宋体" w:hAnsi="宋体" w:eastAsia="宋体" w:cs="宋体"/>
          <w:sz w:val="22"/>
          <w:szCs w:val="22"/>
        </w:rPr>
        <w:t>二、申请人的资格要求：</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1.满足《中华人民共和国政府采购法》第二十二条规定；未被“信用中国”（www.creditchina.gov.cn)、中国政府采购网（www.ccgp.gov.cn）列入失信被执行人、重大税收违法案件当事人名单、政府采购严重违法失信行为记录名单。</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2.落实政府采购政策需满足的资格要求：无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3.本项目的特定资格要求：</w:t>
      </w:r>
      <w:r>
        <w:rPr>
          <w:rFonts w:hint="eastAsia" w:ascii="宋体" w:hAnsi="宋体" w:eastAsia="宋体" w:cs="宋体"/>
          <w:sz w:val="22"/>
          <w:szCs w:val="22"/>
        </w:rPr>
        <w:br w:type="textWrapping"/>
      </w:r>
      <w:r>
        <w:rPr>
          <w:rFonts w:hint="eastAsia" w:ascii="宋体" w:hAnsi="宋体" w:eastAsia="宋体" w:cs="宋体"/>
          <w:sz w:val="22"/>
          <w:szCs w:val="22"/>
        </w:rPr>
        <w:t>【标项1、2】</w:t>
      </w:r>
      <w:r>
        <w:rPr>
          <w:rFonts w:hint="eastAsia" w:ascii="宋体" w:hAnsi="宋体" w:eastAsia="宋体" w:cs="宋体"/>
          <w:sz w:val="22"/>
          <w:szCs w:val="22"/>
        </w:rPr>
        <w:br w:type="textWrapping"/>
      </w:r>
      <w:r>
        <w:rPr>
          <w:rFonts w:hint="eastAsia" w:ascii="宋体" w:hAnsi="宋体" w:eastAsia="宋体" w:cs="宋体"/>
          <w:sz w:val="22"/>
          <w:szCs w:val="22"/>
        </w:rPr>
        <w:t>投标人具有出版物经营许可证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sz w:val="22"/>
          <w:szCs w:val="22"/>
        </w:rPr>
      </w:pPr>
      <w:r>
        <w:rPr>
          <w:rStyle w:val="33"/>
          <w:rFonts w:hint="eastAsia" w:ascii="宋体" w:hAnsi="宋体" w:eastAsia="宋体" w:cs="宋体"/>
          <w:sz w:val="22"/>
          <w:szCs w:val="22"/>
        </w:rPr>
        <w:t>三、获取招标文件</w:t>
      </w:r>
      <w:r>
        <w:rPr>
          <w:rFonts w:hint="eastAsia" w:ascii="宋体" w:hAnsi="宋体" w:eastAsia="宋体" w:cs="宋体"/>
          <w:sz w:val="22"/>
          <w:szCs w:val="22"/>
        </w:rPr>
        <w:t>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u w:val="none"/>
        </w:rPr>
        <w:t>时间：2022年10月01日至2022年10月24日 ，每天上午00:00至12:00 ，下午12:00至23:59（北京时间，线上获取法定节假日均可，线下获取文件法定节假日除外）</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地点（网址）：政府采购云平台（https://www.zcygov.cn）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方式：供应商登录政采云平台https://www.zcygov.cn/在线申请获取采购文件（进入“项目采购”应用，在获取采购文件菜单中选择项目，申请获取采购文件）（公告规定的招标文件获取方式为依法获取招标文件的方式，未按照公告规定的方式获取招标文件的，不得对招标文件提起质疑、投诉。）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售价（元）：0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sz w:val="22"/>
          <w:szCs w:val="22"/>
        </w:rPr>
      </w:pPr>
      <w:r>
        <w:rPr>
          <w:rStyle w:val="33"/>
          <w:rFonts w:hint="eastAsia" w:ascii="宋体" w:hAnsi="宋体" w:eastAsia="宋体" w:cs="宋体"/>
          <w:sz w:val="22"/>
          <w:szCs w:val="22"/>
        </w:rPr>
        <w:t>四、提交投标文件截止时间、开标时间和地点</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u w:val="none"/>
        </w:rPr>
        <w:t> 提交投标文件截止时间：2022年10月24日 09:00（北京时间）</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u w:val="none"/>
        </w:rPr>
        <w:t> 投标地点（网址）：政府采购云平台（https://www.zcygov.cn）</w:t>
      </w:r>
      <w:r>
        <w:rPr>
          <w:rFonts w:hint="eastAsia" w:ascii="宋体" w:hAnsi="宋体" w:eastAsia="宋体" w:cs="宋体"/>
          <w:sz w:val="22"/>
          <w:szCs w:val="22"/>
        </w:rPr>
        <w:t>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u w:val="none"/>
        </w:rPr>
        <w:t>    开标时间：2022年10月24日 09:00</w:t>
      </w:r>
      <w:r>
        <w:rPr>
          <w:rFonts w:hint="eastAsia" w:ascii="宋体" w:hAnsi="宋体" w:eastAsia="宋体" w:cs="宋体"/>
          <w:sz w:val="22"/>
          <w:szCs w:val="22"/>
        </w:rPr>
        <w:t>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u w:val="none"/>
        </w:rPr>
        <w:t>    开标地点（网址）：温州大学茶山南校区行政楼516A（网址：政府采购云平台（https://www.zcygov.cn）</w:t>
      </w:r>
      <w:r>
        <w:rPr>
          <w:rFonts w:hint="eastAsia" w:ascii="宋体" w:hAnsi="宋体" w:eastAsia="宋体" w:cs="宋体"/>
          <w:sz w:val="22"/>
          <w:szCs w:val="22"/>
        </w:rPr>
        <w:t>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sz w:val="22"/>
          <w:szCs w:val="22"/>
        </w:rPr>
      </w:pPr>
      <w:r>
        <w:rPr>
          <w:rStyle w:val="33"/>
          <w:rFonts w:hint="eastAsia" w:ascii="宋体" w:hAnsi="宋体" w:eastAsia="宋体" w:cs="宋体"/>
          <w:sz w:val="22"/>
          <w:szCs w:val="22"/>
        </w:rPr>
        <w:t>五、公告期限</w:t>
      </w:r>
      <w:r>
        <w:rPr>
          <w:rFonts w:hint="eastAsia" w:ascii="宋体" w:hAnsi="宋体" w:eastAsia="宋体" w:cs="宋体"/>
          <w:sz w:val="22"/>
          <w:szCs w:val="22"/>
        </w:rPr>
        <w:t>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自本公告发布之日起5个工作日。</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sz w:val="22"/>
          <w:szCs w:val="22"/>
        </w:rPr>
      </w:pPr>
      <w:r>
        <w:rPr>
          <w:rStyle w:val="33"/>
          <w:rFonts w:hint="eastAsia" w:ascii="宋体" w:hAnsi="宋体" w:eastAsia="宋体" w:cs="宋体"/>
          <w:sz w:val="22"/>
          <w:szCs w:val="22"/>
        </w:rPr>
        <w:t>六、其他补充事宜</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20"/>
        <w:jc w:val="both"/>
        <w:textAlignment w:val="auto"/>
        <w:rPr>
          <w:rFonts w:hint="eastAsia" w:ascii="宋体" w:hAnsi="宋体" w:eastAsia="宋体" w:cs="宋体"/>
          <w:sz w:val="22"/>
          <w:szCs w:val="22"/>
        </w:rPr>
      </w:pPr>
      <w:r>
        <w:rPr>
          <w:rFonts w:hint="eastAsia" w:ascii="宋体" w:hAnsi="宋体" w:eastAsia="宋体" w:cs="宋体"/>
          <w:sz w:val="22"/>
          <w:szCs w:val="22"/>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20"/>
        <w:jc w:val="both"/>
        <w:textAlignment w:val="auto"/>
        <w:rPr>
          <w:rFonts w:hint="eastAsia" w:ascii="宋体" w:hAnsi="宋体" w:eastAsia="宋体" w:cs="宋体"/>
          <w:sz w:val="22"/>
          <w:szCs w:val="22"/>
        </w:rPr>
      </w:pPr>
      <w:r>
        <w:rPr>
          <w:rFonts w:hint="eastAsia" w:ascii="宋体" w:hAnsi="宋体" w:eastAsia="宋体" w:cs="宋体"/>
          <w:sz w:val="22"/>
          <w:szCs w:val="22"/>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20"/>
        <w:textAlignment w:val="auto"/>
        <w:rPr>
          <w:rFonts w:hint="eastAsia" w:ascii="宋体" w:hAnsi="宋体" w:eastAsia="宋体" w:cs="宋体"/>
          <w:sz w:val="22"/>
          <w:szCs w:val="22"/>
        </w:rPr>
      </w:pPr>
      <w:r>
        <w:rPr>
          <w:rFonts w:hint="eastAsia" w:ascii="宋体" w:hAnsi="宋体" w:eastAsia="宋体" w:cs="宋体"/>
          <w:sz w:val="22"/>
          <w:szCs w:val="22"/>
        </w:rPr>
        <w:t>3.其他事项：无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sz w:val="22"/>
          <w:szCs w:val="22"/>
        </w:rPr>
      </w:pPr>
      <w:r>
        <w:rPr>
          <w:rStyle w:val="33"/>
          <w:rFonts w:hint="eastAsia" w:ascii="宋体" w:hAnsi="宋体" w:eastAsia="宋体" w:cs="宋体"/>
          <w:sz w:val="22"/>
          <w:szCs w:val="22"/>
        </w:rPr>
        <w:t>七、对本次采购提出询问、质疑、投诉，请按以下方式联系</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1.采购人信息</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名    称：温州大学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地    址：温州高教园区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传    真：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项目联系人（询问）：张老师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项目联系方式（询问）：0577-86596037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质疑联系人：贾老师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质疑联系方式：0577-86596095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rPr>
        <w:br w:type="textWrapping"/>
      </w:r>
      <w:r>
        <w:rPr>
          <w:rFonts w:hint="eastAsia" w:ascii="宋体" w:hAnsi="宋体" w:eastAsia="宋体" w:cs="宋体"/>
          <w:sz w:val="22"/>
          <w:szCs w:val="22"/>
        </w:rPr>
        <w:t>    2.采购代理机构信息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名    称：浙江乐诚工程咨询有限公司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660"/>
        <w:textAlignment w:val="auto"/>
        <w:rPr>
          <w:rFonts w:hint="eastAsia" w:ascii="宋体" w:hAnsi="宋体" w:eastAsia="宋体" w:cs="宋体"/>
          <w:sz w:val="22"/>
          <w:szCs w:val="22"/>
        </w:rPr>
      </w:pPr>
      <w:r>
        <w:rPr>
          <w:rFonts w:hint="eastAsia" w:ascii="宋体" w:hAnsi="宋体" w:eastAsia="宋体" w:cs="宋体"/>
          <w:sz w:val="22"/>
          <w:szCs w:val="22"/>
        </w:rPr>
        <w:t>地    址：温州市瓯海区三垟街道桥头河大桥温州生命健康小镇B03</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660"/>
        <w:textAlignment w:val="auto"/>
        <w:rPr>
          <w:rFonts w:hint="eastAsia" w:ascii="宋体" w:hAnsi="宋体" w:eastAsia="宋体" w:cs="宋体"/>
          <w:sz w:val="22"/>
          <w:szCs w:val="22"/>
        </w:rPr>
      </w:pPr>
      <w:r>
        <w:rPr>
          <w:rFonts w:hint="eastAsia" w:ascii="宋体" w:hAnsi="宋体" w:eastAsia="宋体" w:cs="宋体"/>
          <w:sz w:val="22"/>
          <w:szCs w:val="22"/>
        </w:rPr>
        <w:t>传    真：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项目联系人（询问）：王纪凤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项目联系方式（询问）：0577-86077700、18357703076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质疑联系人：陈素芳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质疑联系方式：15805779720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rPr>
        <w:br w:type="textWrapping"/>
      </w:r>
      <w:r>
        <w:rPr>
          <w:rFonts w:hint="eastAsia" w:ascii="宋体" w:hAnsi="宋体" w:eastAsia="宋体" w:cs="宋体"/>
          <w:sz w:val="22"/>
          <w:szCs w:val="22"/>
        </w:rPr>
        <w:t>    3.同级政府采购监督管理部门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名    称：温州市财政局政府采购监管处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地    址：温州市鹿城区绣山路299号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传    真：/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联系人 ：项先生、蔡女士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监督投诉电话：0577-88532725、88521948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         </w:t>
      </w:r>
    </w:p>
    <w:p>
      <w:pPr>
        <w:pStyle w:val="2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sz w:val="22"/>
          <w:szCs w:val="22"/>
        </w:rPr>
      </w:pP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rPr>
      </w:pPr>
      <w:r>
        <w:rPr>
          <w:rFonts w:hint="eastAsia" w:ascii="宋体" w:hAnsi="宋体" w:eastAsia="宋体" w:cs="宋体"/>
          <w:kern w:val="0"/>
          <w:sz w:val="22"/>
          <w:szCs w:val="22"/>
          <w:lang w:val="en-US" w:eastAsia="zh-CN" w:bidi="ar"/>
        </w:rPr>
        <w:t>若对项目采购电子交易系统操作有疑问，可登录政采云（https://www.zcygov.cn/），点击右侧咨询小采，获取采小蜜智能服务管家帮助，或拨打政采云服务热线400-881-7190获取热线服务帮助。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rPr>
      </w:pPr>
      <w:r>
        <w:rPr>
          <w:rFonts w:hint="eastAsia" w:ascii="宋体" w:hAnsi="宋体" w:eastAsia="宋体" w:cs="宋体"/>
          <w:kern w:val="0"/>
          <w:sz w:val="22"/>
          <w:szCs w:val="22"/>
          <w:lang w:val="en-US" w:eastAsia="zh-CN" w:bidi="ar"/>
        </w:rPr>
        <w:t>CA问题联系电话（人工）：汇信CA 400-888-4636；天谷CA 400-087-8198。</w:t>
      </w:r>
    </w:p>
    <w:p>
      <w:pPr>
        <w:spacing w:line="400" w:lineRule="exact"/>
        <w:ind w:firstLine="440" w:firstLineChars="200"/>
        <w:rPr>
          <w:rFonts w:ascii="宋体" w:hAnsi="宋体" w:cs="宋体"/>
          <w:color w:val="auto"/>
          <w:kern w:val="0"/>
          <w:sz w:val="22"/>
          <w:highlight w:val="none"/>
        </w:rPr>
      </w:pPr>
    </w:p>
    <w:p>
      <w:pPr>
        <w:spacing w:line="400" w:lineRule="exact"/>
        <w:ind w:firstLine="416" w:firstLineChars="200"/>
        <w:jc w:val="right"/>
        <w:rPr>
          <w:rFonts w:ascii="宋体" w:hAnsi="宋体" w:cs="宋体"/>
          <w:color w:val="auto"/>
          <w:spacing w:val="-6"/>
          <w:sz w:val="22"/>
          <w:highlight w:val="none"/>
          <w:lang w:val="zh-CN"/>
        </w:rPr>
      </w:pPr>
      <w:r>
        <w:rPr>
          <w:rFonts w:hint="eastAsia" w:ascii="宋体" w:hAnsi="宋体" w:cs="宋体"/>
          <w:color w:val="auto"/>
          <w:spacing w:val="-6"/>
          <w:sz w:val="22"/>
          <w:highlight w:val="none"/>
          <w:lang w:val="zh-CN"/>
        </w:rPr>
        <w:t>温州大学</w:t>
      </w:r>
    </w:p>
    <w:p>
      <w:pPr>
        <w:spacing w:line="400" w:lineRule="exact"/>
        <w:ind w:firstLine="440" w:firstLineChars="200"/>
        <w:jc w:val="right"/>
        <w:rPr>
          <w:rFonts w:ascii="宋体" w:hAnsi="宋体" w:cs="宋体"/>
          <w:color w:val="auto"/>
          <w:kern w:val="0"/>
          <w:sz w:val="22"/>
          <w:highlight w:val="none"/>
        </w:rPr>
      </w:pPr>
      <w:r>
        <w:rPr>
          <w:rFonts w:hint="eastAsia" w:ascii="宋体" w:hAnsi="宋体" w:cs="宋体"/>
          <w:color w:val="auto"/>
          <w:kern w:val="0"/>
          <w:sz w:val="22"/>
          <w:highlight w:val="none"/>
        </w:rPr>
        <w:t>浙江乐诚工程咨询有限公司</w:t>
      </w:r>
    </w:p>
    <w:p>
      <w:pPr>
        <w:spacing w:line="400" w:lineRule="exact"/>
        <w:ind w:firstLine="440" w:firstLineChars="200"/>
        <w:jc w:val="right"/>
        <w:rPr>
          <w:rFonts w:hint="eastAsia" w:ascii="宋体" w:hAnsi="宋体" w:eastAsia="宋体" w:cs="宋体"/>
          <w:color w:val="auto"/>
          <w:kern w:val="0"/>
          <w:sz w:val="22"/>
          <w:highlight w:val="none"/>
          <w:lang w:eastAsia="zh-CN"/>
        </w:rPr>
      </w:pPr>
      <w:r>
        <w:rPr>
          <w:rFonts w:hint="eastAsia" w:ascii="宋体" w:hAnsi="宋体" w:cs="宋体"/>
          <w:color w:val="auto"/>
          <w:kern w:val="0"/>
          <w:sz w:val="22"/>
          <w:highlight w:val="none"/>
          <w:lang w:eastAsia="zh-CN"/>
        </w:rPr>
        <w:t>2022年10月01日</w:t>
      </w:r>
    </w:p>
    <w:p>
      <w:pPr>
        <w:pStyle w:val="15"/>
        <w:ind w:left="1470" w:right="1470"/>
        <w:rPr>
          <w:rFonts w:ascii="宋体" w:hAnsi="宋体" w:cs="宋体"/>
          <w:color w:val="auto"/>
          <w:kern w:val="0"/>
          <w:sz w:val="22"/>
          <w:highlight w:val="none"/>
        </w:rPr>
      </w:pPr>
    </w:p>
    <w:p>
      <w:pPr>
        <w:pStyle w:val="15"/>
        <w:ind w:left="1470" w:right="1470"/>
        <w:rPr>
          <w:rFonts w:ascii="宋体" w:hAnsi="宋体" w:cs="宋体"/>
          <w:color w:val="auto"/>
          <w:kern w:val="0"/>
          <w:sz w:val="22"/>
          <w:highlight w:val="none"/>
        </w:rPr>
      </w:pPr>
    </w:p>
    <w:p>
      <w:pPr>
        <w:pStyle w:val="15"/>
        <w:ind w:left="1470" w:right="1470"/>
        <w:rPr>
          <w:rFonts w:ascii="宋体" w:hAnsi="宋体" w:cs="宋体"/>
          <w:color w:val="auto"/>
          <w:kern w:val="0"/>
          <w:sz w:val="22"/>
          <w:highlight w:val="none"/>
        </w:rPr>
      </w:pPr>
    </w:p>
    <w:p>
      <w:pPr>
        <w:pStyle w:val="15"/>
        <w:ind w:left="1470" w:right="1470"/>
        <w:rPr>
          <w:rFonts w:ascii="宋体" w:hAnsi="宋体" w:cs="宋体"/>
          <w:color w:val="auto"/>
          <w:kern w:val="0"/>
          <w:sz w:val="22"/>
          <w:highlight w:val="none"/>
        </w:rPr>
      </w:pPr>
    </w:p>
    <w:p>
      <w:pPr>
        <w:pStyle w:val="15"/>
        <w:ind w:left="1470" w:right="1470"/>
        <w:rPr>
          <w:rFonts w:ascii="宋体" w:hAnsi="宋体" w:cs="宋体"/>
          <w:color w:val="auto"/>
          <w:kern w:val="0"/>
          <w:sz w:val="22"/>
          <w:highlight w:val="none"/>
        </w:rPr>
      </w:pPr>
    </w:p>
    <w:p>
      <w:pPr>
        <w:pStyle w:val="15"/>
        <w:ind w:left="1470" w:right="1470"/>
        <w:rPr>
          <w:rFonts w:ascii="宋体" w:hAnsi="宋体" w:cs="宋体"/>
          <w:color w:val="auto"/>
          <w:kern w:val="0"/>
          <w:sz w:val="22"/>
          <w:highlight w:val="none"/>
        </w:rPr>
      </w:pPr>
    </w:p>
    <w:p>
      <w:pPr>
        <w:pStyle w:val="15"/>
        <w:ind w:left="1470" w:right="1470"/>
        <w:rPr>
          <w:rFonts w:ascii="宋体" w:hAnsi="宋体" w:cs="宋体"/>
          <w:color w:val="auto"/>
          <w:kern w:val="0"/>
          <w:sz w:val="22"/>
          <w:highlight w:val="none"/>
        </w:rPr>
      </w:pPr>
    </w:p>
    <w:p>
      <w:pPr>
        <w:spacing w:line="400" w:lineRule="exact"/>
        <w:jc w:val="center"/>
        <w:rPr>
          <w:rFonts w:ascii="宋体" w:hAnsi="宋体" w:cs="宋体"/>
          <w:b/>
          <w:color w:val="auto"/>
          <w:sz w:val="32"/>
          <w:highlight w:val="none"/>
        </w:rPr>
      </w:pPr>
    </w:p>
    <w:p>
      <w:pPr>
        <w:spacing w:line="400" w:lineRule="exact"/>
        <w:jc w:val="center"/>
        <w:rPr>
          <w:rFonts w:ascii="宋体" w:hAnsi="宋体" w:cs="宋体"/>
          <w:b/>
          <w:color w:val="auto"/>
          <w:sz w:val="32"/>
          <w:highlight w:val="none"/>
        </w:rPr>
      </w:pPr>
    </w:p>
    <w:p>
      <w:pPr>
        <w:spacing w:line="400" w:lineRule="exact"/>
        <w:jc w:val="center"/>
        <w:rPr>
          <w:rFonts w:ascii="宋体" w:hAnsi="宋体" w:cs="宋体"/>
          <w:b/>
          <w:color w:val="auto"/>
          <w:sz w:val="32"/>
          <w:highlight w:val="none"/>
        </w:rPr>
      </w:pPr>
    </w:p>
    <w:p>
      <w:pPr>
        <w:spacing w:line="400" w:lineRule="exact"/>
        <w:jc w:val="center"/>
        <w:rPr>
          <w:rFonts w:ascii="宋体" w:hAnsi="宋体" w:cs="宋体"/>
          <w:b/>
          <w:color w:val="auto"/>
          <w:sz w:val="32"/>
          <w:highlight w:val="none"/>
        </w:rPr>
      </w:pPr>
    </w:p>
    <w:p>
      <w:pPr>
        <w:spacing w:line="400" w:lineRule="exact"/>
        <w:jc w:val="center"/>
        <w:rPr>
          <w:rFonts w:ascii="宋体" w:hAnsi="宋体" w:cs="宋体"/>
          <w:b/>
          <w:color w:val="auto"/>
          <w:sz w:val="32"/>
          <w:highlight w:val="none"/>
        </w:rPr>
      </w:pPr>
    </w:p>
    <w:p>
      <w:pPr>
        <w:pStyle w:val="29"/>
        <w:ind w:left="643" w:hanging="643"/>
        <w:rPr>
          <w:rFonts w:ascii="宋体" w:hAnsi="宋体" w:cs="宋体"/>
          <w:b/>
          <w:color w:val="auto"/>
          <w:sz w:val="32"/>
          <w:highlight w:val="none"/>
        </w:rPr>
      </w:pPr>
    </w:p>
    <w:p>
      <w:pPr>
        <w:pStyle w:val="29"/>
        <w:ind w:left="643" w:hanging="643"/>
        <w:rPr>
          <w:rFonts w:ascii="宋体" w:hAnsi="宋体" w:cs="宋体"/>
          <w:b/>
          <w:color w:val="auto"/>
          <w:sz w:val="32"/>
          <w:highlight w:val="none"/>
        </w:rPr>
      </w:pPr>
    </w:p>
    <w:p>
      <w:pPr>
        <w:pStyle w:val="29"/>
        <w:ind w:left="643" w:hanging="643"/>
        <w:rPr>
          <w:rFonts w:ascii="宋体" w:hAnsi="宋体" w:cs="宋体"/>
          <w:b/>
          <w:color w:val="auto"/>
          <w:sz w:val="32"/>
          <w:highlight w:val="none"/>
        </w:rPr>
      </w:pPr>
    </w:p>
    <w:p>
      <w:pPr>
        <w:pStyle w:val="29"/>
        <w:ind w:left="643" w:hanging="643"/>
        <w:rPr>
          <w:rFonts w:ascii="宋体" w:hAnsi="宋体" w:cs="宋体"/>
          <w:b/>
          <w:color w:val="auto"/>
          <w:sz w:val="32"/>
          <w:highlight w:val="none"/>
        </w:rPr>
      </w:pPr>
    </w:p>
    <w:p>
      <w:pPr>
        <w:pStyle w:val="29"/>
        <w:ind w:left="643" w:hanging="643"/>
        <w:rPr>
          <w:rFonts w:ascii="宋体" w:hAnsi="宋体" w:cs="宋体"/>
          <w:b/>
          <w:color w:val="auto"/>
          <w:sz w:val="32"/>
          <w:highlight w:val="none"/>
        </w:rPr>
      </w:pPr>
    </w:p>
    <w:p>
      <w:pPr>
        <w:pStyle w:val="29"/>
        <w:ind w:left="643" w:hanging="643"/>
        <w:rPr>
          <w:rFonts w:ascii="宋体" w:hAnsi="宋体" w:cs="宋体"/>
          <w:b/>
          <w:color w:val="auto"/>
          <w:sz w:val="32"/>
          <w:highlight w:val="none"/>
        </w:rPr>
      </w:pPr>
    </w:p>
    <w:p>
      <w:pPr>
        <w:pStyle w:val="29"/>
        <w:ind w:left="643" w:hanging="643"/>
        <w:rPr>
          <w:rFonts w:ascii="宋体" w:hAnsi="宋体" w:cs="宋体"/>
          <w:b/>
          <w:color w:val="auto"/>
          <w:sz w:val="32"/>
          <w:highlight w:val="none"/>
        </w:rPr>
      </w:pPr>
    </w:p>
    <w:p>
      <w:pPr>
        <w:spacing w:line="400" w:lineRule="exact"/>
        <w:jc w:val="center"/>
        <w:rPr>
          <w:rFonts w:ascii="宋体" w:hAnsi="宋体" w:cs="宋体"/>
          <w:b/>
          <w:color w:val="auto"/>
          <w:sz w:val="32"/>
          <w:highlight w:val="none"/>
        </w:rPr>
      </w:pPr>
    </w:p>
    <w:p>
      <w:pPr>
        <w:spacing w:line="400" w:lineRule="exact"/>
        <w:jc w:val="center"/>
        <w:rPr>
          <w:rFonts w:ascii="宋体" w:hAnsi="宋体" w:cs="宋体"/>
          <w:b/>
          <w:color w:val="auto"/>
          <w:sz w:val="32"/>
          <w:highlight w:val="none"/>
        </w:rPr>
      </w:pPr>
    </w:p>
    <w:p>
      <w:pPr>
        <w:spacing w:line="400" w:lineRule="exact"/>
        <w:jc w:val="center"/>
        <w:rPr>
          <w:rFonts w:ascii="宋体" w:hAnsi="宋体" w:cs="宋体"/>
          <w:b/>
          <w:color w:val="auto"/>
          <w:sz w:val="32"/>
          <w:highlight w:val="none"/>
        </w:rPr>
      </w:pPr>
      <w:r>
        <w:rPr>
          <w:rFonts w:hint="eastAsia" w:ascii="宋体" w:hAnsi="宋体" w:cs="宋体"/>
          <w:b/>
          <w:color w:val="auto"/>
          <w:sz w:val="32"/>
          <w:highlight w:val="none"/>
        </w:rPr>
        <w:t>第二部分  投标人须知</w:t>
      </w:r>
    </w:p>
    <w:p>
      <w:pPr>
        <w:spacing w:line="360" w:lineRule="exact"/>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投标人须知前附表</w:t>
      </w:r>
    </w:p>
    <w:tbl>
      <w:tblPr>
        <w:tblStyle w:val="30"/>
        <w:tblW w:w="9633" w:type="dxa"/>
        <w:jc w:val="center"/>
        <w:tblLayout w:type="fixed"/>
        <w:tblCellMar>
          <w:top w:w="0" w:type="dxa"/>
          <w:left w:w="108" w:type="dxa"/>
          <w:bottom w:w="0" w:type="dxa"/>
          <w:right w:w="108" w:type="dxa"/>
        </w:tblCellMar>
      </w:tblPr>
      <w:tblGrid>
        <w:gridCol w:w="766"/>
        <w:gridCol w:w="1796"/>
        <w:gridCol w:w="7071"/>
      </w:tblGrid>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序号</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条款名称</w:t>
            </w:r>
          </w:p>
        </w:tc>
        <w:tc>
          <w:tcPr>
            <w:tcW w:w="707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编列内容</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lang w:val="zh-CN"/>
              </w:rPr>
            </w:pPr>
            <w:r>
              <w:rPr>
                <w:rFonts w:hint="eastAsia" w:ascii="宋体" w:hAnsi="宋体" w:cs="宋体"/>
                <w:color w:val="auto"/>
                <w:kern w:val="0"/>
                <w:sz w:val="22"/>
                <w:highlight w:val="none"/>
              </w:rPr>
              <w:t>项目名称</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中文纸质图书</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2</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预算金额</w:t>
            </w:r>
            <w:r>
              <w:rPr>
                <w:rFonts w:hint="eastAsia" w:ascii="宋体" w:hAnsi="宋体" w:cs="宋体"/>
                <w:color w:val="auto"/>
                <w:kern w:val="0"/>
                <w:sz w:val="22"/>
                <w:highlight w:val="none"/>
              </w:rPr>
              <w:t>及资金来源</w:t>
            </w:r>
          </w:p>
        </w:tc>
        <w:tc>
          <w:tcPr>
            <w:tcW w:w="707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bCs/>
                <w:color w:val="auto"/>
                <w:sz w:val="22"/>
                <w:highlight w:val="none"/>
                <w:u w:val="single"/>
              </w:rPr>
            </w:pPr>
            <w:r>
              <w:rPr>
                <w:rFonts w:hint="eastAsia" w:ascii="宋体" w:hAnsi="宋体" w:cs="宋体"/>
                <w:bCs/>
                <w:color w:val="auto"/>
                <w:sz w:val="22"/>
                <w:highlight w:val="none"/>
                <w:u w:val="single"/>
              </w:rPr>
              <w:t>▲</w:t>
            </w:r>
            <w:r>
              <w:rPr>
                <w:rFonts w:hint="eastAsia" w:ascii="宋体" w:hAnsi="宋体" w:cs="宋体"/>
                <w:color w:val="auto"/>
                <w:sz w:val="22"/>
                <w:highlight w:val="none"/>
                <w:u w:val="single"/>
              </w:rPr>
              <w:t>标项1预算金额：1925000元，标项2预算金额1575000元</w:t>
            </w:r>
          </w:p>
          <w:p>
            <w:pPr>
              <w:autoSpaceDE w:val="0"/>
              <w:autoSpaceDN w:val="0"/>
              <w:adjustRightInd w:val="0"/>
              <w:spacing w:line="360" w:lineRule="exact"/>
              <w:rPr>
                <w:rFonts w:ascii="宋体" w:hAnsi="宋体" w:cs="宋体"/>
                <w:color w:val="auto"/>
                <w:kern w:val="0"/>
                <w:sz w:val="22"/>
                <w:highlight w:val="none"/>
                <w:lang w:val="zh-CN"/>
              </w:rPr>
            </w:pPr>
            <w:r>
              <w:rPr>
                <w:rFonts w:hint="eastAsia" w:ascii="宋体" w:hAnsi="宋体" w:cs="宋体"/>
                <w:color w:val="auto"/>
                <w:sz w:val="22"/>
                <w:highlight w:val="none"/>
              </w:rPr>
              <w:t>采购资金来源：财政拨款。</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3</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采购需求</w:t>
            </w:r>
          </w:p>
        </w:tc>
        <w:tc>
          <w:tcPr>
            <w:tcW w:w="707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color w:val="auto"/>
                <w:kern w:val="0"/>
                <w:sz w:val="22"/>
                <w:highlight w:val="none"/>
                <w:lang w:val="zh-CN"/>
              </w:rPr>
            </w:pPr>
            <w:r>
              <w:rPr>
                <w:rFonts w:hint="eastAsia" w:ascii="宋体" w:hAnsi="宋体" w:cs="宋体"/>
                <w:color w:val="auto"/>
                <w:kern w:val="0"/>
                <w:sz w:val="22"/>
                <w:highlight w:val="none"/>
              </w:rPr>
              <w:t>详见第五部分</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4</w:t>
            </w:r>
          </w:p>
        </w:tc>
        <w:tc>
          <w:tcPr>
            <w:tcW w:w="179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投标报价</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1.投标报价是指一次性报出不得更改的价格；</w:t>
            </w:r>
          </w:p>
          <w:p>
            <w:pPr>
              <w:autoSpaceDE w:val="0"/>
              <w:autoSpaceDN w:val="0"/>
              <w:adjustRightInd w:val="0"/>
              <w:spacing w:line="36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2.</w:t>
            </w:r>
            <w:r>
              <w:rPr>
                <w:rFonts w:hint="eastAsia" w:ascii="宋体" w:hAnsi="宋体" w:cs="宋体"/>
                <w:b/>
                <w:color w:val="auto"/>
                <w:sz w:val="22"/>
                <w:highlight w:val="none"/>
              </w:rPr>
              <w:t>采用含税折扣率报价。</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5</w:t>
            </w:r>
          </w:p>
        </w:tc>
        <w:tc>
          <w:tcPr>
            <w:tcW w:w="179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投标费用</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不论投标结果如何，投标人均应自行承担所有与投标有关的全部费用</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6</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lang w:val="zh-CN"/>
              </w:rPr>
            </w:pPr>
            <w:r>
              <w:rPr>
                <w:rFonts w:hint="eastAsia" w:ascii="宋体" w:hAnsi="宋体" w:cs="宋体"/>
                <w:color w:val="auto"/>
                <w:kern w:val="0"/>
                <w:sz w:val="22"/>
                <w:highlight w:val="none"/>
              </w:rPr>
              <w:t>投标人资质格要求</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auto"/>
                <w:kern w:val="0"/>
                <w:sz w:val="22"/>
                <w:highlight w:val="none"/>
                <w:lang w:val="zh-CN"/>
              </w:rPr>
            </w:pPr>
            <w:r>
              <w:rPr>
                <w:rFonts w:hint="eastAsia" w:ascii="宋体" w:hAnsi="宋体" w:cs="宋体"/>
                <w:color w:val="auto"/>
                <w:sz w:val="22"/>
                <w:highlight w:val="none"/>
              </w:rPr>
              <w:t>详见投标邀请书</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7</w:t>
            </w:r>
          </w:p>
        </w:tc>
        <w:tc>
          <w:tcPr>
            <w:tcW w:w="179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ascii="宋体" w:hAnsi="宋体" w:cs="宋体"/>
                <w:b/>
                <w:bCs/>
                <w:snapToGrid w:val="0"/>
                <w:color w:val="auto"/>
                <w:sz w:val="22"/>
                <w:highlight w:val="none"/>
                <w:lang w:val="zh-CN"/>
              </w:rPr>
            </w:pPr>
            <w:r>
              <w:rPr>
                <w:rFonts w:hint="eastAsia" w:ascii="宋体" w:hAnsi="宋体" w:cs="宋体"/>
                <w:b/>
                <w:bCs/>
                <w:snapToGrid w:val="0"/>
                <w:color w:val="auto"/>
                <w:sz w:val="22"/>
                <w:highlight w:val="none"/>
              </w:rPr>
              <w:t>是否接受联合体投标</w:t>
            </w:r>
          </w:p>
        </w:tc>
        <w:tc>
          <w:tcPr>
            <w:tcW w:w="707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rPr>
                <w:rFonts w:ascii="宋体" w:hAnsi="宋体" w:cs="宋体"/>
                <w:b/>
                <w:bCs/>
                <w:color w:val="auto"/>
                <w:highlight w:val="none"/>
              </w:rPr>
            </w:pPr>
            <w:r>
              <w:rPr>
                <w:rFonts w:hint="eastAsia" w:ascii="宋体" w:hAnsi="宋体" w:cs="宋体"/>
                <w:b/>
                <w:bCs/>
                <w:color w:val="auto"/>
                <w:highlight w:val="none"/>
              </w:rPr>
              <w:t>接受，但必须满足以下条件：</w:t>
            </w:r>
          </w:p>
          <w:p>
            <w:pPr>
              <w:adjustRightInd w:val="0"/>
              <w:snapToGrid w:val="0"/>
              <w:spacing w:line="360" w:lineRule="exact"/>
              <w:ind w:firstLine="442" w:firstLineChars="200"/>
              <w:rPr>
                <w:rFonts w:ascii="宋体" w:hAnsi="宋体" w:cs="宋体"/>
                <w:b/>
                <w:bCs/>
                <w:snapToGrid w:val="0"/>
                <w:color w:val="auto"/>
                <w:sz w:val="22"/>
                <w:highlight w:val="none"/>
              </w:rPr>
            </w:pPr>
            <w:r>
              <w:rPr>
                <w:rFonts w:hint="eastAsia" w:ascii="宋体" w:hAnsi="宋体" w:cs="宋体"/>
                <w:b/>
                <w:bCs/>
                <w:snapToGrid w:val="0"/>
                <w:color w:val="auto"/>
                <w:sz w:val="22"/>
                <w:highlight w:val="none"/>
              </w:rPr>
              <w:t>1.只允许两个的自然人、法人或者其他组织可以组成一个联合体，以一个投标人的身份共同参加政府采购。</w:t>
            </w:r>
          </w:p>
          <w:p>
            <w:pPr>
              <w:adjustRightInd w:val="0"/>
              <w:snapToGrid w:val="0"/>
              <w:spacing w:line="360" w:lineRule="exact"/>
              <w:ind w:firstLine="442" w:firstLineChars="200"/>
              <w:rPr>
                <w:rFonts w:ascii="宋体" w:hAnsi="宋体" w:cs="宋体"/>
                <w:b/>
                <w:bCs/>
                <w:snapToGrid w:val="0"/>
                <w:color w:val="auto"/>
                <w:sz w:val="22"/>
                <w:highlight w:val="none"/>
              </w:rPr>
            </w:pPr>
            <w:r>
              <w:rPr>
                <w:rFonts w:hint="eastAsia" w:ascii="宋体" w:hAnsi="宋体" w:cs="宋体"/>
                <w:b/>
                <w:bCs/>
                <w:snapToGrid w:val="0"/>
                <w:color w:val="auto"/>
                <w:sz w:val="22"/>
                <w:highlight w:val="none"/>
              </w:rPr>
              <w:t>2.以联合体形式进行政府采购的，参加联合体的投标人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pPr>
              <w:adjustRightInd w:val="0"/>
              <w:snapToGrid w:val="0"/>
              <w:spacing w:line="360" w:lineRule="exact"/>
              <w:ind w:firstLine="442" w:firstLineChars="200"/>
              <w:rPr>
                <w:rFonts w:ascii="宋体" w:hAnsi="宋体" w:cs="宋体"/>
                <w:b/>
                <w:bCs/>
                <w:snapToGrid w:val="0"/>
                <w:color w:val="auto"/>
                <w:sz w:val="22"/>
                <w:highlight w:val="none"/>
              </w:rPr>
            </w:pPr>
            <w:r>
              <w:rPr>
                <w:rFonts w:hint="eastAsia" w:ascii="宋体" w:hAnsi="宋体" w:cs="宋体"/>
                <w:b/>
                <w:bCs/>
                <w:snapToGrid w:val="0"/>
                <w:color w:val="auto"/>
                <w:sz w:val="22"/>
                <w:highlight w:val="none"/>
              </w:rPr>
              <w:t xml:space="preserve">3.投标人以联合体形式参加采购活动的，联合体各方中至少应有一方符合招标文件规定的特定资质条件。如由同一专业的投标人组成的联合体的，评审时应以资质最低的一方为依据。 </w:t>
            </w:r>
          </w:p>
          <w:p>
            <w:pPr>
              <w:adjustRightInd w:val="0"/>
              <w:snapToGrid w:val="0"/>
              <w:spacing w:line="360" w:lineRule="exact"/>
              <w:ind w:firstLine="442" w:firstLineChars="200"/>
              <w:rPr>
                <w:rFonts w:ascii="宋体" w:hAnsi="宋体" w:cs="宋体"/>
                <w:b/>
                <w:bCs/>
                <w:snapToGrid w:val="0"/>
                <w:color w:val="auto"/>
                <w:sz w:val="22"/>
                <w:highlight w:val="none"/>
              </w:rPr>
            </w:pPr>
            <w:r>
              <w:rPr>
                <w:rFonts w:hint="eastAsia" w:ascii="宋体" w:hAnsi="宋体" w:cs="宋体"/>
                <w:b/>
                <w:bCs/>
                <w:snapToGrid w:val="0"/>
                <w:color w:val="auto"/>
                <w:sz w:val="22"/>
                <w:highlight w:val="none"/>
              </w:rPr>
              <w:t>4.联合体中有同类资质的投标人按照联合体分工承担相同工作的，按照资质等级较低的投标人确定资质等级。</w:t>
            </w:r>
          </w:p>
          <w:p>
            <w:pPr>
              <w:adjustRightInd w:val="0"/>
              <w:snapToGrid w:val="0"/>
              <w:spacing w:line="360" w:lineRule="exact"/>
              <w:ind w:firstLine="442" w:firstLineChars="200"/>
              <w:rPr>
                <w:rFonts w:ascii="宋体" w:hAnsi="宋体" w:cs="宋体"/>
                <w:b/>
                <w:bCs/>
                <w:snapToGrid w:val="0"/>
                <w:color w:val="auto"/>
                <w:sz w:val="22"/>
                <w:highlight w:val="none"/>
              </w:rPr>
            </w:pPr>
            <w:r>
              <w:rPr>
                <w:rFonts w:hint="eastAsia" w:ascii="宋体" w:hAnsi="宋体" w:cs="宋体"/>
                <w:b/>
                <w:bCs/>
                <w:snapToGrid w:val="0"/>
                <w:color w:val="auto"/>
                <w:sz w:val="22"/>
                <w:highlight w:val="none"/>
              </w:rPr>
              <w:t>5.联合体各方指定其中一家企业为总承包主体，即为牵头人，由牵头人之法定代表人或其委托代理人为联合体授权代表执行联合体有关的决议，以联合体名义处理与本项目相关的事务。</w:t>
            </w:r>
          </w:p>
          <w:p>
            <w:pPr>
              <w:adjustRightInd w:val="0"/>
              <w:snapToGrid w:val="0"/>
              <w:spacing w:line="360" w:lineRule="exact"/>
              <w:ind w:firstLine="442" w:firstLineChars="200"/>
              <w:rPr>
                <w:rFonts w:ascii="宋体" w:hAnsi="宋体" w:cs="宋体"/>
                <w:b/>
                <w:bCs/>
                <w:snapToGrid w:val="0"/>
                <w:color w:val="auto"/>
                <w:sz w:val="22"/>
                <w:highlight w:val="none"/>
              </w:rPr>
            </w:pPr>
            <w:r>
              <w:rPr>
                <w:rFonts w:hint="eastAsia" w:ascii="宋体" w:hAnsi="宋体" w:cs="宋体"/>
                <w:b/>
                <w:bCs/>
                <w:snapToGrid w:val="0"/>
                <w:color w:val="auto"/>
                <w:sz w:val="22"/>
                <w:highlight w:val="none"/>
              </w:rPr>
              <w:t>6.以联合体形式参加采购活动的，联合体各方不得再单独参加或者与其他投标人另外组成联合体参加同一合同项下的采购活动。</w:t>
            </w:r>
          </w:p>
          <w:p>
            <w:pPr>
              <w:adjustRightInd w:val="0"/>
              <w:snapToGrid w:val="0"/>
              <w:spacing w:line="360" w:lineRule="exact"/>
              <w:ind w:firstLine="442" w:firstLineChars="200"/>
              <w:rPr>
                <w:rFonts w:ascii="宋体" w:hAnsi="宋体" w:cs="宋体"/>
                <w:b/>
                <w:bCs/>
                <w:color w:val="auto"/>
                <w:highlight w:val="none"/>
                <w:lang w:val="zh-CN"/>
              </w:rPr>
            </w:pPr>
            <w:r>
              <w:rPr>
                <w:rFonts w:hint="eastAsia" w:ascii="宋体" w:hAnsi="宋体" w:cs="宋体"/>
                <w:b/>
                <w:bCs/>
                <w:snapToGrid w:val="0"/>
                <w:color w:val="auto"/>
                <w:sz w:val="22"/>
                <w:highlight w:val="none"/>
              </w:rPr>
              <w:t>7.投标文件中需要签章或签字的内容（资格文件等其他另有要求的除外）可只需加盖联合体牵头人有效公章及联合体牵头人授权代表（或其法定代表人）签字或盖章。</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8</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踏勘现场</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不</w:t>
            </w:r>
            <w:r>
              <w:rPr>
                <w:rFonts w:hint="eastAsia" w:ascii="宋体" w:hAnsi="宋体" w:cs="宋体"/>
                <w:color w:val="auto"/>
                <w:kern w:val="0"/>
                <w:sz w:val="22"/>
                <w:highlight w:val="none"/>
              </w:rPr>
              <w:t>组织</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9</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投标预备会</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不召开</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10</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分包和转包</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不允许</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11</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偏离</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偏差允许幅度及其处理方法：允许细微偏差，不允许重大偏差。由评审小组判断，细微偏差要求投标人在评标结束前予以澄清、说明或补正，不接受要求进行的，评审小组有权做投标无效处理，详见评标办法。</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12</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投标有效期</w:t>
            </w:r>
          </w:p>
        </w:tc>
        <w:tc>
          <w:tcPr>
            <w:tcW w:w="7071"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宋体" w:hAnsi="宋体" w:cs="宋体"/>
                <w:color w:val="auto"/>
                <w:sz w:val="22"/>
                <w:highlight w:val="none"/>
                <w:lang w:val="zh-CN"/>
              </w:rPr>
            </w:pPr>
            <w:r>
              <w:rPr>
                <w:rFonts w:hint="eastAsia" w:ascii="宋体" w:hAnsi="宋体" w:cs="宋体"/>
                <w:color w:val="auto"/>
                <w:sz w:val="22"/>
                <w:highlight w:val="none"/>
              </w:rPr>
              <w:t>从提交投标文件的截止时间之日起90天。</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13</w:t>
            </w:r>
          </w:p>
        </w:tc>
        <w:tc>
          <w:tcPr>
            <w:tcW w:w="179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rPr>
                <w:rFonts w:ascii="宋体" w:hAnsi="宋体" w:cs="宋体"/>
                <w:color w:val="auto"/>
                <w:kern w:val="0"/>
                <w:sz w:val="22"/>
                <w:highlight w:val="none"/>
              </w:rPr>
            </w:pPr>
            <w:r>
              <w:rPr>
                <w:rFonts w:hint="eastAsia" w:ascii="宋体" w:hAnsi="宋体" w:cs="宋体"/>
                <w:b/>
                <w:bCs/>
                <w:color w:val="auto"/>
                <w:kern w:val="0"/>
                <w:sz w:val="22"/>
                <w:highlight w:val="none"/>
              </w:rPr>
              <w:t>投标文件形式、制作及组成</w:t>
            </w:r>
          </w:p>
        </w:tc>
        <w:tc>
          <w:tcPr>
            <w:tcW w:w="7071" w:type="dxa"/>
            <w:tcBorders>
              <w:top w:val="single" w:color="auto" w:sz="4" w:space="0"/>
              <w:left w:val="single" w:color="auto" w:sz="4" w:space="0"/>
              <w:bottom w:val="single" w:color="auto" w:sz="4" w:space="0"/>
              <w:right w:val="single" w:color="auto" w:sz="4" w:space="0"/>
            </w:tcBorders>
            <w:vAlign w:val="center"/>
          </w:tcPr>
          <w:p>
            <w:pPr>
              <w:pStyle w:val="16"/>
              <w:snapToGrid w:val="0"/>
              <w:spacing w:line="360" w:lineRule="exact"/>
              <w:rPr>
                <w:rFonts w:hAnsi="宋体" w:cs="宋体"/>
                <w:b/>
                <w:bCs/>
                <w:color w:val="auto"/>
                <w:sz w:val="22"/>
                <w:highlight w:val="none"/>
              </w:rPr>
            </w:pPr>
            <w:r>
              <w:rPr>
                <w:rFonts w:hint="eastAsia" w:hAnsi="宋体" w:cs="宋体"/>
                <w:b/>
                <w:bCs/>
                <w:color w:val="auto"/>
                <w:sz w:val="22"/>
                <w:highlight w:val="none"/>
              </w:rPr>
              <w:t>本项目实行网上电子投标。</w:t>
            </w:r>
          </w:p>
          <w:p>
            <w:pPr>
              <w:pStyle w:val="16"/>
              <w:snapToGrid w:val="0"/>
              <w:spacing w:line="360" w:lineRule="exact"/>
              <w:rPr>
                <w:rFonts w:hAnsi="宋体" w:cs="宋体"/>
                <w:b/>
                <w:bCs/>
                <w:color w:val="auto"/>
                <w:sz w:val="22"/>
                <w:highlight w:val="none"/>
              </w:rPr>
            </w:pPr>
            <w:r>
              <w:rPr>
                <w:rFonts w:hint="eastAsia" w:hAnsi="宋体" w:cs="宋体"/>
                <w:b/>
                <w:bCs/>
                <w:color w:val="auto"/>
                <w:sz w:val="22"/>
                <w:highlight w:val="none"/>
              </w:rPr>
              <w:t>投标人应准备电子投标文件、以介质存储的数据电文形式的备份投标文件二类：</w:t>
            </w:r>
          </w:p>
          <w:p>
            <w:pPr>
              <w:pStyle w:val="16"/>
              <w:snapToGrid w:val="0"/>
              <w:spacing w:line="360" w:lineRule="exact"/>
              <w:ind w:firstLine="221" w:firstLineChars="100"/>
              <w:rPr>
                <w:rFonts w:hAnsi="宋体" w:cs="宋体"/>
                <w:b/>
                <w:bCs/>
                <w:color w:val="auto"/>
                <w:sz w:val="22"/>
                <w:highlight w:val="none"/>
              </w:rPr>
            </w:pPr>
            <w:r>
              <w:rPr>
                <w:rFonts w:hint="eastAsia" w:hAnsi="宋体" w:cs="宋体"/>
                <w:b/>
                <w:bCs/>
                <w:color w:val="auto"/>
                <w:sz w:val="22"/>
                <w:highlight w:val="none"/>
              </w:rPr>
              <w:t>（1）电子投标文件：通过政采云电子交易客户端（政采云投标客户端）完成投标文件编制后生成并加密的数据电文形式的投标文件（文件扩展名为.jmbs）1份</w:t>
            </w:r>
            <w:r>
              <w:rPr>
                <w:rFonts w:hint="eastAsia" w:hAnsi="宋体" w:cs="宋体"/>
                <w:b/>
                <w:bCs/>
                <w:color w:val="auto"/>
                <w:sz w:val="22"/>
                <w:highlight w:val="none"/>
                <w:lang w:val="zh-CN"/>
              </w:rPr>
              <w:t>。</w:t>
            </w:r>
          </w:p>
          <w:p>
            <w:pPr>
              <w:spacing w:line="360" w:lineRule="exact"/>
              <w:ind w:firstLine="221" w:firstLineChars="100"/>
              <w:rPr>
                <w:rFonts w:ascii="宋体" w:hAnsi="宋体" w:cs="宋体"/>
                <w:b/>
                <w:bCs/>
                <w:color w:val="auto"/>
                <w:sz w:val="22"/>
                <w:highlight w:val="none"/>
              </w:rPr>
            </w:pPr>
            <w:r>
              <w:rPr>
                <w:rFonts w:hint="eastAsia" w:ascii="宋体" w:hAnsi="宋体" w:cs="宋体"/>
                <w:b/>
                <w:bCs/>
                <w:color w:val="auto"/>
                <w:sz w:val="22"/>
                <w:highlight w:val="none"/>
              </w:rPr>
              <w:t>（2）以介质存储的数据电文形式的备份投标文件（如有）：</w:t>
            </w:r>
            <w:r>
              <w:rPr>
                <w:rStyle w:val="33"/>
                <w:rFonts w:hint="eastAsia" w:ascii="宋体" w:hAnsi="宋体" w:cs="宋体"/>
                <w:bCs/>
                <w:color w:val="auto"/>
                <w:sz w:val="22"/>
                <w:highlight w:val="none"/>
              </w:rPr>
              <w:t>与“电子投标文件”同时生成的数据电文形式的备份投标文件(文件扩展名为.bfbs)</w:t>
            </w:r>
            <w:r>
              <w:rPr>
                <w:rFonts w:hint="eastAsia" w:ascii="宋体" w:hAnsi="宋体" w:cs="宋体"/>
                <w:b/>
                <w:bCs/>
                <w:color w:val="auto"/>
                <w:sz w:val="22"/>
                <w:highlight w:val="none"/>
              </w:rPr>
              <w:t>，投标文件提交截止时间前以</w:t>
            </w:r>
            <w:r>
              <w:rPr>
                <w:rFonts w:hint="eastAsia" w:ascii="宋体" w:hAnsi="宋体" w:cs="宋体"/>
                <w:b/>
                <w:bCs/>
                <w:color w:val="auto"/>
                <w:sz w:val="22"/>
                <w:highlight w:val="none"/>
                <w:lang w:val="zh-CN"/>
              </w:rPr>
              <w:t>电子邮件方式传送至浙江乐诚工程咨询有限公司电子邮箱</w:t>
            </w:r>
            <w:r>
              <w:rPr>
                <w:rFonts w:hint="eastAsia" w:ascii="宋体" w:hAnsi="宋体" w:cs="宋体"/>
                <w:b/>
                <w:bCs/>
                <w:color w:val="auto"/>
                <w:sz w:val="22"/>
                <w:highlight w:val="none"/>
              </w:rPr>
              <w:t>2812799762@qq.com，</w:t>
            </w:r>
            <w:r>
              <w:rPr>
                <w:rFonts w:hint="eastAsia" w:ascii="宋体" w:hAnsi="宋体" w:cs="宋体"/>
                <w:b/>
                <w:bCs/>
                <w:color w:val="auto"/>
                <w:sz w:val="22"/>
                <w:highlight w:val="none"/>
                <w:lang w:val="zh-CN"/>
              </w:rPr>
              <w:t>递交</w:t>
            </w:r>
            <w:r>
              <w:rPr>
                <w:rFonts w:hint="eastAsia" w:ascii="宋体" w:hAnsi="宋体" w:cs="宋体"/>
                <w:b/>
                <w:bCs/>
                <w:color w:val="auto"/>
                <w:sz w:val="22"/>
                <w:highlight w:val="none"/>
              </w:rPr>
              <w:t>1</w:t>
            </w:r>
            <w:r>
              <w:rPr>
                <w:rFonts w:hint="eastAsia" w:ascii="宋体" w:hAnsi="宋体" w:cs="宋体"/>
                <w:b/>
                <w:bCs/>
                <w:color w:val="auto"/>
                <w:sz w:val="22"/>
                <w:highlight w:val="none"/>
                <w:lang w:val="zh-CN"/>
              </w:rPr>
              <w:t>份</w:t>
            </w:r>
            <w:r>
              <w:rPr>
                <w:rFonts w:hint="eastAsia" w:ascii="宋体" w:hAnsi="宋体" w:cs="宋体"/>
                <w:b/>
                <w:bCs/>
                <w:color w:val="auto"/>
                <w:sz w:val="22"/>
                <w:highlight w:val="none"/>
              </w:rPr>
              <w:t>，</w:t>
            </w:r>
            <w:r>
              <w:rPr>
                <w:rFonts w:hint="eastAsia" w:ascii="宋体" w:hAnsi="宋体" w:cs="宋体"/>
                <w:b/>
                <w:bCs/>
                <w:color w:val="auto"/>
                <w:sz w:val="22"/>
                <w:highlight w:val="none"/>
                <w:lang w:val="zh-CN"/>
              </w:rPr>
              <w:t>传送的备份投标文件需打包压缩并加密</w:t>
            </w:r>
            <w:r>
              <w:rPr>
                <w:rFonts w:hint="eastAsia" w:ascii="宋体" w:hAnsi="宋体" w:cs="宋体"/>
                <w:b/>
                <w:bCs/>
                <w:color w:val="auto"/>
                <w:sz w:val="22"/>
                <w:highlight w:val="none"/>
              </w:rPr>
              <w:t>，</w:t>
            </w:r>
            <w:r>
              <w:rPr>
                <w:rFonts w:hint="eastAsia" w:ascii="宋体" w:hAnsi="宋体" w:cs="宋体"/>
                <w:b/>
                <w:bCs/>
                <w:color w:val="auto"/>
                <w:sz w:val="22"/>
                <w:highlight w:val="none"/>
                <w:lang w:val="zh-CN"/>
              </w:rPr>
              <w:t>加密密码由投标人自行保管</w:t>
            </w:r>
            <w:r>
              <w:rPr>
                <w:rFonts w:hint="eastAsia" w:ascii="宋体" w:hAnsi="宋体" w:cs="宋体"/>
                <w:b/>
                <w:bCs/>
                <w:color w:val="auto"/>
                <w:sz w:val="22"/>
                <w:highlight w:val="none"/>
              </w:rPr>
              <w:t>，未加密导致投标信息泄露的风险由投标人自行承担</w:t>
            </w:r>
            <w:r>
              <w:rPr>
                <w:rStyle w:val="33"/>
                <w:rFonts w:hint="eastAsia" w:ascii="宋体" w:hAnsi="宋体" w:cs="宋体"/>
                <w:bCs/>
                <w:color w:val="auto"/>
                <w:sz w:val="22"/>
                <w:highlight w:val="none"/>
              </w:rPr>
              <w:t>。</w:t>
            </w:r>
          </w:p>
          <w:p>
            <w:pPr>
              <w:pStyle w:val="16"/>
              <w:snapToGrid w:val="0"/>
              <w:spacing w:line="360" w:lineRule="exact"/>
              <w:rPr>
                <w:rFonts w:hAnsi="宋体" w:cs="宋体"/>
                <w:b/>
                <w:bCs/>
                <w:color w:val="auto"/>
                <w:sz w:val="22"/>
                <w:highlight w:val="none"/>
              </w:rPr>
            </w:pPr>
            <w:r>
              <w:rPr>
                <w:rFonts w:hint="eastAsia" w:hAnsi="宋体" w:cs="宋体"/>
                <w:b/>
                <w:bCs/>
                <w:color w:val="auto"/>
                <w:sz w:val="22"/>
                <w:highlight w:val="none"/>
              </w:rPr>
              <w:t>投标文件由报价文件、资格文件、商务和技术文件三部分组成。</w:t>
            </w:r>
          </w:p>
          <w:p>
            <w:pPr>
              <w:pStyle w:val="16"/>
              <w:snapToGrid w:val="0"/>
              <w:spacing w:line="360" w:lineRule="exact"/>
              <w:rPr>
                <w:rFonts w:hAnsi="宋体" w:cs="宋体"/>
                <w:b/>
                <w:bCs/>
                <w:color w:val="auto"/>
                <w:sz w:val="22"/>
                <w:highlight w:val="none"/>
                <w:lang w:val="zh-CN"/>
              </w:rPr>
            </w:pPr>
            <w:r>
              <w:rPr>
                <w:rFonts w:hint="eastAsia" w:hAnsi="宋体" w:cs="宋体"/>
                <w:b/>
                <w:bCs/>
                <w:color w:val="auto"/>
                <w:sz w:val="22"/>
                <w:highlight w:val="none"/>
              </w:rPr>
              <w:t>注：中标人在领取中标通知书时按采购人要求提供全套纸质投标文件贰份。</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14</w:t>
            </w:r>
          </w:p>
        </w:tc>
        <w:tc>
          <w:tcPr>
            <w:tcW w:w="1796"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b/>
                <w:bCs/>
                <w:color w:val="auto"/>
                <w:kern w:val="0"/>
                <w:sz w:val="22"/>
                <w:highlight w:val="none"/>
              </w:rPr>
            </w:pPr>
            <w:r>
              <w:rPr>
                <w:rFonts w:hint="eastAsia" w:ascii="宋体" w:hAnsi="宋体" w:cs="宋体"/>
                <w:color w:val="auto"/>
                <w:kern w:val="0"/>
                <w:sz w:val="22"/>
                <w:highlight w:val="none"/>
              </w:rPr>
              <w:t>电子招投标特殊情况处理方式</w:t>
            </w:r>
          </w:p>
        </w:tc>
        <w:tc>
          <w:tcPr>
            <w:tcW w:w="707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b/>
                <w:bCs/>
                <w:color w:val="auto"/>
                <w:sz w:val="22"/>
                <w:highlight w:val="none"/>
              </w:rPr>
            </w:pPr>
            <w:r>
              <w:rPr>
                <w:rFonts w:hint="eastAsia" w:ascii="宋体" w:hAnsi="宋体" w:cs="宋体"/>
                <w:b/>
                <w:bCs/>
                <w:color w:val="auto"/>
                <w:sz w:val="22"/>
                <w:highlight w:val="none"/>
              </w:rPr>
              <w:t>本项目原则上采用政采云电子招投标开标及评审程序，但有下情形之一的，按以下情况处理：</w:t>
            </w:r>
          </w:p>
          <w:p>
            <w:pPr>
              <w:spacing w:line="360" w:lineRule="exact"/>
              <w:rPr>
                <w:rFonts w:ascii="宋体" w:hAnsi="宋体" w:cs="宋体"/>
                <w:b/>
                <w:bCs/>
                <w:color w:val="auto"/>
                <w:sz w:val="22"/>
                <w:highlight w:val="none"/>
                <w:lang w:val="zh-CN"/>
              </w:rPr>
            </w:pPr>
            <w:r>
              <w:rPr>
                <w:rFonts w:hint="eastAsia" w:ascii="宋体" w:hAnsi="宋体" w:cs="宋体"/>
                <w:b/>
                <w:bCs/>
                <w:color w:val="auto"/>
                <w:sz w:val="22"/>
                <w:highlight w:val="none"/>
              </w:rPr>
              <w:t>若投标人在规定时间内无法解密或解密失败，采购代理机构将开启所有投标人递交的以介质存储的数据电文形式的备份投标文件，上传至政采云平台项目采购模块，以完成开标，电子投标文件自动失效。</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15</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评审小组的组建</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ind w:firstLine="31"/>
              <w:rPr>
                <w:rFonts w:ascii="宋体" w:hAnsi="宋体" w:cs="宋体"/>
                <w:color w:val="auto"/>
                <w:sz w:val="22"/>
                <w:highlight w:val="none"/>
                <w:lang w:val="zh-CN"/>
              </w:rPr>
            </w:pPr>
            <w:r>
              <w:rPr>
                <w:rFonts w:hint="eastAsia" w:ascii="宋体" w:hAnsi="宋体" w:cs="宋体"/>
                <w:color w:val="auto"/>
                <w:kern w:val="0"/>
                <w:sz w:val="22"/>
                <w:highlight w:val="none"/>
                <w:lang w:val="zh-CN"/>
              </w:rPr>
              <w:t>评审小组成员由采购人代表和有关技术、经济等方面的专家组成，有关技术、经济等方面的专家成员人数为5人及以上单数，除采购人代表外的专家将按有关规定随机抽取产生。</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16</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评审地点</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ind w:firstLine="31"/>
              <w:rPr>
                <w:rFonts w:hint="eastAsia" w:ascii="宋体" w:hAnsi="宋体" w:eastAsia="宋体" w:cs="宋体"/>
                <w:color w:val="auto"/>
                <w:kern w:val="0"/>
                <w:sz w:val="22"/>
                <w:highlight w:val="none"/>
                <w:lang w:eastAsia="zh-CN"/>
              </w:rPr>
            </w:pPr>
            <w:r>
              <w:rPr>
                <w:rFonts w:hint="eastAsia"/>
                <w:color w:val="auto"/>
                <w:sz w:val="22"/>
                <w:highlight w:val="none"/>
                <w:lang w:eastAsia="zh-CN"/>
              </w:rPr>
              <w:t>温州大学茶山南校区行政楼516A</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17</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b/>
                <w:bCs/>
                <w:snapToGrid w:val="0"/>
                <w:color w:val="auto"/>
                <w:sz w:val="22"/>
                <w:highlight w:val="none"/>
              </w:rPr>
              <w:t>资格审查要求的资格证明材料</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exact"/>
              <w:textAlignment w:val="bottom"/>
              <w:rPr>
                <w:rFonts w:ascii="宋体" w:hAnsi="宋体" w:cs="宋体"/>
                <w:b/>
                <w:bCs/>
                <w:snapToGrid w:val="0"/>
                <w:color w:val="auto"/>
                <w:sz w:val="22"/>
                <w:highlight w:val="none"/>
              </w:rPr>
            </w:pPr>
            <w:r>
              <w:rPr>
                <w:rFonts w:hint="eastAsia" w:ascii="宋体" w:hAnsi="宋体" w:cs="宋体"/>
                <w:b/>
                <w:bCs/>
                <w:snapToGrid w:val="0"/>
                <w:color w:val="auto"/>
                <w:sz w:val="22"/>
                <w:highlight w:val="none"/>
              </w:rPr>
              <w:t>①有效的法人或者其他组织的营业执照等证明文件，自然人的身份证明（五选一）</w:t>
            </w:r>
            <w:r>
              <w:rPr>
                <w:rFonts w:hint="eastAsia" w:ascii="宋体" w:hAnsi="宋体" w:cs="宋体"/>
                <w:b/>
                <w:bCs/>
                <w:color w:val="auto"/>
                <w:sz w:val="22"/>
                <w:highlight w:val="none"/>
              </w:rPr>
              <w:t>（见附件4-1）</w:t>
            </w:r>
            <w:r>
              <w:rPr>
                <w:rFonts w:hint="eastAsia" w:ascii="宋体" w:hAnsi="宋体" w:cs="宋体"/>
                <w:b/>
                <w:bCs/>
                <w:snapToGrid w:val="0"/>
                <w:color w:val="auto"/>
                <w:sz w:val="22"/>
                <w:highlight w:val="none"/>
              </w:rPr>
              <w:t>（如为联合体投标，则联合体各方均须提供）</w:t>
            </w:r>
          </w:p>
          <w:p>
            <w:pPr>
              <w:autoSpaceDE w:val="0"/>
              <w:autoSpaceDN w:val="0"/>
              <w:adjustRightInd w:val="0"/>
              <w:spacing w:line="360" w:lineRule="exact"/>
              <w:ind w:firstLine="31"/>
              <w:rPr>
                <w:rFonts w:ascii="宋体" w:hAnsi="宋体" w:cs="宋体"/>
                <w:b/>
                <w:bCs/>
                <w:color w:val="auto"/>
                <w:sz w:val="22"/>
                <w:highlight w:val="none"/>
              </w:rPr>
            </w:pPr>
            <w:r>
              <w:rPr>
                <w:rFonts w:hint="eastAsia" w:ascii="宋体" w:hAnsi="宋体" w:cs="宋体"/>
                <w:b/>
                <w:bCs/>
                <w:snapToGrid w:val="0"/>
                <w:color w:val="auto"/>
                <w:sz w:val="22"/>
                <w:highlight w:val="none"/>
              </w:rPr>
              <w:t>②关于符合《中华人民共和国政府采购法》第二十二条规定的承诺函</w:t>
            </w:r>
            <w:r>
              <w:rPr>
                <w:rFonts w:hint="eastAsia" w:ascii="宋体" w:hAnsi="宋体" w:cs="宋体"/>
                <w:b/>
                <w:bCs/>
                <w:color w:val="auto"/>
                <w:sz w:val="22"/>
                <w:highlight w:val="none"/>
              </w:rPr>
              <w:t>（见附件4-2）</w:t>
            </w:r>
            <w:r>
              <w:rPr>
                <w:rFonts w:hint="eastAsia" w:ascii="宋体" w:hAnsi="宋体" w:cs="宋体"/>
                <w:b/>
                <w:bCs/>
                <w:snapToGrid w:val="0"/>
                <w:color w:val="auto"/>
                <w:sz w:val="22"/>
                <w:highlight w:val="none"/>
              </w:rPr>
              <w:t>（如为联合体投标，则联合体各方均须提供，并各自加盖公章）</w:t>
            </w:r>
          </w:p>
          <w:p>
            <w:pPr>
              <w:autoSpaceDE w:val="0"/>
              <w:autoSpaceDN w:val="0"/>
              <w:adjustRightInd w:val="0"/>
              <w:spacing w:line="360" w:lineRule="exact"/>
              <w:ind w:firstLine="31"/>
              <w:rPr>
                <w:rFonts w:ascii="宋体" w:hAnsi="宋体" w:cs="宋体"/>
                <w:b/>
                <w:bCs/>
                <w:color w:val="auto"/>
                <w:sz w:val="22"/>
                <w:highlight w:val="none"/>
              </w:rPr>
            </w:pPr>
            <w:r>
              <w:rPr>
                <w:rFonts w:hint="eastAsia" w:ascii="宋体" w:hAnsi="宋体" w:cs="宋体"/>
                <w:b/>
                <w:bCs/>
                <w:color w:val="auto"/>
                <w:sz w:val="22"/>
                <w:highlight w:val="none"/>
                <w:lang w:val="zh-CN"/>
              </w:rPr>
              <w:t>③投标人出版物经营许可证</w:t>
            </w:r>
            <w:r>
              <w:rPr>
                <w:rFonts w:hint="eastAsia" w:ascii="宋体" w:hAnsi="宋体" w:cs="宋体"/>
                <w:b/>
                <w:bCs/>
                <w:color w:val="auto"/>
                <w:sz w:val="22"/>
                <w:highlight w:val="none"/>
              </w:rPr>
              <w:t>（见附件4-3）</w:t>
            </w:r>
          </w:p>
          <w:p>
            <w:pPr>
              <w:autoSpaceDE w:val="0"/>
              <w:autoSpaceDN w:val="0"/>
              <w:adjustRightInd w:val="0"/>
              <w:spacing w:line="360" w:lineRule="exact"/>
              <w:ind w:firstLine="31"/>
              <w:rPr>
                <w:rFonts w:ascii="宋体" w:hAnsi="宋体" w:cs="宋体"/>
                <w:color w:val="auto"/>
                <w:kern w:val="0"/>
                <w:sz w:val="22"/>
                <w:highlight w:val="none"/>
                <w:lang w:val="zh-CN"/>
              </w:rPr>
            </w:pPr>
            <w:r>
              <w:rPr>
                <w:rFonts w:hint="eastAsia" w:ascii="宋体" w:hAnsi="宋体" w:cs="宋体"/>
                <w:b/>
                <w:bCs/>
                <w:color w:val="auto"/>
                <w:sz w:val="22"/>
                <w:highlight w:val="none"/>
              </w:rPr>
              <w:t>④联合体投标协议书（见附件4-4）</w:t>
            </w:r>
            <w:r>
              <w:rPr>
                <w:rFonts w:hint="eastAsia" w:ascii="宋体" w:hAnsi="宋体" w:cs="宋体"/>
                <w:b/>
                <w:bCs/>
                <w:snapToGrid w:val="0"/>
                <w:color w:val="auto"/>
                <w:sz w:val="22"/>
                <w:highlight w:val="none"/>
              </w:rPr>
              <w:t>(投标人为联合体的须提供，非联合体的无需提供。)</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18</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中小企业预留份额情况</w:t>
            </w:r>
          </w:p>
        </w:tc>
        <w:tc>
          <w:tcPr>
            <w:tcW w:w="7071"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auto"/>
                <w:sz w:val="22"/>
                <w:highlight w:val="none"/>
                <w:lang w:val="zh-CN"/>
              </w:rPr>
            </w:pPr>
            <w:r>
              <w:rPr>
                <w:rFonts w:hint="eastAsia" w:ascii="宋体" w:hAnsi="宋体" w:cs="宋体"/>
                <w:color w:val="auto"/>
                <w:sz w:val="22"/>
                <w:highlight w:val="none"/>
              </w:rPr>
              <w:t>根据《政府采购促进中小企业发展管理办法》财库〔2020〕46号文件的规定，本项目不属于预留份额专门面向中小企业采购的项目。</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19</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b/>
                <w:bCs/>
                <w:snapToGrid w:val="0"/>
                <w:color w:val="auto"/>
                <w:sz w:val="22"/>
                <w:highlight w:val="none"/>
              </w:rPr>
            </w:pPr>
            <w:r>
              <w:rPr>
                <w:rFonts w:hint="eastAsia" w:ascii="宋体" w:hAnsi="宋体" w:cs="宋体"/>
                <w:color w:val="auto"/>
                <w:sz w:val="22"/>
                <w:highlight w:val="none"/>
              </w:rPr>
              <w:t>所属行业</w:t>
            </w:r>
          </w:p>
        </w:tc>
        <w:tc>
          <w:tcPr>
            <w:tcW w:w="707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color w:val="auto"/>
                <w:kern w:val="0"/>
                <w:sz w:val="22"/>
                <w:highlight w:val="none"/>
              </w:rPr>
            </w:pPr>
            <w:r>
              <w:rPr>
                <w:rFonts w:hint="eastAsia" w:ascii="宋体" w:hAnsi="宋体" w:cs="宋体"/>
                <w:color w:val="auto"/>
                <w:kern w:val="0"/>
                <w:sz w:val="22"/>
                <w:highlight w:val="none"/>
                <w:lang w:val="zh-CN"/>
              </w:rPr>
              <w:t>批发业</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20</w:t>
            </w:r>
          </w:p>
        </w:tc>
        <w:tc>
          <w:tcPr>
            <w:tcW w:w="179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ascii="宋体" w:hAnsi="宋体" w:cs="宋体"/>
                <w:snapToGrid w:val="0"/>
                <w:color w:val="auto"/>
                <w:sz w:val="22"/>
                <w:highlight w:val="none"/>
              </w:rPr>
            </w:pPr>
            <w:r>
              <w:rPr>
                <w:rFonts w:hint="eastAsia" w:ascii="宋体" w:hAnsi="宋体" w:cs="宋体"/>
                <w:snapToGrid w:val="0"/>
                <w:color w:val="auto"/>
                <w:sz w:val="22"/>
                <w:highlight w:val="none"/>
              </w:rPr>
              <w:t>所属行业及标的名称</w:t>
            </w:r>
          </w:p>
        </w:tc>
        <w:tc>
          <w:tcPr>
            <w:tcW w:w="707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left"/>
              <w:rPr>
                <w:rFonts w:ascii="宋体" w:hAnsi="宋体" w:cs="宋体"/>
                <w:color w:val="auto"/>
                <w:sz w:val="22"/>
                <w:highlight w:val="none"/>
              </w:rPr>
            </w:pPr>
            <w:r>
              <w:rPr>
                <w:rFonts w:hint="eastAsia" w:ascii="宋体" w:hAnsi="宋体" w:cs="宋体"/>
                <w:color w:val="auto"/>
                <w:sz w:val="22"/>
                <w:highlight w:val="none"/>
              </w:rPr>
              <w:t>1.中小企业划分标准所属行业（具体根据《中小企业划型标准规定》执行）</w:t>
            </w:r>
          </w:p>
          <w:p>
            <w:pPr>
              <w:adjustRightInd w:val="0"/>
              <w:snapToGrid w:val="0"/>
              <w:spacing w:line="360" w:lineRule="exact"/>
              <w:jc w:val="left"/>
              <w:rPr>
                <w:rFonts w:ascii="宋体" w:hAnsi="宋体" w:cs="宋体"/>
                <w:color w:val="auto"/>
                <w:sz w:val="22"/>
                <w:highlight w:val="none"/>
              </w:rPr>
            </w:pPr>
            <w:r>
              <w:rPr>
                <w:rFonts w:hint="eastAsia" w:ascii="宋体" w:hAnsi="宋体" w:cs="宋体"/>
                <w:b/>
                <w:bCs/>
                <w:snapToGrid w:val="0"/>
                <w:color w:val="auto"/>
                <w:sz w:val="22"/>
                <w:highlight w:val="none"/>
              </w:rPr>
              <w:t>所属行业：</w:t>
            </w:r>
            <w:r>
              <w:rPr>
                <w:rFonts w:hint="eastAsia" w:ascii="宋体" w:hAnsi="宋体" w:cs="宋体"/>
                <w:color w:val="auto"/>
                <w:sz w:val="22"/>
                <w:highlight w:val="none"/>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widowControl/>
              <w:spacing w:line="360" w:lineRule="exact"/>
              <w:textAlignment w:val="center"/>
              <w:rPr>
                <w:rFonts w:ascii="宋体" w:hAnsi="宋体" w:cs="宋体"/>
                <w:color w:val="auto"/>
                <w:sz w:val="22"/>
                <w:highlight w:val="none"/>
                <w:lang w:val="zh-CN"/>
              </w:rPr>
            </w:pPr>
            <w:r>
              <w:rPr>
                <w:rFonts w:hint="eastAsia" w:ascii="宋体" w:hAnsi="宋体" w:cs="宋体"/>
                <w:b/>
                <w:bCs/>
                <w:snapToGrid w:val="0"/>
                <w:color w:val="auto"/>
                <w:sz w:val="22"/>
                <w:highlight w:val="none"/>
              </w:rPr>
              <w:t>2.标的名称：</w:t>
            </w:r>
            <w:r>
              <w:rPr>
                <w:rFonts w:hint="eastAsia" w:ascii="宋体" w:hAnsi="宋体" w:cs="宋体"/>
                <w:snapToGrid w:val="0"/>
                <w:color w:val="auto"/>
                <w:sz w:val="22"/>
                <w:highlight w:val="none"/>
              </w:rPr>
              <w:t>中文纸质图书</w:t>
            </w:r>
            <w:r>
              <w:rPr>
                <w:rFonts w:hint="eastAsia" w:ascii="宋体" w:hAnsi="宋体" w:cs="宋体"/>
                <w:snapToGrid w:val="0"/>
                <w:color w:val="auto"/>
                <w:sz w:val="22"/>
                <w:highlight w:val="none"/>
                <w:lang w:val="zh-CN"/>
              </w:rPr>
              <w:t>。</w:t>
            </w:r>
          </w:p>
        </w:tc>
      </w:tr>
      <w:tr>
        <w:tblPrEx>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21</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sz w:val="22"/>
                <w:highlight w:val="none"/>
              </w:rPr>
              <w:t>评标办法及评分标准</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auto"/>
                <w:sz w:val="22"/>
                <w:highlight w:val="none"/>
              </w:rPr>
            </w:pPr>
            <w:r>
              <w:rPr>
                <w:rFonts w:hint="eastAsia" w:ascii="宋体" w:hAnsi="宋体" w:cs="宋体"/>
                <w:color w:val="auto"/>
                <w:sz w:val="22"/>
                <w:highlight w:val="none"/>
              </w:rPr>
              <w:t>综合评分法，详见第六部分  评标原则及方法。</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22</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b/>
                <w:bCs/>
                <w:snapToGrid w:val="0"/>
                <w:color w:val="auto"/>
                <w:sz w:val="22"/>
                <w:highlight w:val="none"/>
              </w:rPr>
            </w:pPr>
            <w:r>
              <w:rPr>
                <w:rFonts w:hint="eastAsia" w:ascii="宋体" w:hAnsi="宋体" w:cs="宋体"/>
                <w:color w:val="auto"/>
                <w:sz w:val="22"/>
                <w:highlight w:val="none"/>
              </w:rPr>
              <w:t>中标公告及中标通知书</w:t>
            </w:r>
          </w:p>
        </w:tc>
        <w:tc>
          <w:tcPr>
            <w:tcW w:w="70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ind w:firstLine="31"/>
              <w:rPr>
                <w:rFonts w:ascii="宋体" w:hAnsi="宋体" w:cs="宋体"/>
                <w:b/>
                <w:bCs/>
                <w:color w:val="auto"/>
                <w:sz w:val="22"/>
                <w:highlight w:val="none"/>
                <w:lang w:val="zh-CN"/>
              </w:rPr>
            </w:pPr>
            <w:r>
              <w:rPr>
                <w:rFonts w:hint="eastAsia" w:ascii="宋体" w:hAnsi="宋体" w:cs="宋体"/>
                <w:color w:val="auto"/>
                <w:sz w:val="22"/>
                <w:highlight w:val="none"/>
              </w:rPr>
              <w:t>评标结束后中标公告发布于浙江政府采购网，并向中标人发出中标通知书。</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23</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sz w:val="22"/>
                <w:highlight w:val="none"/>
              </w:rPr>
              <w:t>合同签订</w:t>
            </w:r>
          </w:p>
        </w:tc>
        <w:tc>
          <w:tcPr>
            <w:tcW w:w="707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color w:val="auto"/>
                <w:kern w:val="0"/>
                <w:sz w:val="22"/>
                <w:highlight w:val="none"/>
              </w:rPr>
            </w:pPr>
            <w:r>
              <w:rPr>
                <w:rFonts w:hint="eastAsia" w:ascii="宋体" w:hAnsi="宋体" w:cs="宋体"/>
                <w:color w:val="auto"/>
                <w:kern w:val="0"/>
                <w:sz w:val="22"/>
                <w:highlight w:val="none"/>
              </w:rPr>
              <w:t>中标人须在中标通知书发出之日起30日历天内与采购人签订合同。</w:t>
            </w:r>
          </w:p>
          <w:p>
            <w:pPr>
              <w:spacing w:line="360" w:lineRule="exact"/>
              <w:rPr>
                <w:rFonts w:ascii="宋体" w:hAnsi="宋体" w:cs="宋体"/>
                <w:color w:val="auto"/>
                <w:sz w:val="22"/>
                <w:highlight w:val="none"/>
              </w:rPr>
            </w:pPr>
            <w:r>
              <w:rPr>
                <w:rFonts w:hint="eastAsia" w:ascii="宋体" w:hAnsi="宋体" w:cs="宋体"/>
                <w:color w:val="auto"/>
                <w:kern w:val="0"/>
                <w:sz w:val="22"/>
                <w:highlight w:val="none"/>
              </w:rPr>
              <w:t>中标人与采购人签订合同后，2日历天内将合同扫描件电子版发给采购代理机构：邮箱：</w:t>
            </w:r>
            <w:r>
              <w:rPr>
                <w:color w:val="auto"/>
                <w:highlight w:val="none"/>
              </w:rPr>
              <w:fldChar w:fldCharType="begin"/>
            </w:r>
            <w:r>
              <w:rPr>
                <w:color w:val="auto"/>
                <w:highlight w:val="none"/>
              </w:rPr>
              <w:instrText xml:space="preserve"> HYPERLINK "mailto:1322521566@qq.com。" </w:instrText>
            </w:r>
            <w:r>
              <w:rPr>
                <w:color w:val="auto"/>
                <w:highlight w:val="none"/>
              </w:rPr>
              <w:fldChar w:fldCharType="separate"/>
            </w:r>
            <w:r>
              <w:rPr>
                <w:rFonts w:hint="eastAsia" w:ascii="宋体" w:hAnsi="宋体" w:cs="宋体"/>
                <w:color w:val="auto"/>
                <w:kern w:val="0"/>
                <w:sz w:val="22"/>
                <w:highlight w:val="none"/>
              </w:rPr>
              <w:t>2812799762@qq.com。</w:t>
            </w:r>
            <w:r>
              <w:rPr>
                <w:rFonts w:hint="eastAsia" w:ascii="宋体" w:hAnsi="宋体" w:cs="宋体"/>
                <w:color w:val="auto"/>
                <w:kern w:val="0"/>
                <w:sz w:val="22"/>
                <w:highlight w:val="none"/>
              </w:rPr>
              <w:fldChar w:fldCharType="end"/>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24</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解释权</w:t>
            </w:r>
          </w:p>
        </w:tc>
        <w:tc>
          <w:tcPr>
            <w:tcW w:w="707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color w:val="auto"/>
                <w:sz w:val="22"/>
                <w:highlight w:val="none"/>
                <w:lang w:val="zh-CN"/>
              </w:rPr>
            </w:pPr>
            <w:r>
              <w:rPr>
                <w:rFonts w:hint="eastAsia" w:ascii="宋体" w:hAnsi="宋体" w:cs="宋体"/>
                <w:color w:val="auto"/>
                <w:sz w:val="22"/>
                <w:highlight w:val="none"/>
              </w:rPr>
              <w:t>构成本招标文件的各个组成文件应互为解释，互为说明；如有不明确或不一致，构成合同文件组成内容的，以合同文件约定内容为准，且以专用合同条款约定的合同文件优先顺序解释；仅适用于招标投标阶段的约定，按招标公告、投标人须知、评标办法、投标文件格式的先后顺序解释；同一文件中就同一事项的约定不一致的，以逻辑顺序在后者为准；同一文件不同版本之间有不一致的，以形成时间在后者为准。按本款前述约定仍不能形成结论的，由采购人或采购代理机构负责解释。</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25</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电子投标注意事项</w:t>
            </w:r>
          </w:p>
        </w:tc>
        <w:tc>
          <w:tcPr>
            <w:tcW w:w="7071" w:type="dxa"/>
            <w:tcBorders>
              <w:top w:val="single" w:color="auto" w:sz="4" w:space="0"/>
              <w:left w:val="single" w:color="auto" w:sz="4" w:space="0"/>
              <w:bottom w:val="single" w:color="auto" w:sz="4" w:space="0"/>
              <w:right w:val="single" w:color="auto" w:sz="4" w:space="0"/>
            </w:tcBorders>
            <w:vAlign w:val="center"/>
          </w:tcPr>
          <w:p>
            <w:pPr>
              <w:pStyle w:val="41"/>
              <w:numPr>
                <w:ilvl w:val="0"/>
                <w:numId w:val="3"/>
              </w:numPr>
              <w:spacing w:line="360" w:lineRule="exact"/>
              <w:rPr>
                <w:rFonts w:cs="宋体"/>
                <w:color w:val="auto"/>
                <w:sz w:val="22"/>
                <w:highlight w:val="none"/>
              </w:rPr>
            </w:pPr>
            <w:r>
              <w:rPr>
                <w:rFonts w:hint="eastAsia" w:cs="宋体"/>
                <w:color w:val="auto"/>
                <w:sz w:val="22"/>
                <w:highlight w:val="none"/>
              </w:rPr>
              <w:t>投标人必须先在政府采购云平台进行登记注册，相关事宜请参照（《供应商网上注册操作指南》“浙江政府采购网首页-办事指南-注册-投标人注册申请”），登录政府采购云平台后台依法进行网上自主下载。</w:t>
            </w:r>
          </w:p>
          <w:p>
            <w:pPr>
              <w:pStyle w:val="41"/>
              <w:numPr>
                <w:ilvl w:val="0"/>
                <w:numId w:val="3"/>
              </w:numPr>
              <w:spacing w:line="360" w:lineRule="exact"/>
              <w:rPr>
                <w:rFonts w:cs="宋体"/>
                <w:color w:val="auto"/>
                <w:sz w:val="22"/>
                <w:highlight w:val="none"/>
              </w:rPr>
            </w:pPr>
            <w:r>
              <w:rPr>
                <w:rFonts w:hint="eastAsia" w:cs="宋体"/>
                <w:color w:val="auto"/>
                <w:sz w:val="22"/>
                <w:highlight w:val="none"/>
              </w:rPr>
              <w:t>本项目实行电子投标，应按照本项目招标文件和政采云平台的要求编制、加密并递交投标文件。投标人在使用系统进行投标的过程中遇到涉及平台使用的任何问题，可致电政采云平台技术支持热线咨询，联系方式：400-881-7190。</w:t>
            </w:r>
          </w:p>
          <w:p>
            <w:pPr>
              <w:pStyle w:val="41"/>
              <w:numPr>
                <w:ilvl w:val="0"/>
                <w:numId w:val="3"/>
              </w:numPr>
              <w:spacing w:line="360" w:lineRule="exact"/>
              <w:rPr>
                <w:rFonts w:cs="宋体"/>
                <w:color w:val="auto"/>
                <w:sz w:val="22"/>
                <w:highlight w:val="none"/>
              </w:rPr>
            </w:pPr>
            <w:r>
              <w:rPr>
                <w:rFonts w:hint="eastAsia" w:cs="宋体"/>
                <w:color w:val="auto"/>
                <w:sz w:val="22"/>
                <w:highlight w:val="none"/>
              </w:rPr>
              <w:t>投标人应在开标前完成CA数字证书办理。完成CA数字证书办理预计一周左右，建议各投标人抓紧时间办理。【（目前“政采云”平台仅支持浙江汇信或天谷CA锁，个体工商户投标仅支持浙江汇信CA锁）申领操作流程”】。因未注册入库、未办理CA数字证书等原因造成无法投标或投标失败等后果由投标人自行承担。《CA驱动和申领流程》：zfcg.czt.zj.gov.cn/bidClientTemplate/2019-05-27/12945.html。《CA管理操作指南》：</w:t>
            </w:r>
            <w:r>
              <w:rPr>
                <w:color w:val="auto"/>
                <w:highlight w:val="none"/>
              </w:rPr>
              <w:fldChar w:fldCharType="begin"/>
            </w:r>
            <w:r>
              <w:rPr>
                <w:color w:val="auto"/>
                <w:highlight w:val="none"/>
              </w:rPr>
              <w:instrText xml:space="preserve"> HYPERLINK "https://service.zcygov.cn/" \l "/knowledges/cm2eqWwBFdiHxlNd_otq/lwV6GXABiyELHE-oVMj3?keyword。" </w:instrText>
            </w:r>
            <w:r>
              <w:rPr>
                <w:color w:val="auto"/>
                <w:highlight w:val="none"/>
              </w:rPr>
              <w:fldChar w:fldCharType="separate"/>
            </w:r>
            <w:r>
              <w:rPr>
                <w:rStyle w:val="35"/>
                <w:rFonts w:hint="eastAsia" w:cs="宋体"/>
                <w:color w:val="auto"/>
                <w:sz w:val="22"/>
                <w:highlight w:val="none"/>
              </w:rPr>
              <w:t>https://service.zcygov.cn/#/knowledges/cm2eqWwBFdiHxlNd_otq/lwV6GXABiyELHE-oVMj3?keyword。</w:t>
            </w:r>
            <w:r>
              <w:rPr>
                <w:rStyle w:val="35"/>
                <w:rFonts w:hint="eastAsia" w:cs="宋体"/>
                <w:color w:val="auto"/>
                <w:sz w:val="22"/>
                <w:highlight w:val="none"/>
              </w:rPr>
              <w:fldChar w:fldCharType="end"/>
            </w:r>
          </w:p>
          <w:p>
            <w:pPr>
              <w:pStyle w:val="41"/>
              <w:numPr>
                <w:ilvl w:val="0"/>
                <w:numId w:val="3"/>
              </w:numPr>
              <w:spacing w:line="360" w:lineRule="exact"/>
              <w:rPr>
                <w:rFonts w:cs="宋体"/>
                <w:color w:val="auto"/>
                <w:sz w:val="22"/>
                <w:highlight w:val="none"/>
                <w:lang w:val="en-US"/>
              </w:rPr>
            </w:pPr>
            <w:r>
              <w:rPr>
                <w:rFonts w:hint="eastAsia" w:cs="宋体"/>
                <w:color w:val="auto"/>
                <w:sz w:val="22"/>
                <w:highlight w:val="none"/>
              </w:rPr>
              <w:t>投标人通过政采云平台电子投标工具制作投标文件，电子投标工具请投标人自行前往浙江省政府采购网下载并安装，（电子交易客户端下载地址：zfcg.czt.zj.gov.cn/bidClientTemplate/2019-09-24/12975.html），电子投标操作指南详见：“https://edu.zcygov.cn/luban/e-biding”。</w:t>
            </w:r>
          </w:p>
          <w:p>
            <w:pPr>
              <w:pStyle w:val="41"/>
              <w:numPr>
                <w:ilvl w:val="0"/>
                <w:numId w:val="3"/>
              </w:numPr>
              <w:spacing w:line="360" w:lineRule="exact"/>
              <w:rPr>
                <w:rFonts w:cs="宋体"/>
                <w:b/>
                <w:color w:val="auto"/>
                <w:sz w:val="22"/>
                <w:highlight w:val="none"/>
                <w:lang w:val="en-US"/>
              </w:rPr>
            </w:pPr>
            <w:r>
              <w:rPr>
                <w:rFonts w:hint="eastAsia" w:cs="宋体"/>
                <w:color w:val="auto"/>
                <w:sz w:val="22"/>
                <w:highlight w:val="none"/>
              </w:rPr>
              <w:t>投标人可通过浙江省</w:t>
            </w:r>
            <w:r>
              <w:rPr>
                <w:rFonts w:hint="eastAsia" w:cs="宋体"/>
                <w:color w:val="auto"/>
                <w:sz w:val="22"/>
                <w:highlight w:val="none"/>
                <w:lang w:val="en-US"/>
              </w:rPr>
              <w:t>“</w:t>
            </w:r>
            <w:r>
              <w:rPr>
                <w:rFonts w:hint="eastAsia" w:cs="宋体"/>
                <w:color w:val="auto"/>
                <w:sz w:val="22"/>
                <w:highlight w:val="none"/>
              </w:rPr>
              <w:t>电子交易</w:t>
            </w:r>
            <w:r>
              <w:rPr>
                <w:rFonts w:hint="eastAsia" w:cs="宋体"/>
                <w:color w:val="auto"/>
                <w:sz w:val="22"/>
                <w:highlight w:val="none"/>
                <w:lang w:val="en-US"/>
              </w:rPr>
              <w:t>/</w:t>
            </w:r>
            <w:r>
              <w:rPr>
                <w:rFonts w:hint="eastAsia" w:cs="宋体"/>
                <w:color w:val="auto"/>
                <w:sz w:val="22"/>
                <w:highlight w:val="none"/>
              </w:rPr>
              <w:t>不见面开评标</w:t>
            </w:r>
            <w:r>
              <w:rPr>
                <w:rFonts w:hint="eastAsia" w:cs="宋体"/>
                <w:color w:val="auto"/>
                <w:sz w:val="22"/>
                <w:highlight w:val="none"/>
                <w:lang w:val="en-US"/>
              </w:rPr>
              <w:t>”</w:t>
            </w:r>
            <w:r>
              <w:rPr>
                <w:rFonts w:hint="eastAsia" w:cs="宋体"/>
                <w:color w:val="auto"/>
                <w:sz w:val="22"/>
                <w:highlight w:val="none"/>
              </w:rPr>
              <w:t>学习专题提前进行专题学习</w:t>
            </w:r>
            <w:r>
              <w:rPr>
                <w:rFonts w:hint="eastAsia" w:cs="宋体"/>
                <w:color w:val="auto"/>
                <w:sz w:val="22"/>
                <w:highlight w:val="none"/>
                <w:lang w:val="en-US"/>
              </w:rPr>
              <w:t>，</w:t>
            </w:r>
            <w:r>
              <w:rPr>
                <w:rFonts w:hint="eastAsia" w:cs="宋体"/>
                <w:color w:val="auto"/>
                <w:sz w:val="22"/>
                <w:highlight w:val="none"/>
              </w:rPr>
              <w:t>熟悉操作</w:t>
            </w:r>
            <w:r>
              <w:rPr>
                <w:rFonts w:hint="eastAsia" w:cs="宋体"/>
                <w:color w:val="auto"/>
                <w:sz w:val="22"/>
                <w:highlight w:val="none"/>
                <w:lang w:val="en-US"/>
              </w:rPr>
              <w:t>，</w:t>
            </w:r>
            <w:r>
              <w:rPr>
                <w:rFonts w:hint="eastAsia" w:cs="宋体"/>
                <w:color w:val="auto"/>
                <w:sz w:val="22"/>
                <w:highlight w:val="none"/>
              </w:rPr>
              <w:t>避免影响采购活动</w:t>
            </w:r>
            <w:r>
              <w:rPr>
                <w:rFonts w:hint="eastAsia" w:cs="宋体"/>
                <w:color w:val="auto"/>
                <w:sz w:val="22"/>
                <w:highlight w:val="none"/>
                <w:lang w:val="en-US"/>
              </w:rPr>
              <w:t>（https://edu.zcygov.cn/luban/e-biding）</w:t>
            </w:r>
            <w:r>
              <w:rPr>
                <w:rFonts w:hint="eastAsia" w:cs="宋体"/>
                <w:color w:val="auto"/>
                <w:sz w:val="22"/>
                <w:highlight w:val="none"/>
              </w:rPr>
              <w:t>。</w:t>
            </w:r>
            <w:r>
              <w:rPr>
                <w:rFonts w:hint="eastAsia" w:cs="宋体"/>
                <w:color w:val="auto"/>
                <w:sz w:val="22"/>
                <w:highlight w:val="none"/>
                <w:lang w:val="en-US"/>
              </w:rPr>
              <w:t> </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26</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其它</w:t>
            </w:r>
          </w:p>
        </w:tc>
        <w:tc>
          <w:tcPr>
            <w:tcW w:w="707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b/>
                <w:bCs/>
                <w:color w:val="auto"/>
                <w:sz w:val="22"/>
                <w:highlight w:val="none"/>
              </w:rPr>
            </w:pPr>
            <w:r>
              <w:rPr>
                <w:rFonts w:hint="eastAsia" w:ascii="宋体" w:hAnsi="宋体" w:cs="宋体"/>
                <w:b/>
                <w:bCs/>
                <w:color w:val="auto"/>
                <w:sz w:val="22"/>
                <w:highlight w:val="none"/>
              </w:rPr>
              <w:t>1.公开招标公告属于本招标文件的一部分</w:t>
            </w:r>
          </w:p>
          <w:p>
            <w:pPr>
              <w:spacing w:line="360" w:lineRule="exact"/>
              <w:rPr>
                <w:rFonts w:ascii="宋体" w:hAnsi="宋体" w:cs="宋体"/>
                <w:b/>
                <w:bCs/>
                <w:color w:val="auto"/>
                <w:sz w:val="22"/>
                <w:highlight w:val="none"/>
              </w:rPr>
            </w:pPr>
            <w:r>
              <w:rPr>
                <w:rFonts w:hint="eastAsia" w:ascii="宋体" w:hAnsi="宋体" w:cs="宋体"/>
                <w:b/>
                <w:bCs/>
                <w:color w:val="auto"/>
                <w:sz w:val="22"/>
                <w:highlight w:val="none"/>
              </w:rPr>
              <w:t>2.请务必确保投标文件制作客户端为最新版本，旧版本可能导致投标文件解密失败。</w:t>
            </w:r>
          </w:p>
          <w:p>
            <w:pPr>
              <w:spacing w:line="360" w:lineRule="exact"/>
              <w:rPr>
                <w:rFonts w:ascii="宋体" w:hAnsi="宋体" w:cs="宋体"/>
                <w:b/>
                <w:bCs/>
                <w:color w:val="auto"/>
                <w:sz w:val="22"/>
                <w:highlight w:val="none"/>
              </w:rPr>
            </w:pPr>
            <w:r>
              <w:rPr>
                <w:rFonts w:hint="eastAsia" w:ascii="宋体" w:hAnsi="宋体" w:cs="宋体"/>
                <w:b/>
                <w:bCs/>
                <w:color w:val="auto"/>
                <w:sz w:val="22"/>
                <w:highlight w:val="none"/>
              </w:rPr>
              <w:t>3.请务必确保投标文件制作时所用的 CA 锁与投标文件解密时的 CA 锁为同一把，否则可能导致投标文件解密失败。</w:t>
            </w:r>
          </w:p>
          <w:p>
            <w:pPr>
              <w:spacing w:line="360" w:lineRule="exact"/>
              <w:rPr>
                <w:rFonts w:ascii="宋体" w:hAnsi="宋体" w:cs="宋体"/>
                <w:b/>
                <w:bCs/>
                <w:color w:val="auto"/>
                <w:sz w:val="22"/>
                <w:highlight w:val="none"/>
              </w:rPr>
            </w:pPr>
            <w:r>
              <w:rPr>
                <w:rFonts w:hint="eastAsia" w:ascii="宋体" w:hAnsi="宋体" w:cs="宋体"/>
                <w:b/>
                <w:bCs/>
                <w:color w:val="auto"/>
                <w:sz w:val="22"/>
                <w:highlight w:val="none"/>
              </w:rPr>
              <w:t>4.在投标文件解密前，请务必检验 CA 锁与所用电脑的兼容性，部分电脑因 CA 驱动未正常安装、USB 接口兼容性差等原因可能造成投标文件解密失败。</w:t>
            </w:r>
          </w:p>
          <w:p>
            <w:pPr>
              <w:spacing w:line="360" w:lineRule="exact"/>
              <w:rPr>
                <w:rFonts w:ascii="宋体" w:hAnsi="宋体" w:cs="宋体"/>
                <w:b/>
                <w:bCs/>
                <w:color w:val="auto"/>
                <w:sz w:val="22"/>
                <w:highlight w:val="none"/>
              </w:rPr>
            </w:pPr>
            <w:r>
              <w:rPr>
                <w:rFonts w:hint="eastAsia" w:ascii="宋体" w:hAnsi="宋体" w:cs="宋体"/>
                <w:b/>
                <w:bCs/>
                <w:color w:val="auto"/>
                <w:sz w:val="22"/>
                <w:highlight w:val="none"/>
              </w:rPr>
              <w:t>5.投标人未按招标文件规定及提醒操作的，引起的一切后果由投标人自行负责。</w:t>
            </w:r>
          </w:p>
          <w:p>
            <w:pPr>
              <w:pStyle w:val="41"/>
              <w:spacing w:line="360" w:lineRule="exact"/>
              <w:rPr>
                <w:rFonts w:cs="宋体"/>
                <w:color w:val="auto"/>
                <w:sz w:val="22"/>
                <w:highlight w:val="none"/>
                <w:lang w:val="en-US"/>
              </w:rPr>
            </w:pPr>
            <w:r>
              <w:rPr>
                <w:rFonts w:hint="eastAsia" w:cs="宋体"/>
                <w:b/>
                <w:color w:val="auto"/>
                <w:sz w:val="22"/>
                <w:highlight w:val="none"/>
                <w:lang w:val="en-US"/>
              </w:rPr>
              <w:t>6.投标截止时间同</w:t>
            </w:r>
            <w:r>
              <w:rPr>
                <w:rStyle w:val="33"/>
                <w:rFonts w:hint="eastAsia" w:cs="宋体"/>
                <w:color w:val="auto"/>
                <w:sz w:val="22"/>
                <w:highlight w:val="none"/>
              </w:rPr>
              <w:t>提交投标文件截止时间。</w:t>
            </w:r>
          </w:p>
        </w:tc>
      </w:tr>
      <w:tr>
        <w:tblPrEx>
          <w:tblCellMar>
            <w:top w:w="0" w:type="dxa"/>
            <w:left w:w="108" w:type="dxa"/>
            <w:bottom w:w="0" w:type="dxa"/>
            <w:right w:w="108" w:type="dxa"/>
          </w:tblCellMar>
        </w:tblPrEx>
        <w:trPr>
          <w:trHeight w:val="283"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27</w:t>
            </w:r>
          </w:p>
        </w:tc>
        <w:tc>
          <w:tcPr>
            <w:tcW w:w="179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ascii="宋体" w:hAnsi="宋体" w:cs="宋体"/>
                <w:snapToGrid w:val="0"/>
                <w:color w:val="auto"/>
                <w:sz w:val="22"/>
                <w:highlight w:val="none"/>
              </w:rPr>
            </w:pPr>
            <w:r>
              <w:rPr>
                <w:rFonts w:hint="eastAsia" w:ascii="宋体" w:hAnsi="宋体" w:cs="宋体"/>
                <w:snapToGrid w:val="0"/>
                <w:color w:val="auto"/>
                <w:sz w:val="22"/>
                <w:highlight w:val="none"/>
              </w:rPr>
              <w:t>采购人补充</w:t>
            </w:r>
          </w:p>
        </w:tc>
        <w:tc>
          <w:tcPr>
            <w:tcW w:w="707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left"/>
              <w:rPr>
                <w:rFonts w:ascii="宋体" w:hAnsi="宋体" w:cs="宋体"/>
                <w:snapToGrid w:val="0"/>
                <w:color w:val="auto"/>
                <w:sz w:val="22"/>
                <w:highlight w:val="none"/>
              </w:rPr>
            </w:pPr>
            <w:r>
              <w:rPr>
                <w:rFonts w:hint="eastAsia" w:ascii="宋体" w:hAnsi="宋体" w:cs="宋体"/>
                <w:snapToGrid w:val="0"/>
                <w:color w:val="auto"/>
                <w:sz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bl>
    <w:p>
      <w:pPr>
        <w:spacing w:line="360" w:lineRule="exact"/>
        <w:jc w:val="center"/>
        <w:rPr>
          <w:rFonts w:ascii="宋体" w:hAnsi="宋体" w:cs="宋体"/>
          <w:b/>
          <w:color w:val="auto"/>
          <w:sz w:val="32"/>
          <w:highlight w:val="none"/>
        </w:rPr>
      </w:pPr>
    </w:p>
    <w:p>
      <w:pPr>
        <w:spacing w:line="400" w:lineRule="exact"/>
        <w:jc w:val="center"/>
        <w:outlineLvl w:val="0"/>
        <w:rPr>
          <w:rFonts w:ascii="宋体" w:hAnsi="宋体" w:cs="宋体"/>
          <w:b/>
          <w:color w:val="auto"/>
          <w:sz w:val="26"/>
          <w:highlight w:val="none"/>
        </w:rPr>
      </w:pPr>
    </w:p>
    <w:p>
      <w:pPr>
        <w:rPr>
          <w:rFonts w:ascii="宋体" w:hAnsi="宋体" w:cs="宋体"/>
          <w:b/>
          <w:color w:val="auto"/>
          <w:sz w:val="26"/>
          <w:highlight w:val="none"/>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pStyle w:val="41"/>
        <w:rPr>
          <w:rFonts w:cs="宋体"/>
          <w:b/>
          <w:color w:val="auto"/>
          <w:sz w:val="26"/>
          <w:highlight w:val="none"/>
          <w:lang w:val="en-US"/>
        </w:rPr>
      </w:pPr>
    </w:p>
    <w:p>
      <w:pPr>
        <w:spacing w:line="400" w:lineRule="exact"/>
        <w:jc w:val="center"/>
        <w:outlineLvl w:val="0"/>
        <w:rPr>
          <w:rFonts w:ascii="宋体" w:hAnsi="宋体" w:cs="宋体"/>
          <w:b/>
          <w:color w:val="auto"/>
          <w:sz w:val="26"/>
          <w:highlight w:val="none"/>
        </w:rPr>
      </w:pPr>
      <w:r>
        <w:rPr>
          <w:rFonts w:hint="eastAsia" w:ascii="宋体" w:hAnsi="宋体" w:cs="宋体"/>
          <w:b/>
          <w:color w:val="auto"/>
          <w:sz w:val="26"/>
          <w:highlight w:val="none"/>
        </w:rPr>
        <w:t>一、  说明</w:t>
      </w:r>
    </w:p>
    <w:p>
      <w:pPr>
        <w:tabs>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1.本次招标是按照《中华人民共和国政府采购法》、《政府采购货物和服务招标投标管理办法》等法律及有关法规组织和实施的。</w:t>
      </w:r>
    </w:p>
    <w:p>
      <w:pPr>
        <w:tabs>
          <w:tab w:val="left" w:pos="360"/>
        </w:tabs>
        <w:spacing w:line="360" w:lineRule="exact"/>
        <w:ind w:firstLine="440" w:firstLineChars="200"/>
        <w:rPr>
          <w:rFonts w:ascii="宋体" w:hAnsi="宋体" w:cs="宋体"/>
          <w:color w:val="auto"/>
          <w:kern w:val="0"/>
          <w:sz w:val="22"/>
          <w:highlight w:val="none"/>
          <w:lang w:val="zh-CN"/>
        </w:rPr>
      </w:pPr>
      <w:r>
        <w:rPr>
          <w:rFonts w:hint="eastAsia" w:ascii="宋体" w:hAnsi="宋体" w:cs="宋体"/>
          <w:color w:val="auto"/>
          <w:sz w:val="22"/>
          <w:highlight w:val="none"/>
        </w:rPr>
        <w:t>2.合格投标人</w:t>
      </w:r>
      <w:r>
        <w:rPr>
          <w:rFonts w:hint="eastAsia" w:ascii="宋体" w:hAnsi="宋体" w:cs="宋体"/>
          <w:color w:val="auto"/>
          <w:kern w:val="0"/>
          <w:sz w:val="22"/>
          <w:highlight w:val="none"/>
          <w:lang w:val="zh-CN"/>
        </w:rPr>
        <w:t>要求以招标公告及投标人须知前附表对投标人资格条件要求的表述为准。</w:t>
      </w:r>
    </w:p>
    <w:p>
      <w:pPr>
        <w:tabs>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kern w:val="0"/>
          <w:sz w:val="22"/>
          <w:highlight w:val="none"/>
        </w:rPr>
        <w:t>3.</w:t>
      </w:r>
      <w:r>
        <w:rPr>
          <w:rFonts w:hint="eastAsia" w:ascii="宋体" w:hAnsi="宋体" w:cs="宋体"/>
          <w:color w:val="auto"/>
          <w:sz w:val="22"/>
          <w:highlight w:val="none"/>
        </w:rPr>
        <w:t>投标人代表</w:t>
      </w:r>
    </w:p>
    <w:p>
      <w:pPr>
        <w:tabs>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指全权代表投标人参加投标活动并签署投标文件的人。投标人须携带有效身份证件。如投标人代表不是法定代表人，须有法定代表人授权委托书，投标人未参加开标的，视同认可开标结果。</w:t>
      </w:r>
    </w:p>
    <w:p>
      <w:pPr>
        <w:tabs>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4.投标费用</w:t>
      </w:r>
    </w:p>
    <w:p>
      <w:pPr>
        <w:tabs>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4.1投标人应承担所有与准备和参加投标有关费用，不论投标的结果如何，采购代理机构和采购人均无义务和责任承担这些费用。</w:t>
      </w:r>
    </w:p>
    <w:p>
      <w:pPr>
        <w:spacing w:line="360" w:lineRule="exact"/>
        <w:ind w:firstLine="440" w:firstLineChars="200"/>
        <w:jc w:val="left"/>
        <w:rPr>
          <w:rFonts w:ascii="宋体" w:hAnsi="宋体" w:cs="宋体"/>
          <w:color w:val="auto"/>
          <w:spacing w:val="-6"/>
          <w:sz w:val="22"/>
          <w:highlight w:val="none"/>
        </w:rPr>
      </w:pPr>
      <w:r>
        <w:rPr>
          <w:rFonts w:hint="eastAsia" w:ascii="宋体" w:hAnsi="宋体" w:cs="宋体"/>
          <w:color w:val="auto"/>
          <w:sz w:val="22"/>
          <w:highlight w:val="none"/>
        </w:rPr>
        <w:t>4.2中标人</w:t>
      </w:r>
      <w:r>
        <w:rPr>
          <w:rFonts w:hint="eastAsia" w:ascii="宋体" w:hAnsi="宋体" w:cs="宋体"/>
          <w:color w:val="auto"/>
          <w:spacing w:val="-6"/>
          <w:sz w:val="22"/>
          <w:highlight w:val="none"/>
        </w:rPr>
        <w:t>在收到中标通知书时向采购代理机构交纳采购代理服务费，收费标准（差额累进）：</w:t>
      </w:r>
    </w:p>
    <w:tbl>
      <w:tblPr>
        <w:tblStyle w:val="30"/>
        <w:tblW w:w="858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4006"/>
        <w:gridCol w:w="458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atLeast"/>
          <w:jc w:val="center"/>
        </w:trPr>
        <w:tc>
          <w:tcPr>
            <w:tcW w:w="4006" w:type="dxa"/>
            <w:tcMar>
              <w:top w:w="0" w:type="dxa"/>
              <w:left w:w="108" w:type="dxa"/>
              <w:bottom w:w="0" w:type="dxa"/>
              <w:right w:w="108" w:type="dxa"/>
            </w:tcMar>
            <w:vAlign w:val="center"/>
          </w:tcPr>
          <w:p>
            <w:pPr>
              <w:spacing w:line="360" w:lineRule="exact"/>
              <w:jc w:val="center"/>
              <w:rPr>
                <w:rFonts w:ascii="宋体" w:hAnsi="宋体" w:cs="宋体"/>
                <w:b/>
                <w:bCs/>
                <w:color w:val="auto"/>
                <w:sz w:val="22"/>
                <w:highlight w:val="none"/>
              </w:rPr>
            </w:pPr>
            <w:r>
              <w:rPr>
                <w:rFonts w:hint="eastAsia" w:ascii="宋体" w:hAnsi="宋体" w:cs="宋体"/>
                <w:b/>
                <w:bCs/>
                <w:color w:val="auto"/>
                <w:sz w:val="22"/>
                <w:highlight w:val="none"/>
              </w:rPr>
              <w:t>中标金额（万元）</w:t>
            </w:r>
          </w:p>
        </w:tc>
        <w:tc>
          <w:tcPr>
            <w:tcW w:w="4581" w:type="dxa"/>
            <w:tcMar>
              <w:top w:w="0" w:type="dxa"/>
              <w:left w:w="108" w:type="dxa"/>
              <w:bottom w:w="0" w:type="dxa"/>
              <w:right w:w="108" w:type="dxa"/>
            </w:tcMar>
            <w:vAlign w:val="center"/>
          </w:tcPr>
          <w:p>
            <w:pPr>
              <w:spacing w:line="360" w:lineRule="exact"/>
              <w:jc w:val="center"/>
              <w:rPr>
                <w:rFonts w:ascii="宋体" w:hAnsi="宋体" w:cs="宋体"/>
                <w:b/>
                <w:bCs/>
                <w:color w:val="auto"/>
                <w:sz w:val="22"/>
                <w:highlight w:val="none"/>
              </w:rPr>
            </w:pPr>
            <w:r>
              <w:rPr>
                <w:rFonts w:hint="eastAsia" w:ascii="宋体" w:hAnsi="宋体" w:cs="宋体"/>
                <w:b/>
                <w:bCs/>
                <w:color w:val="auto"/>
                <w:sz w:val="22"/>
                <w:highlight w:val="none"/>
              </w:rPr>
              <w:t>收费标准（费率，%）</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atLeast"/>
          <w:jc w:val="center"/>
        </w:trPr>
        <w:tc>
          <w:tcPr>
            <w:tcW w:w="4006" w:type="dxa"/>
            <w:tcMar>
              <w:top w:w="0" w:type="dxa"/>
              <w:left w:w="108" w:type="dxa"/>
              <w:bottom w:w="0" w:type="dxa"/>
              <w:right w:w="108" w:type="dxa"/>
            </w:tcMar>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100以下</w:t>
            </w:r>
          </w:p>
        </w:tc>
        <w:tc>
          <w:tcPr>
            <w:tcW w:w="4581" w:type="dxa"/>
            <w:tcMar>
              <w:top w:w="0" w:type="dxa"/>
              <w:left w:w="108" w:type="dxa"/>
              <w:bottom w:w="0" w:type="dxa"/>
              <w:right w:w="108" w:type="dxa"/>
            </w:tcMar>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1.2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atLeast"/>
          <w:jc w:val="center"/>
        </w:trPr>
        <w:tc>
          <w:tcPr>
            <w:tcW w:w="4006" w:type="dxa"/>
            <w:tcMar>
              <w:top w:w="0" w:type="dxa"/>
              <w:left w:w="108" w:type="dxa"/>
              <w:bottom w:w="0" w:type="dxa"/>
              <w:right w:w="108" w:type="dxa"/>
            </w:tcMar>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100-500</w:t>
            </w:r>
          </w:p>
        </w:tc>
        <w:tc>
          <w:tcPr>
            <w:tcW w:w="4581" w:type="dxa"/>
            <w:tcMar>
              <w:top w:w="0" w:type="dxa"/>
              <w:left w:w="108" w:type="dxa"/>
              <w:bottom w:w="0" w:type="dxa"/>
              <w:right w:w="108" w:type="dxa"/>
            </w:tcMar>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0.88</w:t>
            </w:r>
          </w:p>
        </w:tc>
      </w:tr>
    </w:tbl>
    <w:p>
      <w:pPr>
        <w:tabs>
          <w:tab w:val="left" w:pos="-180"/>
          <w:tab w:val="left" w:pos="180"/>
          <w:tab w:val="left" w:pos="360"/>
        </w:tabs>
        <w:spacing w:line="360" w:lineRule="exact"/>
        <w:ind w:firstLine="442" w:firstLineChars="200"/>
        <w:rPr>
          <w:rFonts w:ascii="宋体" w:hAnsi="宋体" w:cs="宋体"/>
          <w:color w:val="auto"/>
          <w:sz w:val="22"/>
          <w:highlight w:val="none"/>
        </w:rPr>
      </w:pPr>
      <w:r>
        <w:rPr>
          <w:rFonts w:hint="eastAsia" w:ascii="宋体" w:hAnsi="宋体" w:cs="宋体"/>
          <w:b/>
          <w:bCs/>
          <w:color w:val="auto"/>
          <w:sz w:val="22"/>
          <w:highlight w:val="none"/>
        </w:rPr>
        <w:t>请各投标人将采购代理服务费包含在投标总报价中。</w:t>
      </w:r>
      <w:r>
        <w:rPr>
          <w:rFonts w:hint="eastAsia" w:ascii="宋体" w:hAnsi="宋体" w:cs="宋体"/>
          <w:color w:val="auto"/>
          <w:sz w:val="22"/>
          <w:highlight w:val="none"/>
        </w:rPr>
        <w:t>采购代理服务费可以是现金、支票或汇票。</w:t>
      </w:r>
    </w:p>
    <w:p>
      <w:pPr>
        <w:tabs>
          <w:tab w:val="left" w:pos="360"/>
        </w:tabs>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5.信用记录：</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根据财库[2016]125号《关于在政府采购活动中查询及使用信用记录有关问题的通知》要求，采购代理机构会对投标人信用记录进行查询并甄别。</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5.1.</w:t>
      </w:r>
      <w:r>
        <w:rPr>
          <w:rFonts w:hint="eastAsia" w:ascii="宋体" w:hAnsi="宋体" w:cs="宋体"/>
          <w:b/>
          <w:bCs/>
          <w:snapToGrid w:val="0"/>
          <w:color w:val="auto"/>
          <w:sz w:val="22"/>
          <w:highlight w:val="none"/>
        </w:rPr>
        <w:t>信用信息查询的截止时点为从本项目投标截止日往前追溯三年</w:t>
      </w:r>
      <w:r>
        <w:rPr>
          <w:rFonts w:hint="eastAsia" w:ascii="宋体" w:hAnsi="宋体" w:cs="宋体"/>
          <w:b/>
          <w:bCs/>
          <w:color w:val="auto"/>
          <w:spacing w:val="6"/>
          <w:sz w:val="22"/>
          <w:highlight w:val="none"/>
        </w:rPr>
        <w:t>；</w:t>
      </w:r>
    </w:p>
    <w:p>
      <w:pPr>
        <w:tabs>
          <w:tab w:val="left" w:pos="360"/>
        </w:tabs>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5.2.查询渠道：“信用中国（</w:t>
      </w:r>
      <w:r>
        <w:rPr>
          <w:color w:val="auto"/>
          <w:highlight w:val="none"/>
        </w:rPr>
        <w:fldChar w:fldCharType="begin"/>
      </w:r>
      <w:r>
        <w:rPr>
          <w:color w:val="auto"/>
          <w:highlight w:val="none"/>
        </w:rPr>
        <w:instrText xml:space="preserve"> HYPERLINK "https://www.creditchina.gov.cn/" </w:instrText>
      </w:r>
      <w:r>
        <w:rPr>
          <w:color w:val="auto"/>
          <w:highlight w:val="none"/>
        </w:rPr>
        <w:fldChar w:fldCharType="separate"/>
      </w:r>
      <w:r>
        <w:rPr>
          <w:rFonts w:hint="eastAsia" w:ascii="宋体" w:hAnsi="宋体" w:cs="宋体"/>
          <w:b/>
          <w:bCs/>
          <w:color w:val="auto"/>
          <w:spacing w:val="6"/>
          <w:sz w:val="22"/>
          <w:highlight w:val="none"/>
        </w:rPr>
        <w:t>https://www.creditchina.gov.cn</w:t>
      </w:r>
      <w:r>
        <w:rPr>
          <w:rFonts w:hint="eastAsia" w:ascii="宋体" w:hAnsi="宋体" w:cs="宋体"/>
          <w:b/>
          <w:bCs/>
          <w:color w:val="auto"/>
          <w:spacing w:val="6"/>
          <w:sz w:val="22"/>
          <w:highlight w:val="none"/>
        </w:rPr>
        <w:fldChar w:fldCharType="end"/>
      </w:r>
      <w:r>
        <w:rPr>
          <w:rFonts w:hint="eastAsia" w:ascii="宋体" w:hAnsi="宋体" w:cs="宋体"/>
          <w:b/>
          <w:bCs/>
          <w:color w:val="auto"/>
          <w:spacing w:val="6"/>
          <w:sz w:val="22"/>
          <w:highlight w:val="none"/>
        </w:rPr>
        <w:t>）”、“中国政府采购网（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Fonts w:hint="eastAsia" w:ascii="宋体" w:hAnsi="宋体" w:cs="宋体"/>
          <w:b/>
          <w:bCs/>
          <w:color w:val="auto"/>
          <w:spacing w:val="6"/>
          <w:sz w:val="22"/>
          <w:highlight w:val="none"/>
        </w:rPr>
        <w:t>http://www.ccgp.gov.cn</w:t>
      </w:r>
      <w:r>
        <w:rPr>
          <w:rFonts w:hint="eastAsia" w:ascii="宋体" w:hAnsi="宋体" w:cs="宋体"/>
          <w:b/>
          <w:bCs/>
          <w:color w:val="auto"/>
          <w:spacing w:val="6"/>
          <w:sz w:val="22"/>
          <w:highlight w:val="none"/>
        </w:rPr>
        <w:fldChar w:fldCharType="end"/>
      </w:r>
      <w:r>
        <w:rPr>
          <w:rFonts w:hint="eastAsia" w:ascii="宋体" w:hAnsi="宋体" w:cs="宋体"/>
          <w:b/>
          <w:bCs/>
          <w:color w:val="auto"/>
          <w:spacing w:val="6"/>
          <w:sz w:val="22"/>
          <w:highlight w:val="none"/>
        </w:rPr>
        <w:t>）”</w:t>
      </w:r>
      <w:r>
        <w:rPr>
          <w:rFonts w:hint="eastAsia" w:ascii="宋体" w:hAnsi="宋体" w:cs="宋体"/>
          <w:color w:val="auto"/>
          <w:sz w:val="22"/>
          <w:highlight w:val="none"/>
        </w:rPr>
        <w:t>；</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5.3.信用信息查询记录和证据留存具体方式：采购代理机构经办人或监督人员将查询网页打印与其他招标文件一并保存；</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5.4.信用信息的使用规则：投标人存在不良信用记录的，其投标将被作为投标无效被拒绝；</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不良信用记录指：被列入失信被执行人、重大税收违法案件当事人名单、政府采购严重违法失信行为记录名单。</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kern w:val="0"/>
          <w:sz w:val="22"/>
          <w:highlight w:val="none"/>
        </w:rPr>
        <w:t>联合体信用信息查询：联合体以一个投标人的身份共同参加政府采购活动的，应当对所有联合体成员进行信用记录查询，联合体成员存在不良信用记录的，视同联合体存在不良信用记录</w:t>
      </w:r>
      <w:r>
        <w:rPr>
          <w:rFonts w:hint="eastAsia" w:ascii="宋体" w:hAnsi="宋体" w:cs="宋体"/>
          <w:b/>
          <w:bCs/>
          <w:color w:val="auto"/>
          <w:sz w:val="22"/>
          <w:highlight w:val="none"/>
        </w:rPr>
        <w:t>。</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6.特别说明：</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6.1投标人应仔细阅读招标文件的所有内容，按照招标文件的要求提交投标文件，并对所提供的全部资料的真实性承担法律责任。</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6.2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6.3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非单一产品采购项目，采购人应当根据采购项目技术构成、产品价格比重等合理确定核心产品，并在招标文件中载明。多家投标人提供的核心产品品牌相同的，按前两款规定处理。</w:t>
      </w:r>
    </w:p>
    <w:p>
      <w:pPr>
        <w:spacing w:line="360" w:lineRule="exact"/>
        <w:ind w:firstLine="466" w:firstLineChars="200"/>
        <w:rPr>
          <w:rFonts w:ascii="宋体" w:hAnsi="宋体" w:cs="宋体"/>
          <w:b/>
          <w:bCs/>
          <w:color w:val="auto"/>
          <w:spacing w:val="6"/>
          <w:sz w:val="22"/>
          <w:highlight w:val="none"/>
        </w:rPr>
      </w:pPr>
      <w:r>
        <w:rPr>
          <w:rFonts w:hint="eastAsia" w:ascii="宋体" w:hAnsi="宋体" w:cs="宋体"/>
          <w:b/>
          <w:bCs/>
          <w:color w:val="auto"/>
          <w:spacing w:val="6"/>
          <w:sz w:val="22"/>
          <w:highlight w:val="none"/>
        </w:rPr>
        <w:t>6.4投标人在投标活动中提供任何虚假材料，其投标无效，并报监管部门查处；中标后发现的，中标人须依照《中华人民共和国消费者权益保护法》第55条之规定三倍赔偿采购人，且民事赔偿并不免除违法投标人的行政与刑事责任。</w:t>
      </w:r>
    </w:p>
    <w:p>
      <w:pPr>
        <w:spacing w:line="360" w:lineRule="exact"/>
        <w:ind w:firstLine="418" w:firstLineChars="200"/>
        <w:rPr>
          <w:rFonts w:ascii="宋体" w:hAnsi="宋体" w:cs="宋体"/>
          <w:b/>
          <w:color w:val="auto"/>
          <w:sz w:val="22"/>
          <w:highlight w:val="none"/>
        </w:rPr>
      </w:pPr>
      <w:r>
        <w:rPr>
          <w:rFonts w:hint="eastAsia" w:ascii="宋体" w:hAnsi="宋体" w:cs="宋体"/>
          <w:b/>
          <w:color w:val="auto"/>
          <w:spacing w:val="-6"/>
          <w:kern w:val="0"/>
          <w:sz w:val="22"/>
          <w:highlight w:val="none"/>
        </w:rPr>
        <w:t>7.4</w:t>
      </w:r>
      <w:r>
        <w:rPr>
          <w:rFonts w:hint="eastAsia" w:ascii="宋体" w:hAnsi="宋体" w:cs="宋体"/>
          <w:b/>
          <w:color w:val="auto"/>
          <w:sz w:val="22"/>
          <w:highlight w:val="none"/>
        </w:rPr>
        <w:t>.采购项目需要落实的政府采购政策</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7.4.1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7.4.2 支持绿色发展</w:t>
      </w:r>
    </w:p>
    <w:p>
      <w:pPr>
        <w:snapToGrid w:val="0"/>
        <w:spacing w:line="360" w:lineRule="exact"/>
        <w:ind w:firstLine="442" w:firstLineChars="201"/>
        <w:rPr>
          <w:rFonts w:ascii="宋体" w:hAnsi="宋体" w:cs="宋体"/>
          <w:b/>
          <w:color w:val="auto"/>
          <w:sz w:val="22"/>
          <w:highlight w:val="none"/>
        </w:rPr>
      </w:pPr>
      <w:r>
        <w:rPr>
          <w:rFonts w:hint="eastAsia" w:ascii="宋体" w:hAnsi="宋体" w:cs="宋体"/>
          <w:color w:val="auto"/>
          <w:sz w:val="22"/>
          <w:highlight w:val="none"/>
        </w:rPr>
        <w:t>7.4.2.1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color w:val="auto"/>
          <w:sz w:val="22"/>
          <w:highlight w:val="none"/>
          <w:u w:val="single"/>
        </w:rPr>
        <w:t>▲采购人拟采购的产品属于政府强制采购的节能产品品目清单范围的，投标人未按招标文件要求提供国家确定的认证机构出具的、处于有效期之内的节能产品认证证书的，投标无效。</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7.4.2.2 为助力打好污染防治攻坚战，推广使用绿色包装，政府采购货物、工程和服务项目中涉及商品包装和快递包装的，投标人提供产品及相关快递服务的具体包装要求要参考《商品包装政府采购需求标准（试行）》、《快递包装政府采购需求标准（试行）》。</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7.4.3支持中小企业发展</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7.4.3.1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符合中小企业划分标准的个体工商户，在政府采购活动中视同中小企业。</w:t>
      </w:r>
    </w:p>
    <w:p>
      <w:pPr>
        <w:widowControl/>
        <w:snapToGrid w:val="0"/>
        <w:spacing w:line="360" w:lineRule="exact"/>
        <w:ind w:firstLine="442" w:firstLineChars="201"/>
        <w:jc w:val="left"/>
        <w:rPr>
          <w:rFonts w:ascii="宋体" w:hAnsi="宋体" w:cs="宋体"/>
          <w:color w:val="auto"/>
          <w:kern w:val="0"/>
          <w:sz w:val="22"/>
          <w:highlight w:val="none"/>
        </w:rPr>
      </w:pPr>
      <w:r>
        <w:rPr>
          <w:rFonts w:hint="eastAsia" w:ascii="宋体" w:hAnsi="宋体" w:cs="宋体"/>
          <w:bCs/>
          <w:color w:val="auto"/>
          <w:sz w:val="22"/>
          <w:highlight w:val="none"/>
        </w:rPr>
        <w:t>7.4.3.2</w:t>
      </w:r>
      <w:r>
        <w:rPr>
          <w:rFonts w:hint="eastAsia" w:ascii="宋体" w:hAnsi="宋体" w:cs="宋体"/>
          <w:color w:val="auto"/>
          <w:kern w:val="0"/>
          <w:sz w:val="22"/>
          <w:highlight w:val="none"/>
        </w:rPr>
        <w:t>在政府采购活动中，投标人提供的货物、工程或者服务符合下列情形的，享受中小企业扶持政策：</w:t>
      </w:r>
    </w:p>
    <w:p>
      <w:pPr>
        <w:widowControl/>
        <w:snapToGrid w:val="0"/>
        <w:spacing w:line="360" w:lineRule="exact"/>
        <w:ind w:firstLine="442" w:firstLineChars="201"/>
        <w:jc w:val="left"/>
        <w:rPr>
          <w:rFonts w:ascii="宋体" w:hAnsi="宋体" w:cs="宋体"/>
          <w:color w:val="auto"/>
          <w:kern w:val="0"/>
          <w:sz w:val="22"/>
          <w:highlight w:val="none"/>
        </w:rPr>
      </w:pPr>
      <w:r>
        <w:rPr>
          <w:rFonts w:hint="eastAsia" w:ascii="宋体" w:hAnsi="宋体" w:cs="宋体"/>
          <w:color w:val="auto"/>
          <w:kern w:val="0"/>
          <w:sz w:val="22"/>
          <w:highlight w:val="none"/>
        </w:rPr>
        <w:t>7.4.3.2.1在货物采购项目中，货物由中小企业制造，即货物由中小企业生产且使用该中小企业商号或者注册商标；</w:t>
      </w:r>
    </w:p>
    <w:p>
      <w:pPr>
        <w:widowControl/>
        <w:snapToGrid w:val="0"/>
        <w:spacing w:line="360" w:lineRule="exact"/>
        <w:ind w:firstLine="442" w:firstLineChars="201"/>
        <w:jc w:val="left"/>
        <w:rPr>
          <w:rFonts w:ascii="宋体" w:hAnsi="宋体" w:cs="宋体"/>
          <w:color w:val="auto"/>
          <w:kern w:val="0"/>
          <w:sz w:val="22"/>
          <w:highlight w:val="none"/>
        </w:rPr>
      </w:pPr>
      <w:r>
        <w:rPr>
          <w:rFonts w:hint="eastAsia" w:ascii="宋体" w:hAnsi="宋体" w:cs="宋体"/>
          <w:color w:val="auto"/>
          <w:kern w:val="0"/>
          <w:sz w:val="22"/>
          <w:highlight w:val="none"/>
        </w:rPr>
        <w:t>7.4.3.2.2在工程采购项目中，工程由中小企业承建，即工程施工单位为中小企业；</w:t>
      </w:r>
    </w:p>
    <w:p>
      <w:pPr>
        <w:widowControl/>
        <w:snapToGrid w:val="0"/>
        <w:spacing w:line="360" w:lineRule="exact"/>
        <w:ind w:firstLine="442" w:firstLineChars="201"/>
        <w:jc w:val="left"/>
        <w:rPr>
          <w:rFonts w:ascii="宋体" w:hAnsi="宋体" w:cs="宋体"/>
          <w:color w:val="auto"/>
          <w:kern w:val="0"/>
          <w:sz w:val="22"/>
          <w:highlight w:val="none"/>
        </w:rPr>
      </w:pPr>
      <w:r>
        <w:rPr>
          <w:rFonts w:hint="eastAsia" w:ascii="宋体" w:hAnsi="宋体" w:cs="宋体"/>
          <w:color w:val="auto"/>
          <w:kern w:val="0"/>
          <w:sz w:val="22"/>
          <w:highlight w:val="none"/>
        </w:rPr>
        <w:t>7.4.3.2.3在服务采购项目中，服务由中小企业承接，即提供服务的人员为中小企业依照《中华人民共和国劳动合同法》订立劳动合同的从业人员。</w:t>
      </w:r>
    </w:p>
    <w:p>
      <w:pPr>
        <w:widowControl/>
        <w:snapToGrid w:val="0"/>
        <w:spacing w:line="360" w:lineRule="exact"/>
        <w:ind w:firstLine="442" w:firstLineChars="201"/>
        <w:jc w:val="left"/>
        <w:rPr>
          <w:rFonts w:ascii="宋体" w:hAnsi="宋体" w:cs="宋体"/>
          <w:color w:val="auto"/>
          <w:kern w:val="0"/>
          <w:sz w:val="22"/>
          <w:highlight w:val="none"/>
        </w:rPr>
      </w:pPr>
      <w:r>
        <w:rPr>
          <w:rFonts w:hint="eastAsia" w:ascii="宋体" w:hAnsi="宋体" w:cs="宋体"/>
          <w:color w:val="auto"/>
          <w:kern w:val="0"/>
          <w:sz w:val="22"/>
          <w:highlight w:val="none"/>
        </w:rPr>
        <w:t>在货物采购项目中，投标人提供的货物既有中小企业制造货物，也有大型企业制造货物的，不享受中小企业扶持政策。</w:t>
      </w:r>
    </w:p>
    <w:p>
      <w:pPr>
        <w:widowControl/>
        <w:snapToGrid w:val="0"/>
        <w:spacing w:line="360" w:lineRule="exact"/>
        <w:ind w:firstLine="442" w:firstLineChars="201"/>
        <w:jc w:val="left"/>
        <w:rPr>
          <w:rFonts w:ascii="宋体" w:hAnsi="宋体" w:cs="宋体"/>
          <w:color w:val="auto"/>
          <w:kern w:val="0"/>
          <w:sz w:val="22"/>
          <w:highlight w:val="none"/>
        </w:rPr>
      </w:pPr>
      <w:r>
        <w:rPr>
          <w:rFonts w:hint="eastAsia" w:ascii="宋体" w:hAnsi="宋体" w:cs="宋体"/>
          <w:color w:val="auto"/>
          <w:kern w:val="0"/>
          <w:sz w:val="22"/>
          <w:highlight w:val="none"/>
        </w:rPr>
        <w:t>以联合体形式参加政府采购活动，联合体各方均为中小企业的，联合体视同中小企业。其中，联合体各方均为小微企业的，联合体视同小微企业。</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7.4.3.3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7.4.3.4符合《关于促进残疾人就业政府采购政策的通知》（财库〔2017〕141号）规定的条件并提供《残疾人福利性单位声明函》（附件）的残疾人福利性单位视同小型、微型企业；</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7.4.3.5符合《关于政府采购支持监狱企业发展有关问题的通知》（财库[2014]68号）规定的监狱企业并提供由省级以上监狱管理局、戒毒管理局（含新疆生产建设兵团）出具的属于监狱企业证明文件的，视同为小型、微型企业。</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7.4.3.6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napToGrid w:val="0"/>
        <w:spacing w:line="360" w:lineRule="exact"/>
        <w:ind w:firstLine="442" w:firstLineChars="201"/>
        <w:rPr>
          <w:rFonts w:ascii="宋体" w:hAnsi="宋体" w:cs="宋体"/>
          <w:b/>
          <w:color w:val="auto"/>
          <w:sz w:val="26"/>
          <w:highlight w:val="none"/>
        </w:rPr>
      </w:pPr>
      <w:r>
        <w:rPr>
          <w:rFonts w:hint="eastAsia" w:ascii="宋体" w:hAnsi="宋体" w:cs="宋体"/>
          <w:color w:val="auto"/>
          <w:sz w:val="22"/>
          <w:highlight w:val="none"/>
        </w:rPr>
        <w:t>7.4.3.7中小企业享受扶持政策获得政府采购合同的，小微企业不得将合同分包给大中型企业，中型企业不得将合同分包给大型企业。</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7.4.4</w:t>
      </w:r>
      <w:r>
        <w:rPr>
          <w:rFonts w:hint="eastAsia" w:ascii="宋体" w:hAnsi="宋体" w:cs="宋体"/>
          <w:bCs/>
          <w:color w:val="auto"/>
          <w:sz w:val="22"/>
          <w:highlight w:val="none"/>
        </w:rPr>
        <w:t>支持创新发展</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w:t>
      </w:r>
      <w:r>
        <w:rPr>
          <w:rFonts w:ascii="宋体" w:hAnsi="宋体" w:cs="宋体"/>
          <w:color w:val="auto"/>
          <w:sz w:val="22"/>
          <w:highlight w:val="none"/>
        </w:rPr>
        <w:t>.4</w:t>
      </w:r>
      <w:r>
        <w:rPr>
          <w:rFonts w:hint="eastAsia" w:ascii="宋体" w:hAnsi="宋体" w:cs="宋体"/>
          <w:color w:val="auto"/>
          <w:sz w:val="22"/>
          <w:highlight w:val="none"/>
        </w:rPr>
        <w:t>.4</w:t>
      </w:r>
      <w:r>
        <w:rPr>
          <w:rFonts w:ascii="宋体" w:hAnsi="宋体" w:cs="宋体"/>
          <w:color w:val="auto"/>
          <w:sz w:val="22"/>
          <w:highlight w:val="none"/>
        </w:rPr>
        <w:t>.1采购人优先采购被认定为首台套产品和“制造精品”的自主创新产品。</w:t>
      </w:r>
    </w:p>
    <w:p>
      <w:pPr>
        <w:snapToGrid w:val="0"/>
        <w:spacing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7</w:t>
      </w:r>
      <w:r>
        <w:rPr>
          <w:rFonts w:ascii="宋体" w:hAnsi="宋体" w:cs="宋体"/>
          <w:color w:val="auto"/>
          <w:sz w:val="22"/>
          <w:highlight w:val="none"/>
        </w:rPr>
        <w:t>.4</w:t>
      </w:r>
      <w:r>
        <w:rPr>
          <w:rFonts w:hint="eastAsia" w:ascii="宋体" w:hAnsi="宋体" w:cs="宋体"/>
          <w:color w:val="auto"/>
          <w:sz w:val="22"/>
          <w:highlight w:val="none"/>
        </w:rPr>
        <w:t>.4</w:t>
      </w:r>
      <w:r>
        <w:rPr>
          <w:rFonts w:ascii="宋体" w:hAnsi="宋体" w:cs="宋体"/>
          <w:color w:val="auto"/>
          <w:sz w:val="22"/>
          <w:highlight w:val="none"/>
        </w:rPr>
        <w:t>.2贯彻落实对首台套产品、符合条件的制造精品的政府首购制度。优先推荐专精特新中小企业、创新产品参加政府采购活动。对省级以上主管部门认定的首台套产品，自纳入《省推广应用指导目录》起三年内参加政府采购活动，视同已具备相应销售业绩，业绩分为满分</w:t>
      </w:r>
      <w:r>
        <w:rPr>
          <w:rFonts w:hint="eastAsia" w:ascii="宋体" w:hAnsi="宋体" w:cs="宋体"/>
          <w:color w:val="auto"/>
          <w:sz w:val="22"/>
          <w:highlight w:val="none"/>
        </w:rPr>
        <w:t>。</w:t>
      </w:r>
    </w:p>
    <w:p>
      <w:pPr>
        <w:spacing w:line="400" w:lineRule="exact"/>
        <w:ind w:firstLine="522" w:firstLineChars="200"/>
        <w:jc w:val="center"/>
        <w:rPr>
          <w:rFonts w:ascii="宋体" w:hAnsi="宋体" w:cs="宋体"/>
          <w:b/>
          <w:color w:val="auto"/>
          <w:sz w:val="26"/>
          <w:highlight w:val="none"/>
        </w:rPr>
      </w:pPr>
      <w:r>
        <w:rPr>
          <w:rFonts w:hint="eastAsia" w:ascii="宋体" w:hAnsi="宋体" w:cs="宋体"/>
          <w:b/>
          <w:color w:val="auto"/>
          <w:sz w:val="26"/>
          <w:highlight w:val="none"/>
        </w:rPr>
        <w:t>二、招标文件</w:t>
      </w:r>
    </w:p>
    <w:p>
      <w:pPr>
        <w:spacing w:line="360" w:lineRule="exact"/>
        <w:ind w:firstLine="440" w:firstLineChars="200"/>
        <w:outlineLvl w:val="0"/>
        <w:rPr>
          <w:rFonts w:ascii="宋体" w:hAnsi="宋体" w:cs="宋体"/>
          <w:color w:val="auto"/>
          <w:sz w:val="22"/>
          <w:highlight w:val="none"/>
        </w:rPr>
      </w:pPr>
      <w:r>
        <w:rPr>
          <w:rFonts w:hint="eastAsia" w:ascii="宋体" w:hAnsi="宋体" w:cs="宋体"/>
          <w:color w:val="auto"/>
          <w:sz w:val="22"/>
          <w:highlight w:val="none"/>
        </w:rPr>
        <w:t>1.招标文件由招标文件目录所列内容及相关资料组成。</w:t>
      </w:r>
    </w:p>
    <w:p>
      <w:pPr>
        <w:spacing w:line="360" w:lineRule="exact"/>
        <w:ind w:firstLine="440" w:firstLineChars="200"/>
        <w:outlineLvl w:val="0"/>
        <w:rPr>
          <w:rFonts w:ascii="宋体" w:hAnsi="宋体" w:cs="宋体"/>
          <w:color w:val="auto"/>
          <w:sz w:val="22"/>
          <w:highlight w:val="none"/>
        </w:rPr>
      </w:pPr>
      <w:r>
        <w:rPr>
          <w:rFonts w:hint="eastAsia" w:ascii="宋体" w:hAnsi="宋体" w:cs="宋体"/>
          <w:color w:val="auto"/>
          <w:sz w:val="22"/>
          <w:highlight w:val="none"/>
        </w:rPr>
        <w:t>2.质疑</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2.1投标人认为招标文件、采购过程、中标或者成交结果使自己的权益受到损害的，可以在知道或者应知其权益受到损害之日起7个工作日内，以书面形式向采购人、采购代理机构提出质疑。逾期提出的，采购组织机构将不予受理、答复。</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2.2投标人提出质疑应当提交质疑函和必要的证明材料，质疑函范本请到“浙江政府采购网下载专区”下载，质疑函应当包括下列内容：</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（一）投标人的姓名或者名称、地址、邮编、联系人及联系电话；</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（二）质疑项目的名称、编号；</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（三）具体、明确的质疑事项和与质疑事项相关的请求；</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（四）事实依据；</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（五）必要的法律依据；</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（六）提出质疑的日期。</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投标人为自然人的，应当由本人签字；投标人为法人或者其他组织的，应当由法定代表人、主要负责人，或者其授权代表签字或者盖章，并加盖电子签章。</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2.3提出质疑的投标人应当是参与本项目招标活动的投标人。</w:t>
      </w:r>
      <w:r>
        <w:rPr>
          <w:rFonts w:hint="eastAsia" w:ascii="宋体" w:hAnsi="宋体" w:cs="宋体"/>
          <w:b/>
          <w:bCs/>
          <w:color w:val="auto"/>
          <w:spacing w:val="6"/>
          <w:sz w:val="22"/>
          <w:highlight w:val="none"/>
        </w:rPr>
        <w:t>投标人在法定质疑期内一次性提出针对同一采购程序环节的质疑。</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2.4根据《政府采购质疑和投诉办法》第三十七条的规定，投诉人在全国范围12个月内三次以上投诉查无实据的，由财政部门列入不良行为记录名单。</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投诉人有下列行为之一的，属于虚假、恶意投诉，由财政部门列入不良行为记录名单，禁止其1至3年内参加政府采购活动：</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（一）捏造事实；</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（二）提供虚假材料；</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（三）以非法手段取得证明材料。证据来源的合法性存在明显疑问，投诉人无法证明其取得方式合法的，视为以非法手段取得证明材料。</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3.投诉</w:t>
      </w:r>
    </w:p>
    <w:p>
      <w:pPr>
        <w:spacing w:line="360" w:lineRule="exact"/>
        <w:ind w:firstLine="464" w:firstLineChars="200"/>
        <w:outlineLvl w:val="0"/>
        <w:rPr>
          <w:rFonts w:ascii="宋体" w:hAnsi="宋体" w:cs="宋体"/>
          <w:color w:val="auto"/>
          <w:spacing w:val="6"/>
          <w:sz w:val="22"/>
          <w:highlight w:val="none"/>
        </w:rPr>
      </w:pPr>
      <w:r>
        <w:rPr>
          <w:rFonts w:hint="eastAsia" w:ascii="宋体" w:hAnsi="宋体" w:cs="宋体"/>
          <w:color w:val="auto"/>
          <w:spacing w:val="6"/>
          <w:sz w:val="22"/>
          <w:highlight w:val="none"/>
        </w:rPr>
        <w:t>质疑投标人对采购人、采购代理机构的答复不满意或者采购人、采购代理机构未在规定的时间内作出答复的，可以在答复期满后十五个工作日内向同级政府采购监督部门投诉。投诉书范本请到“浙江政府采购网下载专区”下载。</w:t>
      </w:r>
    </w:p>
    <w:p>
      <w:pPr>
        <w:adjustRightInd w:val="0"/>
        <w:spacing w:line="40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以联合体形式参加政府采购活动的，其质疑或投诉应当由组成联合体的所有投标人共同提出。</w:t>
      </w:r>
    </w:p>
    <w:p>
      <w:pPr>
        <w:spacing w:line="360" w:lineRule="exact"/>
        <w:ind w:firstLine="464" w:firstLineChars="200"/>
        <w:rPr>
          <w:rFonts w:ascii="宋体" w:hAnsi="宋体" w:cs="宋体"/>
          <w:color w:val="auto"/>
          <w:spacing w:val="6"/>
          <w:sz w:val="22"/>
          <w:highlight w:val="none"/>
        </w:rPr>
      </w:pPr>
      <w:r>
        <w:rPr>
          <w:rFonts w:hint="eastAsia" w:ascii="宋体" w:hAnsi="宋体" w:cs="宋体"/>
          <w:color w:val="auto"/>
          <w:spacing w:val="6"/>
          <w:sz w:val="22"/>
          <w:highlight w:val="none"/>
        </w:rPr>
        <w:t>4.澄清或修改</w:t>
      </w:r>
    </w:p>
    <w:p>
      <w:pPr>
        <w:spacing w:line="360" w:lineRule="exact"/>
        <w:ind w:firstLine="464" w:firstLineChars="200"/>
        <w:rPr>
          <w:rFonts w:ascii="宋体" w:hAnsi="宋体" w:cs="宋体"/>
          <w:color w:val="auto"/>
          <w:spacing w:val="6"/>
          <w:sz w:val="22"/>
          <w:highlight w:val="none"/>
        </w:rPr>
      </w:pPr>
      <w:r>
        <w:rPr>
          <w:rFonts w:hint="eastAsia" w:ascii="宋体" w:hAnsi="宋体" w:cs="宋体"/>
          <w:color w:val="auto"/>
          <w:spacing w:val="6"/>
          <w:sz w:val="22"/>
          <w:highlight w:val="none"/>
        </w:rPr>
        <w:t>4.1采购人或者采购代理机构可以对已发出的招标文件进行必要的澄清或者修改。澄清或者修改</w:t>
      </w:r>
      <w:r>
        <w:rPr>
          <w:rStyle w:val="33"/>
          <w:rFonts w:hint="eastAsia" w:ascii="宋体" w:hAnsi="宋体" w:cs="宋体"/>
          <w:b w:val="0"/>
          <w:color w:val="auto"/>
          <w:sz w:val="22"/>
          <w:highlight w:val="none"/>
        </w:rPr>
        <w:t>在浙江政府采购网上发布公告，同时政采云系统会向所有已按招标文件规定方式获取招标文件的潜在投标人发送更正提醒信息，潜在投标人请自行到浙江省政府采购网上下载公告附件，潜在投标人在收到该公告附件后应于1日内，以书面或传真形式（签署意见并加盖公章）向采购代理机构回函给予确认。过期未回复的，视为默认接受。</w:t>
      </w:r>
      <w:r>
        <w:rPr>
          <w:rFonts w:hint="eastAsia" w:ascii="宋体" w:hAnsi="宋体" w:cs="宋体"/>
          <w:color w:val="auto"/>
          <w:spacing w:val="6"/>
          <w:sz w:val="22"/>
          <w:highlight w:val="none"/>
        </w:rPr>
        <w:t>澄清或者修改的内容为招标文件的组成部分。</w:t>
      </w:r>
    </w:p>
    <w:p>
      <w:pPr>
        <w:spacing w:line="360" w:lineRule="exact"/>
        <w:ind w:firstLine="464" w:firstLineChars="200"/>
        <w:rPr>
          <w:rFonts w:ascii="宋体" w:hAnsi="宋体" w:cs="宋体"/>
          <w:color w:val="auto"/>
          <w:spacing w:val="6"/>
          <w:sz w:val="22"/>
          <w:highlight w:val="none"/>
        </w:rPr>
      </w:pPr>
      <w:r>
        <w:rPr>
          <w:rFonts w:hint="eastAsia" w:ascii="宋体" w:hAnsi="宋体" w:cs="宋体"/>
          <w:color w:val="auto"/>
          <w:spacing w:val="6"/>
          <w:sz w:val="22"/>
          <w:highlight w:val="none"/>
        </w:rPr>
        <w:t>澄清或者修改的内容可能影响投标文件编制的，采购人或者采购代理机构应当在投标文件提交截止时间至少15日前，以书面形式（</w:t>
      </w:r>
      <w:r>
        <w:rPr>
          <w:rStyle w:val="33"/>
          <w:rFonts w:hint="eastAsia" w:ascii="宋体" w:hAnsi="宋体" w:cs="宋体"/>
          <w:b w:val="0"/>
          <w:color w:val="auto"/>
          <w:sz w:val="22"/>
          <w:highlight w:val="none"/>
        </w:rPr>
        <w:t>在浙江政府采购网上发布公告</w:t>
      </w:r>
      <w:r>
        <w:rPr>
          <w:rFonts w:hint="eastAsia" w:ascii="宋体" w:hAnsi="宋体" w:cs="宋体"/>
          <w:color w:val="auto"/>
          <w:spacing w:val="6"/>
          <w:sz w:val="22"/>
          <w:highlight w:val="none"/>
        </w:rPr>
        <w:t>）通知所有获取招标文件的潜在投标人；不足15日的，采购人或者采购代理机构应当顺延提交投标文件的截止时间。</w:t>
      </w:r>
    </w:p>
    <w:p>
      <w:pPr>
        <w:spacing w:line="400" w:lineRule="exact"/>
        <w:ind w:firstLine="522" w:firstLineChars="200"/>
        <w:jc w:val="center"/>
        <w:rPr>
          <w:rFonts w:ascii="宋体" w:hAnsi="宋体" w:cs="宋体"/>
          <w:color w:val="auto"/>
          <w:sz w:val="22"/>
          <w:highlight w:val="none"/>
        </w:rPr>
      </w:pPr>
      <w:r>
        <w:rPr>
          <w:rFonts w:hint="eastAsia" w:ascii="宋体" w:hAnsi="宋体" w:cs="宋体"/>
          <w:b/>
          <w:color w:val="auto"/>
          <w:sz w:val="26"/>
          <w:highlight w:val="none"/>
        </w:rPr>
        <w:t>三、 投标文件的编制</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1.投标文件的形式</w:t>
      </w:r>
    </w:p>
    <w:p>
      <w:pPr>
        <w:pStyle w:val="16"/>
        <w:snapToGrid w:val="0"/>
        <w:spacing w:line="360" w:lineRule="exact"/>
        <w:ind w:firstLine="442" w:firstLineChars="200"/>
        <w:rPr>
          <w:rFonts w:hAnsi="宋体" w:cs="宋体"/>
          <w:b/>
          <w:bCs/>
          <w:color w:val="auto"/>
          <w:sz w:val="22"/>
          <w:highlight w:val="none"/>
        </w:rPr>
      </w:pPr>
      <w:r>
        <w:rPr>
          <w:rFonts w:hint="eastAsia" w:hAnsi="宋体" w:cs="宋体"/>
          <w:b/>
          <w:bCs/>
          <w:color w:val="auto"/>
          <w:sz w:val="22"/>
          <w:highlight w:val="none"/>
        </w:rPr>
        <w:t>投标文件分为电子投标文件以及备份投标文件，备份文件为以介质存储的数据电文形式的备份投标文件。</w:t>
      </w:r>
    </w:p>
    <w:p>
      <w:pPr>
        <w:spacing w:line="360" w:lineRule="exact"/>
        <w:ind w:firstLine="442" w:firstLineChars="200"/>
        <w:rPr>
          <w:rFonts w:ascii="宋体" w:hAnsi="宋体" w:cs="宋体"/>
          <w:color w:val="auto"/>
          <w:kern w:val="0"/>
          <w:sz w:val="22"/>
          <w:highlight w:val="none"/>
        </w:rPr>
      </w:pPr>
      <w:r>
        <w:rPr>
          <w:rFonts w:hint="eastAsia" w:ascii="宋体" w:hAnsi="宋体" w:cs="宋体"/>
          <w:b/>
          <w:bCs/>
          <w:color w:val="auto"/>
          <w:sz w:val="22"/>
          <w:highlight w:val="none"/>
        </w:rPr>
        <w:t>1.1电子投标文件，通过政采云电子交易客户端（政采云投标客户端）完成投标文件编制后生成并加密的数据电文形式的投标文件（文件扩展名为.jmbs）</w:t>
      </w:r>
      <w:r>
        <w:rPr>
          <w:rFonts w:hint="eastAsia" w:ascii="宋体" w:hAnsi="宋体" w:cs="宋体"/>
          <w:color w:val="auto"/>
          <w:kern w:val="0"/>
          <w:sz w:val="22"/>
          <w:highlight w:val="none"/>
        </w:rPr>
        <w:t>。</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1.2以介质存储的数据电文形式的备份投标文件：</w:t>
      </w:r>
      <w:r>
        <w:rPr>
          <w:rStyle w:val="33"/>
          <w:rFonts w:hint="eastAsia" w:ascii="宋体" w:hAnsi="宋体" w:cs="宋体"/>
          <w:bCs/>
          <w:color w:val="auto"/>
          <w:sz w:val="22"/>
          <w:highlight w:val="none"/>
        </w:rPr>
        <w:t>与“电子投标文件”同时生成的数据电文形式的备份投标文件</w:t>
      </w:r>
      <w:r>
        <w:rPr>
          <w:rFonts w:hint="eastAsia" w:ascii="宋体" w:hAnsi="宋体" w:cs="宋体"/>
          <w:b/>
          <w:bCs/>
          <w:color w:val="auto"/>
          <w:sz w:val="22"/>
          <w:highlight w:val="none"/>
        </w:rPr>
        <w:t>(</w:t>
      </w:r>
      <w:r>
        <w:rPr>
          <w:rFonts w:hint="eastAsia" w:ascii="宋体" w:hAnsi="宋体" w:cs="宋体"/>
          <w:b/>
          <w:bCs/>
          <w:color w:val="auto"/>
          <w:sz w:val="22"/>
          <w:highlight w:val="none"/>
          <w:lang w:val="zh-CN"/>
        </w:rPr>
        <w:t>文件扩展名为</w:t>
      </w:r>
      <w:r>
        <w:rPr>
          <w:rFonts w:hint="eastAsia" w:ascii="宋体" w:hAnsi="宋体" w:cs="宋体"/>
          <w:b/>
          <w:bCs/>
          <w:color w:val="auto"/>
          <w:sz w:val="22"/>
          <w:highlight w:val="none"/>
        </w:rPr>
        <w:t>.bfbs)，</w:t>
      </w:r>
      <w:r>
        <w:rPr>
          <w:rFonts w:hint="eastAsia" w:ascii="宋体" w:hAnsi="宋体" w:cs="宋体"/>
          <w:b/>
          <w:bCs/>
          <w:color w:val="auto"/>
          <w:sz w:val="22"/>
          <w:highlight w:val="none"/>
          <w:lang w:val="zh-CN"/>
        </w:rPr>
        <w:t>投标文件提交截止时间前以电子邮件方式传送至浙江乐诚工程咨询有限公司电子邮箱</w:t>
      </w:r>
      <w:r>
        <w:rPr>
          <w:rFonts w:hint="eastAsia" w:ascii="宋体" w:hAnsi="宋体" w:cs="宋体"/>
          <w:b/>
          <w:bCs/>
          <w:color w:val="auto"/>
          <w:sz w:val="22"/>
          <w:highlight w:val="none"/>
        </w:rPr>
        <w:t>2812799762@qq.com，</w:t>
      </w:r>
      <w:r>
        <w:rPr>
          <w:rFonts w:hint="eastAsia" w:ascii="宋体" w:hAnsi="宋体" w:cs="宋体"/>
          <w:b/>
          <w:bCs/>
          <w:color w:val="auto"/>
          <w:sz w:val="22"/>
          <w:highlight w:val="none"/>
          <w:lang w:val="zh-CN"/>
        </w:rPr>
        <w:t>递交</w:t>
      </w:r>
      <w:r>
        <w:rPr>
          <w:rFonts w:hint="eastAsia" w:ascii="宋体" w:hAnsi="宋体" w:cs="宋体"/>
          <w:b/>
          <w:bCs/>
          <w:color w:val="auto"/>
          <w:sz w:val="22"/>
          <w:highlight w:val="none"/>
        </w:rPr>
        <w:t>1</w:t>
      </w:r>
      <w:r>
        <w:rPr>
          <w:rFonts w:hint="eastAsia" w:ascii="宋体" w:hAnsi="宋体" w:cs="宋体"/>
          <w:b/>
          <w:bCs/>
          <w:color w:val="auto"/>
          <w:sz w:val="22"/>
          <w:highlight w:val="none"/>
          <w:lang w:val="zh-CN"/>
        </w:rPr>
        <w:t>份</w:t>
      </w:r>
      <w:r>
        <w:rPr>
          <w:rFonts w:hint="eastAsia" w:ascii="宋体" w:hAnsi="宋体" w:cs="宋体"/>
          <w:b/>
          <w:bCs/>
          <w:color w:val="auto"/>
          <w:sz w:val="22"/>
          <w:highlight w:val="none"/>
        </w:rPr>
        <w:t>，</w:t>
      </w:r>
      <w:r>
        <w:rPr>
          <w:rFonts w:hint="eastAsia" w:ascii="宋体" w:hAnsi="宋体" w:cs="宋体"/>
          <w:b/>
          <w:bCs/>
          <w:color w:val="auto"/>
          <w:sz w:val="22"/>
          <w:highlight w:val="none"/>
          <w:lang w:val="zh-CN"/>
        </w:rPr>
        <w:t>传送的备份投标文件需打包压缩并加密</w:t>
      </w:r>
      <w:r>
        <w:rPr>
          <w:rFonts w:hint="eastAsia" w:ascii="宋体" w:hAnsi="宋体" w:cs="宋体"/>
          <w:b/>
          <w:bCs/>
          <w:color w:val="auto"/>
          <w:sz w:val="22"/>
          <w:highlight w:val="none"/>
        </w:rPr>
        <w:t>，</w:t>
      </w:r>
      <w:r>
        <w:rPr>
          <w:rFonts w:hint="eastAsia" w:ascii="宋体" w:hAnsi="宋体" w:cs="宋体"/>
          <w:b/>
          <w:bCs/>
          <w:color w:val="auto"/>
          <w:sz w:val="22"/>
          <w:highlight w:val="none"/>
          <w:lang w:val="zh-CN"/>
        </w:rPr>
        <w:t>加密密码由投标人自行保管</w:t>
      </w:r>
      <w:r>
        <w:rPr>
          <w:rFonts w:hint="eastAsia" w:ascii="宋体" w:hAnsi="宋体" w:cs="宋体"/>
          <w:b/>
          <w:bCs/>
          <w:color w:val="auto"/>
          <w:sz w:val="22"/>
          <w:highlight w:val="none"/>
        </w:rPr>
        <w:t>，未加密导致投标信息泄露的风险由投标人自行承担</w:t>
      </w:r>
      <w:r>
        <w:rPr>
          <w:rStyle w:val="33"/>
          <w:rFonts w:hint="eastAsia" w:ascii="宋体" w:hAnsi="宋体" w:cs="宋体"/>
          <w:bCs/>
          <w:color w:val="auto"/>
          <w:sz w:val="22"/>
          <w:highlight w:val="none"/>
        </w:rPr>
        <w:t>。</w:t>
      </w:r>
      <w:r>
        <w:rPr>
          <w:rFonts w:hint="eastAsia" w:ascii="宋体" w:hAnsi="宋体" w:cs="宋体"/>
          <w:b/>
          <w:bCs/>
          <w:color w:val="auto"/>
          <w:sz w:val="22"/>
          <w:highlight w:val="none"/>
          <w:lang w:val="zh-CN"/>
        </w:rPr>
        <w:t>。</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1.3 投标文件的效力</w:t>
      </w:r>
    </w:p>
    <w:p>
      <w:pPr>
        <w:spacing w:line="360" w:lineRule="exact"/>
        <w:ind w:firstLine="442" w:firstLineChars="200"/>
        <w:rPr>
          <w:rFonts w:ascii="宋体" w:hAnsi="宋体" w:cs="宋体"/>
          <w:b/>
          <w:bCs/>
          <w:color w:val="auto"/>
          <w:sz w:val="22"/>
          <w:highlight w:val="none"/>
          <w:lang w:val="zh-CN"/>
        </w:rPr>
      </w:pPr>
      <w:r>
        <w:rPr>
          <w:rFonts w:hint="eastAsia" w:ascii="宋体" w:hAnsi="宋体" w:cs="宋体"/>
          <w:b/>
          <w:bCs/>
          <w:color w:val="auto"/>
          <w:sz w:val="22"/>
          <w:highlight w:val="none"/>
          <w:lang w:val="zh-CN"/>
        </w:rPr>
        <w:t>投标文件的启用，按先后顺位分别为电子投标文件、以介质存储的数据电文形式的备份投标文件。在下一顺位的投标文件启用时，前一顺位的投标文件自动失效。</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rPr>
        <w:t>2.投标人应认真阅读招标文件中所有事项格式、条款和技术规范等。</w:t>
      </w:r>
      <w:r>
        <w:rPr>
          <w:rFonts w:hint="eastAsia" w:ascii="宋体" w:hAnsi="宋体" w:cs="宋体"/>
          <w:bCs/>
          <w:color w:val="auto"/>
          <w:sz w:val="22"/>
          <w:highlight w:val="none"/>
          <w:u w:val="single"/>
        </w:rPr>
        <w:t>▲</w:t>
      </w:r>
      <w:r>
        <w:rPr>
          <w:rFonts w:hint="eastAsia" w:ascii="宋体" w:hAnsi="宋体" w:cs="宋体"/>
          <w:color w:val="auto"/>
          <w:sz w:val="22"/>
          <w:highlight w:val="none"/>
          <w:u w:val="single"/>
        </w:rPr>
        <w:t>投标人没有对招标文件各个方面做出实质性响应，导致投标被拒绝的风险由投标人自行承担。</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rPr>
        <w:t>3.</w:t>
      </w:r>
      <w:r>
        <w:rPr>
          <w:rFonts w:hint="eastAsia" w:ascii="宋体" w:hAnsi="宋体" w:cs="宋体"/>
          <w:bCs/>
          <w:color w:val="auto"/>
          <w:sz w:val="22"/>
          <w:highlight w:val="none"/>
          <w:u w:val="single"/>
        </w:rPr>
        <w:t>▲</w:t>
      </w:r>
      <w:r>
        <w:rPr>
          <w:rFonts w:hint="eastAsia" w:ascii="宋体" w:hAnsi="宋体" w:cs="宋体"/>
          <w:color w:val="auto"/>
          <w:sz w:val="22"/>
          <w:highlight w:val="none"/>
          <w:u w:val="single"/>
        </w:rPr>
        <w:t>投标人应保证所提供文件资料的真实性，所有文件资料必须是针对本次投标的。如发现投标人提供了虚假文件资料，其投标将被拒绝，并自行承担相应的法律责任。</w:t>
      </w:r>
    </w:p>
    <w:p>
      <w:pPr>
        <w:spacing w:line="360" w:lineRule="exact"/>
        <w:ind w:firstLine="440" w:firstLineChars="200"/>
        <w:rPr>
          <w:rFonts w:ascii="宋体" w:hAnsi="宋体" w:cs="宋体"/>
          <w:b/>
          <w:color w:val="auto"/>
          <w:sz w:val="22"/>
          <w:highlight w:val="none"/>
        </w:rPr>
      </w:pPr>
      <w:r>
        <w:rPr>
          <w:rFonts w:hint="eastAsia" w:ascii="宋体" w:hAnsi="宋体" w:cs="宋体"/>
          <w:color w:val="auto"/>
          <w:sz w:val="22"/>
          <w:highlight w:val="none"/>
        </w:rPr>
        <w:t>4.投标文件的构成：</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投标文件由“报价文件”、“资格文件”和“商务和技术文件”三部分组成，以下的“附件”，指的是第四部分 附件中的表格，其中电子投标文件中所须加盖电子签章部分均采用CA签章。</w:t>
      </w:r>
    </w:p>
    <w:p>
      <w:pPr>
        <w:spacing w:line="360" w:lineRule="exact"/>
        <w:ind w:firstLine="442" w:firstLineChars="200"/>
        <w:outlineLvl w:val="0"/>
        <w:rPr>
          <w:rFonts w:ascii="宋体" w:hAnsi="宋体" w:cs="宋体"/>
          <w:b/>
          <w:bCs/>
          <w:color w:val="auto"/>
          <w:sz w:val="22"/>
          <w:highlight w:val="none"/>
        </w:rPr>
      </w:pPr>
      <w:r>
        <w:rPr>
          <w:rFonts w:hint="eastAsia" w:ascii="宋体" w:hAnsi="宋体" w:cs="宋体"/>
          <w:b/>
          <w:bCs/>
          <w:color w:val="auto"/>
          <w:sz w:val="22"/>
          <w:highlight w:val="none"/>
        </w:rPr>
        <w:t>（1）报价文件</w:t>
      </w:r>
    </w:p>
    <w:p>
      <w:pPr>
        <w:tabs>
          <w:tab w:val="left" w:pos="5355"/>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1）开标一览表；（见附件1）</w:t>
      </w:r>
    </w:p>
    <w:p>
      <w:pPr>
        <w:tabs>
          <w:tab w:val="left" w:pos="5355"/>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2）报价明细表；（见附件2）</w:t>
      </w:r>
    </w:p>
    <w:p>
      <w:pPr>
        <w:tabs>
          <w:tab w:val="left" w:pos="5355"/>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3）中小企业声明函；（见附件3）</w:t>
      </w:r>
    </w:p>
    <w:p>
      <w:pPr>
        <w:tabs>
          <w:tab w:val="left" w:pos="5355"/>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4）投标报价部分其他内容（如有，格式自拟）。</w:t>
      </w:r>
    </w:p>
    <w:p>
      <w:pPr>
        <w:tabs>
          <w:tab w:val="left" w:pos="5355"/>
        </w:tabs>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（2）资格文件：（见附件4）</w:t>
      </w:r>
    </w:p>
    <w:p>
      <w:pPr>
        <w:tabs>
          <w:tab w:val="left" w:pos="5355"/>
        </w:tabs>
        <w:spacing w:line="360" w:lineRule="exact"/>
        <w:ind w:firstLine="418" w:firstLineChars="200"/>
        <w:rPr>
          <w:rFonts w:ascii="宋体" w:hAnsi="宋体" w:cs="宋体"/>
          <w:b/>
          <w:bCs/>
          <w:snapToGrid w:val="0"/>
          <w:color w:val="auto"/>
          <w:sz w:val="22"/>
          <w:highlight w:val="none"/>
        </w:rPr>
      </w:pPr>
      <w:r>
        <w:rPr>
          <w:rFonts w:hint="eastAsia" w:ascii="宋体" w:hAnsi="宋体" w:cs="宋体"/>
          <w:b/>
          <w:bCs/>
          <w:color w:val="auto"/>
          <w:spacing w:val="-6"/>
          <w:sz w:val="22"/>
          <w:highlight w:val="none"/>
        </w:rPr>
        <w:t>1）</w:t>
      </w:r>
      <w:r>
        <w:rPr>
          <w:rFonts w:hint="eastAsia" w:ascii="宋体" w:hAnsi="宋体" w:cs="宋体"/>
          <w:b/>
          <w:bCs/>
          <w:snapToGrid w:val="0"/>
          <w:color w:val="auto"/>
          <w:sz w:val="22"/>
          <w:highlight w:val="none"/>
        </w:rPr>
        <w:t>有效的法人或者其他组织的营业执照等证明文件，自然人的身份证明（五选一）</w:t>
      </w:r>
      <w:r>
        <w:rPr>
          <w:rFonts w:hint="eastAsia" w:ascii="宋体" w:hAnsi="宋体" w:cs="宋体"/>
          <w:b/>
          <w:bCs/>
          <w:color w:val="auto"/>
          <w:sz w:val="22"/>
          <w:highlight w:val="none"/>
        </w:rPr>
        <w:t>（见附件4-1）</w:t>
      </w:r>
      <w:r>
        <w:rPr>
          <w:rFonts w:hint="eastAsia" w:ascii="宋体" w:hAnsi="宋体" w:cs="宋体"/>
          <w:b/>
          <w:bCs/>
          <w:snapToGrid w:val="0"/>
          <w:color w:val="auto"/>
          <w:sz w:val="22"/>
          <w:highlight w:val="none"/>
        </w:rPr>
        <w:t>（如为联合体投标，则联合体各方均须提供）</w:t>
      </w:r>
    </w:p>
    <w:p>
      <w:pPr>
        <w:autoSpaceDE w:val="0"/>
        <w:autoSpaceDN w:val="0"/>
        <w:adjustRightInd w:val="0"/>
        <w:snapToGrid w:val="0"/>
        <w:spacing w:line="360" w:lineRule="exact"/>
        <w:ind w:firstLine="418" w:firstLineChars="200"/>
        <w:textAlignment w:val="bottom"/>
        <w:rPr>
          <w:rFonts w:ascii="宋体" w:hAnsi="宋体" w:cs="宋体"/>
          <w:b/>
          <w:bCs/>
          <w:color w:val="auto"/>
          <w:sz w:val="22"/>
          <w:highlight w:val="none"/>
        </w:rPr>
      </w:pPr>
      <w:r>
        <w:rPr>
          <w:rFonts w:hint="eastAsia" w:ascii="宋体" w:hAnsi="宋体" w:cs="宋体"/>
          <w:b/>
          <w:bCs/>
          <w:color w:val="auto"/>
          <w:spacing w:val="-6"/>
          <w:sz w:val="22"/>
          <w:highlight w:val="none"/>
        </w:rPr>
        <w:t>2）</w:t>
      </w:r>
      <w:r>
        <w:rPr>
          <w:rFonts w:hint="eastAsia" w:ascii="宋体" w:hAnsi="宋体" w:cs="宋体"/>
          <w:b/>
          <w:bCs/>
          <w:snapToGrid w:val="0"/>
          <w:color w:val="auto"/>
          <w:sz w:val="22"/>
          <w:highlight w:val="none"/>
        </w:rPr>
        <w:t>关于符合《中华人民共和国政府采购法》第二十二条规定的承诺函</w:t>
      </w:r>
      <w:r>
        <w:rPr>
          <w:rFonts w:hint="eastAsia" w:ascii="宋体" w:hAnsi="宋体" w:cs="宋体"/>
          <w:b/>
          <w:bCs/>
          <w:color w:val="auto"/>
          <w:sz w:val="22"/>
          <w:highlight w:val="none"/>
        </w:rPr>
        <w:t>（见附件4-2）</w:t>
      </w:r>
      <w:r>
        <w:rPr>
          <w:rFonts w:hint="eastAsia" w:ascii="宋体" w:hAnsi="宋体" w:cs="宋体"/>
          <w:b/>
          <w:bCs/>
          <w:snapToGrid w:val="0"/>
          <w:color w:val="auto"/>
          <w:sz w:val="22"/>
          <w:highlight w:val="none"/>
        </w:rPr>
        <w:t>（如为联合体投标，则联合体各方均须提供，并各自加盖公章）</w:t>
      </w:r>
    </w:p>
    <w:p>
      <w:pPr>
        <w:tabs>
          <w:tab w:val="left" w:pos="5355"/>
        </w:tabs>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3）投标人出版物经营许可证。（见附件4-3）</w:t>
      </w:r>
    </w:p>
    <w:p>
      <w:pPr>
        <w:tabs>
          <w:tab w:val="left" w:pos="0"/>
        </w:tabs>
        <w:adjustRightInd w:val="0"/>
        <w:snapToGrid w:val="0"/>
        <w:spacing w:line="400" w:lineRule="exact"/>
        <w:ind w:left="420"/>
        <w:rPr>
          <w:rFonts w:ascii="宋体" w:hAnsi="宋体" w:cs="宋体"/>
          <w:snapToGrid w:val="0"/>
          <w:color w:val="auto"/>
          <w:sz w:val="22"/>
          <w:highlight w:val="none"/>
        </w:rPr>
      </w:pPr>
      <w:r>
        <w:rPr>
          <w:rFonts w:hint="eastAsia" w:ascii="宋体" w:hAnsi="宋体" w:cs="宋体"/>
          <w:color w:val="auto"/>
          <w:sz w:val="22"/>
          <w:highlight w:val="none"/>
        </w:rPr>
        <w:t>4）联合体投标协议书</w:t>
      </w:r>
      <w:r>
        <w:rPr>
          <w:rFonts w:hint="eastAsia" w:ascii="宋体" w:hAnsi="宋体" w:cs="宋体"/>
          <w:snapToGrid w:val="0"/>
          <w:color w:val="auto"/>
          <w:sz w:val="22"/>
          <w:highlight w:val="none"/>
        </w:rPr>
        <w:t>（见附件4-4）</w:t>
      </w:r>
      <w:r>
        <w:rPr>
          <w:rFonts w:hint="eastAsia" w:ascii="宋体" w:hAnsi="宋体" w:cs="宋体"/>
          <w:b/>
          <w:bCs/>
          <w:color w:val="auto"/>
          <w:sz w:val="22"/>
          <w:highlight w:val="none"/>
          <w:u w:val="single"/>
        </w:rPr>
        <w:t>(投标人为联合体的须提供，非联合体的无需提供。)</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（3）商务和技术文件</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1）评分索引表（见附件5）</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2）法定代表人资格证明书/法定代表人授权委托书；（见附件6）</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3）投标函（见附件7）</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 xml:space="preserve">4）投标声明书（见附件8）  </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 xml:space="preserve">5）投标人基本情况表（见附件9）                </w:t>
      </w:r>
    </w:p>
    <w:p>
      <w:pPr>
        <w:numPr>
          <w:ilvl w:val="0"/>
          <w:numId w:val="4"/>
        </w:num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节能、环保产品证明材料（如有）（见附件10）；</w:t>
      </w:r>
    </w:p>
    <w:p>
      <w:pPr>
        <w:numPr>
          <w:ilvl w:val="0"/>
          <w:numId w:val="4"/>
        </w:num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投标人同类项目业绩一览表（如有）（见附件11）；</w:t>
      </w:r>
    </w:p>
    <w:p>
      <w:pPr>
        <w:numPr>
          <w:ilvl w:val="0"/>
          <w:numId w:val="4"/>
        </w:num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采购需求偏离表（见附件12）；</w:t>
      </w:r>
    </w:p>
    <w:p>
      <w:pPr>
        <w:numPr>
          <w:ilvl w:val="0"/>
          <w:numId w:val="4"/>
        </w:num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政府采购活动现场确认声明书（见附件13）；</w:t>
      </w:r>
    </w:p>
    <w:p>
      <w:pPr>
        <w:numPr>
          <w:ilvl w:val="0"/>
          <w:numId w:val="4"/>
        </w:num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项目组成员一览表（见附件14）；</w:t>
      </w:r>
    </w:p>
    <w:p>
      <w:pPr>
        <w:numPr>
          <w:ilvl w:val="0"/>
          <w:numId w:val="4"/>
        </w:num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承诺函（见附件15）；</w:t>
      </w:r>
    </w:p>
    <w:p>
      <w:pPr>
        <w:numPr>
          <w:ilvl w:val="0"/>
          <w:numId w:val="4"/>
        </w:num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投标人图书服务质量评价表（见附件16）；</w:t>
      </w:r>
    </w:p>
    <w:p>
      <w:pPr>
        <w:numPr>
          <w:ilvl w:val="0"/>
          <w:numId w:val="4"/>
        </w:num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投标人需要说明的其他文件和说明（格式自拟）。</w:t>
      </w:r>
    </w:p>
    <w:p>
      <w:pPr>
        <w:spacing w:line="360" w:lineRule="exact"/>
        <w:ind w:firstLine="442" w:firstLineChars="200"/>
        <w:rPr>
          <w:rFonts w:ascii="宋体" w:hAnsi="宋体" w:cs="宋体"/>
          <w:color w:val="auto"/>
          <w:sz w:val="22"/>
          <w:highlight w:val="none"/>
        </w:rPr>
      </w:pPr>
      <w:r>
        <w:rPr>
          <w:rFonts w:hint="eastAsia" w:ascii="宋体" w:hAnsi="宋体" w:cs="宋体"/>
          <w:b/>
          <w:bCs/>
          <w:color w:val="auto"/>
          <w:sz w:val="22"/>
          <w:highlight w:val="none"/>
        </w:rPr>
        <w:t>以上内容按照招标文件第四部分附件所附格式填写，相关证书、报告等</w:t>
      </w:r>
      <w:r>
        <w:rPr>
          <w:rFonts w:hint="eastAsia" w:ascii="宋体" w:hAnsi="宋体" w:cs="宋体"/>
          <w:b/>
          <w:bCs/>
          <w:color w:val="auto"/>
          <w:spacing w:val="-6"/>
          <w:sz w:val="22"/>
          <w:highlight w:val="none"/>
        </w:rPr>
        <w:t>如遇年检或换证等特殊情况须按要求提供相应的证明材料</w:t>
      </w:r>
      <w:r>
        <w:rPr>
          <w:rFonts w:hint="eastAsia" w:ascii="宋体" w:hAnsi="宋体" w:cs="宋体"/>
          <w:b/>
          <w:bCs/>
          <w:color w:val="auto"/>
          <w:sz w:val="22"/>
          <w:highlight w:val="none"/>
        </w:rPr>
        <w:t>。没有提供格式的，投标人根据实际情况自行编制。</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投标人可在招标文件中对招标货物的技术规格和要求选用替代标准，但这些替代标准必须相等于或优于招标文件中提出的相应要求，并使采购人满意。同时在采购需求偏离表中作出详细说明。</w:t>
      </w:r>
    </w:p>
    <w:p>
      <w:pPr>
        <w:pStyle w:val="16"/>
        <w:spacing w:line="360" w:lineRule="exact"/>
        <w:ind w:firstLine="442" w:firstLineChars="200"/>
        <w:rPr>
          <w:rFonts w:hAnsi="宋体" w:cs="宋体"/>
          <w:b/>
          <w:color w:val="auto"/>
          <w:sz w:val="22"/>
          <w:highlight w:val="none"/>
        </w:rPr>
      </w:pPr>
      <w:r>
        <w:rPr>
          <w:rFonts w:hint="eastAsia" w:hAnsi="宋体" w:cs="宋体"/>
          <w:b/>
          <w:color w:val="auto"/>
          <w:sz w:val="22"/>
          <w:highlight w:val="none"/>
        </w:rPr>
        <w:t>5.投标文件格式</w:t>
      </w:r>
    </w:p>
    <w:p>
      <w:pPr>
        <w:tabs>
          <w:tab w:val="left" w:pos="-180"/>
          <w:tab w:val="left" w:pos="180"/>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5.1投标文件须包括本须知第4条中规定的全部内容，投标人不按招标文件的要求提供的投标文件和资料将视为没有对招标文件作实质性响应，其投标将被拒绝，其风险由投标人自行承担。</w:t>
      </w:r>
    </w:p>
    <w:p>
      <w:pPr>
        <w:tabs>
          <w:tab w:val="left" w:pos="-180"/>
          <w:tab w:val="left" w:pos="180"/>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5.2投标人提交的投标文件应当使用招标文件所提供的投标文件格式，表格格式在不改变格式内容的情况下可自行制作。在所提供表格格式之外，投标人可以增加自行设计的表格及内容，以便更细致全面的说明其能力。</w:t>
      </w:r>
    </w:p>
    <w:p>
      <w:pPr>
        <w:pStyle w:val="16"/>
        <w:spacing w:line="360" w:lineRule="exact"/>
        <w:ind w:firstLine="442" w:firstLineChars="200"/>
        <w:rPr>
          <w:rFonts w:hAnsi="宋体" w:cs="宋体"/>
          <w:b/>
          <w:color w:val="auto"/>
          <w:sz w:val="22"/>
          <w:highlight w:val="none"/>
        </w:rPr>
      </w:pPr>
      <w:r>
        <w:rPr>
          <w:rFonts w:hint="eastAsia" w:hAnsi="宋体" w:cs="宋体"/>
          <w:b/>
          <w:color w:val="auto"/>
          <w:sz w:val="22"/>
          <w:highlight w:val="none"/>
        </w:rPr>
        <w:t>6.投标文件编制要求</w:t>
      </w:r>
    </w:p>
    <w:p>
      <w:pPr>
        <w:tabs>
          <w:tab w:val="left" w:pos="-180"/>
          <w:tab w:val="left" w:pos="180"/>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6.1</w:t>
      </w:r>
      <w:r>
        <w:rPr>
          <w:rFonts w:hint="eastAsia" w:ascii="宋体" w:hAnsi="宋体" w:cs="宋体"/>
          <w:b/>
          <w:bCs/>
          <w:color w:val="auto"/>
          <w:sz w:val="22"/>
          <w:highlight w:val="none"/>
        </w:rPr>
        <w:t>投标人应根据电子投标操作指南按本招标文件规定的格式和顺序编制电子投标文件并进行关联定位</w:t>
      </w:r>
      <w:r>
        <w:rPr>
          <w:rFonts w:hint="eastAsia" w:ascii="宋体" w:hAnsi="宋体" w:cs="宋体"/>
          <w:color w:val="auto"/>
          <w:sz w:val="22"/>
          <w:highlight w:val="none"/>
        </w:rPr>
        <w:t>。</w:t>
      </w:r>
    </w:p>
    <w:p>
      <w:pPr>
        <w:tabs>
          <w:tab w:val="left" w:pos="-180"/>
          <w:tab w:val="left" w:pos="180"/>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6.2由于未按招标文件的规定要求编制投标文件，导致评审小组作出的对投标人的误判，责任由投标人自己承担。</w:t>
      </w:r>
    </w:p>
    <w:p>
      <w:pPr>
        <w:tabs>
          <w:tab w:val="left" w:pos="-180"/>
          <w:tab w:val="left" w:pos="180"/>
          <w:tab w:val="left" w:pos="360"/>
        </w:tabs>
        <w:spacing w:line="360" w:lineRule="exact"/>
        <w:ind w:firstLine="442" w:firstLineChars="200"/>
        <w:rPr>
          <w:rFonts w:ascii="宋体" w:hAnsi="宋体" w:cs="宋体"/>
          <w:b/>
          <w:color w:val="auto"/>
          <w:sz w:val="22"/>
          <w:highlight w:val="none"/>
        </w:rPr>
      </w:pPr>
      <w:r>
        <w:rPr>
          <w:rFonts w:hint="eastAsia" w:ascii="宋体" w:hAnsi="宋体" w:cs="宋体"/>
          <w:b/>
          <w:color w:val="auto"/>
          <w:sz w:val="22"/>
          <w:highlight w:val="none"/>
        </w:rPr>
        <w:t>7.投标报价</w:t>
      </w:r>
    </w:p>
    <w:p>
      <w:pPr>
        <w:tabs>
          <w:tab w:val="left" w:pos="-180"/>
          <w:tab w:val="left" w:pos="180"/>
          <w:tab w:val="left" w:pos="360"/>
        </w:tabs>
        <w:spacing w:line="360" w:lineRule="exact"/>
        <w:ind w:firstLine="440" w:firstLineChars="200"/>
        <w:rPr>
          <w:rFonts w:ascii="宋体" w:hAnsi="宋体" w:cs="宋体"/>
          <w:color w:val="auto"/>
          <w:szCs w:val="21"/>
          <w:highlight w:val="none"/>
          <w:u w:val="single"/>
        </w:rPr>
      </w:pPr>
      <w:r>
        <w:rPr>
          <w:rFonts w:hint="eastAsia" w:ascii="宋体" w:hAnsi="宋体" w:cs="宋体"/>
          <w:color w:val="auto"/>
          <w:sz w:val="22"/>
          <w:highlight w:val="none"/>
        </w:rPr>
        <w:t>7.1</w:t>
      </w:r>
      <w:r>
        <w:rPr>
          <w:rFonts w:hint="eastAsia" w:ascii="宋体" w:hAnsi="宋体" w:cs="宋体"/>
          <w:color w:val="auto"/>
          <w:sz w:val="22"/>
          <w:highlight w:val="none"/>
          <w:u w:val="single"/>
        </w:rPr>
        <w:t>▲投标报价是指投标人在正确地完全履行合同义务后采购人应支付给中标人所有的货物价款，投标报价为投标人给予采购人的图书码洋折扣率。本次招标所进行的报价为投标人确定的报价折扣，系指投标人在保证到书率和采购人要求的服务水平下，提供给采购人订购的图书、随书附件（光盘、软件等）的购买费用、到馆全加工服务的费用，含供货、税金、包装、运输、装卸、验收、售后服务等全部费用以及其他认为必需的一切费用的总和。</w:t>
      </w:r>
    </w:p>
    <w:p>
      <w:pPr>
        <w:tabs>
          <w:tab w:val="left" w:pos="-180"/>
          <w:tab w:val="left" w:pos="180"/>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7.2投标人须按第四部分附件的开标一览表（统一格式）、报价明细表（统一格式）的内容填写折扣率及其他事项，并由法定代表人或授权代表签字或盖章。</w:t>
      </w:r>
    </w:p>
    <w:p>
      <w:pPr>
        <w:tabs>
          <w:tab w:val="left" w:pos="-180"/>
          <w:tab w:val="left" w:pos="180"/>
          <w:tab w:val="left" w:pos="360"/>
        </w:tabs>
        <w:spacing w:line="360" w:lineRule="exact"/>
        <w:ind w:firstLine="442" w:firstLineChars="200"/>
        <w:outlineLvl w:val="0"/>
        <w:rPr>
          <w:rFonts w:ascii="宋体" w:hAnsi="宋体" w:cs="宋体"/>
          <w:b/>
          <w:color w:val="auto"/>
          <w:sz w:val="22"/>
          <w:highlight w:val="none"/>
        </w:rPr>
      </w:pPr>
      <w:r>
        <w:rPr>
          <w:rFonts w:hint="eastAsia" w:ascii="宋体" w:hAnsi="宋体" w:cs="宋体"/>
          <w:b/>
          <w:color w:val="auto"/>
          <w:sz w:val="22"/>
          <w:highlight w:val="none"/>
        </w:rPr>
        <w:t>7.3报价采用折扣率。</w:t>
      </w:r>
    </w:p>
    <w:p>
      <w:pPr>
        <w:tabs>
          <w:tab w:val="left" w:pos="-180"/>
          <w:tab w:val="left" w:pos="180"/>
          <w:tab w:val="left" w:pos="360"/>
        </w:tabs>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▲7.4采购人不接受任何选择报价，对每一种货物只允许一个报价。</w:t>
      </w:r>
    </w:p>
    <w:p>
      <w:pPr>
        <w:tabs>
          <w:tab w:val="left" w:pos="-180"/>
          <w:tab w:val="left" w:pos="180"/>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7.5采购人要求分类报价是为了方便评标，但在任何情况下不限制采购人以其认为最合适的条款、条件签订合同的权利。</w:t>
      </w:r>
    </w:p>
    <w:p>
      <w:pPr>
        <w:tabs>
          <w:tab w:val="left" w:pos="-180"/>
          <w:tab w:val="left" w:pos="180"/>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7.6最低报价不能作为中标的保证。</w:t>
      </w:r>
    </w:p>
    <w:p>
      <w:pPr>
        <w:tabs>
          <w:tab w:val="left" w:pos="-180"/>
          <w:tab w:val="left" w:pos="180"/>
          <w:tab w:val="left" w:pos="36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8.投标保证金：</w:t>
      </w:r>
      <w:r>
        <w:rPr>
          <w:rFonts w:hint="eastAsia" w:ascii="宋体" w:hAnsi="宋体" w:cs="宋体"/>
          <w:color w:val="auto"/>
          <w:spacing w:val="-6"/>
          <w:sz w:val="22"/>
          <w:highlight w:val="none"/>
          <w:lang w:val="zh-CN"/>
        </w:rPr>
        <w:t>本项目不收取投标保证金。</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9.投标有效期</w:t>
      </w:r>
    </w:p>
    <w:p>
      <w:pPr>
        <w:spacing w:line="360" w:lineRule="exact"/>
        <w:ind w:firstLine="440" w:firstLineChars="200"/>
        <w:rPr>
          <w:rFonts w:ascii="宋体" w:hAnsi="宋体" w:cs="宋体"/>
          <w:color w:val="auto"/>
          <w:kern w:val="0"/>
          <w:sz w:val="22"/>
          <w:highlight w:val="none"/>
        </w:rPr>
      </w:pPr>
      <w:r>
        <w:rPr>
          <w:rFonts w:hint="eastAsia" w:ascii="宋体" w:hAnsi="宋体" w:cs="宋体"/>
          <w:color w:val="auto"/>
          <w:sz w:val="22"/>
          <w:highlight w:val="none"/>
        </w:rPr>
        <w:t>9.1</w:t>
      </w:r>
      <w:r>
        <w:rPr>
          <w:rFonts w:hint="eastAsia" w:ascii="宋体" w:hAnsi="宋体" w:cs="宋体"/>
          <w:b/>
          <w:bCs/>
          <w:color w:val="auto"/>
          <w:sz w:val="22"/>
          <w:highlight w:val="none"/>
        </w:rPr>
        <w:t>自提交投标文件的截止之日起</w:t>
      </w:r>
      <w:r>
        <w:rPr>
          <w:rFonts w:hint="eastAsia" w:ascii="宋体" w:hAnsi="宋体" w:cs="宋体"/>
          <w:b/>
          <w:bCs/>
          <w:color w:val="auto"/>
          <w:sz w:val="22"/>
          <w:highlight w:val="none"/>
          <w:u w:val="single"/>
        </w:rPr>
        <w:t>90</w:t>
      </w:r>
      <w:r>
        <w:rPr>
          <w:rFonts w:hint="eastAsia" w:ascii="宋体" w:hAnsi="宋体" w:cs="宋体"/>
          <w:b/>
          <w:bCs/>
          <w:color w:val="auto"/>
          <w:sz w:val="22"/>
          <w:highlight w:val="none"/>
        </w:rPr>
        <w:t>天内投标应保持有效。有效期不足的投标文件将被拒绝。</w:t>
      </w:r>
    </w:p>
    <w:p>
      <w:pPr>
        <w:spacing w:line="360" w:lineRule="exact"/>
        <w:ind w:firstLine="440" w:firstLineChars="200"/>
        <w:jc w:val="left"/>
        <w:rPr>
          <w:rFonts w:ascii="宋体" w:hAnsi="宋体" w:cs="宋体"/>
          <w:color w:val="auto"/>
          <w:sz w:val="22"/>
          <w:highlight w:val="none"/>
        </w:rPr>
      </w:pPr>
      <w:r>
        <w:rPr>
          <w:rFonts w:hint="eastAsia" w:ascii="宋体" w:hAnsi="宋体" w:cs="宋体"/>
          <w:color w:val="auto"/>
          <w:sz w:val="22"/>
          <w:highlight w:val="none"/>
        </w:rPr>
        <w:t>9.2特殊情况下，在原投标有效期截止前，采购人可与投标人协商延长投标有效期，这种要求和答复均以书面形式进行。投标人可拒绝接受延期要求。同意延长投标有效期的投标人不得修改投标文件。</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10.投标文件的签署和规定</w:t>
      </w:r>
    </w:p>
    <w:p>
      <w:pPr>
        <w:spacing w:line="360" w:lineRule="exact"/>
        <w:ind w:firstLine="440" w:firstLineChars="200"/>
        <w:jc w:val="left"/>
        <w:rPr>
          <w:rFonts w:ascii="宋体" w:hAnsi="宋体" w:cs="宋体"/>
          <w:color w:val="auto"/>
          <w:sz w:val="22"/>
          <w:highlight w:val="none"/>
        </w:rPr>
      </w:pPr>
      <w:r>
        <w:rPr>
          <w:rFonts w:hint="eastAsia" w:ascii="宋体" w:hAnsi="宋体" w:cs="宋体"/>
          <w:color w:val="auto"/>
          <w:sz w:val="22"/>
          <w:highlight w:val="none"/>
        </w:rPr>
        <w:t>10.1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宋体" w:hAnsi="宋体" w:cs="宋体"/>
          <w:b/>
          <w:bCs/>
          <w:color w:val="auto"/>
          <w:spacing w:val="-6"/>
          <w:sz w:val="22"/>
          <w:highlight w:val="none"/>
        </w:rPr>
        <w:t>其中资格文件、商务和技术文件中不得出现投标报价，如因投标人原因提前泄露投标报价，是投标人的责任。</w:t>
      </w:r>
    </w:p>
    <w:p>
      <w:pPr>
        <w:spacing w:line="360" w:lineRule="exact"/>
        <w:ind w:firstLine="440" w:firstLineChars="200"/>
        <w:jc w:val="left"/>
        <w:rPr>
          <w:rFonts w:ascii="宋体" w:hAnsi="宋体" w:cs="宋体"/>
          <w:color w:val="auto"/>
          <w:sz w:val="22"/>
          <w:highlight w:val="none"/>
        </w:rPr>
      </w:pPr>
      <w:r>
        <w:rPr>
          <w:rFonts w:hint="eastAsia" w:ascii="宋体" w:hAnsi="宋体" w:cs="宋体"/>
          <w:color w:val="auto"/>
          <w:sz w:val="22"/>
          <w:highlight w:val="none"/>
        </w:rPr>
        <w:t>10.2投标文件须由投标人在规定位置加盖公章并由投标人代表签署，投标人应写全称。</w:t>
      </w:r>
    </w:p>
    <w:p>
      <w:pPr>
        <w:spacing w:line="360" w:lineRule="exact"/>
        <w:ind w:firstLine="440" w:firstLineChars="200"/>
        <w:jc w:val="left"/>
        <w:rPr>
          <w:rFonts w:ascii="宋体" w:hAnsi="宋体" w:cs="宋体"/>
          <w:color w:val="auto"/>
          <w:sz w:val="22"/>
          <w:highlight w:val="none"/>
        </w:rPr>
      </w:pPr>
      <w:r>
        <w:rPr>
          <w:rFonts w:hint="eastAsia" w:ascii="宋体" w:hAnsi="宋体" w:cs="宋体"/>
          <w:color w:val="auto"/>
          <w:sz w:val="22"/>
          <w:highlight w:val="none"/>
        </w:rPr>
        <w:t>10.3投标文件不得涂改，若有修改错漏处，须由投标人代表签字并加盖公章。投标文件因字迹潦草或表达不清所引起的后果由投标人负责。</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10.4</w:t>
      </w:r>
      <w:r>
        <w:rPr>
          <w:rFonts w:hint="eastAsia" w:ascii="宋体" w:hAnsi="宋体" w:cs="宋体"/>
          <w:b/>
          <w:bCs/>
          <w:color w:val="auto"/>
          <w:sz w:val="22"/>
          <w:highlight w:val="none"/>
        </w:rPr>
        <w:t>投标文件字迹模糊或在关键的技术、商务条款上表述不清楚，将可能导致其投标被拒绝。</w:t>
      </w:r>
    </w:p>
    <w:p>
      <w:pPr>
        <w:spacing w:line="400" w:lineRule="exact"/>
        <w:jc w:val="center"/>
        <w:outlineLvl w:val="0"/>
        <w:rPr>
          <w:rFonts w:ascii="宋体" w:hAnsi="宋体" w:cs="宋体"/>
          <w:color w:val="auto"/>
          <w:sz w:val="22"/>
          <w:highlight w:val="none"/>
        </w:rPr>
      </w:pPr>
      <w:r>
        <w:rPr>
          <w:rFonts w:hint="eastAsia" w:ascii="宋体" w:hAnsi="宋体" w:cs="宋体"/>
          <w:b/>
          <w:color w:val="auto"/>
          <w:sz w:val="26"/>
          <w:highlight w:val="none"/>
        </w:rPr>
        <w:t>四、 投标文件的递交</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1.电子投标文件的加密、递交</w:t>
      </w:r>
    </w:p>
    <w:p>
      <w:pPr>
        <w:spacing w:line="360" w:lineRule="exact"/>
        <w:ind w:firstLine="440" w:firstLineChars="200"/>
        <w:rPr>
          <w:rFonts w:ascii="宋体" w:hAnsi="宋体" w:cs="宋体"/>
          <w:b/>
          <w:bCs/>
          <w:color w:val="auto"/>
          <w:sz w:val="22"/>
          <w:highlight w:val="none"/>
        </w:rPr>
      </w:pPr>
      <w:r>
        <w:rPr>
          <w:rFonts w:hint="eastAsia" w:ascii="宋体" w:hAnsi="宋体" w:cs="宋体"/>
          <w:color w:val="auto"/>
          <w:kern w:val="0"/>
          <w:sz w:val="22"/>
          <w:highlight w:val="none"/>
        </w:rPr>
        <w:t>投标人</w:t>
      </w:r>
      <w:r>
        <w:rPr>
          <w:rFonts w:hint="eastAsia" w:ascii="宋体" w:hAnsi="宋体" w:cs="宋体"/>
          <w:color w:val="auto"/>
          <w:spacing w:val="-6"/>
          <w:sz w:val="22"/>
          <w:highlight w:val="none"/>
        </w:rPr>
        <w:t>于投标文件提交截止时间前按照电子投标要求将加密电子投标文件上传到“政采云”平台，逾期或未上传成功的将被政府采购云平台拒收</w:t>
      </w:r>
      <w:r>
        <w:rPr>
          <w:rFonts w:hint="eastAsia" w:ascii="宋体" w:hAnsi="宋体" w:cs="宋体"/>
          <w:color w:val="auto"/>
          <w:kern w:val="0"/>
          <w:sz w:val="22"/>
          <w:highlight w:val="none"/>
        </w:rPr>
        <w:t>。</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2.</w:t>
      </w:r>
      <w:r>
        <w:rPr>
          <w:rFonts w:hint="eastAsia" w:ascii="宋体" w:hAnsi="宋体" w:cs="宋体"/>
          <w:b/>
          <w:color w:val="auto"/>
          <w:sz w:val="22"/>
          <w:highlight w:val="none"/>
        </w:rPr>
        <w:t>备份投标文件的加密、递交（如有）</w:t>
      </w:r>
    </w:p>
    <w:p>
      <w:pPr>
        <w:spacing w:line="360" w:lineRule="exact"/>
        <w:ind w:firstLine="440" w:firstLineChars="200"/>
        <w:rPr>
          <w:rFonts w:ascii="宋体" w:hAnsi="宋体" w:cs="宋体"/>
          <w:color w:val="auto"/>
          <w:kern w:val="0"/>
          <w:sz w:val="22"/>
          <w:highlight w:val="none"/>
        </w:rPr>
      </w:pPr>
      <w:r>
        <w:rPr>
          <w:rFonts w:hint="eastAsia" w:ascii="宋体" w:hAnsi="宋体" w:cs="宋体"/>
          <w:color w:val="auto"/>
          <w:sz w:val="22"/>
          <w:highlight w:val="none"/>
        </w:rPr>
        <w:t>为</w:t>
      </w:r>
      <w:r>
        <w:rPr>
          <w:rFonts w:hint="eastAsia" w:ascii="宋体" w:hAnsi="宋体" w:cs="宋体"/>
          <w:color w:val="auto"/>
          <w:kern w:val="0"/>
          <w:sz w:val="22"/>
          <w:highlight w:val="none"/>
        </w:rPr>
        <w:t>确保采购项目顺利实施，避免因政采云上电子投标文件解密失败导致投标人投标无效，</w:t>
      </w:r>
      <w:r>
        <w:rPr>
          <w:color w:val="auto"/>
          <w:highlight w:val="none"/>
        </w:rPr>
        <w:fldChar w:fldCharType="begin"/>
      </w:r>
      <w:r>
        <w:rPr>
          <w:color w:val="auto"/>
          <w:highlight w:val="none"/>
        </w:rPr>
        <w:instrText xml:space="preserve"> HYPERLINK "mailto:13.1供应商在政府采购云平台完成加密电子响应文件的上传后将在政采云平台上最后生成的具备电子签章的备份加密响应文件(文件扩展名为.bfbs)打包压缩并加密后以电子邮件方式传送至浙江乐诚工程咨询有限公司电子邮箱（1322521566@qq.com），加密密码由供应商自行保管，" </w:instrText>
      </w:r>
      <w:r>
        <w:rPr>
          <w:color w:val="auto"/>
          <w:highlight w:val="none"/>
        </w:rPr>
        <w:fldChar w:fldCharType="separate"/>
      </w:r>
      <w:r>
        <w:rPr>
          <w:rFonts w:hint="eastAsia" w:ascii="宋体" w:hAnsi="宋体" w:cs="宋体"/>
          <w:color w:val="auto"/>
          <w:kern w:val="0"/>
          <w:sz w:val="22"/>
          <w:highlight w:val="none"/>
        </w:rPr>
        <w:t>投标人在政府采购云平台完成加密电子投标文件的上传后投标文件提交截止时间前将</w:t>
      </w:r>
      <w:r>
        <w:rPr>
          <w:rFonts w:hint="eastAsia" w:ascii="宋体" w:hAnsi="宋体" w:cs="宋体"/>
          <w:b/>
          <w:bCs/>
          <w:color w:val="auto"/>
          <w:sz w:val="22"/>
          <w:highlight w:val="none"/>
        </w:rPr>
        <w:t>以介质存储的数据电文形式的备份投标文件按“</w:t>
      </w:r>
      <w:r>
        <w:rPr>
          <w:rFonts w:hint="eastAsia" w:ascii="宋体" w:hAnsi="宋体" w:cs="宋体"/>
          <w:b/>
          <w:bCs/>
          <w:color w:val="auto"/>
          <w:sz w:val="22"/>
          <w:highlight w:val="none"/>
          <w:lang w:val="zh-CN"/>
        </w:rPr>
        <w:t>投标人须知前附表</w:t>
      </w:r>
      <w:r>
        <w:rPr>
          <w:rFonts w:hint="eastAsia" w:ascii="宋体" w:hAnsi="宋体" w:cs="宋体"/>
          <w:b/>
          <w:bCs/>
          <w:color w:val="auto"/>
          <w:sz w:val="22"/>
          <w:highlight w:val="none"/>
        </w:rPr>
        <w:t>”要求</w:t>
      </w:r>
      <w:r>
        <w:rPr>
          <w:rFonts w:hint="eastAsia" w:ascii="宋体" w:hAnsi="宋体" w:cs="宋体"/>
          <w:b/>
          <w:bCs/>
          <w:color w:val="auto"/>
          <w:sz w:val="22"/>
          <w:highlight w:val="none"/>
        </w:rPr>
        <w:fldChar w:fldCharType="end"/>
      </w:r>
      <w:r>
        <w:rPr>
          <w:rFonts w:hint="eastAsia" w:ascii="宋体" w:hAnsi="宋体" w:cs="宋体"/>
          <w:color w:val="auto"/>
          <w:kern w:val="0"/>
          <w:sz w:val="22"/>
          <w:highlight w:val="none"/>
        </w:rPr>
        <w:t>加密、递交。</w:t>
      </w:r>
    </w:p>
    <w:p>
      <w:pPr>
        <w:pStyle w:val="16"/>
        <w:snapToGrid w:val="0"/>
        <w:spacing w:line="360" w:lineRule="exact"/>
        <w:ind w:firstLine="440" w:firstLineChars="200"/>
        <w:rPr>
          <w:rFonts w:hAnsi="宋体" w:cs="宋体"/>
          <w:color w:val="auto"/>
          <w:kern w:val="0"/>
          <w:sz w:val="22"/>
          <w:highlight w:val="none"/>
        </w:rPr>
      </w:pPr>
      <w:r>
        <w:rPr>
          <w:rFonts w:hint="eastAsia" w:hAnsi="宋体" w:cs="宋体"/>
          <w:color w:val="auto"/>
          <w:kern w:val="0"/>
          <w:sz w:val="22"/>
          <w:highlight w:val="none"/>
        </w:rPr>
        <w:t>本项目由采购代理机构做好“</w:t>
      </w:r>
      <w:r>
        <w:rPr>
          <w:rFonts w:hint="eastAsia" w:hAnsi="宋体" w:cs="宋体"/>
          <w:b/>
          <w:bCs/>
          <w:color w:val="auto"/>
          <w:sz w:val="22"/>
          <w:highlight w:val="none"/>
        </w:rPr>
        <w:t>介质存储的数据电文形式的备份投标文件</w:t>
      </w:r>
      <w:r>
        <w:rPr>
          <w:rFonts w:hint="eastAsia" w:hAnsi="宋体" w:cs="宋体"/>
          <w:color w:val="auto"/>
          <w:kern w:val="0"/>
          <w:sz w:val="22"/>
          <w:highlight w:val="none"/>
        </w:rPr>
        <w:t>”的签收工作后，与投标资料一并归档。投标人授权代表不参加现场开标活动，由相关人员进行现场监督。采购代理机构将记录所有投标文件的开封过程的有关内容，并由相关人员签字确认。</w:t>
      </w:r>
    </w:p>
    <w:p>
      <w:pPr>
        <w:snapToGrid w:val="0"/>
        <w:spacing w:line="360" w:lineRule="exact"/>
        <w:ind w:firstLine="440" w:firstLineChars="200"/>
        <w:jc w:val="left"/>
        <w:rPr>
          <w:rFonts w:ascii="宋体" w:hAnsi="宋体" w:cs="宋体"/>
          <w:color w:val="auto"/>
          <w:sz w:val="22"/>
          <w:highlight w:val="none"/>
          <w:u w:val="single"/>
        </w:rPr>
      </w:pPr>
      <w:r>
        <w:rPr>
          <w:rFonts w:hint="eastAsia" w:ascii="宋体" w:hAnsi="宋体" w:cs="宋体"/>
          <w:color w:val="auto"/>
          <w:sz w:val="22"/>
          <w:highlight w:val="none"/>
          <w:u w:val="single"/>
        </w:rPr>
        <w:t>▲投标人递交的介质存储的数据电文形式的备份投标文件时，如出现下列情况之一的，视为无效备份投标文件：</w:t>
      </w:r>
    </w:p>
    <w:p>
      <w:pPr>
        <w:snapToGrid w:val="0"/>
        <w:spacing w:line="360" w:lineRule="exact"/>
        <w:ind w:firstLine="440" w:firstLineChars="200"/>
        <w:jc w:val="left"/>
        <w:rPr>
          <w:rFonts w:ascii="宋体" w:hAnsi="宋体" w:cs="宋体"/>
          <w:color w:val="auto"/>
          <w:sz w:val="22"/>
          <w:highlight w:val="none"/>
          <w:u w:val="single"/>
        </w:rPr>
      </w:pPr>
      <w:r>
        <w:rPr>
          <w:rFonts w:hint="eastAsia" w:ascii="宋体" w:hAnsi="宋体" w:cs="宋体"/>
          <w:color w:val="auto"/>
          <w:sz w:val="22"/>
          <w:highlight w:val="none"/>
          <w:u w:val="single"/>
        </w:rPr>
        <w:t>（1）超过投标文件提交截止时间送达的；</w:t>
      </w:r>
    </w:p>
    <w:p>
      <w:pPr>
        <w:snapToGrid w:val="0"/>
        <w:spacing w:line="360" w:lineRule="exact"/>
        <w:ind w:firstLine="440" w:firstLineChars="200"/>
        <w:jc w:val="left"/>
        <w:rPr>
          <w:rFonts w:ascii="宋体" w:hAnsi="宋体" w:cs="宋体"/>
          <w:color w:val="auto"/>
          <w:sz w:val="22"/>
          <w:highlight w:val="none"/>
          <w:u w:val="single"/>
        </w:rPr>
      </w:pPr>
      <w:r>
        <w:rPr>
          <w:rFonts w:hint="eastAsia" w:ascii="宋体" w:hAnsi="宋体" w:cs="宋体"/>
          <w:color w:val="auto"/>
          <w:sz w:val="22"/>
          <w:highlight w:val="none"/>
          <w:u w:val="single"/>
        </w:rPr>
        <w:t>（2）未在政采云平台获取招标文件的。</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3.投标文件的修改和撤回</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3.1投标人应当在投标文件提交截止时间前完成电子投标文件的传输递交，并可以补充、修改或者撤回电子投标文件。补充或者修改电子投标文件的，应当先行撤回原文件，补充、修改后重新传输递交。投标文件提交截止时间前未完成传输的，视为撤回投标文件。投标文件提交截止时间后送达的投标文件，将被政采云平台拒收。</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3.2在投标文件提交截止时间之后，投标人不得对其投标做任何修改。</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3.3从投标文件提交截止时间至投标人在投标书格式中确定的投标有效期期满这段时间内，投标人不得撤回其投标。</w:t>
      </w:r>
    </w:p>
    <w:p>
      <w:pPr>
        <w:tabs>
          <w:tab w:val="left" w:pos="360"/>
          <w:tab w:val="left" w:pos="540"/>
          <w:tab w:val="left" w:pos="1260"/>
        </w:tabs>
        <w:spacing w:line="400" w:lineRule="exact"/>
        <w:ind w:left="919" w:hanging="919" w:hangingChars="352"/>
        <w:jc w:val="center"/>
        <w:outlineLvl w:val="0"/>
        <w:rPr>
          <w:rFonts w:ascii="宋体" w:hAnsi="宋体" w:cs="宋体"/>
          <w:b/>
          <w:color w:val="auto"/>
          <w:sz w:val="26"/>
          <w:highlight w:val="none"/>
        </w:rPr>
      </w:pPr>
      <w:r>
        <w:rPr>
          <w:rFonts w:hint="eastAsia" w:ascii="宋体" w:hAnsi="宋体" w:cs="宋体"/>
          <w:b/>
          <w:color w:val="auto"/>
          <w:sz w:val="26"/>
          <w:highlight w:val="none"/>
        </w:rPr>
        <w:t>五、 开标和评标</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1.评审小组</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采购人依法组建评审小组。评审小组的成员在评标过程中必须严格遵守《中华人民共和国政府采购法》等有关法律、法规的规定。</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2.评标过程的保密性</w:t>
      </w:r>
    </w:p>
    <w:p>
      <w:pPr>
        <w:spacing w:line="360" w:lineRule="exact"/>
        <w:ind w:firstLine="442" w:firstLineChars="200"/>
        <w:rPr>
          <w:rFonts w:ascii="宋体" w:hAnsi="宋体" w:cs="宋体"/>
          <w:color w:val="auto"/>
          <w:sz w:val="22"/>
          <w:highlight w:val="none"/>
          <w:u w:val="single"/>
        </w:rPr>
      </w:pPr>
      <w:r>
        <w:rPr>
          <w:rFonts w:hint="eastAsia" w:ascii="宋体" w:hAnsi="宋体" w:cs="宋体"/>
          <w:b/>
          <w:color w:val="auto"/>
          <w:sz w:val="22"/>
          <w:highlight w:val="none"/>
          <w:u w:val="single"/>
        </w:rPr>
        <w:t>▲</w:t>
      </w:r>
      <w:r>
        <w:rPr>
          <w:rFonts w:hint="eastAsia" w:ascii="宋体" w:hAnsi="宋体" w:cs="宋体"/>
          <w:color w:val="auto"/>
          <w:sz w:val="22"/>
          <w:highlight w:val="none"/>
          <w:u w:val="single"/>
        </w:rPr>
        <w:t>2.1开标后直至向中标人授予合同时止，凡与评审有关的资料均不得向投标人及与评标无关人员透漏。如果投标人在评标过程中试图向采购人和采购人施加影响，其投标将被拒绝。</w:t>
      </w:r>
    </w:p>
    <w:p>
      <w:pPr>
        <w:spacing w:line="360" w:lineRule="exact"/>
        <w:rPr>
          <w:rFonts w:ascii="宋体" w:hAnsi="宋体" w:cs="宋体"/>
          <w:color w:val="auto"/>
          <w:sz w:val="22"/>
          <w:highlight w:val="none"/>
        </w:rPr>
      </w:pPr>
      <w:r>
        <w:rPr>
          <w:rFonts w:hint="eastAsia" w:ascii="宋体" w:hAnsi="宋体" w:cs="宋体"/>
          <w:color w:val="auto"/>
          <w:sz w:val="22"/>
          <w:highlight w:val="none"/>
        </w:rPr>
        <w:t>3.开标</w:t>
      </w:r>
    </w:p>
    <w:p>
      <w:pPr>
        <w:pStyle w:val="48"/>
        <w:snapToGrid w:val="0"/>
        <w:spacing w:line="360" w:lineRule="exact"/>
        <w:ind w:firstLine="440" w:firstLineChars="200"/>
        <w:rPr>
          <w:color w:val="auto"/>
          <w:sz w:val="22"/>
          <w:highlight w:val="none"/>
        </w:rPr>
      </w:pPr>
      <w:r>
        <w:rPr>
          <w:rFonts w:hint="eastAsia"/>
          <w:color w:val="auto"/>
          <w:sz w:val="22"/>
          <w:highlight w:val="none"/>
        </w:rPr>
        <w:t>本项目实行电子开评标，投标人无需前往开评标现场，只需在规定时间内在“政采云”平台上上传电子投标文件。</w:t>
      </w:r>
    </w:p>
    <w:p>
      <w:pPr>
        <w:pStyle w:val="48"/>
        <w:snapToGrid w:val="0"/>
        <w:spacing w:line="360" w:lineRule="exact"/>
        <w:ind w:firstLine="440" w:firstLineChars="200"/>
        <w:rPr>
          <w:color w:val="auto"/>
          <w:sz w:val="22"/>
          <w:highlight w:val="none"/>
        </w:rPr>
      </w:pPr>
      <w:r>
        <w:rPr>
          <w:rFonts w:hint="eastAsia"/>
          <w:color w:val="auto"/>
          <w:sz w:val="22"/>
          <w:highlight w:val="none"/>
        </w:rPr>
        <w:t>3.1开标准备</w:t>
      </w:r>
    </w:p>
    <w:p>
      <w:pPr>
        <w:pStyle w:val="48"/>
        <w:snapToGrid w:val="0"/>
        <w:spacing w:line="360" w:lineRule="exact"/>
        <w:ind w:firstLine="440" w:firstLineChars="200"/>
        <w:rPr>
          <w:color w:val="auto"/>
          <w:sz w:val="22"/>
          <w:highlight w:val="none"/>
        </w:rPr>
      </w:pPr>
      <w:r>
        <w:rPr>
          <w:rFonts w:hint="eastAsia"/>
          <w:color w:val="auto"/>
          <w:sz w:val="22"/>
          <w:highlight w:val="none"/>
        </w:rPr>
        <w:t>①制订开标、评审工作的组织方案，落实工作场地、设施，检查录音录像采集设备运行情况。采用电子评审方式的，验证电子评审系统是否正常运行。</w:t>
      </w:r>
    </w:p>
    <w:p>
      <w:pPr>
        <w:pStyle w:val="48"/>
        <w:snapToGrid w:val="0"/>
        <w:spacing w:line="360" w:lineRule="exact"/>
        <w:ind w:firstLine="440" w:firstLineChars="200"/>
        <w:rPr>
          <w:color w:val="auto"/>
          <w:sz w:val="22"/>
          <w:highlight w:val="none"/>
        </w:rPr>
      </w:pPr>
      <w:r>
        <w:rPr>
          <w:rFonts w:hint="eastAsia"/>
          <w:color w:val="auto"/>
          <w:sz w:val="22"/>
          <w:highlight w:val="none"/>
        </w:rPr>
        <w:t>②通知或邀请相关单位和人员出席开标、评审活动（按规定由相关监管部门或其授权机构随机抽取、通知的政府采购评审专家除外）。</w:t>
      </w:r>
    </w:p>
    <w:p>
      <w:pPr>
        <w:pStyle w:val="48"/>
        <w:snapToGrid w:val="0"/>
        <w:spacing w:line="360" w:lineRule="exact"/>
        <w:ind w:firstLine="440" w:firstLineChars="200"/>
        <w:rPr>
          <w:color w:val="auto"/>
          <w:sz w:val="22"/>
          <w:highlight w:val="none"/>
        </w:rPr>
      </w:pPr>
      <w:r>
        <w:rPr>
          <w:rFonts w:hint="eastAsia"/>
          <w:color w:val="auto"/>
          <w:sz w:val="22"/>
          <w:highlight w:val="none"/>
        </w:rPr>
        <w:t>③准备政府采购项目的相关文件资料，如项目政府采购预算确认书（计划）、专家抽取有关凭证、项目书面说明、招标文件、补充文件及质疑答复情况、现场工作所需的相关登记表单、评审工作底稿等。</w:t>
      </w:r>
    </w:p>
    <w:p>
      <w:pPr>
        <w:pStyle w:val="48"/>
        <w:snapToGrid w:val="0"/>
        <w:spacing w:line="360" w:lineRule="exact"/>
        <w:ind w:firstLine="440" w:firstLineChars="200"/>
        <w:rPr>
          <w:color w:val="auto"/>
          <w:sz w:val="22"/>
          <w:highlight w:val="none"/>
        </w:rPr>
      </w:pPr>
      <w:r>
        <w:rPr>
          <w:rFonts w:hint="eastAsia"/>
          <w:color w:val="auto"/>
          <w:sz w:val="22"/>
          <w:highlight w:val="none"/>
        </w:rPr>
        <w:t>④其他应准备的事项。</w:t>
      </w:r>
    </w:p>
    <w:p>
      <w:pPr>
        <w:pStyle w:val="12"/>
        <w:spacing w:line="360" w:lineRule="exact"/>
        <w:ind w:left="0" w:firstLine="440" w:firstLineChars="200"/>
        <w:rPr>
          <w:rFonts w:ascii="宋体" w:hAnsi="宋体" w:cs="宋体"/>
          <w:color w:val="auto"/>
          <w:sz w:val="22"/>
          <w:highlight w:val="none"/>
        </w:rPr>
      </w:pPr>
      <w:r>
        <w:rPr>
          <w:rFonts w:hint="eastAsia" w:ascii="宋体" w:hAnsi="宋体" w:cs="宋体"/>
          <w:color w:val="auto"/>
          <w:sz w:val="22"/>
          <w:highlight w:val="none"/>
        </w:rPr>
        <w:t>3.2采购代理机构按照招标文件规定的时间、地点和程序组织开标，具体按以下程序进行：</w:t>
      </w:r>
    </w:p>
    <w:p>
      <w:pPr>
        <w:pStyle w:val="16"/>
        <w:overflowPunct/>
        <w:autoSpaceDE/>
        <w:autoSpaceDN/>
        <w:adjustRightInd/>
        <w:spacing w:line="360" w:lineRule="exact"/>
        <w:ind w:firstLine="440" w:firstLineChars="200"/>
        <w:textAlignment w:val="auto"/>
        <w:rPr>
          <w:rFonts w:hAnsi="宋体" w:cs="宋体"/>
          <w:color w:val="auto"/>
          <w:spacing w:val="-6"/>
          <w:sz w:val="22"/>
          <w:highlight w:val="none"/>
        </w:rPr>
      </w:pPr>
      <w:r>
        <w:rPr>
          <w:rFonts w:hint="eastAsia" w:hAnsi="宋体" w:cs="宋体"/>
          <w:color w:val="auto"/>
          <w:sz w:val="22"/>
          <w:highlight w:val="none"/>
        </w:rPr>
        <w:t>①</w:t>
      </w:r>
      <w:r>
        <w:rPr>
          <w:rFonts w:hint="eastAsia" w:hAnsi="宋体" w:cs="宋体"/>
          <w:color w:val="auto"/>
          <w:spacing w:val="-6"/>
          <w:sz w:val="22"/>
          <w:highlight w:val="none"/>
        </w:rPr>
        <w:t>开启评审场地的录音录像采集设备，并确保其正常运行。</w:t>
      </w:r>
    </w:p>
    <w:p>
      <w:pPr>
        <w:pStyle w:val="27"/>
        <w:spacing w:before="0" w:beforeAutospacing="0" w:after="0" w:afterAutospacing="0" w:line="360" w:lineRule="exact"/>
        <w:ind w:firstLine="440" w:firstLineChars="200"/>
        <w:jc w:val="both"/>
        <w:rPr>
          <w:color w:val="auto"/>
          <w:sz w:val="22"/>
          <w:highlight w:val="none"/>
        </w:rPr>
      </w:pPr>
      <w:r>
        <w:rPr>
          <w:rFonts w:hint="eastAsia"/>
          <w:color w:val="auto"/>
          <w:sz w:val="22"/>
          <w:highlight w:val="none"/>
        </w:rPr>
        <w:t>②解密</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投标文件提交截止时间止采购代理机构向各投标人发出电子投标文件开始解密通知，由投标人在</w:t>
      </w:r>
      <w:r>
        <w:rPr>
          <w:rFonts w:hint="eastAsia" w:ascii="宋体" w:hAnsi="宋体" w:cs="宋体"/>
          <w:b/>
          <w:bCs/>
          <w:snapToGrid w:val="0"/>
          <w:color w:val="auto"/>
          <w:sz w:val="22"/>
          <w:highlight w:val="none"/>
        </w:rPr>
        <w:t>政采云平台</w:t>
      </w:r>
      <w:r>
        <w:rPr>
          <w:rFonts w:hint="eastAsia" w:ascii="宋体" w:hAnsi="宋体" w:cs="宋体"/>
          <w:b/>
          <w:bCs/>
          <w:color w:val="auto"/>
          <w:sz w:val="22"/>
          <w:highlight w:val="none"/>
        </w:rPr>
        <w:t>规定时间（不少于30分钟）内自行进行投标文件解密（</w:t>
      </w:r>
      <w:r>
        <w:rPr>
          <w:rFonts w:hint="eastAsia" w:ascii="宋体" w:hAnsi="宋体" w:cs="宋体"/>
          <w:b/>
          <w:bCs/>
          <w:color w:val="auto"/>
          <w:kern w:val="0"/>
          <w:sz w:val="22"/>
          <w:highlight w:val="none"/>
        </w:rPr>
        <w:t>投标人无需在开标当天到达开标现场对电子投标进行解密，可在公司办公场地在</w:t>
      </w:r>
      <w:r>
        <w:rPr>
          <w:rFonts w:hint="eastAsia" w:ascii="宋体" w:hAnsi="宋体" w:cs="宋体"/>
          <w:b/>
          <w:bCs/>
          <w:snapToGrid w:val="0"/>
          <w:color w:val="auto"/>
          <w:sz w:val="22"/>
          <w:highlight w:val="none"/>
        </w:rPr>
        <w:t>政采云平台</w:t>
      </w:r>
      <w:r>
        <w:rPr>
          <w:rFonts w:hint="eastAsia" w:ascii="宋体" w:hAnsi="宋体" w:cs="宋体"/>
          <w:b/>
          <w:bCs/>
          <w:color w:val="auto"/>
          <w:kern w:val="0"/>
          <w:sz w:val="22"/>
          <w:highlight w:val="none"/>
        </w:rPr>
        <w:t>规定时间内</w:t>
      </w:r>
      <w:r>
        <w:rPr>
          <w:rFonts w:hint="eastAsia" w:ascii="宋体" w:hAnsi="宋体" w:cs="宋体"/>
          <w:b/>
          <w:bCs/>
          <w:color w:val="auto"/>
          <w:sz w:val="22"/>
          <w:highlight w:val="none"/>
        </w:rPr>
        <w:t>通过制作电子投标文件的CA锁用“项目采购-开标评标”功能</w:t>
      </w:r>
      <w:r>
        <w:rPr>
          <w:rFonts w:hint="eastAsia" w:ascii="宋体" w:hAnsi="宋体" w:cs="宋体"/>
          <w:b/>
          <w:bCs/>
          <w:color w:val="auto"/>
          <w:kern w:val="0"/>
          <w:sz w:val="22"/>
          <w:highlight w:val="none"/>
        </w:rPr>
        <w:t>对电子投标文件进行解密。</w:t>
      </w:r>
      <w:r>
        <w:rPr>
          <w:rFonts w:hint="eastAsia" w:ascii="宋体" w:hAnsi="宋体" w:cs="宋体"/>
          <w:b/>
          <w:bCs/>
          <w:color w:val="auto"/>
          <w:sz w:val="22"/>
          <w:highlight w:val="none"/>
        </w:rPr>
        <w:t>）。</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本项目原则上采用政采云电子招投标开标及评审程序，但有下情形的，按以下情况处理：</w:t>
      </w:r>
    </w:p>
    <w:p>
      <w:pPr>
        <w:pStyle w:val="16"/>
        <w:snapToGrid w:val="0"/>
        <w:spacing w:line="360" w:lineRule="exact"/>
        <w:ind w:firstLine="480" w:firstLineChars="200"/>
        <w:rPr>
          <w:rFonts w:hAnsi="宋体" w:cs="宋体"/>
          <w:b/>
          <w:bCs/>
          <w:color w:val="auto"/>
          <w:sz w:val="22"/>
          <w:highlight w:val="none"/>
        </w:rPr>
      </w:pPr>
      <w:r>
        <w:rPr>
          <w:color w:val="auto"/>
          <w:highlight w:val="none"/>
        </w:rPr>
        <w:fldChar w:fldCharType="begin"/>
      </w:r>
      <w:r>
        <w:rPr>
          <w:color w:val="auto"/>
          <w:highlight w:val="none"/>
        </w:rPr>
        <w:instrText xml:space="preserve"> HYPERLINK "mailto:投标人在政采云规定时间内无法解密或解密失败的，如已按规定递交以介质存储的数据电文形式的备份投标文件的，采购代理机构将按照投标人自身意愿确认是否同意提供加密密码解密传送至浙江乐诚工程咨询有限公司电子邮箱（2812799762@qq.com）的以介质存储的数据电文形式的备份投标文件，并以以介质存储的数据电文形式的备份投标文件按政府采购云平台操作规范上传至政府采购云平台，上传成功后，电子加密投标文件自动失效，否则视为投标文件撤回。投标文件已按时解密的，以介质存储的数据电文形式的备份投标文件自动失效。" </w:instrText>
      </w:r>
      <w:r>
        <w:rPr>
          <w:color w:val="auto"/>
          <w:highlight w:val="none"/>
        </w:rPr>
        <w:fldChar w:fldCharType="separate"/>
      </w:r>
      <w:r>
        <w:rPr>
          <w:rStyle w:val="35"/>
          <w:rFonts w:hint="eastAsia" w:hAnsi="宋体" w:cs="宋体"/>
          <w:b/>
          <w:bCs/>
          <w:color w:val="auto"/>
          <w:sz w:val="22"/>
          <w:highlight w:val="none"/>
        </w:rPr>
        <w:t>投标人在政采云规定时间内无法解密或解密失败的，如已按规定递交以介质存储的数据电文形式的备份投标文件的，采购代理机构将按照投标人自身意愿确认是否同意提供加密密码解密传送至浙江乐诚工程咨询有限公司电子邮箱（2812799762@qq.com）的以介质存储的数据电文形式的备份投标文件，并以以介质存储的数据电文形式的备份投标文件按政府采购云平台操作规范上传至政府采购云平台，上传成功后，电子加密投标文件自动失效，否则视为投标文件撤回。投标文件已按时解密的，以介质存储的数据电文形式的备份投标文件自动失效。</w:t>
      </w:r>
      <w:r>
        <w:rPr>
          <w:rStyle w:val="35"/>
          <w:rFonts w:hint="eastAsia" w:hAnsi="宋体" w:cs="宋体"/>
          <w:b/>
          <w:bCs/>
          <w:color w:val="auto"/>
          <w:sz w:val="22"/>
          <w:highlight w:val="none"/>
        </w:rPr>
        <w:fldChar w:fldCharType="end"/>
      </w:r>
    </w:p>
    <w:p>
      <w:pPr>
        <w:pStyle w:val="16"/>
        <w:snapToGrid w:val="0"/>
        <w:spacing w:line="360" w:lineRule="exact"/>
        <w:ind w:firstLine="442" w:firstLineChars="200"/>
        <w:rPr>
          <w:rFonts w:hAnsi="宋体" w:cs="宋体"/>
          <w:b/>
          <w:bCs/>
          <w:color w:val="auto"/>
          <w:sz w:val="22"/>
          <w:highlight w:val="none"/>
        </w:rPr>
      </w:pPr>
      <w:r>
        <w:rPr>
          <w:rFonts w:hint="eastAsia" w:hAnsi="宋体" w:cs="宋体"/>
          <w:b/>
          <w:bCs/>
          <w:color w:val="auto"/>
          <w:sz w:val="22"/>
          <w:highlight w:val="none"/>
        </w:rPr>
        <w:t>请各投标人务必在规定时间内完成电子投标文件的解密工作，在电子开评标期间，投标人（授权代表）需确保在各自所在的区域具备上网的技术条件并保持网络及联系方式畅通，联系方式为获取招标文件时留的联系方式，无法保持联系方式畅通的一切后果由投标人自行承担，同时为避免出现意外，建议全程由一台电脑进行操作（包括标书制作、上传、解密等），中途不要更换电脑。投标人因未在线参加开标而导致投标文件无法按时解密等一切后果由投标人自行承担。</w:t>
      </w:r>
    </w:p>
    <w:p>
      <w:pPr>
        <w:pStyle w:val="16"/>
        <w:widowControl w:val="0"/>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投标人不足3家的，不得开标。</w:t>
      </w:r>
    </w:p>
    <w:p>
      <w:pPr>
        <w:pStyle w:val="16"/>
        <w:widowControl w:val="0"/>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③投标文件解密结束，组织投标人签署《政府采购活动现场确认声明书》，格式详见附件。</w:t>
      </w:r>
    </w:p>
    <w:p>
      <w:pPr>
        <w:pStyle w:val="16"/>
        <w:widowControl w:val="0"/>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④采购代理机构对资格进行审查。</w:t>
      </w:r>
    </w:p>
    <w:p>
      <w:pPr>
        <w:pStyle w:val="16"/>
        <w:widowControl w:val="0"/>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⑤评审小组对商务技术文件进行评审。</w:t>
      </w:r>
    </w:p>
    <w:p>
      <w:pPr>
        <w:pStyle w:val="16"/>
        <w:widowControl w:val="0"/>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⑥评审小组对报价情况进行评审。</w:t>
      </w:r>
    </w:p>
    <w:p>
      <w:pPr>
        <w:pStyle w:val="16"/>
        <w:widowControl w:val="0"/>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⑦在系统上公布评审结果。</w:t>
      </w:r>
    </w:p>
    <w:p>
      <w:pPr>
        <w:pStyle w:val="16"/>
        <w:widowControl w:val="0"/>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特别说明：政采云公司如对电子化开标及评审程序有调整的，按调整后的程序操作。</w:t>
      </w:r>
    </w:p>
    <w:p>
      <w:pPr>
        <w:spacing w:line="360" w:lineRule="exact"/>
        <w:ind w:firstLine="440" w:firstLineChars="200"/>
        <w:rPr>
          <w:rFonts w:ascii="宋体" w:hAnsi="宋体" w:cs="宋体"/>
          <w:bCs/>
          <w:color w:val="auto"/>
          <w:sz w:val="22"/>
          <w:highlight w:val="none"/>
          <w:lang w:val="zh-CN"/>
        </w:rPr>
      </w:pPr>
      <w:r>
        <w:rPr>
          <w:rFonts w:hint="eastAsia" w:ascii="宋体" w:hAnsi="宋体" w:cs="宋体"/>
          <w:color w:val="auto"/>
          <w:sz w:val="22"/>
          <w:highlight w:val="none"/>
        </w:rPr>
        <w:t>4.评标</w:t>
      </w:r>
    </w:p>
    <w:p>
      <w:pPr>
        <w:pStyle w:val="16"/>
        <w:overflowPunct/>
        <w:autoSpaceDE/>
        <w:autoSpaceDN/>
        <w:adjustRightInd/>
        <w:spacing w:line="360" w:lineRule="exact"/>
        <w:ind w:firstLine="416" w:firstLineChars="200"/>
        <w:textAlignment w:val="auto"/>
        <w:rPr>
          <w:rFonts w:hAnsi="宋体" w:cs="宋体"/>
          <w:color w:val="auto"/>
          <w:spacing w:val="-6"/>
          <w:sz w:val="22"/>
          <w:highlight w:val="none"/>
        </w:rPr>
      </w:pPr>
      <w:r>
        <w:rPr>
          <w:rFonts w:hint="eastAsia" w:hAnsi="宋体" w:cs="宋体"/>
          <w:color w:val="auto"/>
          <w:spacing w:val="-6"/>
          <w:sz w:val="22"/>
          <w:highlight w:val="none"/>
        </w:rPr>
        <w:t>采购代理机构按照招标文件规定的时间、地点及程序组织评审。评审活动一般应按以下程序组织开展：</w:t>
      </w:r>
    </w:p>
    <w:p>
      <w:pPr>
        <w:pStyle w:val="16"/>
        <w:overflowPunct/>
        <w:autoSpaceDE/>
        <w:autoSpaceDN/>
        <w:adjustRightInd/>
        <w:spacing w:line="360" w:lineRule="exact"/>
        <w:ind w:firstLine="440" w:firstLineChars="200"/>
        <w:textAlignment w:val="auto"/>
        <w:rPr>
          <w:rFonts w:hAnsi="宋体" w:cs="宋体"/>
          <w:color w:val="auto"/>
          <w:spacing w:val="-6"/>
          <w:sz w:val="22"/>
          <w:highlight w:val="none"/>
        </w:rPr>
      </w:pPr>
      <w:r>
        <w:rPr>
          <w:rFonts w:hint="eastAsia" w:hAnsi="宋体" w:cs="宋体"/>
          <w:color w:val="auto"/>
          <w:sz w:val="22"/>
          <w:highlight w:val="none"/>
        </w:rPr>
        <w:t>①</w:t>
      </w:r>
      <w:r>
        <w:rPr>
          <w:rFonts w:hint="eastAsia" w:hAnsi="宋体" w:cs="宋体"/>
          <w:color w:val="auto"/>
          <w:spacing w:val="-6"/>
          <w:sz w:val="22"/>
          <w:highlight w:val="none"/>
        </w:rPr>
        <w:t>开启评审场地的录音录像采集设备，并确保其正常运行。</w:t>
      </w:r>
    </w:p>
    <w:p>
      <w:pPr>
        <w:pStyle w:val="16"/>
        <w:overflowPunct/>
        <w:autoSpaceDE/>
        <w:autoSpaceDN/>
        <w:adjustRightInd/>
        <w:spacing w:line="360" w:lineRule="exact"/>
        <w:ind w:firstLine="440" w:firstLineChars="200"/>
        <w:textAlignment w:val="auto"/>
        <w:rPr>
          <w:rFonts w:hAnsi="宋体" w:cs="宋体"/>
          <w:color w:val="auto"/>
          <w:spacing w:val="-6"/>
          <w:sz w:val="22"/>
          <w:highlight w:val="none"/>
        </w:rPr>
      </w:pPr>
      <w:r>
        <w:rPr>
          <w:rFonts w:hint="eastAsia" w:hAnsi="宋体" w:cs="宋体"/>
          <w:color w:val="auto"/>
          <w:sz w:val="22"/>
          <w:highlight w:val="none"/>
        </w:rPr>
        <w:t>②</w:t>
      </w:r>
      <w:r>
        <w:rPr>
          <w:rFonts w:hint="eastAsia" w:hAnsi="宋体" w:cs="宋体"/>
          <w:color w:val="auto"/>
          <w:spacing w:val="-6"/>
          <w:sz w:val="22"/>
          <w:highlight w:val="none"/>
        </w:rPr>
        <w:t>核验出席评审活动现场的评审小组各成员身份，并要求其分别登记、签到，按规定统一收缴、保存其通讯工具，无关人员一律拒绝其进入评审现场。</w:t>
      </w:r>
    </w:p>
    <w:p>
      <w:pPr>
        <w:pStyle w:val="16"/>
        <w:overflowPunct/>
        <w:autoSpaceDE/>
        <w:autoSpaceDN/>
        <w:adjustRightInd/>
        <w:spacing w:line="360" w:lineRule="exact"/>
        <w:ind w:firstLine="416" w:firstLineChars="200"/>
        <w:textAlignment w:val="auto"/>
        <w:rPr>
          <w:rFonts w:hAnsi="宋体" w:cs="宋体"/>
          <w:color w:val="auto"/>
          <w:spacing w:val="-6"/>
          <w:sz w:val="22"/>
          <w:highlight w:val="none"/>
        </w:rPr>
      </w:pPr>
      <w:r>
        <w:rPr>
          <w:rFonts w:hint="eastAsia" w:hAnsi="宋体" w:cs="宋体"/>
          <w:color w:val="auto"/>
          <w:spacing w:val="-6"/>
          <w:sz w:val="22"/>
          <w:highlight w:val="none"/>
        </w:rPr>
        <w:t>③介绍评审现场的人员情况，宣布评审工作纪律，告知评审小组应当回避情形；组织推选评审小组组长。</w:t>
      </w:r>
    </w:p>
    <w:p>
      <w:pPr>
        <w:pStyle w:val="16"/>
        <w:overflowPunct/>
        <w:autoSpaceDE/>
        <w:autoSpaceDN/>
        <w:adjustRightInd/>
        <w:spacing w:line="360" w:lineRule="exact"/>
        <w:ind w:firstLine="440" w:firstLineChars="200"/>
        <w:textAlignment w:val="auto"/>
        <w:rPr>
          <w:rFonts w:hAnsi="宋体" w:cs="宋体"/>
          <w:color w:val="auto"/>
          <w:spacing w:val="-6"/>
          <w:sz w:val="22"/>
          <w:highlight w:val="none"/>
        </w:rPr>
      </w:pPr>
      <w:r>
        <w:rPr>
          <w:rFonts w:hint="eastAsia" w:hAnsi="宋体" w:cs="宋体"/>
          <w:color w:val="auto"/>
          <w:sz w:val="22"/>
          <w:highlight w:val="none"/>
        </w:rPr>
        <w:t>④宣布获取</w:t>
      </w:r>
      <w:r>
        <w:rPr>
          <w:rFonts w:hint="eastAsia" w:hAnsi="宋体" w:cs="宋体"/>
          <w:color w:val="auto"/>
          <w:spacing w:val="-6"/>
          <w:sz w:val="22"/>
          <w:highlight w:val="none"/>
        </w:rPr>
        <w:t>本项目采购的投标人名单，宣读最终提交投标文件且通过资格审查的投标人名单，组织评审小组各位成员签订《政府采购评审人员廉洁自律承诺书》。</w:t>
      </w:r>
    </w:p>
    <w:p>
      <w:pPr>
        <w:pStyle w:val="16"/>
        <w:overflowPunct/>
        <w:autoSpaceDE/>
        <w:autoSpaceDN/>
        <w:adjustRightInd/>
        <w:spacing w:line="360" w:lineRule="exact"/>
        <w:ind w:firstLine="416" w:firstLineChars="200"/>
        <w:textAlignment w:val="auto"/>
        <w:rPr>
          <w:rFonts w:hAnsi="宋体" w:cs="宋体"/>
          <w:color w:val="auto"/>
          <w:spacing w:val="-6"/>
          <w:sz w:val="22"/>
          <w:highlight w:val="none"/>
        </w:rPr>
      </w:pPr>
      <w:r>
        <w:rPr>
          <w:rFonts w:hint="eastAsia" w:hAnsi="宋体" w:cs="宋体"/>
          <w:color w:val="auto"/>
          <w:spacing w:val="-6"/>
          <w:sz w:val="22"/>
          <w:highlight w:val="none"/>
        </w:rPr>
        <w:t>⑤根据需要简要介绍招标文件（含补充文件）制定及质疑答复情况、按书面陈述项目基本情况及评审工作需注意事项等，让评审专家尽快知悉和了解所评审项目的采购需求、评审依据、评审标准、工作程序等；提醒评审小组对客观评审项目应统一评审依据和评审标准，对主观评审项目应确定大致的评审要求和评审尺度；对评审小组提出的有关招标文件、投标文件的问题进行必要的说明、解释或讨论。</w:t>
      </w:r>
      <w:r>
        <w:rPr>
          <w:rFonts w:hint="eastAsia" w:hAnsi="宋体" w:cs="宋体"/>
          <w:color w:val="auto"/>
          <w:kern w:val="0"/>
          <w:sz w:val="22"/>
          <w:highlight w:val="none"/>
        </w:rPr>
        <w:t>评审小组要求投标人澄清、说明或者补正，须通过政采云平台要求澄清、说明或者补正。</w:t>
      </w:r>
    </w:p>
    <w:p>
      <w:pPr>
        <w:pStyle w:val="48"/>
        <w:snapToGrid w:val="0"/>
        <w:spacing w:line="360" w:lineRule="exact"/>
        <w:ind w:firstLine="416" w:firstLineChars="200"/>
        <w:rPr>
          <w:color w:val="auto"/>
          <w:spacing w:val="-6"/>
          <w:sz w:val="22"/>
          <w:highlight w:val="none"/>
        </w:rPr>
      </w:pPr>
      <w:r>
        <w:rPr>
          <w:rFonts w:hint="eastAsia"/>
          <w:color w:val="auto"/>
          <w:spacing w:val="-6"/>
          <w:sz w:val="22"/>
          <w:highlight w:val="none"/>
        </w:rPr>
        <w:t>⑥评审小组组长组织评审小组独立评审。评审小组对拟认定为投标文件无效的，应组织相关投标人代表进行陈述、澄清或申辩；评审小组组长对打分结果进行校对、核对并汇总统计；对明显畸高、畸低的评分（其总评分偏离平均分30%以上的），评审小组组长应提醒相关评审人员进行复核或书面说明理由，评审人员拒绝说明的，由现场监督员据实记录；评审人员的评审、修改记录应保留原件，随项目其他资料一并存档。</w:t>
      </w:r>
    </w:p>
    <w:p>
      <w:pPr>
        <w:pStyle w:val="16"/>
        <w:overflowPunct/>
        <w:autoSpaceDE/>
        <w:autoSpaceDN/>
        <w:adjustRightInd/>
        <w:spacing w:line="360" w:lineRule="exact"/>
        <w:ind w:firstLine="416" w:firstLineChars="200"/>
        <w:textAlignment w:val="auto"/>
        <w:rPr>
          <w:rFonts w:hAnsi="宋体" w:cs="宋体"/>
          <w:color w:val="auto"/>
          <w:spacing w:val="-6"/>
          <w:sz w:val="22"/>
          <w:highlight w:val="none"/>
        </w:rPr>
      </w:pPr>
      <w:r>
        <w:rPr>
          <w:rFonts w:hint="eastAsia" w:hAnsi="宋体" w:cs="宋体"/>
          <w:color w:val="auto"/>
          <w:spacing w:val="-6"/>
          <w:sz w:val="22"/>
          <w:highlight w:val="none"/>
        </w:rPr>
        <w:t>做好评审现场相关记录，做好评审报告起草、有关内容电脑文字录入等工作，并要求评审小组各成员签字确认。</w:t>
      </w:r>
    </w:p>
    <w:p>
      <w:pPr>
        <w:pStyle w:val="16"/>
        <w:overflowPunct/>
        <w:autoSpaceDE/>
        <w:autoSpaceDN/>
        <w:adjustRightInd/>
        <w:spacing w:line="360" w:lineRule="exact"/>
        <w:ind w:firstLine="416" w:firstLineChars="200"/>
        <w:textAlignment w:val="auto"/>
        <w:rPr>
          <w:rFonts w:hAnsi="宋体" w:cs="宋体"/>
          <w:b/>
          <w:bCs/>
          <w:color w:val="auto"/>
          <w:sz w:val="22"/>
          <w:highlight w:val="none"/>
        </w:rPr>
      </w:pPr>
      <w:r>
        <w:rPr>
          <w:rFonts w:hint="eastAsia" w:hAnsi="宋体" w:cs="宋体"/>
          <w:color w:val="auto"/>
          <w:spacing w:val="-6"/>
          <w:sz w:val="22"/>
          <w:highlight w:val="none"/>
        </w:rPr>
        <w:t>⑦评审结束后，采购代理机构交还评审人员及其他现场相关人员的通讯工具。</w:t>
      </w:r>
    </w:p>
    <w:p>
      <w:pPr>
        <w:spacing w:line="360" w:lineRule="exact"/>
        <w:rPr>
          <w:rFonts w:ascii="宋体" w:hAnsi="宋体" w:cs="宋体"/>
          <w:color w:val="auto"/>
          <w:sz w:val="22"/>
          <w:highlight w:val="none"/>
        </w:rPr>
      </w:pPr>
      <w:r>
        <w:rPr>
          <w:rFonts w:hint="eastAsia" w:ascii="宋体" w:hAnsi="宋体" w:cs="宋体"/>
          <w:b/>
          <w:bCs/>
          <w:color w:val="auto"/>
          <w:sz w:val="22"/>
          <w:highlight w:val="none"/>
        </w:rPr>
        <w:t>5.投标无效的情形</w:t>
      </w:r>
    </w:p>
    <w:p>
      <w:pPr>
        <w:pStyle w:val="16"/>
        <w:overflowPunct/>
        <w:autoSpaceDE/>
        <w:autoSpaceDN/>
        <w:adjustRightInd/>
        <w:spacing w:line="360" w:lineRule="exact"/>
        <w:ind w:firstLine="440" w:firstLineChars="200"/>
        <w:textAlignment w:val="auto"/>
        <w:rPr>
          <w:rFonts w:hAnsi="宋体" w:cs="宋体"/>
          <w:color w:val="auto"/>
          <w:spacing w:val="-6"/>
          <w:sz w:val="22"/>
          <w:highlight w:val="none"/>
          <w:u w:val="single"/>
        </w:rPr>
      </w:pPr>
      <w:r>
        <w:rPr>
          <w:rFonts w:hint="eastAsia" w:hAnsi="宋体" w:cs="宋体"/>
          <w:color w:val="auto"/>
          <w:sz w:val="22"/>
          <w:highlight w:val="none"/>
          <w:u w:val="single"/>
        </w:rPr>
        <w:t>▲</w:t>
      </w:r>
      <w:r>
        <w:rPr>
          <w:rFonts w:hint="eastAsia" w:hAnsi="宋体" w:cs="宋体"/>
          <w:color w:val="auto"/>
          <w:spacing w:val="-6"/>
          <w:sz w:val="22"/>
          <w:highlight w:val="none"/>
          <w:u w:val="single"/>
        </w:rPr>
        <w:t>5.1、有下列情形之一的，将不予受理投标文件：</w:t>
      </w:r>
    </w:p>
    <w:p>
      <w:pPr>
        <w:pStyle w:val="16"/>
        <w:numPr>
          <w:ilvl w:val="0"/>
          <w:numId w:val="5"/>
        </w:numPr>
        <w:overflowPunct/>
        <w:autoSpaceDE/>
        <w:autoSpaceDN/>
        <w:adjustRightInd/>
        <w:spacing w:line="360" w:lineRule="exact"/>
        <w:ind w:firstLine="416" w:firstLineChars="200"/>
        <w:textAlignment w:val="auto"/>
        <w:rPr>
          <w:rFonts w:hAnsi="宋体" w:cs="宋体"/>
          <w:color w:val="auto"/>
          <w:sz w:val="22"/>
          <w:highlight w:val="none"/>
        </w:rPr>
      </w:pPr>
      <w:r>
        <w:rPr>
          <w:rFonts w:hint="eastAsia" w:hAnsi="宋体" w:cs="宋体"/>
          <w:color w:val="auto"/>
          <w:spacing w:val="-6"/>
          <w:sz w:val="22"/>
          <w:highlight w:val="none"/>
          <w:u w:val="single"/>
        </w:rPr>
        <w:t>逾期上传电子档投标文件至“政采云”平台的；</w:t>
      </w:r>
    </w:p>
    <w:p>
      <w:pPr>
        <w:pStyle w:val="16"/>
        <w:numPr>
          <w:ilvl w:val="0"/>
          <w:numId w:val="5"/>
        </w:numPr>
        <w:overflowPunct/>
        <w:autoSpaceDE/>
        <w:autoSpaceDN/>
        <w:adjustRightInd/>
        <w:spacing w:line="360" w:lineRule="exact"/>
        <w:ind w:firstLine="440" w:firstLineChars="200"/>
        <w:textAlignment w:val="auto"/>
        <w:rPr>
          <w:rFonts w:hAnsi="宋体" w:cs="宋体"/>
          <w:color w:val="auto"/>
          <w:spacing w:val="-6"/>
          <w:sz w:val="22"/>
          <w:highlight w:val="none"/>
          <w:u w:val="single"/>
        </w:rPr>
      </w:pPr>
      <w:r>
        <w:rPr>
          <w:rFonts w:hint="eastAsia" w:hAnsi="宋体" w:cs="宋体"/>
          <w:color w:val="auto"/>
          <w:sz w:val="22"/>
          <w:highlight w:val="none"/>
          <w:u w:val="single"/>
        </w:rPr>
        <w:t>电子投标文件解密失败的，且未在规定时间内提交备份投标文件的视为投标无效。</w:t>
      </w:r>
    </w:p>
    <w:p>
      <w:pPr>
        <w:pStyle w:val="16"/>
        <w:numPr>
          <w:ilvl w:val="0"/>
          <w:numId w:val="5"/>
        </w:numPr>
        <w:overflowPunct/>
        <w:autoSpaceDE/>
        <w:autoSpaceDN/>
        <w:adjustRightInd/>
        <w:spacing w:line="360" w:lineRule="exact"/>
        <w:ind w:firstLine="416" w:firstLineChars="200"/>
        <w:textAlignment w:val="auto"/>
        <w:rPr>
          <w:rFonts w:hAnsi="宋体" w:cs="宋体"/>
          <w:color w:val="auto"/>
          <w:spacing w:val="-6"/>
          <w:sz w:val="22"/>
          <w:highlight w:val="none"/>
          <w:u w:val="single"/>
        </w:rPr>
      </w:pPr>
      <w:r>
        <w:rPr>
          <w:rFonts w:hint="eastAsia" w:hAnsi="宋体" w:cs="宋体"/>
          <w:color w:val="auto"/>
          <w:spacing w:val="-6"/>
          <w:sz w:val="22"/>
          <w:highlight w:val="none"/>
          <w:u w:val="single"/>
        </w:rPr>
        <w:t>仅递交备份电子投标文件的；</w:t>
      </w:r>
    </w:p>
    <w:p>
      <w:pPr>
        <w:pStyle w:val="16"/>
        <w:numPr>
          <w:ilvl w:val="0"/>
          <w:numId w:val="5"/>
        </w:numPr>
        <w:overflowPunct/>
        <w:autoSpaceDE/>
        <w:autoSpaceDN/>
        <w:adjustRightInd/>
        <w:spacing w:line="360" w:lineRule="exact"/>
        <w:ind w:firstLine="416" w:firstLineChars="200"/>
        <w:textAlignment w:val="auto"/>
        <w:rPr>
          <w:rFonts w:hAnsi="宋体" w:cs="宋体"/>
          <w:color w:val="auto"/>
          <w:spacing w:val="-6"/>
          <w:sz w:val="22"/>
          <w:highlight w:val="none"/>
          <w:u w:val="single"/>
        </w:rPr>
      </w:pPr>
      <w:r>
        <w:rPr>
          <w:rFonts w:hint="eastAsia" w:hAnsi="宋体" w:cs="宋体"/>
          <w:color w:val="auto"/>
          <w:spacing w:val="-6"/>
          <w:sz w:val="22"/>
          <w:highlight w:val="none"/>
          <w:u w:val="single"/>
        </w:rPr>
        <w:t>投标文件只有商务技术文件或者商务技术文件与报价文件部分上传在一份文档中的。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▲5.2在资格审查时，如发现下列情形之一的，投标无效：</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（1）资格审查材料不全的，或者不符合招标文件要求的；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（2）资格审查材料未按招标文件要求签署、盖章的；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（3）不具备招标文件中规定的资格条件的；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（4）经查询存在不良信用记录的。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▲5.3在符合性审查、商务和技术评审时，如发现下列情形之一的，投标无效：</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（1）“资格文件”或“商务和技术文件”未按招标文件要求签署、盖章的；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（2）未提供合法、有效有效法定代表人授权委托书；法定代表人或委托授权代表与投标文件所附身份证明不符；</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（3）明显不符合招标文件实质性要求或者与招标文件中标“▲且加下划线”的内容发生实质性偏离的；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（4）未提供或未如实提供采购需求偏离表的；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（5）未提供或未如实提供投标项目的技术参数，或者投标文件标明的响应或偏离与事实不符或虚假投标的；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（6）投标有效期不能满足招标文件要求的；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（7）投标技术方案不明确，存在一个或一个以上备选（替代）投标方案的；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（8）投标文件含有采购人不能接受的附加条件的；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（9）在“资格文件”或“商务和技术文件”中出现投标报价的；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（10）法律、法规和招标文件中规定的其他无效情形的。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▲5.4在报价评审时，如发现下列情形之一的，投标无效：</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（1）报价文件未按招标文件要求签署、盖章的；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（2）未按照招标文件标明的币种报价的；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（3）报价超出招标文件中规定的预算金额或者最高限价的；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（4）投标报价具有选择性，或者开标价格与投标文件承诺的优惠（折扣）价格不一致的；</w:t>
      </w:r>
    </w:p>
    <w:p>
      <w:pPr>
        <w:spacing w:line="3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（5）报价明显低于其他通过符合性审查投标人的报价（有可能影响产品质量或者不能诚信履约的），投标人在评标现场合理的时间内无法提供书面说明（必要时提交相关证明材料，证明其报价合理性的）。</w:t>
      </w:r>
    </w:p>
    <w:p>
      <w:pPr>
        <w:spacing w:line="360" w:lineRule="exact"/>
        <w:ind w:firstLine="440" w:firstLineChars="200"/>
        <w:rPr>
          <w:rFonts w:ascii="宋体" w:hAnsi="宋体" w:cs="宋体"/>
          <w:color w:val="auto"/>
          <w:sz w:val="22"/>
          <w:highlight w:val="none"/>
          <w:u w:val="single"/>
          <w:lang w:val="zh-CN"/>
        </w:rPr>
      </w:pPr>
      <w:r>
        <w:rPr>
          <w:rFonts w:hint="eastAsia" w:ascii="宋体" w:hAnsi="宋体" w:cs="宋体"/>
          <w:color w:val="auto"/>
          <w:sz w:val="22"/>
          <w:highlight w:val="none"/>
          <w:u w:val="single"/>
        </w:rPr>
        <w:t>▲5.5</w:t>
      </w:r>
      <w:r>
        <w:rPr>
          <w:rFonts w:hint="eastAsia" w:ascii="宋体" w:hAnsi="宋体" w:cs="宋体"/>
          <w:color w:val="auto"/>
          <w:sz w:val="22"/>
          <w:highlight w:val="none"/>
          <w:u w:val="single"/>
          <w:lang w:val="zh-CN"/>
        </w:rPr>
        <w:t>有下列情形之一的，视为投标人串通投标，</w:t>
      </w:r>
      <w:r>
        <w:rPr>
          <w:rFonts w:hint="eastAsia" w:ascii="宋体" w:hAnsi="宋体" w:cs="宋体"/>
          <w:color w:val="auto"/>
          <w:sz w:val="22"/>
          <w:highlight w:val="none"/>
          <w:u w:val="single"/>
        </w:rPr>
        <w:t>投标无效</w:t>
      </w:r>
      <w:r>
        <w:rPr>
          <w:rFonts w:hint="eastAsia" w:ascii="宋体" w:hAnsi="宋体" w:cs="宋体"/>
          <w:color w:val="auto"/>
          <w:sz w:val="22"/>
          <w:highlight w:val="none"/>
          <w:u w:val="single"/>
          <w:lang w:val="zh-CN"/>
        </w:rPr>
        <w:t>，由采购人或采购代理机构上报政府采购监督管理部门，视情列入不良行为记录名单，在一至三年内禁止参加政府采购活动：</w:t>
      </w:r>
    </w:p>
    <w:p>
      <w:pPr>
        <w:spacing w:line="360" w:lineRule="exact"/>
        <w:ind w:firstLine="440" w:firstLineChars="200"/>
        <w:rPr>
          <w:rFonts w:ascii="宋体" w:hAnsi="宋体" w:cs="宋体"/>
          <w:color w:val="auto"/>
          <w:sz w:val="22"/>
          <w:highlight w:val="none"/>
          <w:u w:val="single"/>
          <w:lang w:val="zh-CN"/>
        </w:rPr>
      </w:pPr>
      <w:r>
        <w:rPr>
          <w:rFonts w:hint="eastAsia" w:ascii="宋体" w:hAnsi="宋体" w:cs="宋体"/>
          <w:color w:val="auto"/>
          <w:sz w:val="22"/>
          <w:highlight w:val="none"/>
          <w:u w:val="single"/>
          <w:lang w:val="zh-CN"/>
        </w:rPr>
        <w:t>（</w:t>
      </w:r>
      <w:r>
        <w:rPr>
          <w:rFonts w:hint="eastAsia" w:ascii="宋体" w:hAnsi="宋体" w:cs="宋体"/>
          <w:color w:val="auto"/>
          <w:sz w:val="22"/>
          <w:highlight w:val="none"/>
          <w:u w:val="single"/>
        </w:rPr>
        <w:t>1</w:t>
      </w:r>
      <w:r>
        <w:rPr>
          <w:rFonts w:hint="eastAsia" w:ascii="宋体" w:hAnsi="宋体" w:cs="宋体"/>
          <w:color w:val="auto"/>
          <w:sz w:val="22"/>
          <w:highlight w:val="none"/>
          <w:u w:val="single"/>
          <w:lang w:val="zh-CN"/>
        </w:rPr>
        <w:t>）不同投标人的投标文件由同一单位或者个人编制；</w:t>
      </w:r>
    </w:p>
    <w:p>
      <w:pPr>
        <w:spacing w:line="360" w:lineRule="exact"/>
        <w:ind w:firstLine="440" w:firstLineChars="200"/>
        <w:rPr>
          <w:rFonts w:ascii="宋体" w:hAnsi="宋体" w:cs="宋体"/>
          <w:color w:val="auto"/>
          <w:sz w:val="22"/>
          <w:highlight w:val="none"/>
          <w:u w:val="single"/>
          <w:lang w:val="zh-CN"/>
        </w:rPr>
      </w:pPr>
      <w:r>
        <w:rPr>
          <w:rFonts w:hint="eastAsia" w:ascii="宋体" w:hAnsi="宋体" w:cs="宋体"/>
          <w:color w:val="auto"/>
          <w:sz w:val="22"/>
          <w:highlight w:val="none"/>
          <w:u w:val="single"/>
          <w:lang w:val="zh-CN"/>
        </w:rPr>
        <w:t>（</w:t>
      </w:r>
      <w:r>
        <w:rPr>
          <w:rFonts w:hint="eastAsia" w:ascii="宋体" w:hAnsi="宋体" w:cs="宋体"/>
          <w:color w:val="auto"/>
          <w:sz w:val="22"/>
          <w:highlight w:val="none"/>
          <w:u w:val="single"/>
        </w:rPr>
        <w:t>2</w:t>
      </w:r>
      <w:r>
        <w:rPr>
          <w:rFonts w:hint="eastAsia" w:ascii="宋体" w:hAnsi="宋体" w:cs="宋体"/>
          <w:color w:val="auto"/>
          <w:sz w:val="22"/>
          <w:highlight w:val="none"/>
          <w:u w:val="single"/>
          <w:lang w:val="zh-CN"/>
        </w:rPr>
        <w:t>）不同投标人委托同一单位或者个人办理投标事宜；</w:t>
      </w:r>
    </w:p>
    <w:p>
      <w:pPr>
        <w:spacing w:line="360" w:lineRule="exact"/>
        <w:ind w:firstLine="440" w:firstLineChars="200"/>
        <w:rPr>
          <w:rFonts w:ascii="宋体" w:hAnsi="宋体" w:cs="宋体"/>
          <w:color w:val="auto"/>
          <w:sz w:val="22"/>
          <w:highlight w:val="none"/>
          <w:u w:val="single"/>
          <w:lang w:val="zh-CN"/>
        </w:rPr>
      </w:pPr>
      <w:r>
        <w:rPr>
          <w:rFonts w:hint="eastAsia" w:ascii="宋体" w:hAnsi="宋体" w:cs="宋体"/>
          <w:color w:val="auto"/>
          <w:sz w:val="22"/>
          <w:highlight w:val="none"/>
          <w:u w:val="single"/>
          <w:lang w:val="zh-CN"/>
        </w:rPr>
        <w:t>（</w:t>
      </w:r>
      <w:r>
        <w:rPr>
          <w:rFonts w:hint="eastAsia" w:ascii="宋体" w:hAnsi="宋体" w:cs="宋体"/>
          <w:color w:val="auto"/>
          <w:sz w:val="22"/>
          <w:highlight w:val="none"/>
          <w:u w:val="single"/>
        </w:rPr>
        <w:t>3</w:t>
      </w:r>
      <w:r>
        <w:rPr>
          <w:rFonts w:hint="eastAsia" w:ascii="宋体" w:hAnsi="宋体" w:cs="宋体"/>
          <w:color w:val="auto"/>
          <w:sz w:val="22"/>
          <w:highlight w:val="none"/>
          <w:u w:val="single"/>
          <w:lang w:val="zh-CN"/>
        </w:rPr>
        <w:t>）不同投标人的投标文件载明的项目管理成员或者联系人员为同一人；</w:t>
      </w:r>
    </w:p>
    <w:p>
      <w:pPr>
        <w:spacing w:line="360" w:lineRule="exact"/>
        <w:ind w:firstLine="440" w:firstLineChars="200"/>
        <w:rPr>
          <w:rFonts w:ascii="宋体" w:hAnsi="宋体" w:cs="宋体"/>
          <w:color w:val="auto"/>
          <w:sz w:val="22"/>
          <w:highlight w:val="none"/>
          <w:u w:val="single"/>
          <w:lang w:val="zh-CN"/>
        </w:rPr>
      </w:pPr>
      <w:r>
        <w:rPr>
          <w:rFonts w:hint="eastAsia" w:ascii="宋体" w:hAnsi="宋体" w:cs="宋体"/>
          <w:color w:val="auto"/>
          <w:sz w:val="22"/>
          <w:highlight w:val="none"/>
          <w:u w:val="single"/>
          <w:lang w:val="zh-CN"/>
        </w:rPr>
        <w:t>（</w:t>
      </w:r>
      <w:r>
        <w:rPr>
          <w:rFonts w:hint="eastAsia" w:ascii="宋体" w:hAnsi="宋体" w:cs="宋体"/>
          <w:color w:val="auto"/>
          <w:sz w:val="22"/>
          <w:highlight w:val="none"/>
          <w:u w:val="single"/>
        </w:rPr>
        <w:t>4</w:t>
      </w:r>
      <w:r>
        <w:rPr>
          <w:rFonts w:hint="eastAsia" w:ascii="宋体" w:hAnsi="宋体" w:cs="宋体"/>
          <w:color w:val="auto"/>
          <w:sz w:val="22"/>
          <w:highlight w:val="none"/>
          <w:u w:val="single"/>
          <w:lang w:val="zh-CN"/>
        </w:rPr>
        <w:t>）不同投标人的投标文件异常一致或者投标报价呈规律性差异；</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u w:val="single"/>
          <w:lang w:val="zh-CN"/>
        </w:rPr>
        <w:t>（</w:t>
      </w:r>
      <w:r>
        <w:rPr>
          <w:rFonts w:hint="eastAsia" w:ascii="宋体" w:hAnsi="宋体" w:cs="宋体"/>
          <w:color w:val="auto"/>
          <w:sz w:val="22"/>
          <w:highlight w:val="none"/>
          <w:u w:val="single"/>
        </w:rPr>
        <w:t>5</w:t>
      </w:r>
      <w:r>
        <w:rPr>
          <w:rFonts w:hint="eastAsia" w:ascii="宋体" w:hAnsi="宋体" w:cs="宋体"/>
          <w:color w:val="auto"/>
          <w:sz w:val="22"/>
          <w:highlight w:val="none"/>
          <w:u w:val="single"/>
          <w:lang w:val="zh-CN"/>
        </w:rPr>
        <w:t>）不同投标人的投标文件相互混装。</w:t>
      </w:r>
    </w:p>
    <w:p>
      <w:pPr>
        <w:pStyle w:val="16"/>
        <w:overflowPunct/>
        <w:autoSpaceDE/>
        <w:autoSpaceDN/>
        <w:adjustRightInd/>
        <w:snapToGrid w:val="0"/>
        <w:spacing w:line="360" w:lineRule="exact"/>
        <w:ind w:firstLine="442" w:firstLineChars="200"/>
        <w:textAlignment w:val="auto"/>
        <w:rPr>
          <w:rFonts w:hAnsi="宋体" w:cs="宋体"/>
          <w:b/>
          <w:bCs/>
          <w:color w:val="auto"/>
          <w:sz w:val="22"/>
          <w:highlight w:val="none"/>
        </w:rPr>
      </w:pPr>
      <w:r>
        <w:rPr>
          <w:rFonts w:hint="eastAsia" w:hAnsi="宋体" w:cs="宋体"/>
          <w:b/>
          <w:bCs/>
          <w:color w:val="auto"/>
          <w:sz w:val="22"/>
          <w:highlight w:val="none"/>
        </w:rPr>
        <w:t>6.错误修正</w:t>
      </w:r>
    </w:p>
    <w:p>
      <w:pPr>
        <w:pStyle w:val="16"/>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投标文件报价出现前后不一致的，除招标文件另有规定外，按照下列规定修正：</w:t>
      </w:r>
    </w:p>
    <w:p>
      <w:pPr>
        <w:pStyle w:val="16"/>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6.1投标文件中开标一览表（报价表）内容与投标文件中相应内容不一致的，以开标一览表（报价表）为准；</w:t>
      </w:r>
    </w:p>
    <w:p>
      <w:pPr>
        <w:pStyle w:val="16"/>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6.2大写金额和小写金额不一致的，以大写金额为准；</w:t>
      </w:r>
    </w:p>
    <w:p>
      <w:pPr>
        <w:pStyle w:val="16"/>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6.3单价金额小数点或者百分比有明显错位的，以开标一览表的总价为准，并修改单价；</w:t>
      </w:r>
    </w:p>
    <w:p>
      <w:pPr>
        <w:pStyle w:val="16"/>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6.4总价金额与按单价汇总金额不一致的，以单价金额计算结果为准。</w:t>
      </w:r>
    </w:p>
    <w:p>
      <w:pPr>
        <w:pStyle w:val="16"/>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6.5对不同文字文本投标文件的解释发生异义的，以中文文本为准</w:t>
      </w:r>
    </w:p>
    <w:p>
      <w:pPr>
        <w:pStyle w:val="16"/>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6.6客户端填写的报价与以pdf格式上传文件中的报价不一致的，应以Pdf格式上传文件中的报价为准。</w:t>
      </w:r>
    </w:p>
    <w:p>
      <w:pPr>
        <w:pStyle w:val="16"/>
        <w:overflowPunct/>
        <w:autoSpaceDE/>
        <w:autoSpaceDN/>
        <w:adjustRightInd/>
        <w:snapToGrid w:val="0"/>
        <w:spacing w:line="360" w:lineRule="exact"/>
        <w:ind w:firstLine="442" w:firstLineChars="200"/>
        <w:textAlignment w:val="auto"/>
        <w:rPr>
          <w:rFonts w:hAnsi="宋体" w:cs="宋体"/>
          <w:b/>
          <w:bCs/>
          <w:color w:val="auto"/>
          <w:sz w:val="22"/>
          <w:highlight w:val="none"/>
        </w:rPr>
      </w:pPr>
      <w:r>
        <w:rPr>
          <w:rFonts w:hint="eastAsia" w:hAnsi="宋体" w:cs="宋体"/>
          <w:b/>
          <w:bCs/>
          <w:color w:val="auto"/>
          <w:sz w:val="22"/>
          <w:highlight w:val="none"/>
        </w:rPr>
        <w:t>同时出现两种以上不一致的，按照前款规定的顺序修正。修正后的报价按照本招标文件“7.投标文件的澄清”规定经投标人确认后产生约束力，投标人不确认的，其投标无效。</w:t>
      </w:r>
    </w:p>
    <w:p>
      <w:pPr>
        <w:pStyle w:val="16"/>
        <w:overflowPunct/>
        <w:autoSpaceDE/>
        <w:autoSpaceDN/>
        <w:adjustRightInd/>
        <w:snapToGrid w:val="0"/>
        <w:spacing w:line="360" w:lineRule="exact"/>
        <w:ind w:firstLine="442" w:firstLineChars="200"/>
        <w:textAlignment w:val="auto"/>
        <w:rPr>
          <w:rFonts w:hAnsi="宋体" w:cs="宋体"/>
          <w:b/>
          <w:bCs/>
          <w:color w:val="auto"/>
          <w:sz w:val="22"/>
          <w:highlight w:val="none"/>
        </w:rPr>
      </w:pPr>
      <w:r>
        <w:rPr>
          <w:rFonts w:hint="eastAsia" w:hAnsi="宋体" w:cs="宋体"/>
          <w:b/>
          <w:bCs/>
          <w:color w:val="auto"/>
          <w:sz w:val="22"/>
          <w:highlight w:val="none"/>
        </w:rPr>
        <w:t>7.投标文件的澄清</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7.1为有助于投标文件的审查、评价，评审小组可以在“政采云”平台在线询标或其他有效形式要求投标人对同一份投标文件含义不明确或同类问题表述不一致的内容（招标文件其它地方有规定处理方法的除外）作必要的澄清或说明，投标人应采用在线回复或其他有效形式在询标规定时间内进行澄清或说明（需盖电子签章或实体公章），但不得超出投标文件的范围或改变投标文件的实质性内容。根据上述第6条规定，凡属于评审小组在评标中发现的计算错误并进行核实的修改不在此列。</w:t>
      </w:r>
    </w:p>
    <w:p>
      <w:pPr>
        <w:pStyle w:val="16"/>
        <w:tabs>
          <w:tab w:val="left" w:pos="0"/>
        </w:tabs>
        <w:spacing w:line="360" w:lineRule="exact"/>
        <w:ind w:firstLine="442" w:firstLineChars="200"/>
        <w:rPr>
          <w:rFonts w:hAnsi="宋体" w:cs="宋体"/>
          <w:b/>
          <w:color w:val="auto"/>
          <w:sz w:val="22"/>
          <w:highlight w:val="none"/>
        </w:rPr>
      </w:pPr>
      <w:r>
        <w:rPr>
          <w:rFonts w:hint="eastAsia" w:hAnsi="宋体" w:cs="宋体"/>
          <w:b/>
          <w:bCs/>
          <w:color w:val="auto"/>
          <w:sz w:val="22"/>
          <w:highlight w:val="none"/>
        </w:rPr>
        <w:t>7.2如果投标人代表拒绝按评审小组要求在“政采云”平台作出在线回复且无其他有效回复方式的，评审小组可以对其作出投标无效处理。</w:t>
      </w:r>
    </w:p>
    <w:p>
      <w:pPr>
        <w:tabs>
          <w:tab w:val="left" w:pos="1365"/>
        </w:tabs>
        <w:spacing w:line="360" w:lineRule="exact"/>
        <w:ind w:firstLine="442" w:firstLineChars="200"/>
        <w:rPr>
          <w:rFonts w:ascii="宋体" w:hAnsi="宋体" w:cs="宋体"/>
          <w:b/>
          <w:color w:val="auto"/>
          <w:sz w:val="22"/>
          <w:highlight w:val="none"/>
          <w:u w:val="single"/>
        </w:rPr>
      </w:pPr>
      <w:r>
        <w:rPr>
          <w:rFonts w:hint="eastAsia" w:ascii="宋体" w:hAnsi="宋体" w:cs="宋体"/>
          <w:b/>
          <w:color w:val="auto"/>
          <w:sz w:val="22"/>
          <w:highlight w:val="none"/>
          <w:u w:val="single"/>
        </w:rPr>
        <w:t>▲</w:t>
      </w:r>
      <w:r>
        <w:rPr>
          <w:rFonts w:hint="eastAsia" w:ascii="宋体" w:hAnsi="宋体" w:cs="宋体"/>
          <w:color w:val="auto"/>
          <w:sz w:val="22"/>
          <w:highlight w:val="none"/>
          <w:u w:val="single"/>
        </w:rPr>
        <w:t>7.3经澄清后，若偏差仍存在，且不可接受，投标人则被认为是“没有实质性响应招标文件要求”，其投标不进入下一步评审。</w:t>
      </w:r>
    </w:p>
    <w:p>
      <w:pPr>
        <w:pStyle w:val="16"/>
        <w:tabs>
          <w:tab w:val="left" w:pos="630"/>
        </w:tabs>
        <w:overflowPunct/>
        <w:autoSpaceDE/>
        <w:autoSpaceDN/>
        <w:adjustRightInd/>
        <w:snapToGrid w:val="0"/>
        <w:spacing w:line="360" w:lineRule="exact"/>
        <w:ind w:firstLine="433" w:firstLineChars="196"/>
        <w:textAlignment w:val="auto"/>
        <w:rPr>
          <w:rFonts w:hAnsi="宋体" w:cs="宋体"/>
          <w:b/>
          <w:bCs/>
          <w:color w:val="auto"/>
          <w:sz w:val="22"/>
          <w:highlight w:val="none"/>
        </w:rPr>
      </w:pPr>
      <w:r>
        <w:rPr>
          <w:rFonts w:hint="eastAsia" w:hAnsi="宋体" w:cs="宋体"/>
          <w:b/>
          <w:bCs/>
          <w:color w:val="auto"/>
          <w:sz w:val="22"/>
          <w:highlight w:val="none"/>
        </w:rPr>
        <w:t>8.评标原则和评标办法</w:t>
      </w:r>
    </w:p>
    <w:p>
      <w:pPr>
        <w:pStyle w:val="16"/>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8.1评审小组成员应当按照客观、公正、审慎的原则，根据招标文件规定的评标程序、评标方法和评标标准进行独立评审。招标文件内容违反国家有关强制性规定的，评审小组应当停止评标并向采购人或者采购代理机构说明情况。</w:t>
      </w:r>
    </w:p>
    <w:p>
      <w:pPr>
        <w:pStyle w:val="27"/>
        <w:spacing w:before="0" w:beforeAutospacing="0" w:after="0" w:afterAutospacing="0" w:line="360" w:lineRule="exact"/>
        <w:ind w:firstLine="440" w:firstLineChars="200"/>
        <w:jc w:val="both"/>
        <w:rPr>
          <w:color w:val="auto"/>
          <w:sz w:val="22"/>
          <w:highlight w:val="none"/>
        </w:rPr>
      </w:pPr>
      <w:r>
        <w:rPr>
          <w:rFonts w:hint="eastAsia"/>
          <w:color w:val="auto"/>
          <w:sz w:val="22"/>
          <w:highlight w:val="none"/>
        </w:rPr>
        <w:t>8.2评标中因评审小组成员缺席、回避或者健康等特殊原因导致评审小组组成不符合规定的，依法补足后继续评标。被更换的评审小组成员所作出的评标意见无效。</w:t>
      </w:r>
    </w:p>
    <w:p>
      <w:pPr>
        <w:pStyle w:val="16"/>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8.3评审小组成员对需要共同认定的事项存在争议的，应当按照少数服从多数的原则作出结论。持不同意见的评审小组成员应当在评标报告上签署不同意见及理由，否则视为同意评标报告。</w:t>
      </w:r>
    </w:p>
    <w:p>
      <w:pPr>
        <w:pStyle w:val="16"/>
        <w:overflowPunct/>
        <w:autoSpaceDE/>
        <w:autoSpaceDN/>
        <w:adjustRightInd/>
        <w:snapToGrid w:val="0"/>
        <w:spacing w:line="360" w:lineRule="exact"/>
        <w:ind w:firstLine="440" w:firstLineChars="200"/>
        <w:textAlignment w:val="auto"/>
        <w:rPr>
          <w:rFonts w:hAnsi="宋体" w:cs="宋体"/>
          <w:color w:val="auto"/>
          <w:sz w:val="22"/>
          <w:highlight w:val="none"/>
        </w:rPr>
      </w:pPr>
      <w:r>
        <w:rPr>
          <w:rFonts w:hint="eastAsia" w:hAnsi="宋体" w:cs="宋体"/>
          <w:color w:val="auto"/>
          <w:sz w:val="22"/>
          <w:highlight w:val="none"/>
        </w:rPr>
        <w:t>8.4评标办法。本项目评标办法是综合评分法，具体评标内容及评分标准等详见第六部分“评标原则及方法”。</w:t>
      </w:r>
    </w:p>
    <w:p>
      <w:pPr>
        <w:pStyle w:val="16"/>
        <w:overflowPunct/>
        <w:autoSpaceDE/>
        <w:autoSpaceDN/>
        <w:adjustRightInd/>
        <w:snapToGrid w:val="0"/>
        <w:spacing w:line="400" w:lineRule="exact"/>
        <w:ind w:firstLine="440" w:firstLineChars="200"/>
        <w:textAlignment w:val="auto"/>
        <w:rPr>
          <w:rFonts w:hAnsi="宋体" w:cs="宋体"/>
          <w:color w:val="auto"/>
          <w:sz w:val="22"/>
          <w:highlight w:val="none"/>
        </w:rPr>
      </w:pPr>
      <w:r>
        <w:rPr>
          <w:rFonts w:hint="eastAsia" w:hAnsi="宋体" w:cs="宋体"/>
          <w:color w:val="auto"/>
          <w:sz w:val="22"/>
          <w:highlight w:val="none"/>
        </w:rPr>
        <w:t>8.5评标过程中遇到特殊情况，由评审小组遵循公开、公正原则，采取投票方式按照少数服从多数原则决定。</w:t>
      </w:r>
    </w:p>
    <w:p>
      <w:pPr>
        <w:pStyle w:val="16"/>
        <w:overflowPunct/>
        <w:autoSpaceDE/>
        <w:autoSpaceDN/>
        <w:adjustRightInd/>
        <w:snapToGrid w:val="0"/>
        <w:spacing w:line="400" w:lineRule="exact"/>
        <w:ind w:firstLine="442" w:firstLineChars="200"/>
        <w:textAlignment w:val="auto"/>
        <w:rPr>
          <w:rFonts w:hAnsi="宋体" w:cs="宋体"/>
          <w:b/>
          <w:bCs/>
          <w:color w:val="auto"/>
          <w:sz w:val="22"/>
          <w:highlight w:val="none"/>
        </w:rPr>
      </w:pPr>
      <w:r>
        <w:rPr>
          <w:rFonts w:hint="eastAsia" w:hAnsi="宋体" w:cs="宋体"/>
          <w:b/>
          <w:bCs/>
          <w:color w:val="auto"/>
          <w:sz w:val="22"/>
          <w:highlight w:val="none"/>
        </w:rPr>
        <w:t>8.6《中华人民共和国政府采购法》第三十六条 在招标采购中，出现下列情形之一的，应予废标：</w:t>
      </w:r>
    </w:p>
    <w:p>
      <w:pPr>
        <w:pStyle w:val="16"/>
        <w:overflowPunct/>
        <w:autoSpaceDE/>
        <w:autoSpaceDN/>
        <w:adjustRightInd/>
        <w:snapToGrid w:val="0"/>
        <w:spacing w:line="400" w:lineRule="exact"/>
        <w:ind w:firstLine="442" w:firstLineChars="200"/>
        <w:textAlignment w:val="auto"/>
        <w:rPr>
          <w:rFonts w:hAnsi="宋体" w:cs="宋体"/>
          <w:b/>
          <w:bCs/>
          <w:color w:val="auto"/>
          <w:sz w:val="22"/>
          <w:highlight w:val="none"/>
        </w:rPr>
      </w:pPr>
      <w:r>
        <w:rPr>
          <w:rFonts w:hint="eastAsia" w:hAnsi="宋体" w:cs="宋体"/>
          <w:b/>
          <w:bCs/>
          <w:color w:val="auto"/>
          <w:sz w:val="22"/>
          <w:highlight w:val="none"/>
        </w:rPr>
        <w:t>（一）符合专业条件的供应商或者对招标文件作实质响应的供应商不足三家的；</w:t>
      </w:r>
    </w:p>
    <w:p>
      <w:pPr>
        <w:pStyle w:val="16"/>
        <w:overflowPunct/>
        <w:autoSpaceDE/>
        <w:autoSpaceDN/>
        <w:adjustRightInd/>
        <w:snapToGrid w:val="0"/>
        <w:spacing w:line="400" w:lineRule="exact"/>
        <w:ind w:firstLine="442" w:firstLineChars="200"/>
        <w:textAlignment w:val="auto"/>
        <w:rPr>
          <w:rFonts w:hAnsi="宋体" w:cs="宋体"/>
          <w:b/>
          <w:bCs/>
          <w:color w:val="auto"/>
          <w:sz w:val="22"/>
          <w:highlight w:val="none"/>
        </w:rPr>
      </w:pPr>
      <w:r>
        <w:rPr>
          <w:rFonts w:hint="eastAsia" w:hAnsi="宋体" w:cs="宋体"/>
          <w:b/>
          <w:bCs/>
          <w:color w:val="auto"/>
          <w:sz w:val="22"/>
          <w:highlight w:val="none"/>
        </w:rPr>
        <w:t>（二）出现影响采购公正的违法、违规行为的；</w:t>
      </w:r>
    </w:p>
    <w:p>
      <w:pPr>
        <w:pStyle w:val="16"/>
        <w:overflowPunct/>
        <w:autoSpaceDE/>
        <w:autoSpaceDN/>
        <w:adjustRightInd/>
        <w:snapToGrid w:val="0"/>
        <w:spacing w:line="400" w:lineRule="exact"/>
        <w:ind w:firstLine="442" w:firstLineChars="200"/>
        <w:textAlignment w:val="auto"/>
        <w:rPr>
          <w:rFonts w:hAnsi="宋体" w:cs="宋体"/>
          <w:b/>
          <w:bCs/>
          <w:color w:val="auto"/>
          <w:sz w:val="22"/>
          <w:highlight w:val="none"/>
        </w:rPr>
      </w:pPr>
      <w:r>
        <w:rPr>
          <w:rFonts w:hint="eastAsia" w:hAnsi="宋体" w:cs="宋体"/>
          <w:b/>
          <w:bCs/>
          <w:color w:val="auto"/>
          <w:sz w:val="22"/>
          <w:highlight w:val="none"/>
        </w:rPr>
        <w:t>（三）投标人的报价均超过了采购预算，采购人不能支付的；</w:t>
      </w:r>
    </w:p>
    <w:p>
      <w:pPr>
        <w:pStyle w:val="16"/>
        <w:overflowPunct/>
        <w:autoSpaceDE/>
        <w:autoSpaceDN/>
        <w:adjustRightInd/>
        <w:snapToGrid w:val="0"/>
        <w:spacing w:line="400" w:lineRule="exact"/>
        <w:ind w:firstLine="442" w:firstLineChars="200"/>
        <w:textAlignment w:val="auto"/>
        <w:rPr>
          <w:rFonts w:hAnsi="宋体" w:cs="宋体"/>
          <w:color w:val="auto"/>
          <w:sz w:val="22"/>
          <w:highlight w:val="none"/>
        </w:rPr>
      </w:pPr>
      <w:r>
        <w:rPr>
          <w:rFonts w:hint="eastAsia" w:hAnsi="宋体" w:cs="宋体"/>
          <w:b/>
          <w:bCs/>
          <w:color w:val="auto"/>
          <w:sz w:val="22"/>
          <w:highlight w:val="none"/>
        </w:rPr>
        <w:t>（四）因重大变故，采购任务取消的。</w:t>
      </w:r>
    </w:p>
    <w:p>
      <w:pPr>
        <w:tabs>
          <w:tab w:val="left" w:pos="1365"/>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9.确定中标候选人</w:t>
      </w:r>
    </w:p>
    <w:p>
      <w:pPr>
        <w:tabs>
          <w:tab w:val="left" w:pos="1365"/>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9.1本次招标由评审小组确定中标候选人（招标文件另有规定的除外）。</w:t>
      </w:r>
    </w:p>
    <w:p>
      <w:pPr>
        <w:tabs>
          <w:tab w:val="left" w:pos="1365"/>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9.2本项目评标结果按评审后得分由高到低顺序排列推荐不少于2名中标候选人，并编写评审报告。采用综合评分法的，评标结果按评审后得分由高到低顺序排列。得分相同的，按投标报价由低到高顺序排列。得分且投标报价相同的，按照评审因素的量化指标评审得分最高的投标人为排名第一的中标候选人。</w:t>
      </w:r>
    </w:p>
    <w:p>
      <w:pPr>
        <w:widowControl/>
        <w:spacing w:line="360" w:lineRule="exact"/>
        <w:ind w:firstLine="440" w:firstLineChars="200"/>
        <w:jc w:val="left"/>
        <w:rPr>
          <w:rFonts w:ascii="宋体" w:hAnsi="宋体" w:cs="宋体"/>
          <w:color w:val="auto"/>
          <w:sz w:val="22"/>
          <w:highlight w:val="none"/>
        </w:rPr>
      </w:pPr>
      <w:r>
        <w:rPr>
          <w:rFonts w:hint="eastAsia" w:ascii="宋体" w:hAnsi="宋体" w:cs="宋体"/>
          <w:color w:val="auto"/>
          <w:sz w:val="22"/>
          <w:highlight w:val="none"/>
        </w:rPr>
        <w:t>9.3排名第一的中标候选人放弃中标；因不可抗力提出不能履行合同；或未能在规定时间内与采购人签订合同的；或者经质疑，采购人审查后，确因排名第一的候选人在本次采购活动中存在违法违规行为或其他原因使质疑成立的，采购人可以直接确定排名第二的中标候选人为中标人，也可重新组织采购。</w:t>
      </w:r>
    </w:p>
    <w:p>
      <w:pPr>
        <w:tabs>
          <w:tab w:val="left" w:pos="1365"/>
        </w:tabs>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9.4采购人根据招标文件、中标人的投标文件、合同等材料及时组织验收，并严把质量关。</w:t>
      </w:r>
    </w:p>
    <w:p>
      <w:pPr>
        <w:tabs>
          <w:tab w:val="left" w:pos="1365"/>
        </w:tabs>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9.5采购代理机构对决标结果不做任何解释，也不保证最低价中标。</w:t>
      </w:r>
    </w:p>
    <w:p>
      <w:pPr>
        <w:pStyle w:val="16"/>
        <w:snapToGrid w:val="0"/>
        <w:spacing w:line="360" w:lineRule="exact"/>
        <w:ind w:firstLine="433" w:firstLineChars="196"/>
        <w:rPr>
          <w:rFonts w:hAnsi="宋体" w:cs="宋体"/>
          <w:b/>
          <w:bCs/>
          <w:color w:val="auto"/>
          <w:sz w:val="22"/>
          <w:highlight w:val="none"/>
        </w:rPr>
      </w:pPr>
      <w:r>
        <w:rPr>
          <w:rFonts w:hint="eastAsia" w:hAnsi="宋体" w:cs="宋体"/>
          <w:b/>
          <w:bCs/>
          <w:color w:val="auto"/>
          <w:sz w:val="22"/>
          <w:highlight w:val="none"/>
        </w:rPr>
        <w:t>10.定标</w:t>
      </w:r>
    </w:p>
    <w:p>
      <w:pPr>
        <w:pStyle w:val="16"/>
        <w:snapToGrid w:val="0"/>
        <w:spacing w:line="360" w:lineRule="exact"/>
        <w:ind w:firstLine="433" w:firstLineChars="196"/>
        <w:rPr>
          <w:rFonts w:hAnsi="宋体" w:cs="宋体"/>
          <w:b/>
          <w:bCs/>
          <w:color w:val="auto"/>
          <w:sz w:val="22"/>
          <w:highlight w:val="none"/>
        </w:rPr>
      </w:pPr>
      <w:r>
        <w:rPr>
          <w:rFonts w:hint="eastAsia" w:hAnsi="宋体" w:cs="宋体"/>
          <w:b/>
          <w:bCs/>
          <w:color w:val="auto"/>
          <w:sz w:val="22"/>
          <w:highlight w:val="none"/>
        </w:rPr>
        <w:t>（一）确定中标人。本项目由采购人确定中标人。</w:t>
      </w:r>
    </w:p>
    <w:p>
      <w:pPr>
        <w:pStyle w:val="16"/>
        <w:snapToGrid w:val="0"/>
        <w:spacing w:line="400" w:lineRule="exact"/>
        <w:ind w:firstLine="431" w:firstLineChars="196"/>
        <w:rPr>
          <w:rFonts w:hAnsi="宋体" w:cs="宋体"/>
          <w:color w:val="auto"/>
          <w:sz w:val="22"/>
          <w:highlight w:val="none"/>
        </w:rPr>
      </w:pPr>
      <w:r>
        <w:rPr>
          <w:rFonts w:hint="eastAsia" w:hAnsi="宋体" w:cs="宋体"/>
          <w:color w:val="auto"/>
          <w:sz w:val="22"/>
          <w:highlight w:val="none"/>
        </w:rPr>
        <w:t>10.1.</w:t>
      </w:r>
      <w:r>
        <w:rPr>
          <w:rFonts w:hint="eastAsia" w:hAnsi="宋体" w:cs="宋体"/>
          <w:b/>
          <w:bCs/>
          <w:color w:val="auto"/>
          <w:sz w:val="22"/>
          <w:highlight w:val="none"/>
        </w:rPr>
        <w:t>本项目对每个标项分别进行打分按照先标项1、标项2的顺序进行，评标结果按评审后得分由高到低顺序排列推荐不少于2名中标候选人</w:t>
      </w:r>
      <w:r>
        <w:rPr>
          <w:rFonts w:hint="eastAsia" w:hAnsi="宋体" w:cs="宋体"/>
          <w:b/>
          <w:bCs/>
          <w:color w:val="auto"/>
          <w:sz w:val="22"/>
          <w:highlight w:val="none"/>
        </w:rPr>
        <w:t>（投标人在参加本项目多个标项投标时，最多只能中标1个标项，具体按照标项号（1-2）顺序排列确定中标标项，即投标人已被推荐为前一标项第一中标候选人的，不再被推荐为后序标项的中标候选人，但作为合格投标人参与后续标项评审）</w:t>
      </w:r>
    </w:p>
    <w:p>
      <w:pPr>
        <w:snapToGrid w:val="0"/>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10.2采购代理机构自评审结束之日起2个工作日内将评审报告送交采购人。采购人收到评审报告之日起5个工作日内在评审报告推荐的中标候选人中按照排序由高到低的原则确定中标人，也可以书面授权评审小组直接确定中标人。采购人逾期未确定中标人且不提出异议的，视为确定评审报告提出的排序第一的投标人为中标人。</w:t>
      </w:r>
    </w:p>
    <w:p>
      <w:pPr>
        <w:snapToGrid w:val="0"/>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10.3采购代理机构自中标人确定之日起2个工作日内，在省级以上财政部门指定的政府采购信息发布媒体上公告中标结果，同时向中标人发出中标通知书。</w:t>
      </w:r>
    </w:p>
    <w:p>
      <w:pPr>
        <w:spacing w:line="400" w:lineRule="exact"/>
        <w:jc w:val="center"/>
        <w:outlineLvl w:val="0"/>
        <w:rPr>
          <w:rFonts w:ascii="宋体" w:hAnsi="宋体" w:cs="宋体"/>
          <w:b/>
          <w:color w:val="auto"/>
          <w:sz w:val="26"/>
          <w:highlight w:val="none"/>
        </w:rPr>
      </w:pPr>
      <w:r>
        <w:rPr>
          <w:rFonts w:hint="eastAsia" w:ascii="宋体" w:hAnsi="宋体" w:cs="宋体"/>
          <w:b/>
          <w:color w:val="auto"/>
          <w:sz w:val="26"/>
          <w:highlight w:val="none"/>
        </w:rPr>
        <w:t>六、 授予合同</w:t>
      </w:r>
    </w:p>
    <w:p>
      <w:pPr>
        <w:spacing w:line="360" w:lineRule="exact"/>
        <w:ind w:firstLine="464" w:firstLineChars="200"/>
        <w:rPr>
          <w:rFonts w:ascii="宋体" w:hAnsi="宋体" w:cs="宋体"/>
          <w:color w:val="auto"/>
          <w:spacing w:val="6"/>
          <w:sz w:val="22"/>
          <w:highlight w:val="none"/>
        </w:rPr>
      </w:pPr>
      <w:r>
        <w:rPr>
          <w:rFonts w:hint="eastAsia" w:ascii="宋体" w:hAnsi="宋体" w:cs="宋体"/>
          <w:color w:val="auto"/>
          <w:spacing w:val="6"/>
          <w:sz w:val="22"/>
          <w:highlight w:val="none"/>
        </w:rPr>
        <w:t>1.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spacing w:line="360" w:lineRule="exact"/>
        <w:ind w:firstLine="464" w:firstLineChars="200"/>
        <w:rPr>
          <w:rFonts w:ascii="宋体" w:hAnsi="宋体" w:cs="宋体"/>
          <w:color w:val="auto"/>
          <w:spacing w:val="6"/>
          <w:sz w:val="22"/>
          <w:highlight w:val="none"/>
        </w:rPr>
      </w:pPr>
      <w:r>
        <w:rPr>
          <w:rFonts w:hint="eastAsia" w:ascii="宋体" w:hAnsi="宋体" w:cs="宋体"/>
          <w:color w:val="auto"/>
          <w:spacing w:val="6"/>
          <w:sz w:val="22"/>
          <w:highlight w:val="none"/>
        </w:rPr>
        <w:t>2.中标后无正当理由拒不与采购人签订政府采购合同，将取消中标资格，并处以采购金额千分之五以上千分之十以下的罚款，由政府采购监督管理部门列入不良行为记录名单，在一至三年内禁止参加政府采购活动，有违法所得的，并处没收违法所得。</w:t>
      </w:r>
    </w:p>
    <w:p>
      <w:pPr>
        <w:spacing w:line="360" w:lineRule="exact"/>
        <w:jc w:val="center"/>
        <w:rPr>
          <w:rFonts w:ascii="宋体" w:hAnsi="宋体" w:cs="宋体"/>
          <w:b/>
          <w:color w:val="auto"/>
          <w:sz w:val="28"/>
          <w:szCs w:val="28"/>
          <w:highlight w:val="none"/>
        </w:rPr>
      </w:pPr>
      <w:r>
        <w:rPr>
          <w:rFonts w:hint="eastAsia" w:ascii="宋体" w:hAnsi="宋体" w:cs="宋体"/>
          <w:b/>
          <w:color w:val="auto"/>
          <w:sz w:val="26"/>
          <w:highlight w:val="none"/>
        </w:rPr>
        <w:t xml:space="preserve">七、 </w:t>
      </w:r>
      <w:r>
        <w:rPr>
          <w:rFonts w:hint="eastAsia" w:ascii="宋体" w:hAnsi="宋体" w:cs="宋体"/>
          <w:b/>
          <w:color w:val="auto"/>
          <w:sz w:val="28"/>
          <w:szCs w:val="28"/>
          <w:highlight w:val="none"/>
        </w:rPr>
        <w:t>可中止电子交易活动的情形</w:t>
      </w:r>
    </w:p>
    <w:p>
      <w:pPr>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rPr>
        <w:t>1.</w:t>
      </w:r>
      <w:r>
        <w:rPr>
          <w:rFonts w:hint="eastAsia" w:ascii="宋体" w:hAnsi="宋体" w:cs="宋体"/>
          <w:color w:val="auto"/>
          <w:sz w:val="22"/>
          <w:highlight w:val="none"/>
          <w:lang w:val="zh-CN"/>
        </w:rPr>
        <w:t>采购过程中出现以下情形，导致电子交易平台无法正常运行，或者无法保证电子交易的公平、公正和安全时，采购组织机构可中止电子交易活动：</w:t>
      </w:r>
    </w:p>
    <w:p>
      <w:pPr>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（一）电子交易平台发生故障而无法登录访问的； </w:t>
      </w:r>
    </w:p>
    <w:p>
      <w:pPr>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（二）电子交易平台应用或数据库出现错误，不能进行正常操作的；</w:t>
      </w:r>
    </w:p>
    <w:p>
      <w:pPr>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（三）电子交易平台发现严重安全漏洞，有潜在泄密危险的；</w:t>
      </w:r>
    </w:p>
    <w:p>
      <w:pPr>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（四）病毒发作导致不能进行正常操作的； </w:t>
      </w:r>
    </w:p>
    <w:p>
      <w:pPr>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（五）其他无法保证电子交易的公平、公正和安全的情况。</w:t>
      </w:r>
    </w:p>
    <w:p>
      <w:pPr>
        <w:spacing w:line="40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rPr>
        <w:t>出现前款规定情形，不影响采购公平、公正性的，采购代理机构可以待上述情形消除后继续组织电子交易活动，也可以决定某些环节以纸质形式进行；影响或可能影响采购公平、公正性的，重新采购。</w:t>
      </w:r>
    </w:p>
    <w:p>
      <w:pPr>
        <w:spacing w:line="400" w:lineRule="exact"/>
        <w:ind w:firstLine="442" w:firstLineChars="200"/>
        <w:jc w:val="center"/>
        <w:rPr>
          <w:rFonts w:ascii="宋体" w:hAnsi="宋体" w:cs="宋体"/>
          <w:b/>
          <w:color w:val="auto"/>
          <w:sz w:val="32"/>
          <w:highlight w:val="none"/>
        </w:rPr>
      </w:pPr>
      <w:r>
        <w:rPr>
          <w:rFonts w:hint="eastAsia" w:ascii="宋体" w:hAnsi="宋体" w:cs="宋体"/>
          <w:b/>
          <w:color w:val="auto"/>
          <w:sz w:val="22"/>
          <w:highlight w:val="none"/>
        </w:rPr>
        <w:br w:type="page"/>
      </w:r>
      <w:r>
        <w:rPr>
          <w:rFonts w:hint="eastAsia" w:ascii="宋体" w:hAnsi="宋体" w:cs="宋体"/>
          <w:b/>
          <w:color w:val="auto"/>
          <w:sz w:val="32"/>
          <w:highlight w:val="none"/>
        </w:rPr>
        <w:t>第三部分 拟签订的合同文本</w:t>
      </w:r>
    </w:p>
    <w:p>
      <w:pPr>
        <w:spacing w:line="400" w:lineRule="exact"/>
        <w:jc w:val="center"/>
        <w:rPr>
          <w:rFonts w:ascii="宋体" w:hAnsi="宋体" w:cs="宋体"/>
          <w:b/>
          <w:bCs/>
          <w:color w:val="auto"/>
          <w:sz w:val="22"/>
          <w:highlight w:val="none"/>
        </w:rPr>
      </w:pPr>
      <w:r>
        <w:rPr>
          <w:rFonts w:hint="eastAsia" w:ascii="宋体" w:hAnsi="宋体" w:cs="宋体"/>
          <w:color w:val="auto"/>
          <w:sz w:val="22"/>
          <w:highlight w:val="none"/>
        </w:rPr>
        <w:t>（本合同为样稿，最终稿由</w:t>
      </w:r>
      <w:r>
        <w:rPr>
          <w:rFonts w:hint="eastAsia" w:ascii="宋体" w:hAnsi="宋体" w:cs="宋体"/>
          <w:color w:val="auto"/>
          <w:sz w:val="22"/>
          <w:highlight w:val="none"/>
          <w:lang w:eastAsia="zh-CN"/>
        </w:rPr>
        <w:t>甲乙</w:t>
      </w:r>
      <w:r>
        <w:rPr>
          <w:rFonts w:hint="eastAsia" w:ascii="宋体" w:hAnsi="宋体" w:cs="宋体"/>
          <w:color w:val="auto"/>
          <w:sz w:val="22"/>
          <w:highlight w:val="none"/>
        </w:rPr>
        <w:t>双方协商后确定）</w:t>
      </w:r>
    </w:p>
    <w:p>
      <w:pPr>
        <w:spacing w:line="360" w:lineRule="exact"/>
        <w:rPr>
          <w:rFonts w:ascii="宋体" w:hAnsi="宋体" w:cs="宋体"/>
          <w:color w:val="auto"/>
          <w:sz w:val="22"/>
          <w:highlight w:val="none"/>
          <w:u w:val="single"/>
        </w:rPr>
      </w:pPr>
      <w:r>
        <w:rPr>
          <w:rFonts w:hint="eastAsia" w:ascii="宋体" w:hAnsi="宋体" w:cs="宋体"/>
          <w:color w:val="auto"/>
          <w:sz w:val="22"/>
          <w:highlight w:val="none"/>
          <w:lang w:val="zh-CN"/>
        </w:rPr>
        <w:t>甲方：</w:t>
      </w:r>
      <w:r>
        <w:rPr>
          <w:rFonts w:hint="eastAsia" w:ascii="宋体" w:hAnsi="宋体" w:cs="宋体"/>
          <w:color w:val="auto"/>
          <w:sz w:val="22"/>
          <w:highlight w:val="none"/>
          <w:u w:val="single"/>
        </w:rPr>
        <w:t>温州大学</w:t>
      </w:r>
    </w:p>
    <w:p>
      <w:pPr>
        <w:spacing w:line="360" w:lineRule="exact"/>
        <w:rPr>
          <w:rFonts w:ascii="宋体" w:hAnsi="宋体" w:cs="宋体"/>
          <w:color w:val="auto"/>
          <w:sz w:val="22"/>
          <w:highlight w:val="none"/>
          <w:u w:val="single"/>
        </w:rPr>
      </w:pPr>
      <w:r>
        <w:rPr>
          <w:rFonts w:hint="eastAsia" w:ascii="宋体" w:hAnsi="宋体" w:cs="宋体"/>
          <w:color w:val="auto"/>
          <w:sz w:val="22"/>
          <w:highlight w:val="none"/>
          <w:lang w:val="zh-CN"/>
        </w:rPr>
        <w:t>乙方：</w:t>
      </w:r>
    </w:p>
    <w:p>
      <w:pPr>
        <w:spacing w:line="360" w:lineRule="exact"/>
        <w:rPr>
          <w:rFonts w:ascii="宋体" w:hAnsi="宋体" w:cs="宋体"/>
          <w:color w:val="auto"/>
          <w:sz w:val="22"/>
          <w:highlight w:val="none"/>
          <w:u w:val="single"/>
        </w:rPr>
      </w:pPr>
      <w:r>
        <w:rPr>
          <w:rFonts w:hint="eastAsia" w:ascii="宋体" w:hAnsi="宋体" w:cs="宋体"/>
          <w:color w:val="auto"/>
          <w:sz w:val="22"/>
          <w:highlight w:val="none"/>
        </w:rPr>
        <w:t>合同鉴证方：</w:t>
      </w:r>
      <w:r>
        <w:rPr>
          <w:rFonts w:hint="eastAsia" w:ascii="宋体" w:hAnsi="宋体" w:cs="宋体"/>
          <w:color w:val="auto"/>
          <w:sz w:val="22"/>
          <w:highlight w:val="none"/>
          <w:u w:val="single"/>
        </w:rPr>
        <w:t>浙江乐诚工程咨询有限公司</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年月日在温州大学的</w:t>
      </w:r>
      <w:r>
        <w:rPr>
          <w:rFonts w:hint="eastAsia" w:ascii="宋体" w:hAnsi="宋体" w:cs="宋体"/>
          <w:color w:val="auto"/>
          <w:sz w:val="22"/>
          <w:highlight w:val="none"/>
          <w:u w:val="single"/>
        </w:rPr>
        <w:t xml:space="preserve">          （项目名称）（项目编号：            ）</w:t>
      </w:r>
      <w:r>
        <w:rPr>
          <w:rFonts w:hint="eastAsia" w:ascii="宋体" w:hAnsi="宋体" w:cs="宋体"/>
          <w:color w:val="auto"/>
          <w:sz w:val="22"/>
          <w:highlight w:val="none"/>
        </w:rPr>
        <w:t>招标采购中，</w:t>
      </w:r>
      <w:r>
        <w:rPr>
          <w:rFonts w:hint="eastAsia" w:ascii="宋体" w:hAnsi="宋体" w:cs="宋体"/>
          <w:color w:val="auto"/>
          <w:sz w:val="22"/>
          <w:highlight w:val="none"/>
          <w:lang w:eastAsia="zh-CN"/>
        </w:rPr>
        <w:t>甲方</w:t>
      </w:r>
      <w:r>
        <w:rPr>
          <w:rFonts w:hint="eastAsia" w:ascii="宋体" w:hAnsi="宋体" w:cs="宋体"/>
          <w:color w:val="auto"/>
          <w:sz w:val="22"/>
          <w:highlight w:val="none"/>
        </w:rPr>
        <w:t>接受</w:t>
      </w:r>
      <w:r>
        <w:rPr>
          <w:rFonts w:hint="eastAsia" w:ascii="宋体" w:hAnsi="宋体" w:cs="宋体"/>
          <w:color w:val="auto"/>
          <w:sz w:val="22"/>
          <w:highlight w:val="none"/>
          <w:lang w:eastAsia="zh-CN"/>
        </w:rPr>
        <w:t>乙方</w:t>
      </w:r>
      <w:r>
        <w:rPr>
          <w:rFonts w:hint="eastAsia" w:ascii="宋体" w:hAnsi="宋体" w:cs="宋体"/>
          <w:color w:val="auto"/>
          <w:sz w:val="22"/>
          <w:highlight w:val="none"/>
        </w:rPr>
        <w:t>对本次项目的投标，</w:t>
      </w:r>
      <w:r>
        <w:rPr>
          <w:rFonts w:hint="eastAsia" w:ascii="宋体" w:hAnsi="宋体" w:cs="宋体"/>
          <w:color w:val="auto"/>
          <w:sz w:val="22"/>
          <w:highlight w:val="none"/>
          <w:lang w:eastAsia="zh-CN"/>
        </w:rPr>
        <w:t>甲乙</w:t>
      </w:r>
      <w:r>
        <w:rPr>
          <w:rFonts w:hint="eastAsia" w:ascii="宋体" w:hAnsi="宋体" w:cs="宋体"/>
          <w:color w:val="auto"/>
          <w:sz w:val="22"/>
          <w:highlight w:val="none"/>
        </w:rPr>
        <w:t>双方根据《中华人民共和国民法典》等法规和本合同的招标文件、投标文件及其投标中的承诺，经双方协商，</w:t>
      </w:r>
      <w:r>
        <w:rPr>
          <w:rFonts w:hint="eastAsia" w:ascii="宋体" w:hAnsi="宋体" w:cs="宋体"/>
          <w:color w:val="auto"/>
          <w:sz w:val="22"/>
          <w:highlight w:val="none"/>
          <w:lang w:eastAsia="zh-CN"/>
        </w:rPr>
        <w:t>甲方</w:t>
      </w:r>
      <w:r>
        <w:rPr>
          <w:rFonts w:hint="eastAsia" w:ascii="宋体" w:hAnsi="宋体" w:cs="宋体"/>
          <w:color w:val="auto"/>
          <w:sz w:val="22"/>
          <w:highlight w:val="none"/>
        </w:rPr>
        <w:t>的服务要求、</w:t>
      </w:r>
      <w:r>
        <w:rPr>
          <w:rFonts w:hint="eastAsia" w:ascii="宋体" w:hAnsi="宋体" w:cs="宋体"/>
          <w:color w:val="auto"/>
          <w:sz w:val="22"/>
          <w:highlight w:val="none"/>
          <w:lang w:eastAsia="zh-CN"/>
        </w:rPr>
        <w:t>乙方</w:t>
      </w:r>
      <w:r>
        <w:rPr>
          <w:rFonts w:hint="eastAsia" w:ascii="宋体" w:hAnsi="宋体" w:cs="宋体"/>
          <w:color w:val="auto"/>
          <w:sz w:val="22"/>
          <w:highlight w:val="none"/>
        </w:rPr>
        <w:t>的技术和服务承诺，与本合同一起构成本次纸质图书采购整体文件，具有法律效力。</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5"/>
        <w:gridCol w:w="1860"/>
        <w:gridCol w:w="2095"/>
        <w:gridCol w:w="1481"/>
        <w:gridCol w:w="24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jc w:val="center"/>
        </w:trPr>
        <w:tc>
          <w:tcPr>
            <w:tcW w:w="1155" w:type="dxa"/>
            <w:noWrap/>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rPr>
              <w:t>序号</w:t>
            </w:r>
          </w:p>
        </w:tc>
        <w:tc>
          <w:tcPr>
            <w:tcW w:w="1860" w:type="dxa"/>
            <w:noWrap/>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rPr>
              <w:t>货物名称</w:t>
            </w:r>
          </w:p>
        </w:tc>
        <w:tc>
          <w:tcPr>
            <w:tcW w:w="2095" w:type="dxa"/>
            <w:noWrap/>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rPr>
              <w:t>预算金额</w:t>
            </w:r>
          </w:p>
        </w:tc>
        <w:tc>
          <w:tcPr>
            <w:tcW w:w="1481" w:type="dxa"/>
            <w:noWrap/>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rPr>
              <w:t>份额比例</w:t>
            </w:r>
          </w:p>
        </w:tc>
        <w:tc>
          <w:tcPr>
            <w:tcW w:w="2419" w:type="dxa"/>
            <w:noWrap/>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lang w:eastAsia="zh-CN"/>
              </w:rPr>
              <w:t>乙方</w:t>
            </w:r>
            <w:r>
              <w:rPr>
                <w:rFonts w:hint="eastAsia" w:ascii="宋体" w:hAnsi="宋体" w:cs="宋体"/>
                <w:color w:val="auto"/>
                <w:spacing w:val="-6"/>
                <w:sz w:val="22"/>
                <w:highlight w:val="none"/>
              </w:rPr>
              <w:t>供书金额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5" w:hRule="atLeast"/>
          <w:jc w:val="center"/>
        </w:trPr>
        <w:tc>
          <w:tcPr>
            <w:tcW w:w="1155" w:type="dxa"/>
            <w:noWrap/>
            <w:vAlign w:val="center"/>
          </w:tcPr>
          <w:p>
            <w:pPr>
              <w:spacing w:line="360" w:lineRule="exact"/>
              <w:jc w:val="center"/>
              <w:rPr>
                <w:rFonts w:ascii="宋体" w:hAnsi="宋体" w:cs="宋体"/>
                <w:color w:val="auto"/>
                <w:spacing w:val="-6"/>
                <w:sz w:val="22"/>
                <w:highlight w:val="none"/>
              </w:rPr>
            </w:pPr>
          </w:p>
        </w:tc>
        <w:tc>
          <w:tcPr>
            <w:tcW w:w="1860" w:type="dxa"/>
            <w:noWrap/>
            <w:vAlign w:val="center"/>
          </w:tcPr>
          <w:p>
            <w:pPr>
              <w:spacing w:line="360" w:lineRule="exact"/>
              <w:jc w:val="center"/>
              <w:rPr>
                <w:rFonts w:ascii="宋体" w:hAnsi="宋体" w:cs="宋体"/>
                <w:color w:val="auto"/>
                <w:spacing w:val="-6"/>
                <w:sz w:val="22"/>
                <w:highlight w:val="none"/>
              </w:rPr>
            </w:pPr>
          </w:p>
        </w:tc>
        <w:tc>
          <w:tcPr>
            <w:tcW w:w="2095" w:type="dxa"/>
            <w:noWrap/>
            <w:vAlign w:val="center"/>
          </w:tcPr>
          <w:p>
            <w:pPr>
              <w:spacing w:line="360" w:lineRule="exact"/>
              <w:jc w:val="center"/>
              <w:rPr>
                <w:rFonts w:ascii="宋体" w:hAnsi="宋体" w:cs="宋体"/>
                <w:color w:val="auto"/>
                <w:spacing w:val="-6"/>
                <w:sz w:val="22"/>
                <w:highlight w:val="none"/>
              </w:rPr>
            </w:pPr>
          </w:p>
        </w:tc>
        <w:tc>
          <w:tcPr>
            <w:tcW w:w="1481" w:type="dxa"/>
            <w:noWrap/>
            <w:vAlign w:val="center"/>
          </w:tcPr>
          <w:p>
            <w:pPr>
              <w:spacing w:line="360" w:lineRule="exact"/>
              <w:jc w:val="center"/>
              <w:rPr>
                <w:rFonts w:ascii="宋体" w:hAnsi="宋体" w:cs="宋体"/>
                <w:color w:val="auto"/>
                <w:spacing w:val="-6"/>
                <w:sz w:val="22"/>
                <w:highlight w:val="none"/>
              </w:rPr>
            </w:pPr>
          </w:p>
        </w:tc>
        <w:tc>
          <w:tcPr>
            <w:tcW w:w="2419" w:type="dxa"/>
            <w:noWrap/>
            <w:vAlign w:val="center"/>
          </w:tcPr>
          <w:p>
            <w:pPr>
              <w:spacing w:line="360" w:lineRule="exact"/>
              <w:jc w:val="center"/>
              <w:rPr>
                <w:rFonts w:ascii="宋体" w:hAnsi="宋体" w:cs="宋体"/>
                <w:color w:val="auto"/>
                <w:spacing w:val="-6"/>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jc w:val="center"/>
        </w:trPr>
        <w:tc>
          <w:tcPr>
            <w:tcW w:w="9010" w:type="dxa"/>
            <w:gridSpan w:val="5"/>
            <w:noWrap/>
            <w:vAlign w:val="center"/>
          </w:tcPr>
          <w:p>
            <w:pPr>
              <w:widowControl/>
              <w:spacing w:line="360" w:lineRule="exact"/>
              <w:jc w:val="left"/>
              <w:rPr>
                <w:rFonts w:ascii="宋体" w:hAnsi="宋体" w:cs="宋体"/>
                <w:color w:val="auto"/>
                <w:spacing w:val="-6"/>
                <w:sz w:val="22"/>
                <w:highlight w:val="none"/>
              </w:rPr>
            </w:pPr>
            <w:r>
              <w:rPr>
                <w:rFonts w:hint="eastAsia" w:ascii="宋体" w:hAnsi="宋体" w:cs="宋体"/>
                <w:color w:val="auto"/>
                <w:spacing w:val="-6"/>
                <w:sz w:val="22"/>
                <w:highlight w:val="none"/>
              </w:rPr>
              <w:t>合同总价（人民币）：</w:t>
            </w:r>
          </w:p>
        </w:tc>
      </w:tr>
    </w:tbl>
    <w:p>
      <w:pPr>
        <w:spacing w:line="360" w:lineRule="exact"/>
        <w:rPr>
          <w:rFonts w:ascii="宋体" w:hAnsi="宋体" w:cs="宋体"/>
          <w:color w:val="auto"/>
          <w:spacing w:val="-6"/>
          <w:sz w:val="22"/>
          <w:highlight w:val="none"/>
        </w:rPr>
      </w:pPr>
      <w:r>
        <w:rPr>
          <w:rFonts w:hint="eastAsia" w:ascii="宋体" w:hAnsi="宋体" w:cs="宋体"/>
          <w:color w:val="auto"/>
          <w:spacing w:val="-6"/>
          <w:sz w:val="22"/>
          <w:highlight w:val="none"/>
        </w:rPr>
        <w:t>注：1、因图书定价的不确定性，以实际金额为准，实际金额不高于合同金额。</w:t>
      </w:r>
    </w:p>
    <w:p>
      <w:pPr>
        <w:spacing w:line="360" w:lineRule="exact"/>
        <w:ind w:firstLine="416" w:firstLineChars="200"/>
        <w:rPr>
          <w:rFonts w:ascii="宋体" w:hAnsi="宋体" w:cs="宋体"/>
          <w:color w:val="auto"/>
          <w:spacing w:val="-6"/>
          <w:sz w:val="22"/>
          <w:highlight w:val="none"/>
        </w:rPr>
      </w:pPr>
      <w:r>
        <w:rPr>
          <w:rFonts w:hint="eastAsia" w:ascii="宋体" w:hAnsi="宋体" w:cs="宋体"/>
          <w:color w:val="auto"/>
          <w:spacing w:val="-6"/>
          <w:sz w:val="22"/>
          <w:highlight w:val="none"/>
        </w:rPr>
        <w:t>2、以上合同总价包括将货物运抵</w:t>
      </w:r>
      <w:r>
        <w:rPr>
          <w:rFonts w:hint="eastAsia" w:ascii="宋体" w:hAnsi="宋体" w:cs="宋体"/>
          <w:color w:val="auto"/>
          <w:spacing w:val="-6"/>
          <w:sz w:val="22"/>
          <w:highlight w:val="none"/>
          <w:lang w:eastAsia="zh-CN"/>
        </w:rPr>
        <w:t>甲方</w:t>
      </w:r>
      <w:r>
        <w:rPr>
          <w:rFonts w:hint="eastAsia" w:ascii="宋体" w:hAnsi="宋体" w:cs="宋体"/>
          <w:color w:val="auto"/>
          <w:spacing w:val="-6"/>
          <w:sz w:val="22"/>
          <w:highlight w:val="none"/>
        </w:rPr>
        <w:t>指定地点的运费及安装调试、培训等一切费用。</w:t>
      </w:r>
    </w:p>
    <w:p>
      <w:pPr>
        <w:tabs>
          <w:tab w:val="left" w:pos="540"/>
        </w:tabs>
        <w:spacing w:line="360" w:lineRule="exact"/>
        <w:rPr>
          <w:rFonts w:ascii="宋体" w:hAnsi="宋体" w:cs="宋体"/>
          <w:b/>
          <w:color w:val="auto"/>
          <w:sz w:val="22"/>
          <w:highlight w:val="none"/>
        </w:rPr>
      </w:pPr>
      <w:r>
        <w:rPr>
          <w:rFonts w:hint="eastAsia" w:ascii="宋体" w:hAnsi="宋体" w:cs="宋体"/>
          <w:b/>
          <w:color w:val="auto"/>
          <w:sz w:val="22"/>
          <w:highlight w:val="none"/>
          <w:lang w:val="zh-CN"/>
        </w:rPr>
        <w:t>一、 图书采购方式</w:t>
      </w:r>
      <w:r>
        <w:rPr>
          <w:rFonts w:hint="eastAsia" w:ascii="宋体" w:hAnsi="宋体" w:cs="宋体"/>
          <w:b/>
          <w:color w:val="auto"/>
          <w:sz w:val="22"/>
          <w:highlight w:val="none"/>
          <w:lang w:val="zh-CN"/>
        </w:rPr>
        <w:tab/>
      </w:r>
    </w:p>
    <w:p>
      <w:pPr>
        <w:numPr>
          <w:ilvl w:val="0"/>
          <w:numId w:val="6"/>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定单采购：乙方在最大范围内为甲方征集新书出版、发行信息，提高采购效率。乙方提供的自编采访书目数据、现货书目数据（要求能提供电子书目）、现货样书品种均要求符合招标文件中的规定，并且为大学专科以上（含专科）层次。</w:t>
      </w:r>
    </w:p>
    <w:p>
      <w:pPr>
        <w:numPr>
          <w:ilvl w:val="0"/>
          <w:numId w:val="6"/>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专题采购：根据图书馆的需要，做好图书馆自定专题书目的采购，以满足馆藏的特殊需要。</w:t>
      </w:r>
    </w:p>
    <w:p>
      <w:pPr>
        <w:numPr>
          <w:ilvl w:val="0"/>
          <w:numId w:val="6"/>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现场采购：乙方应根据甲方要求，不定期安排甲方参加图书现采活动、参加全国书市及订货会，并承担期间费用。</w:t>
      </w:r>
    </w:p>
    <w:p>
      <w:pPr>
        <w:numPr>
          <w:ilvl w:val="0"/>
          <w:numId w:val="6"/>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其它方式：随时进行急需图书的增订、补订等工作。</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二、 图书数据配送</w:t>
      </w:r>
    </w:p>
    <w:p>
      <w:pPr>
        <w:numPr>
          <w:ilvl w:val="0"/>
          <w:numId w:val="7"/>
        </w:numPr>
        <w:tabs>
          <w:tab w:val="left" w:pos="540"/>
        </w:tabs>
        <w:spacing w:line="360" w:lineRule="exact"/>
        <w:ind w:left="0" w:leftChars="0" w:firstLine="400" w:firstLineChars="0"/>
        <w:rPr>
          <w:rFonts w:ascii="宋体" w:hAnsi="宋体" w:cs="宋体"/>
          <w:b/>
          <w:color w:val="auto"/>
          <w:sz w:val="22"/>
          <w:highlight w:val="none"/>
          <w:lang w:val="zh-CN"/>
        </w:rPr>
      </w:pPr>
      <w:r>
        <w:rPr>
          <w:rFonts w:hint="eastAsia" w:ascii="宋体" w:hAnsi="宋体" w:cs="宋体"/>
          <w:color w:val="auto"/>
          <w:sz w:val="22"/>
          <w:highlight w:val="none"/>
          <w:lang w:val="zh-CN"/>
        </w:rPr>
        <w:t>配送截止时间为</w:t>
      </w:r>
      <w:r>
        <w:rPr>
          <w:rFonts w:hint="eastAsia" w:ascii="宋体" w:hAnsi="宋体" w:cs="宋体"/>
          <w:color w:val="auto"/>
          <w:sz w:val="22"/>
          <w:highlight w:val="none"/>
          <w:lang w:val="en-US" w:eastAsia="zh-CN"/>
        </w:rPr>
        <w:t>2023</w:t>
      </w:r>
      <w:r>
        <w:rPr>
          <w:rFonts w:hint="eastAsia" w:ascii="宋体" w:hAnsi="宋体" w:cs="宋体"/>
          <w:color w:val="auto"/>
          <w:sz w:val="22"/>
          <w:highlight w:val="none"/>
          <w:lang w:val="zh-CN"/>
        </w:rPr>
        <w:t>年</w:t>
      </w:r>
      <w:r>
        <w:rPr>
          <w:rFonts w:hint="eastAsia" w:ascii="宋体" w:hAnsi="宋体" w:cs="宋体"/>
          <w:color w:val="auto"/>
          <w:sz w:val="22"/>
          <w:highlight w:val="none"/>
          <w:lang w:val="en-US" w:eastAsia="zh-CN"/>
        </w:rPr>
        <w:t>12</w:t>
      </w:r>
      <w:r>
        <w:rPr>
          <w:rFonts w:hint="eastAsia" w:ascii="宋体" w:hAnsi="宋体" w:cs="宋体"/>
          <w:color w:val="auto"/>
          <w:sz w:val="22"/>
          <w:highlight w:val="none"/>
          <w:lang w:val="zh-CN"/>
        </w:rPr>
        <w:t>月</w:t>
      </w:r>
      <w:r>
        <w:rPr>
          <w:rFonts w:hint="eastAsia" w:ascii="宋体" w:hAnsi="宋体" w:cs="宋体"/>
          <w:color w:val="auto"/>
          <w:sz w:val="22"/>
          <w:highlight w:val="none"/>
          <w:lang w:val="en-US" w:eastAsia="zh-CN"/>
        </w:rPr>
        <w:t>31</w:t>
      </w:r>
      <w:r>
        <w:rPr>
          <w:rFonts w:hint="eastAsia" w:ascii="宋体" w:hAnsi="宋体" w:cs="宋体"/>
          <w:color w:val="auto"/>
          <w:sz w:val="22"/>
          <w:highlight w:val="none"/>
          <w:lang w:val="zh-CN"/>
        </w:rPr>
        <w:t>日止。</w:t>
      </w:r>
    </w:p>
    <w:p>
      <w:pPr>
        <w:numPr>
          <w:ilvl w:val="0"/>
          <w:numId w:val="7"/>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乙方根据甲方要求，为甲方所购图书免费配送CALIS、标准的编目数据，其格式完全符合中国机读目录格式标准，并在每次送书前三天交给甲方。</w:t>
      </w:r>
    </w:p>
    <w:p>
      <w:pPr>
        <w:numPr>
          <w:ilvl w:val="0"/>
          <w:numId w:val="7"/>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 xml:space="preserve">乙方发往甲方的图书，每包图书重量一般不得超过20kg；图书清单一式二份，用碳素复写纸打印，一份封装于图书包内，一份交送中文图书采访人员；每册图书在包中的封装顺序应与图书清单顺序一致，即开包后清单中的第一本图书应该处于封面朝上的第一位置，其他类推；授权影印版西文图书，按西文图书加工配送USMARC，具体见外文图书加工要求，并独立包装、独立设批次。其它具体包装与运输要求见招标文件中图书配送要求。 </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三、 加工要求</w:t>
      </w:r>
    </w:p>
    <w:p>
      <w:pPr>
        <w:numPr>
          <w:ilvl w:val="0"/>
          <w:numId w:val="8"/>
        </w:numPr>
        <w:tabs>
          <w:tab w:val="left" w:pos="540"/>
        </w:tabs>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kern w:val="0"/>
          <w:sz w:val="22"/>
          <w:highlight w:val="none"/>
        </w:rPr>
        <w:t>每本书</w:t>
      </w:r>
      <w:r>
        <w:rPr>
          <w:rFonts w:hint="eastAsia" w:ascii="宋体" w:hAnsi="宋体" w:cs="宋体"/>
          <w:color w:val="auto"/>
          <w:sz w:val="22"/>
          <w:highlight w:val="none"/>
          <w:lang w:val="zh-CN"/>
        </w:rPr>
        <w:t>加盖馆藏章2个。颜色：蓝色。位置：书口中间位置一个，书名页中间空白处一个。要求字迹清晰。</w:t>
      </w:r>
      <w:r>
        <w:rPr>
          <w:rFonts w:hint="eastAsia" w:ascii="宋体" w:hAnsi="宋体" w:cs="宋体"/>
          <w:color w:val="auto"/>
          <w:kern w:val="0"/>
          <w:sz w:val="22"/>
          <w:highlight w:val="none"/>
        </w:rPr>
        <w:t>材料由</w:t>
      </w:r>
      <w:r>
        <w:rPr>
          <w:rFonts w:hint="eastAsia" w:ascii="宋体" w:hAnsi="宋体" w:cs="宋体"/>
          <w:color w:val="auto"/>
          <w:kern w:val="0"/>
          <w:sz w:val="22"/>
          <w:highlight w:val="none"/>
          <w:lang w:eastAsia="zh-CN"/>
        </w:rPr>
        <w:t>乙方</w:t>
      </w:r>
      <w:r>
        <w:rPr>
          <w:rFonts w:hint="eastAsia" w:ascii="宋体" w:hAnsi="宋体" w:cs="宋体"/>
          <w:color w:val="auto"/>
          <w:kern w:val="0"/>
          <w:sz w:val="22"/>
          <w:highlight w:val="none"/>
        </w:rPr>
        <w:t>提供，</w:t>
      </w:r>
      <w:r>
        <w:rPr>
          <w:rFonts w:hint="eastAsia" w:ascii="宋体" w:hAnsi="宋体" w:cs="宋体"/>
          <w:color w:val="auto"/>
          <w:sz w:val="22"/>
          <w:highlight w:val="none"/>
          <w:lang w:val="zh-CN"/>
        </w:rPr>
        <w:t>馆藏章样式由甲方提供。含光盘的图书，须在图书的指定位置（即条码边上）盖上红色的“含光盘”字样，字样由甲方提供。</w:t>
      </w:r>
    </w:p>
    <w:p>
      <w:pPr>
        <w:numPr>
          <w:ilvl w:val="0"/>
          <w:numId w:val="8"/>
        </w:numPr>
        <w:tabs>
          <w:tab w:val="left" w:pos="540"/>
        </w:tabs>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进口的3M磁条，规格：B2，钴基16cm复合磁条（优等品）。磁条由乙方提供，一般1本书只加1根磁条，但超过500页的图书，要加2根磁条。磁条紧贴书缝装订线安放，最大间隙不超过0.5毫米，要求隐蔽性好，不易发现。如能翻检到磁条，则要求再加涂一细条白乳胶。</w:t>
      </w:r>
    </w:p>
    <w:p>
      <w:pPr>
        <w:numPr>
          <w:ilvl w:val="0"/>
          <w:numId w:val="8"/>
        </w:numPr>
        <w:tabs>
          <w:tab w:val="left" w:pos="540"/>
        </w:tabs>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按甲方要求，每本书中贴2个条形码，贴于书名页的书名右上方空白处及封底前一页，条码的起始范围由甲方指定，</w:t>
      </w:r>
      <w:r>
        <w:rPr>
          <w:rFonts w:hint="eastAsia" w:ascii="宋体" w:hAnsi="宋体" w:cs="宋体"/>
          <w:color w:val="auto"/>
          <w:kern w:val="0"/>
          <w:sz w:val="22"/>
          <w:highlight w:val="none"/>
        </w:rPr>
        <w:t>材料由</w:t>
      </w:r>
      <w:r>
        <w:rPr>
          <w:rFonts w:hint="eastAsia" w:ascii="宋体" w:hAnsi="宋体" w:cs="宋体"/>
          <w:color w:val="auto"/>
          <w:kern w:val="0"/>
          <w:sz w:val="22"/>
          <w:highlight w:val="none"/>
          <w:lang w:eastAsia="zh-CN"/>
        </w:rPr>
        <w:t>乙方</w:t>
      </w:r>
      <w:r>
        <w:rPr>
          <w:rFonts w:hint="eastAsia" w:ascii="宋体" w:hAnsi="宋体" w:cs="宋体"/>
          <w:color w:val="auto"/>
          <w:kern w:val="0"/>
          <w:sz w:val="22"/>
          <w:highlight w:val="none"/>
        </w:rPr>
        <w:t>提供</w:t>
      </w:r>
      <w:r>
        <w:rPr>
          <w:rFonts w:hint="eastAsia" w:ascii="宋体" w:hAnsi="宋体" w:cs="宋体"/>
          <w:color w:val="auto"/>
          <w:sz w:val="22"/>
          <w:highlight w:val="none"/>
          <w:lang w:val="zh-CN"/>
        </w:rPr>
        <w:t>。</w:t>
      </w:r>
    </w:p>
    <w:p>
      <w:pPr>
        <w:numPr>
          <w:ilvl w:val="0"/>
          <w:numId w:val="8"/>
        </w:numPr>
        <w:tabs>
          <w:tab w:val="left" w:pos="540"/>
        </w:tabs>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kern w:val="0"/>
          <w:sz w:val="22"/>
          <w:highlight w:val="none"/>
        </w:rPr>
        <w:t>划书标线、打印、张贴书标、书标膜、图书类型标识：按</w:t>
      </w:r>
      <w:r>
        <w:rPr>
          <w:rFonts w:hint="eastAsia" w:ascii="宋体" w:hAnsi="宋体" w:cs="宋体"/>
          <w:color w:val="auto"/>
          <w:kern w:val="0"/>
          <w:sz w:val="22"/>
          <w:highlight w:val="none"/>
          <w:lang w:eastAsia="zh-CN"/>
        </w:rPr>
        <w:t>甲方</w:t>
      </w:r>
      <w:r>
        <w:rPr>
          <w:rFonts w:hint="eastAsia" w:ascii="宋体" w:hAnsi="宋体" w:cs="宋体"/>
          <w:color w:val="auto"/>
          <w:kern w:val="0"/>
          <w:sz w:val="22"/>
          <w:highlight w:val="none"/>
        </w:rPr>
        <w:t>要求，材料由</w:t>
      </w:r>
      <w:r>
        <w:rPr>
          <w:rFonts w:hint="eastAsia" w:ascii="宋体" w:hAnsi="宋体" w:cs="宋体"/>
          <w:color w:val="auto"/>
          <w:kern w:val="0"/>
          <w:sz w:val="22"/>
          <w:highlight w:val="none"/>
          <w:lang w:eastAsia="zh-CN"/>
        </w:rPr>
        <w:t>乙方</w:t>
      </w:r>
      <w:r>
        <w:rPr>
          <w:rFonts w:hint="eastAsia" w:ascii="宋体" w:hAnsi="宋体" w:cs="宋体"/>
          <w:color w:val="auto"/>
          <w:kern w:val="0"/>
          <w:sz w:val="22"/>
          <w:highlight w:val="none"/>
        </w:rPr>
        <w:t>提供，</w:t>
      </w:r>
      <w:r>
        <w:rPr>
          <w:rFonts w:hint="eastAsia" w:ascii="宋体" w:hAnsi="宋体" w:cs="宋体"/>
          <w:color w:val="auto"/>
          <w:sz w:val="22"/>
          <w:highlight w:val="none"/>
          <w:lang w:val="zh-CN"/>
        </w:rPr>
        <w:t>每本书只贴1个书标，书标贴在书脊上，高度为距书的底边约3.6CM，并覆盖透明书标膜。</w:t>
      </w:r>
    </w:p>
    <w:p>
      <w:pPr>
        <w:numPr>
          <w:ilvl w:val="0"/>
          <w:numId w:val="8"/>
        </w:numPr>
        <w:tabs>
          <w:tab w:val="left" w:pos="540"/>
        </w:tabs>
        <w:spacing w:line="360" w:lineRule="exact"/>
        <w:ind w:left="0" w:leftChars="0" w:firstLine="400" w:firstLineChars="0"/>
        <w:rPr>
          <w:rFonts w:ascii="宋体" w:hAnsi="宋体" w:cs="宋体"/>
          <w:color w:val="auto"/>
          <w:kern w:val="0"/>
          <w:sz w:val="22"/>
          <w:highlight w:val="none"/>
        </w:rPr>
      </w:pPr>
      <w:r>
        <w:rPr>
          <w:rFonts w:hint="eastAsia" w:ascii="宋体" w:hAnsi="宋体" w:cs="宋体"/>
          <w:color w:val="auto"/>
          <w:kern w:val="0"/>
          <w:sz w:val="22"/>
          <w:highlight w:val="none"/>
        </w:rPr>
        <w:t>对价格：拆包、核对清单、逐册核对价格、按批核对总帐。</w:t>
      </w:r>
    </w:p>
    <w:p>
      <w:pPr>
        <w:numPr>
          <w:ilvl w:val="0"/>
          <w:numId w:val="8"/>
        </w:numPr>
        <w:tabs>
          <w:tab w:val="left" w:pos="540"/>
        </w:tabs>
        <w:spacing w:line="360" w:lineRule="exact"/>
        <w:ind w:left="0" w:leftChars="0" w:firstLine="400" w:firstLineChars="0"/>
        <w:rPr>
          <w:rFonts w:ascii="宋体" w:hAnsi="宋体" w:cs="宋体"/>
          <w:color w:val="auto"/>
          <w:kern w:val="0"/>
          <w:sz w:val="22"/>
          <w:highlight w:val="none"/>
        </w:rPr>
      </w:pPr>
      <w:r>
        <w:rPr>
          <w:rFonts w:hint="eastAsia" w:ascii="宋体" w:hAnsi="宋体" w:cs="宋体"/>
          <w:color w:val="auto"/>
          <w:kern w:val="0"/>
          <w:sz w:val="22"/>
          <w:highlight w:val="none"/>
        </w:rPr>
        <w:t>数据加工：分类（标识索取号）、编目、典藏、馆藏分流（多个馆藏地）：按</w:t>
      </w:r>
      <w:r>
        <w:rPr>
          <w:rFonts w:hint="eastAsia" w:ascii="宋体" w:hAnsi="宋体" w:cs="宋体"/>
          <w:color w:val="auto"/>
          <w:kern w:val="0"/>
          <w:sz w:val="22"/>
          <w:highlight w:val="none"/>
          <w:lang w:eastAsia="zh-CN"/>
        </w:rPr>
        <w:t>甲方</w:t>
      </w:r>
      <w:r>
        <w:rPr>
          <w:rFonts w:hint="eastAsia" w:ascii="宋体" w:hAnsi="宋体" w:cs="宋体"/>
          <w:color w:val="auto"/>
          <w:kern w:val="0"/>
          <w:sz w:val="22"/>
          <w:highlight w:val="none"/>
        </w:rPr>
        <w:t>要求，包括图书分类审验、编目套录、典藏入库。</w:t>
      </w:r>
    </w:p>
    <w:p>
      <w:pPr>
        <w:numPr>
          <w:ilvl w:val="0"/>
          <w:numId w:val="8"/>
        </w:numPr>
        <w:tabs>
          <w:tab w:val="left" w:pos="540"/>
        </w:tabs>
        <w:spacing w:line="360" w:lineRule="exact"/>
        <w:ind w:left="0" w:leftChars="0" w:firstLine="400" w:firstLineChars="0"/>
        <w:rPr>
          <w:rFonts w:ascii="宋体" w:hAnsi="宋体" w:cs="宋体"/>
          <w:b/>
          <w:color w:val="auto"/>
          <w:sz w:val="22"/>
          <w:highlight w:val="none"/>
          <w:lang w:val="zh-CN"/>
        </w:rPr>
      </w:pPr>
      <w:r>
        <w:rPr>
          <w:rFonts w:hint="eastAsia" w:ascii="宋体" w:hAnsi="宋体" w:cs="宋体"/>
          <w:color w:val="auto"/>
          <w:kern w:val="0"/>
          <w:sz w:val="22"/>
          <w:highlight w:val="none"/>
        </w:rPr>
        <w:t>上架，核对数量，部份打包：按</w:t>
      </w:r>
      <w:r>
        <w:rPr>
          <w:rFonts w:hint="eastAsia" w:ascii="宋体" w:hAnsi="宋体" w:cs="宋体"/>
          <w:color w:val="auto"/>
          <w:kern w:val="0"/>
          <w:sz w:val="22"/>
          <w:highlight w:val="none"/>
          <w:lang w:eastAsia="zh-CN"/>
        </w:rPr>
        <w:t>甲方</w:t>
      </w:r>
      <w:r>
        <w:rPr>
          <w:rFonts w:hint="eastAsia" w:ascii="宋体" w:hAnsi="宋体" w:cs="宋体"/>
          <w:color w:val="auto"/>
          <w:kern w:val="0"/>
          <w:sz w:val="22"/>
          <w:highlight w:val="none"/>
        </w:rPr>
        <w:t>要求。</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四、供书时间</w:t>
      </w:r>
    </w:p>
    <w:p>
      <w:pPr>
        <w:tabs>
          <w:tab w:val="left" w:pos="540"/>
        </w:tabs>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订购要求到货时间从发出订单的第二天开始计算，要求中文图书到书周期天保证以上的图书到书率。如果无法满足甲方的需求，甲方有权取消其3个月供书资格。</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五、 图书包装及送货</w:t>
      </w:r>
    </w:p>
    <w:p>
      <w:pPr>
        <w:numPr>
          <w:ilvl w:val="0"/>
          <w:numId w:val="9"/>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 xml:space="preserve">乙方根据甲方要求的图书复本量配书，由乙方负责妥善包装，运输途中出现的任何意外甲方不承担任何责任，发生的损失由乙方承担。图书须按甲方要求发往甲方指定的地点和收货人，由乙方承担运输费用。 </w:t>
      </w:r>
    </w:p>
    <w:p>
      <w:pPr>
        <w:numPr>
          <w:ilvl w:val="0"/>
          <w:numId w:val="9"/>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u w:val="none"/>
          <w:lang w:val="zh-CN"/>
        </w:rPr>
      </w:pPr>
      <w:r>
        <w:rPr>
          <w:rFonts w:hint="eastAsia" w:ascii="宋体" w:hAnsi="宋体" w:cs="宋体"/>
          <w:color w:val="auto"/>
          <w:sz w:val="22"/>
          <w:highlight w:val="none"/>
          <w:lang w:val="zh-CN"/>
        </w:rPr>
        <w:t>图书纸质清单、电子清单要随书送到（清单格式详见招标文件），每包图书要有编号，包内附一式2份总清单（随该批图书同时到达），总清单内标明每种图书所在的包号、发货批次、折扣率、种数、册数、金额。电子清单应</w:t>
      </w:r>
      <w:r>
        <w:rPr>
          <w:rFonts w:hint="eastAsia" w:ascii="宋体" w:hAnsi="宋体" w:cs="宋体"/>
          <w:color w:val="auto"/>
          <w:sz w:val="22"/>
          <w:highlight w:val="none"/>
          <w:u w:val="none"/>
          <w:lang w:val="zh-CN"/>
        </w:rPr>
        <w:t>在配货时同时发送（电子清单的格式除包含纸质清单的内容，还需增加“折扣”和“实洋”）。编目数据根据calis标准制作，并于图书批次相对应。包外单需标识总包数、包数、发货批次、折扣率、种数、册数、金额。</w:t>
      </w:r>
    </w:p>
    <w:p>
      <w:pPr>
        <w:tabs>
          <w:tab w:val="left" w:pos="540"/>
        </w:tabs>
        <w:spacing w:line="360" w:lineRule="exact"/>
        <w:rPr>
          <w:rFonts w:ascii="宋体" w:hAnsi="宋体" w:cs="宋体"/>
          <w:b/>
          <w:color w:val="auto"/>
          <w:sz w:val="22"/>
          <w:highlight w:val="none"/>
          <w:u w:val="none"/>
          <w:lang w:val="zh-CN"/>
        </w:rPr>
      </w:pPr>
      <w:r>
        <w:rPr>
          <w:rFonts w:hint="eastAsia" w:ascii="宋体" w:hAnsi="宋体" w:cs="宋体"/>
          <w:b/>
          <w:color w:val="auto"/>
          <w:sz w:val="22"/>
          <w:highlight w:val="none"/>
          <w:u w:val="none"/>
          <w:lang w:val="zh-CN"/>
        </w:rPr>
        <w:t>六、 图书质量</w:t>
      </w:r>
    </w:p>
    <w:p>
      <w:pPr>
        <w:numPr>
          <w:ilvl w:val="0"/>
          <w:numId w:val="10"/>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u w:val="none"/>
          <w:lang w:val="zh-CN"/>
        </w:rPr>
      </w:pPr>
      <w:r>
        <w:rPr>
          <w:rFonts w:hint="eastAsia" w:ascii="宋体" w:hAnsi="宋体" w:cs="宋体"/>
          <w:color w:val="auto"/>
          <w:sz w:val="22"/>
          <w:highlight w:val="none"/>
          <w:u w:val="none"/>
          <w:lang w:val="zh-CN"/>
        </w:rPr>
        <w:t>乙方须严格遵守国家有关出版物发行管理规定，不发行盗版或盗印的出版物。</w:t>
      </w:r>
    </w:p>
    <w:p>
      <w:pPr>
        <w:numPr>
          <w:ilvl w:val="0"/>
          <w:numId w:val="10"/>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u w:val="none"/>
          <w:lang w:val="zh-CN"/>
        </w:rPr>
      </w:pPr>
      <w:r>
        <w:rPr>
          <w:rFonts w:hint="eastAsia" w:ascii="宋体" w:hAnsi="宋体" w:cs="宋体"/>
          <w:color w:val="auto"/>
          <w:sz w:val="22"/>
          <w:highlight w:val="none"/>
          <w:u w:val="none"/>
          <w:lang w:val="zh-CN"/>
        </w:rPr>
        <w:t>乙方保证图书的外观质量，如有缺页、倒装、污损等质量问题，由乙方负责免费更换或退货。</w:t>
      </w:r>
    </w:p>
    <w:p>
      <w:pPr>
        <w:numPr>
          <w:ilvl w:val="0"/>
          <w:numId w:val="10"/>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u w:val="none"/>
          <w:lang w:val="zh-CN"/>
        </w:rPr>
      </w:pPr>
      <w:r>
        <w:rPr>
          <w:rFonts w:hint="eastAsia" w:ascii="宋体" w:hAnsi="宋体" w:cs="宋体"/>
          <w:color w:val="auto"/>
          <w:sz w:val="22"/>
          <w:highlight w:val="none"/>
          <w:u w:val="none"/>
          <w:lang w:val="zh-CN"/>
        </w:rPr>
        <w:t>乙方提供的到货图书品种和数量与甲方订货单不符时，乙方必须无条件负责换货或补足。</w:t>
      </w:r>
    </w:p>
    <w:p>
      <w:pPr>
        <w:numPr>
          <w:ilvl w:val="0"/>
          <w:numId w:val="10"/>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u w:val="none"/>
          <w:lang w:val="zh-CN"/>
        </w:rPr>
      </w:pPr>
      <w:r>
        <w:rPr>
          <w:rFonts w:hint="eastAsia" w:ascii="宋体" w:hAnsi="宋体" w:cs="宋体"/>
          <w:color w:val="auto"/>
          <w:sz w:val="22"/>
          <w:highlight w:val="none"/>
          <w:u w:val="none"/>
          <w:lang w:val="zh-CN"/>
        </w:rPr>
        <w:t>乙方提供的到货图书品种不适合甲方招标学科专业和学科层次的，乙方必须无条件负责退换。</w:t>
      </w:r>
    </w:p>
    <w:p>
      <w:pPr>
        <w:numPr>
          <w:ilvl w:val="0"/>
          <w:numId w:val="10"/>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u w:val="none"/>
          <w:lang w:val="zh-CN"/>
        </w:rPr>
      </w:pPr>
      <w:r>
        <w:rPr>
          <w:rFonts w:hint="eastAsia" w:ascii="宋体" w:hAnsi="宋体" w:cs="宋体"/>
          <w:color w:val="auto"/>
          <w:sz w:val="22"/>
          <w:highlight w:val="none"/>
          <w:u w:val="none"/>
          <w:lang w:val="zh-CN"/>
        </w:rPr>
        <w:t>乙方图书信息不明确或错误而导致的甲方误订购图书，甲方可以退货，乙方不得拒绝。</w:t>
      </w:r>
    </w:p>
    <w:p>
      <w:pPr>
        <w:tabs>
          <w:tab w:val="left" w:pos="540"/>
        </w:tabs>
        <w:spacing w:line="360" w:lineRule="exact"/>
        <w:rPr>
          <w:rFonts w:ascii="宋体" w:hAnsi="宋体" w:cs="宋体"/>
          <w:b/>
          <w:color w:val="auto"/>
          <w:sz w:val="22"/>
          <w:highlight w:val="none"/>
          <w:u w:val="none"/>
          <w:lang w:val="zh-CN"/>
        </w:rPr>
      </w:pPr>
      <w:r>
        <w:rPr>
          <w:rFonts w:hint="eastAsia" w:ascii="宋体" w:hAnsi="宋体" w:cs="宋体"/>
          <w:b/>
          <w:color w:val="auto"/>
          <w:sz w:val="22"/>
          <w:highlight w:val="none"/>
          <w:u w:val="none"/>
          <w:lang w:val="zh-CN"/>
        </w:rPr>
        <w:t>七、 验收和结算方式</w:t>
      </w:r>
      <w:r>
        <w:rPr>
          <w:rFonts w:hint="eastAsia" w:ascii="宋体" w:hAnsi="宋体" w:cs="宋体"/>
          <w:color w:val="auto"/>
          <w:sz w:val="24"/>
          <w:szCs w:val="24"/>
          <w:highlight w:val="none"/>
          <w:u w:val="none"/>
          <w:lang w:eastAsia="zh-CN"/>
        </w:rPr>
        <w:t>（二选一）</w:t>
      </w:r>
      <w:r>
        <w:rPr>
          <w:rFonts w:hint="eastAsia" w:ascii="宋体" w:hAnsi="宋体" w:cs="宋体"/>
          <w:b/>
          <w:color w:val="auto"/>
          <w:sz w:val="22"/>
          <w:highlight w:val="none"/>
          <w:u w:val="none"/>
          <w:lang w:val="zh-CN"/>
        </w:rPr>
        <w:t>：</w:t>
      </w:r>
    </w:p>
    <w:p>
      <w:pPr>
        <w:tabs>
          <w:tab w:val="left" w:pos="1545"/>
        </w:tabs>
        <w:autoSpaceDE w:val="0"/>
        <w:autoSpaceDN w:val="0"/>
        <w:adjustRightInd w:val="0"/>
        <w:spacing w:line="360" w:lineRule="exact"/>
        <w:ind w:firstLine="440" w:firstLineChars="200"/>
        <w:rPr>
          <w:rFonts w:hint="default" w:ascii="宋体" w:hAnsi="宋体" w:eastAsia="宋体" w:cs="宋体"/>
          <w:color w:val="auto"/>
          <w:sz w:val="22"/>
          <w:highlight w:val="none"/>
          <w:u w:val="none"/>
          <w:lang w:val="en-US" w:eastAsia="zh-CN"/>
        </w:rPr>
      </w:pPr>
      <w:r>
        <w:rPr>
          <w:rFonts w:hint="eastAsia" w:ascii="宋体" w:hAnsi="宋体" w:cs="宋体"/>
          <w:color w:val="auto"/>
          <w:sz w:val="22"/>
          <w:highlight w:val="none"/>
          <w:u w:val="none"/>
          <w:lang w:val="en-US" w:eastAsia="zh-CN"/>
        </w:rPr>
        <w:t>1.履约保证金</w:t>
      </w:r>
    </w:p>
    <w:p>
      <w:pPr>
        <w:tabs>
          <w:tab w:val="left" w:pos="1545"/>
        </w:tabs>
        <w:autoSpaceDE w:val="0"/>
        <w:autoSpaceDN w:val="0"/>
        <w:adjustRightInd w:val="0"/>
        <w:spacing w:line="360" w:lineRule="exact"/>
        <w:ind w:firstLine="440" w:firstLineChars="200"/>
        <w:rPr>
          <w:rFonts w:hint="eastAsia" w:ascii="宋体" w:hAnsi="宋体" w:eastAsia="宋体" w:cs="宋体"/>
          <w:color w:val="auto"/>
          <w:kern w:val="0"/>
          <w:sz w:val="22"/>
          <w:highlight w:val="none"/>
          <w:u w:val="none"/>
          <w:lang w:val="en-US" w:eastAsia="zh-CN"/>
        </w:rPr>
      </w:pPr>
      <w:r>
        <w:rPr>
          <w:rFonts w:hint="eastAsia" w:ascii="宋体" w:hAnsi="宋体" w:eastAsia="宋体" w:cs="宋体"/>
          <w:color w:val="auto"/>
          <w:kern w:val="0"/>
          <w:sz w:val="22"/>
          <w:highlight w:val="none"/>
          <w:u w:val="none"/>
          <w:lang w:val="en-US" w:eastAsia="zh-CN"/>
        </w:rPr>
        <w:t>合同签订后，乙方5个工作日内支付所中标标项</w:t>
      </w:r>
      <w:r>
        <w:rPr>
          <w:rFonts w:hint="eastAsia" w:ascii="宋体" w:hAnsi="宋体" w:cs="宋体"/>
          <w:color w:val="auto"/>
          <w:kern w:val="0"/>
          <w:sz w:val="22"/>
          <w:highlight w:val="none"/>
          <w:u w:val="none"/>
          <w:lang w:val="en-US" w:eastAsia="zh-CN"/>
        </w:rPr>
        <w:t>预算</w:t>
      </w:r>
      <w:r>
        <w:rPr>
          <w:rFonts w:hint="eastAsia" w:ascii="宋体" w:hAnsi="宋体" w:eastAsia="宋体" w:cs="宋体"/>
          <w:color w:val="auto"/>
          <w:kern w:val="0"/>
          <w:sz w:val="22"/>
          <w:highlight w:val="none"/>
          <w:u w:val="none"/>
          <w:lang w:val="en-US" w:eastAsia="zh-CN"/>
        </w:rPr>
        <w:t>金额的1%或保函作为履约保证金，履约保证金自项目验收合格之日起无质量问题，甲方按程序在7个工作日内无息退还或退还保函。</w:t>
      </w:r>
    </w:p>
    <w:p>
      <w:pPr>
        <w:tabs>
          <w:tab w:val="left" w:pos="1545"/>
        </w:tabs>
        <w:autoSpaceDE w:val="0"/>
        <w:autoSpaceDN w:val="0"/>
        <w:adjustRightInd w:val="0"/>
        <w:spacing w:line="360" w:lineRule="exact"/>
        <w:ind w:firstLine="440" w:firstLineChars="200"/>
        <w:rPr>
          <w:rFonts w:hint="eastAsia" w:ascii="宋体" w:hAnsi="宋体" w:eastAsia="宋体" w:cs="宋体"/>
          <w:color w:val="auto"/>
          <w:kern w:val="0"/>
          <w:sz w:val="22"/>
          <w:highlight w:val="none"/>
          <w:u w:val="none"/>
          <w:lang w:val="en-US" w:eastAsia="zh-CN"/>
        </w:rPr>
      </w:pPr>
      <w:r>
        <w:rPr>
          <w:rFonts w:hint="eastAsia" w:ascii="宋体" w:hAnsi="宋体" w:eastAsia="宋体" w:cs="宋体"/>
          <w:color w:val="auto"/>
          <w:kern w:val="0"/>
          <w:sz w:val="22"/>
          <w:highlight w:val="none"/>
          <w:u w:val="none"/>
          <w:lang w:val="en-US" w:eastAsia="zh-CN"/>
        </w:rPr>
        <w:t>2.合同金额结算及支付方式：</w:t>
      </w:r>
    </w:p>
    <w:p>
      <w:pPr>
        <w:pStyle w:val="8"/>
        <w:keepNext w:val="0"/>
        <w:keepLines w:val="0"/>
        <w:pageBreakBefore w:val="0"/>
        <w:kinsoku/>
        <w:overflowPunct/>
        <w:topLinePunct w:val="0"/>
        <w:autoSpaceDE/>
        <w:autoSpaceDN/>
        <w:bidi w:val="0"/>
        <w:adjustRightInd/>
        <w:spacing w:line="350" w:lineRule="exact"/>
        <w:ind w:firstLine="440" w:firstLineChars="200"/>
        <w:textAlignment w:val="auto"/>
        <w:rPr>
          <w:rFonts w:hint="eastAsia" w:ascii="宋体" w:hAnsi="宋体" w:eastAsia="宋体" w:cs="宋体"/>
          <w:color w:val="auto"/>
          <w:kern w:val="0"/>
          <w:sz w:val="22"/>
          <w:highlight w:val="none"/>
          <w:u w:val="none"/>
        </w:rPr>
      </w:pPr>
      <w:r>
        <w:rPr>
          <w:rFonts w:hint="eastAsia" w:ascii="宋体" w:hAnsi="宋体" w:eastAsia="宋体" w:cs="宋体"/>
          <w:color w:val="auto"/>
          <w:kern w:val="0"/>
          <w:sz w:val="22"/>
          <w:highlight w:val="none"/>
          <w:u w:val="none"/>
        </w:rPr>
        <w:t>第一种：合同生效、</w:t>
      </w:r>
      <w:r>
        <w:rPr>
          <w:rFonts w:hint="eastAsia" w:ascii="宋体" w:hAnsi="宋体" w:cs="宋体"/>
          <w:color w:val="auto"/>
          <w:kern w:val="0"/>
          <w:sz w:val="22"/>
          <w:highlight w:val="none"/>
          <w:u w:val="none"/>
          <w:lang w:eastAsia="zh-CN"/>
        </w:rPr>
        <w:t>甲方</w:t>
      </w:r>
      <w:r>
        <w:rPr>
          <w:rFonts w:hint="eastAsia" w:ascii="宋体" w:hAnsi="宋体" w:eastAsia="宋体" w:cs="宋体"/>
          <w:color w:val="auto"/>
          <w:kern w:val="0"/>
          <w:sz w:val="22"/>
          <w:highlight w:val="none"/>
          <w:u w:val="none"/>
        </w:rPr>
        <w:t>收到</w:t>
      </w:r>
      <w:r>
        <w:rPr>
          <w:rFonts w:hint="eastAsia" w:ascii="宋体" w:hAnsi="宋体" w:cs="宋体"/>
          <w:color w:val="auto"/>
          <w:kern w:val="0"/>
          <w:sz w:val="22"/>
          <w:highlight w:val="none"/>
          <w:u w:val="none"/>
          <w:lang w:eastAsia="zh-CN"/>
        </w:rPr>
        <w:t>乙方</w:t>
      </w:r>
      <w:r>
        <w:rPr>
          <w:rFonts w:hint="eastAsia" w:ascii="宋体" w:hAnsi="宋体" w:eastAsia="宋体" w:cs="宋体"/>
          <w:color w:val="auto"/>
          <w:kern w:val="0"/>
          <w:sz w:val="22"/>
          <w:highlight w:val="none"/>
          <w:u w:val="none"/>
        </w:rPr>
        <w:t>出具的所中标标项预算金额 40 %保函以及具备实施条件后7个工作日内，向</w:t>
      </w:r>
      <w:r>
        <w:rPr>
          <w:rFonts w:hint="eastAsia" w:ascii="宋体" w:hAnsi="宋体" w:cs="宋体"/>
          <w:color w:val="auto"/>
          <w:kern w:val="0"/>
          <w:sz w:val="22"/>
          <w:highlight w:val="none"/>
          <w:u w:val="none"/>
          <w:lang w:eastAsia="zh-CN"/>
        </w:rPr>
        <w:t>乙方</w:t>
      </w:r>
      <w:r>
        <w:rPr>
          <w:rFonts w:hint="eastAsia" w:ascii="宋体" w:hAnsi="宋体" w:eastAsia="宋体" w:cs="宋体"/>
          <w:color w:val="auto"/>
          <w:kern w:val="0"/>
          <w:sz w:val="22"/>
          <w:highlight w:val="none"/>
          <w:u w:val="none"/>
        </w:rPr>
        <w:t>支付所中标标项预算总额 40 %的预付款，</w:t>
      </w:r>
      <w:r>
        <w:rPr>
          <w:rFonts w:hint="eastAsia" w:ascii="宋体" w:hAnsi="宋体" w:cs="宋体"/>
          <w:color w:val="auto"/>
          <w:kern w:val="0"/>
          <w:sz w:val="22"/>
          <w:highlight w:val="none"/>
          <w:u w:val="none"/>
          <w:lang w:eastAsia="zh-CN"/>
        </w:rPr>
        <w:t>乙方</w:t>
      </w:r>
      <w:r>
        <w:rPr>
          <w:rFonts w:hint="eastAsia" w:ascii="宋体" w:hAnsi="宋体" w:eastAsia="宋体" w:cs="宋体"/>
          <w:color w:val="auto"/>
          <w:kern w:val="0"/>
          <w:sz w:val="22"/>
          <w:highlight w:val="none"/>
          <w:u w:val="none"/>
        </w:rPr>
        <w:t>完成全部供货及安装、调试、培训并通过</w:t>
      </w:r>
      <w:r>
        <w:rPr>
          <w:rFonts w:hint="eastAsia" w:ascii="宋体" w:hAnsi="宋体" w:cs="宋体"/>
          <w:color w:val="auto"/>
          <w:kern w:val="0"/>
          <w:sz w:val="22"/>
          <w:highlight w:val="none"/>
          <w:u w:val="none"/>
          <w:lang w:eastAsia="zh-CN"/>
        </w:rPr>
        <w:t>甲方</w:t>
      </w:r>
      <w:r>
        <w:rPr>
          <w:rFonts w:hint="eastAsia" w:ascii="宋体" w:hAnsi="宋体" w:eastAsia="宋体" w:cs="宋体"/>
          <w:color w:val="auto"/>
          <w:kern w:val="0"/>
          <w:sz w:val="22"/>
          <w:highlight w:val="none"/>
          <w:u w:val="none"/>
        </w:rPr>
        <w:t>验收、入库后，</w:t>
      </w:r>
      <w:r>
        <w:rPr>
          <w:rFonts w:hint="eastAsia" w:ascii="宋体" w:hAnsi="宋体" w:cs="宋体"/>
          <w:color w:val="auto"/>
          <w:kern w:val="0"/>
          <w:sz w:val="22"/>
          <w:highlight w:val="none"/>
          <w:u w:val="none"/>
          <w:lang w:eastAsia="zh-CN"/>
        </w:rPr>
        <w:t>甲方</w:t>
      </w:r>
      <w:r>
        <w:rPr>
          <w:rFonts w:hint="eastAsia" w:ascii="宋体" w:hAnsi="宋体" w:eastAsia="宋体" w:cs="宋体"/>
          <w:color w:val="auto"/>
          <w:kern w:val="0"/>
          <w:sz w:val="22"/>
          <w:highlight w:val="none"/>
          <w:u w:val="none"/>
        </w:rPr>
        <w:t>验收合格并收到</w:t>
      </w:r>
      <w:r>
        <w:rPr>
          <w:rFonts w:hint="eastAsia" w:ascii="宋体" w:hAnsi="宋体" w:cs="宋体"/>
          <w:color w:val="auto"/>
          <w:kern w:val="0"/>
          <w:sz w:val="22"/>
          <w:highlight w:val="none"/>
          <w:u w:val="none"/>
          <w:lang w:eastAsia="zh-CN"/>
        </w:rPr>
        <w:t>乙方</w:t>
      </w:r>
      <w:r>
        <w:rPr>
          <w:rFonts w:hint="eastAsia" w:ascii="宋体" w:hAnsi="宋体" w:eastAsia="宋体" w:cs="宋体"/>
          <w:color w:val="auto"/>
          <w:kern w:val="0"/>
          <w:sz w:val="22"/>
          <w:highlight w:val="none"/>
          <w:u w:val="none"/>
        </w:rPr>
        <w:t>出具全额增值税发票后7个工作日内，</w:t>
      </w:r>
      <w:r>
        <w:rPr>
          <w:rFonts w:hint="eastAsia" w:ascii="宋体" w:hAnsi="宋体" w:cs="宋体"/>
          <w:color w:val="auto"/>
          <w:kern w:val="0"/>
          <w:sz w:val="22"/>
          <w:highlight w:val="none"/>
          <w:u w:val="none"/>
          <w:lang w:eastAsia="zh-CN"/>
        </w:rPr>
        <w:t>甲方</w:t>
      </w:r>
      <w:r>
        <w:rPr>
          <w:rFonts w:hint="eastAsia" w:ascii="宋体" w:hAnsi="宋体" w:eastAsia="宋体" w:cs="宋体"/>
          <w:color w:val="auto"/>
          <w:kern w:val="0"/>
          <w:sz w:val="22"/>
          <w:highlight w:val="none"/>
          <w:u w:val="none"/>
        </w:rPr>
        <w:t>按实支付剩余的货款并退还保函。</w:t>
      </w:r>
    </w:p>
    <w:p>
      <w:pPr>
        <w:pStyle w:val="8"/>
        <w:keepNext w:val="0"/>
        <w:keepLines w:val="0"/>
        <w:pageBreakBefore w:val="0"/>
        <w:kinsoku/>
        <w:overflowPunct/>
        <w:topLinePunct w:val="0"/>
        <w:autoSpaceDE/>
        <w:autoSpaceDN/>
        <w:bidi w:val="0"/>
        <w:adjustRightInd/>
        <w:spacing w:line="350" w:lineRule="exact"/>
        <w:ind w:firstLine="440" w:firstLineChars="200"/>
        <w:textAlignment w:val="auto"/>
        <w:rPr>
          <w:rFonts w:hint="eastAsia" w:ascii="宋体" w:hAnsi="宋体" w:eastAsia="宋体" w:cs="宋体"/>
          <w:color w:val="auto"/>
          <w:kern w:val="0"/>
          <w:sz w:val="22"/>
          <w:highlight w:val="none"/>
          <w:u w:val="none"/>
        </w:rPr>
      </w:pPr>
      <w:r>
        <w:rPr>
          <w:rFonts w:hint="eastAsia" w:ascii="宋体" w:hAnsi="宋体" w:eastAsia="宋体" w:cs="宋体"/>
          <w:color w:val="auto"/>
          <w:kern w:val="0"/>
          <w:sz w:val="22"/>
          <w:highlight w:val="none"/>
          <w:u w:val="none"/>
        </w:rPr>
        <w:t>第二种：</w:t>
      </w:r>
      <w:r>
        <w:rPr>
          <w:rFonts w:hint="eastAsia" w:ascii="宋体" w:hAnsi="宋体" w:cs="宋体"/>
          <w:color w:val="auto"/>
          <w:kern w:val="0"/>
          <w:sz w:val="22"/>
          <w:highlight w:val="none"/>
          <w:u w:val="none"/>
          <w:lang w:eastAsia="zh-CN"/>
        </w:rPr>
        <w:t>乙方</w:t>
      </w:r>
      <w:r>
        <w:rPr>
          <w:rFonts w:hint="eastAsia" w:ascii="宋体" w:hAnsi="宋体" w:eastAsia="宋体" w:cs="宋体"/>
          <w:color w:val="auto"/>
          <w:kern w:val="0"/>
          <w:sz w:val="22"/>
          <w:highlight w:val="none"/>
          <w:u w:val="none"/>
        </w:rPr>
        <w:t>无需预付款：按验收批次结算，</w:t>
      </w:r>
      <w:r>
        <w:rPr>
          <w:rFonts w:hint="eastAsia" w:ascii="宋体" w:hAnsi="宋体" w:cs="宋体"/>
          <w:color w:val="auto"/>
          <w:kern w:val="0"/>
          <w:sz w:val="22"/>
          <w:highlight w:val="none"/>
          <w:u w:val="none"/>
          <w:lang w:eastAsia="zh-CN"/>
        </w:rPr>
        <w:t>甲方</w:t>
      </w:r>
      <w:r>
        <w:rPr>
          <w:rFonts w:hint="eastAsia" w:ascii="宋体" w:hAnsi="宋体" w:eastAsia="宋体" w:cs="宋体"/>
          <w:color w:val="auto"/>
          <w:kern w:val="0"/>
          <w:sz w:val="22"/>
          <w:highlight w:val="none"/>
          <w:u w:val="none"/>
        </w:rPr>
        <w:t>在该批次验收合格并收到</w:t>
      </w:r>
      <w:r>
        <w:rPr>
          <w:rFonts w:hint="eastAsia" w:ascii="宋体" w:hAnsi="宋体" w:cs="宋体"/>
          <w:color w:val="auto"/>
          <w:kern w:val="0"/>
          <w:sz w:val="22"/>
          <w:highlight w:val="none"/>
          <w:u w:val="none"/>
          <w:lang w:eastAsia="zh-CN"/>
        </w:rPr>
        <w:t>乙方</w:t>
      </w:r>
      <w:r>
        <w:rPr>
          <w:rFonts w:hint="eastAsia" w:ascii="宋体" w:hAnsi="宋体" w:eastAsia="宋体" w:cs="宋体"/>
          <w:color w:val="auto"/>
          <w:kern w:val="0"/>
          <w:sz w:val="22"/>
          <w:highlight w:val="none"/>
          <w:u w:val="none"/>
        </w:rPr>
        <w:t>出具全额增值税发票后7个工作日内支付货款，在</w:t>
      </w:r>
      <w:r>
        <w:rPr>
          <w:rFonts w:hint="eastAsia" w:ascii="宋体" w:hAnsi="宋体" w:cs="宋体"/>
          <w:color w:val="auto"/>
          <w:kern w:val="0"/>
          <w:sz w:val="22"/>
          <w:highlight w:val="none"/>
          <w:u w:val="none"/>
          <w:lang w:eastAsia="zh-CN"/>
        </w:rPr>
        <w:t>乙方</w:t>
      </w:r>
      <w:r>
        <w:rPr>
          <w:rFonts w:hint="eastAsia" w:ascii="宋体" w:hAnsi="宋体" w:eastAsia="宋体" w:cs="宋体"/>
          <w:color w:val="auto"/>
          <w:kern w:val="0"/>
          <w:sz w:val="22"/>
          <w:highlight w:val="none"/>
          <w:u w:val="none"/>
        </w:rPr>
        <w:t>完成最后一批次图书供货，</w:t>
      </w:r>
      <w:r>
        <w:rPr>
          <w:rFonts w:hint="eastAsia" w:ascii="宋体" w:hAnsi="宋体" w:cs="宋体"/>
          <w:color w:val="auto"/>
          <w:kern w:val="0"/>
          <w:sz w:val="22"/>
          <w:highlight w:val="none"/>
          <w:u w:val="none"/>
          <w:lang w:eastAsia="zh-CN"/>
        </w:rPr>
        <w:t>甲方</w:t>
      </w:r>
      <w:r>
        <w:rPr>
          <w:rFonts w:hint="eastAsia" w:ascii="宋体" w:hAnsi="宋体" w:eastAsia="宋体" w:cs="宋体"/>
          <w:color w:val="auto"/>
          <w:kern w:val="0"/>
          <w:sz w:val="22"/>
          <w:highlight w:val="none"/>
          <w:u w:val="none"/>
        </w:rPr>
        <w:t>验收合格后7个工作日内按实支付尾款。</w:t>
      </w:r>
    </w:p>
    <w:p>
      <w:pPr>
        <w:tabs>
          <w:tab w:val="left" w:pos="1545"/>
        </w:tabs>
        <w:autoSpaceDE w:val="0"/>
        <w:autoSpaceDN w:val="0"/>
        <w:adjustRightInd w:val="0"/>
        <w:spacing w:line="360" w:lineRule="exact"/>
        <w:ind w:firstLine="440" w:firstLineChars="200"/>
        <w:rPr>
          <w:rFonts w:hint="default" w:ascii="Times New Roman" w:hAnsi="Times New Roman" w:eastAsia="新宋体" w:cs="Times New Roman"/>
          <w:color w:val="auto"/>
          <w:sz w:val="22"/>
          <w:szCs w:val="22"/>
          <w:highlight w:val="none"/>
          <w:u w:val="single"/>
          <w:lang w:val="en-US" w:eastAsia="zh-CN"/>
        </w:rPr>
      </w:pPr>
      <w:r>
        <w:rPr>
          <w:rFonts w:hint="eastAsia" w:ascii="宋体" w:hAnsi="宋体" w:eastAsia="宋体" w:cs="宋体"/>
          <w:color w:val="auto"/>
          <w:kern w:val="0"/>
          <w:sz w:val="22"/>
          <w:highlight w:val="none"/>
          <w:u w:val="none"/>
          <w:lang w:val="en-US" w:eastAsia="zh-CN"/>
        </w:rPr>
        <w:t>经双方协商，乙方（主动要求降低预付</w:t>
      </w:r>
      <w:r>
        <w:rPr>
          <w:rFonts w:hint="eastAsia" w:ascii="宋体" w:hAnsi="宋体" w:eastAsia="宋体" w:cs="宋体"/>
          <w:color w:val="auto"/>
          <w:kern w:val="0"/>
          <w:sz w:val="22"/>
          <w:szCs w:val="22"/>
          <w:highlight w:val="none"/>
          <w:u w:val="none"/>
          <w:lang w:val="en-US" w:eastAsia="zh-CN"/>
        </w:rPr>
        <w:t>款比例并）明确表示选择第</w:t>
      </w:r>
      <w:r>
        <w:rPr>
          <w:rFonts w:hint="eastAsia" w:ascii="Times New Roman" w:hAnsi="Times New Roman" w:eastAsia="新宋体" w:cs="Times New Roman"/>
          <w:color w:val="auto"/>
          <w:sz w:val="22"/>
          <w:szCs w:val="22"/>
          <w:highlight w:val="none"/>
          <w:u w:val="single"/>
          <w:lang w:val="en-US" w:eastAsia="zh-CN"/>
        </w:rPr>
        <w:t xml:space="preserve">     </w:t>
      </w:r>
      <w:r>
        <w:rPr>
          <w:rFonts w:hint="eastAsia" w:ascii="Times New Roman" w:hAnsi="Times New Roman" w:eastAsia="新宋体" w:cs="Times New Roman"/>
          <w:color w:val="auto"/>
          <w:sz w:val="22"/>
          <w:szCs w:val="22"/>
          <w:highlight w:val="none"/>
          <w:lang w:val="en-US" w:eastAsia="zh-CN"/>
        </w:rPr>
        <w:t>种支付方式</w:t>
      </w:r>
      <w:r>
        <w:rPr>
          <w:rFonts w:hint="eastAsia" w:eastAsia="新宋体" w:cs="Times New Roman"/>
          <w:color w:val="auto"/>
          <w:sz w:val="22"/>
          <w:szCs w:val="22"/>
          <w:highlight w:val="none"/>
          <w:lang w:val="en-US" w:eastAsia="zh-CN"/>
        </w:rPr>
        <w:t>。</w:t>
      </w:r>
      <w:r>
        <w:rPr>
          <w:rFonts w:hint="eastAsia" w:ascii="Times New Roman" w:hAnsi="Times New Roman" w:eastAsia="新宋体" w:cs="Times New Roman"/>
          <w:color w:val="auto"/>
          <w:sz w:val="22"/>
          <w:szCs w:val="22"/>
          <w:highlight w:val="none"/>
          <w:lang w:val="en-US" w:eastAsia="zh-CN"/>
        </w:rPr>
        <w:t>乙方授权代表签字并加盖乙方“合同章或公章”：</w:t>
      </w:r>
      <w:r>
        <w:rPr>
          <w:rFonts w:hint="eastAsia" w:ascii="Times New Roman" w:hAnsi="Times New Roman" w:eastAsia="新宋体" w:cs="Times New Roman"/>
          <w:color w:val="auto"/>
          <w:sz w:val="22"/>
          <w:szCs w:val="22"/>
          <w:highlight w:val="none"/>
          <w:u w:val="single"/>
          <w:lang w:val="en-US" w:eastAsia="zh-CN"/>
        </w:rPr>
        <w:t xml:space="preserve">             </w:t>
      </w:r>
    </w:p>
    <w:p>
      <w:pPr>
        <w:tabs>
          <w:tab w:val="left" w:pos="1545"/>
        </w:tabs>
        <w:autoSpaceDE w:val="0"/>
        <w:autoSpaceDN w:val="0"/>
        <w:adjustRightInd w:val="0"/>
        <w:spacing w:line="360" w:lineRule="exact"/>
        <w:ind w:firstLine="440" w:firstLineChars="200"/>
        <w:rPr>
          <w:rFonts w:hint="eastAsia" w:ascii="宋体" w:hAnsi="宋体" w:cs="宋体"/>
          <w:color w:val="auto"/>
          <w:sz w:val="22"/>
          <w:highlight w:val="none"/>
          <w:u w:val="none"/>
          <w:lang w:val="zh-CN"/>
        </w:rPr>
      </w:pPr>
      <w:r>
        <w:rPr>
          <w:rFonts w:hint="eastAsia" w:ascii="宋体" w:hAnsi="宋体" w:cs="宋体"/>
          <w:color w:val="auto"/>
          <w:kern w:val="0"/>
          <w:sz w:val="22"/>
          <w:highlight w:val="none"/>
          <w:u w:val="none"/>
          <w:lang w:eastAsia="zh-CN"/>
        </w:rPr>
        <w:t>乙方</w:t>
      </w:r>
      <w:r>
        <w:rPr>
          <w:rFonts w:hint="eastAsia" w:ascii="宋体" w:hAnsi="宋体" w:eastAsia="宋体" w:cs="宋体"/>
          <w:color w:val="auto"/>
          <w:kern w:val="0"/>
          <w:sz w:val="22"/>
          <w:highlight w:val="none"/>
          <w:u w:val="none"/>
        </w:rPr>
        <w:t>应为</w:t>
      </w:r>
      <w:r>
        <w:rPr>
          <w:rFonts w:hint="eastAsia" w:ascii="宋体" w:hAnsi="宋体" w:cs="宋体"/>
          <w:color w:val="auto"/>
          <w:kern w:val="0"/>
          <w:sz w:val="22"/>
          <w:highlight w:val="none"/>
          <w:u w:val="none"/>
          <w:lang w:eastAsia="zh-CN"/>
        </w:rPr>
        <w:t>甲方</w:t>
      </w:r>
      <w:r>
        <w:rPr>
          <w:rFonts w:hint="eastAsia" w:ascii="宋体" w:hAnsi="宋体" w:eastAsia="宋体" w:cs="宋体"/>
          <w:color w:val="auto"/>
          <w:kern w:val="0"/>
          <w:sz w:val="22"/>
          <w:highlight w:val="none"/>
          <w:u w:val="none"/>
        </w:rPr>
        <w:t>提供符合国家有关法律规定和</w:t>
      </w:r>
      <w:r>
        <w:rPr>
          <w:rFonts w:hint="eastAsia" w:ascii="宋体" w:hAnsi="宋体" w:cs="宋体"/>
          <w:color w:val="auto"/>
          <w:kern w:val="0"/>
          <w:sz w:val="22"/>
          <w:highlight w:val="none"/>
          <w:u w:val="none"/>
          <w:lang w:eastAsia="zh-CN"/>
        </w:rPr>
        <w:t>甲方</w:t>
      </w:r>
      <w:r>
        <w:rPr>
          <w:rFonts w:hint="eastAsia" w:ascii="宋体" w:hAnsi="宋体" w:eastAsia="宋体" w:cs="宋体"/>
          <w:color w:val="auto"/>
          <w:kern w:val="0"/>
          <w:sz w:val="22"/>
          <w:highlight w:val="none"/>
          <w:u w:val="none"/>
        </w:rPr>
        <w:t>财务规定的正式图书销售发票。在同一张发票上反映其码洋、销售折扣、实洋，以及图书的种数和册数等内容，</w:t>
      </w:r>
      <w:r>
        <w:rPr>
          <w:rFonts w:hint="eastAsia" w:ascii="宋体" w:hAnsi="宋体" w:cs="宋体"/>
          <w:color w:val="auto"/>
          <w:kern w:val="0"/>
          <w:sz w:val="22"/>
          <w:highlight w:val="none"/>
          <w:u w:val="none"/>
          <w:lang w:eastAsia="zh-CN"/>
        </w:rPr>
        <w:t>甲方</w:t>
      </w:r>
      <w:r>
        <w:rPr>
          <w:rFonts w:hint="eastAsia" w:ascii="宋体" w:hAnsi="宋体" w:eastAsia="宋体" w:cs="宋体"/>
          <w:color w:val="auto"/>
          <w:kern w:val="0"/>
          <w:sz w:val="22"/>
          <w:highlight w:val="none"/>
          <w:u w:val="none"/>
        </w:rPr>
        <w:t>收到发票后按实洋付款</w:t>
      </w:r>
      <w:r>
        <w:rPr>
          <w:rFonts w:hint="eastAsia" w:ascii="宋体" w:hAnsi="宋体" w:cs="宋体"/>
          <w:color w:val="auto"/>
          <w:kern w:val="0"/>
          <w:sz w:val="22"/>
          <w:highlight w:val="none"/>
          <w:u w:val="none"/>
          <w:lang w:eastAsia="zh-CN"/>
        </w:rPr>
        <w:t>（</w:t>
      </w:r>
      <w:r>
        <w:rPr>
          <w:rFonts w:hint="eastAsia" w:ascii="宋体" w:hAnsi="宋体" w:eastAsia="宋体" w:cs="宋体"/>
          <w:color w:val="auto"/>
          <w:kern w:val="0"/>
          <w:sz w:val="22"/>
          <w:highlight w:val="none"/>
          <w:u w:val="none"/>
          <w:lang w:val="en-US" w:eastAsia="zh-CN"/>
        </w:rPr>
        <w:t>货款</w:t>
      </w:r>
      <w:r>
        <w:rPr>
          <w:rFonts w:hint="eastAsia" w:ascii="宋体" w:hAnsi="宋体" w:eastAsia="宋体" w:cs="宋体"/>
          <w:color w:val="auto"/>
          <w:kern w:val="0"/>
          <w:sz w:val="22"/>
          <w:highlight w:val="none"/>
          <w:u w:val="none"/>
        </w:rPr>
        <w:t>以图书定价为依据，在合同期内，按</w:t>
      </w:r>
      <w:r>
        <w:rPr>
          <w:rFonts w:hint="eastAsia" w:ascii="宋体" w:hAnsi="宋体" w:cs="宋体"/>
          <w:color w:val="auto"/>
          <w:kern w:val="0"/>
          <w:sz w:val="22"/>
          <w:highlight w:val="none"/>
          <w:u w:val="none"/>
          <w:lang w:eastAsia="zh-CN"/>
        </w:rPr>
        <w:t>乙方</w:t>
      </w:r>
      <w:r>
        <w:rPr>
          <w:rFonts w:hint="eastAsia" w:ascii="宋体" w:hAnsi="宋体" w:eastAsia="宋体" w:cs="宋体"/>
          <w:color w:val="auto"/>
          <w:kern w:val="0"/>
          <w:sz w:val="22"/>
          <w:highlight w:val="none"/>
          <w:u w:val="none"/>
        </w:rPr>
        <w:t>提供的图书</w:t>
      </w:r>
      <w:bookmarkStart w:id="6" w:name="_GoBack"/>
      <w:bookmarkEnd w:id="6"/>
      <w:r>
        <w:rPr>
          <w:rFonts w:hint="eastAsia" w:ascii="宋体" w:hAnsi="宋体" w:eastAsia="宋体" w:cs="宋体"/>
          <w:color w:val="auto"/>
          <w:kern w:val="0"/>
          <w:sz w:val="22"/>
          <w:highlight w:val="none"/>
          <w:u w:val="none"/>
        </w:rPr>
        <w:t>码洋乘以中标折扣率结算</w:t>
      </w:r>
      <w:r>
        <w:rPr>
          <w:rFonts w:hint="eastAsia" w:ascii="宋体" w:hAnsi="宋体" w:eastAsia="宋体" w:cs="宋体"/>
          <w:color w:val="auto"/>
          <w:kern w:val="0"/>
          <w:sz w:val="22"/>
          <w:highlight w:val="none"/>
          <w:u w:val="none"/>
          <w:lang w:eastAsia="zh-CN"/>
        </w:rPr>
        <w:t>）</w:t>
      </w:r>
      <w:r>
        <w:rPr>
          <w:rFonts w:hint="eastAsia" w:ascii="宋体" w:hAnsi="宋体" w:eastAsia="宋体" w:cs="宋体"/>
          <w:color w:val="auto"/>
          <w:kern w:val="0"/>
          <w:sz w:val="22"/>
          <w:highlight w:val="none"/>
          <w:u w:val="none"/>
        </w:rPr>
        <w:t>。</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u w:val="none"/>
          <w:lang w:val="zh-CN"/>
        </w:rPr>
      </w:pPr>
      <w:r>
        <w:rPr>
          <w:rFonts w:hint="eastAsia" w:ascii="宋体" w:hAnsi="宋体" w:cs="宋体"/>
          <w:color w:val="auto"/>
          <w:sz w:val="22"/>
          <w:highlight w:val="none"/>
          <w:u w:val="none"/>
          <w:lang w:val="zh-CN"/>
        </w:rPr>
        <w:t>乙方按甲方要求供应的图书按甲方确认的图书码洋的最终折扣率全额结算。</w:t>
      </w:r>
    </w:p>
    <w:p>
      <w:pPr>
        <w:tabs>
          <w:tab w:val="left" w:pos="1545"/>
        </w:tabs>
        <w:autoSpaceDE w:val="0"/>
        <w:autoSpaceDN w:val="0"/>
        <w:adjustRightInd w:val="0"/>
        <w:spacing w:line="360" w:lineRule="exact"/>
        <w:ind w:firstLine="442" w:firstLineChars="200"/>
        <w:rPr>
          <w:rFonts w:hint="eastAsia" w:ascii="宋体" w:hAnsi="宋体" w:cs="宋体"/>
          <w:color w:val="auto"/>
          <w:sz w:val="22"/>
          <w:szCs w:val="22"/>
          <w:highlight w:val="none"/>
          <w:u w:val="none"/>
          <w:lang w:val="zh-CN"/>
        </w:rPr>
      </w:pPr>
      <w:r>
        <w:rPr>
          <w:rFonts w:hint="eastAsia" w:ascii="宋体" w:hAnsi="宋体" w:cs="宋体"/>
          <w:b/>
          <w:bCs/>
          <w:color w:val="auto"/>
          <w:sz w:val="22"/>
          <w:highlight w:val="none"/>
          <w:u w:val="none"/>
          <w:lang w:val="en-US" w:eastAsia="zh-CN"/>
        </w:rPr>
        <w:t>3.</w:t>
      </w:r>
      <w:r>
        <w:rPr>
          <w:rFonts w:hint="eastAsia" w:ascii="宋体" w:hAnsi="宋体" w:cs="宋体"/>
          <w:b/>
          <w:bCs/>
          <w:color w:val="auto"/>
          <w:sz w:val="22"/>
          <w:highlight w:val="none"/>
          <w:u w:val="none"/>
        </w:rPr>
        <w:t>验收标准</w:t>
      </w:r>
    </w:p>
    <w:p>
      <w:pPr>
        <w:keepNext w:val="0"/>
        <w:keepLines w:val="0"/>
        <w:pageBreakBefore w:val="0"/>
        <w:widowControl/>
        <w:numPr>
          <w:ilvl w:val="0"/>
          <w:numId w:val="11"/>
        </w:numPr>
        <w:kinsoku/>
        <w:wordWrap/>
        <w:overflowPunct/>
        <w:topLinePunct w:val="0"/>
        <w:bidi w:val="0"/>
        <w:snapToGrid/>
        <w:spacing w:line="360" w:lineRule="exact"/>
        <w:ind w:left="0" w:leftChars="0" w:firstLine="440" w:firstLineChars="200"/>
        <w:jc w:val="left"/>
        <w:textAlignment w:val="auto"/>
        <w:rPr>
          <w:rFonts w:ascii="宋体" w:hAnsi="宋体" w:cs="宋体"/>
          <w:color w:val="auto"/>
          <w:kern w:val="0"/>
          <w:sz w:val="22"/>
          <w:highlight w:val="none"/>
        </w:rPr>
      </w:pPr>
      <w:r>
        <w:rPr>
          <w:rFonts w:hint="eastAsia" w:ascii="宋体" w:hAnsi="宋体" w:cs="宋体"/>
          <w:color w:val="auto"/>
          <w:kern w:val="0"/>
          <w:sz w:val="22"/>
          <w:highlight w:val="none"/>
          <w:lang w:eastAsia="zh-CN"/>
        </w:rPr>
        <w:t>乙方</w:t>
      </w:r>
      <w:r>
        <w:rPr>
          <w:rFonts w:hint="eastAsia" w:ascii="宋体" w:hAnsi="宋体" w:cs="宋体"/>
          <w:color w:val="auto"/>
          <w:kern w:val="0"/>
          <w:sz w:val="22"/>
          <w:highlight w:val="none"/>
        </w:rPr>
        <w:t>应提供有效检验文件，经</w:t>
      </w:r>
      <w:r>
        <w:rPr>
          <w:rFonts w:hint="eastAsia" w:ascii="宋体" w:hAnsi="宋体" w:cs="宋体"/>
          <w:color w:val="auto"/>
          <w:kern w:val="0"/>
          <w:sz w:val="22"/>
          <w:highlight w:val="none"/>
          <w:lang w:eastAsia="zh-CN"/>
        </w:rPr>
        <w:t>甲方</w:t>
      </w:r>
      <w:r>
        <w:rPr>
          <w:rFonts w:hint="eastAsia" w:ascii="宋体" w:hAnsi="宋体" w:cs="宋体"/>
          <w:color w:val="auto"/>
          <w:kern w:val="0"/>
          <w:sz w:val="22"/>
          <w:highlight w:val="none"/>
        </w:rPr>
        <w:t>认可后，与合同的指标一起作为验收标准。验收合格后，双方共同签署验收合格证书，验收中发现货物达不到验收标准或合同规定的性能指标，</w:t>
      </w:r>
      <w:r>
        <w:rPr>
          <w:rFonts w:hint="eastAsia" w:ascii="宋体" w:hAnsi="宋体" w:cs="宋体"/>
          <w:color w:val="auto"/>
          <w:kern w:val="0"/>
          <w:sz w:val="22"/>
          <w:highlight w:val="none"/>
          <w:lang w:eastAsia="zh-CN"/>
        </w:rPr>
        <w:t>乙方</w:t>
      </w:r>
      <w:r>
        <w:rPr>
          <w:rFonts w:hint="eastAsia" w:ascii="宋体" w:hAnsi="宋体" w:cs="宋体"/>
          <w:color w:val="auto"/>
          <w:kern w:val="0"/>
          <w:sz w:val="22"/>
          <w:highlight w:val="none"/>
        </w:rPr>
        <w:t>必须更换，并负担由此给</w:t>
      </w:r>
      <w:r>
        <w:rPr>
          <w:rFonts w:hint="eastAsia" w:ascii="宋体" w:hAnsi="宋体" w:cs="宋体"/>
          <w:color w:val="auto"/>
          <w:kern w:val="0"/>
          <w:sz w:val="22"/>
          <w:highlight w:val="none"/>
          <w:lang w:eastAsia="zh-CN"/>
        </w:rPr>
        <w:t>甲方</w:t>
      </w:r>
      <w:r>
        <w:rPr>
          <w:rFonts w:hint="eastAsia" w:ascii="宋体" w:hAnsi="宋体" w:cs="宋体"/>
          <w:color w:val="auto"/>
          <w:kern w:val="0"/>
          <w:sz w:val="22"/>
          <w:highlight w:val="none"/>
        </w:rPr>
        <w:t>造成的损失，直到验收合格为止。</w:t>
      </w:r>
      <w:r>
        <w:rPr>
          <w:rFonts w:hint="eastAsia" w:ascii="宋体" w:hAnsi="宋体" w:cs="宋体"/>
          <w:color w:val="auto"/>
          <w:kern w:val="0"/>
          <w:sz w:val="22"/>
          <w:highlight w:val="none"/>
          <w:lang w:eastAsia="zh-CN"/>
        </w:rPr>
        <w:t>①</w:t>
      </w:r>
      <w:r>
        <w:rPr>
          <w:rFonts w:hint="eastAsia" w:ascii="宋体" w:hAnsi="宋体" w:cs="宋体"/>
          <w:color w:val="auto"/>
          <w:kern w:val="0"/>
          <w:sz w:val="22"/>
          <w:highlight w:val="none"/>
        </w:rPr>
        <w:t>按照要求进行现场验收。</w:t>
      </w:r>
      <w:r>
        <w:rPr>
          <w:rFonts w:hint="eastAsia" w:ascii="宋体" w:hAnsi="宋体" w:cs="宋体"/>
          <w:color w:val="auto"/>
          <w:kern w:val="0"/>
          <w:sz w:val="22"/>
          <w:highlight w:val="none"/>
          <w:lang w:eastAsia="zh-CN"/>
        </w:rPr>
        <w:t>②甲方</w:t>
      </w:r>
      <w:r>
        <w:rPr>
          <w:rFonts w:hint="eastAsia" w:ascii="宋体" w:hAnsi="宋体" w:cs="宋体"/>
          <w:color w:val="auto"/>
          <w:kern w:val="0"/>
          <w:sz w:val="22"/>
          <w:highlight w:val="none"/>
        </w:rPr>
        <w:t>对图书将以图书定价作为计算书款的依据，如有不符，</w:t>
      </w:r>
      <w:r>
        <w:rPr>
          <w:rFonts w:hint="eastAsia" w:ascii="宋体" w:hAnsi="宋体" w:cs="宋体"/>
          <w:color w:val="auto"/>
          <w:kern w:val="0"/>
          <w:sz w:val="22"/>
          <w:highlight w:val="none"/>
          <w:lang w:eastAsia="zh-CN"/>
        </w:rPr>
        <w:t>甲方</w:t>
      </w:r>
      <w:r>
        <w:rPr>
          <w:rFonts w:hint="eastAsia" w:ascii="宋体" w:hAnsi="宋体" w:cs="宋体"/>
          <w:color w:val="auto"/>
          <w:kern w:val="0"/>
          <w:sz w:val="22"/>
          <w:highlight w:val="none"/>
        </w:rPr>
        <w:t>应及时通知</w:t>
      </w:r>
      <w:r>
        <w:rPr>
          <w:rFonts w:hint="eastAsia" w:ascii="宋体" w:hAnsi="宋体" w:cs="宋体"/>
          <w:color w:val="auto"/>
          <w:kern w:val="0"/>
          <w:sz w:val="22"/>
          <w:highlight w:val="none"/>
          <w:lang w:eastAsia="zh-CN"/>
        </w:rPr>
        <w:t>乙方</w:t>
      </w:r>
      <w:r>
        <w:rPr>
          <w:rFonts w:hint="eastAsia" w:ascii="宋体" w:hAnsi="宋体" w:cs="宋体"/>
          <w:color w:val="auto"/>
          <w:kern w:val="0"/>
          <w:sz w:val="22"/>
          <w:highlight w:val="none"/>
        </w:rPr>
        <w:t>到现场复核。</w:t>
      </w:r>
    </w:p>
    <w:p>
      <w:pPr>
        <w:keepNext w:val="0"/>
        <w:keepLines w:val="0"/>
        <w:pageBreakBefore w:val="0"/>
        <w:widowControl/>
        <w:numPr>
          <w:ilvl w:val="0"/>
          <w:numId w:val="11"/>
        </w:numPr>
        <w:kinsoku/>
        <w:wordWrap/>
        <w:overflowPunct/>
        <w:topLinePunct w:val="0"/>
        <w:bidi w:val="0"/>
        <w:snapToGrid/>
        <w:spacing w:line="360" w:lineRule="exact"/>
        <w:ind w:left="0" w:leftChars="0" w:firstLine="440" w:firstLineChars="200"/>
        <w:jc w:val="left"/>
        <w:textAlignment w:val="auto"/>
        <w:rPr>
          <w:rFonts w:ascii="宋体" w:hAnsi="宋体" w:cs="宋体"/>
          <w:color w:val="auto"/>
          <w:kern w:val="0"/>
          <w:sz w:val="22"/>
          <w:highlight w:val="none"/>
        </w:rPr>
      </w:pPr>
      <w:r>
        <w:rPr>
          <w:rFonts w:hint="eastAsia" w:ascii="宋体" w:hAnsi="宋体" w:cs="宋体"/>
          <w:color w:val="auto"/>
          <w:kern w:val="0"/>
          <w:sz w:val="22"/>
          <w:highlight w:val="none"/>
        </w:rPr>
        <w:t>投标人应于投标文件中提供货物的验收标准和检测办法，并在验收中提供</w:t>
      </w:r>
      <w:r>
        <w:rPr>
          <w:rFonts w:hint="eastAsia" w:ascii="宋体" w:hAnsi="宋体" w:cs="宋体"/>
          <w:color w:val="auto"/>
          <w:kern w:val="0"/>
          <w:sz w:val="22"/>
          <w:highlight w:val="none"/>
          <w:lang w:eastAsia="zh-CN"/>
        </w:rPr>
        <w:t>甲方</w:t>
      </w:r>
      <w:r>
        <w:rPr>
          <w:rFonts w:hint="eastAsia" w:ascii="宋体" w:hAnsi="宋体" w:cs="宋体"/>
          <w:color w:val="auto"/>
          <w:kern w:val="0"/>
          <w:sz w:val="22"/>
          <w:highlight w:val="none"/>
        </w:rPr>
        <w:t>认可的相应检测手段，验收标准应符合中国有关的国家、地方、行业的标准，如若中标，经</w:t>
      </w:r>
      <w:r>
        <w:rPr>
          <w:rFonts w:hint="eastAsia" w:ascii="宋体" w:hAnsi="宋体" w:cs="宋体"/>
          <w:color w:val="auto"/>
          <w:kern w:val="0"/>
          <w:sz w:val="22"/>
          <w:highlight w:val="none"/>
          <w:lang w:eastAsia="zh-CN"/>
        </w:rPr>
        <w:t>甲方</w:t>
      </w:r>
      <w:r>
        <w:rPr>
          <w:rFonts w:hint="eastAsia" w:ascii="宋体" w:hAnsi="宋体" w:cs="宋体"/>
          <w:color w:val="auto"/>
          <w:kern w:val="0"/>
          <w:sz w:val="22"/>
          <w:highlight w:val="none"/>
        </w:rPr>
        <w:t>确认后作为验收的依据。</w:t>
      </w:r>
    </w:p>
    <w:p>
      <w:pPr>
        <w:keepNext w:val="0"/>
        <w:keepLines w:val="0"/>
        <w:pageBreakBefore w:val="0"/>
        <w:numPr>
          <w:ilvl w:val="0"/>
          <w:numId w:val="11"/>
        </w:numPr>
        <w:tabs>
          <w:tab w:val="left" w:pos="1545"/>
        </w:tabs>
        <w:kinsoku/>
        <w:wordWrap/>
        <w:overflowPunct/>
        <w:topLinePunct w:val="0"/>
        <w:autoSpaceDE w:val="0"/>
        <w:autoSpaceDN w:val="0"/>
        <w:bidi w:val="0"/>
        <w:adjustRightInd w:val="0"/>
        <w:snapToGrid/>
        <w:spacing w:line="360" w:lineRule="exact"/>
        <w:ind w:left="0" w:leftChars="0" w:firstLine="440" w:firstLineChars="200"/>
        <w:textAlignment w:val="auto"/>
        <w:rPr>
          <w:rFonts w:hint="eastAsia" w:ascii="宋体" w:hAnsi="宋体" w:cs="宋体"/>
          <w:color w:val="auto"/>
          <w:sz w:val="22"/>
          <w:highlight w:val="none"/>
          <w:lang w:val="zh-CN"/>
        </w:rPr>
      </w:pPr>
      <w:r>
        <w:rPr>
          <w:rFonts w:hint="eastAsia" w:ascii="宋体" w:hAnsi="宋体" w:cs="宋体"/>
          <w:color w:val="auto"/>
          <w:kern w:val="0"/>
          <w:sz w:val="22"/>
          <w:highlight w:val="none"/>
        </w:rPr>
        <w:t>如验收产生费用由</w:t>
      </w:r>
      <w:r>
        <w:rPr>
          <w:rFonts w:hint="eastAsia" w:ascii="宋体" w:hAnsi="宋体" w:cs="宋体"/>
          <w:color w:val="auto"/>
          <w:kern w:val="0"/>
          <w:sz w:val="22"/>
          <w:highlight w:val="none"/>
          <w:lang w:eastAsia="zh-CN"/>
        </w:rPr>
        <w:t>乙方</w:t>
      </w:r>
      <w:r>
        <w:rPr>
          <w:rFonts w:hint="eastAsia" w:ascii="宋体" w:hAnsi="宋体" w:cs="宋体"/>
          <w:color w:val="auto"/>
          <w:kern w:val="0"/>
          <w:sz w:val="22"/>
          <w:highlight w:val="none"/>
        </w:rPr>
        <w:t>承担。</w:t>
      </w:r>
    </w:p>
    <w:p>
      <w:pPr>
        <w:numPr>
          <w:ilvl w:val="0"/>
          <w:numId w:val="9"/>
        </w:numPr>
        <w:tabs>
          <w:tab w:val="left" w:pos="1545"/>
        </w:tabs>
        <w:autoSpaceDE w:val="0"/>
        <w:autoSpaceDN w:val="0"/>
        <w:adjustRightInd w:val="0"/>
        <w:spacing w:line="360" w:lineRule="exact"/>
        <w:ind w:left="0" w:leftChars="0" w:firstLine="400" w:firstLineChars="0"/>
        <w:rPr>
          <w:rFonts w:hint="eastAsia" w:ascii="宋体" w:hAnsi="宋体" w:cs="宋体"/>
          <w:color w:val="auto"/>
          <w:sz w:val="22"/>
          <w:highlight w:val="none"/>
          <w:lang w:val="en-US" w:eastAsia="zh-CN"/>
        </w:rPr>
      </w:pPr>
      <w:r>
        <w:rPr>
          <w:rFonts w:hint="eastAsia" w:ascii="宋体" w:hAnsi="宋体" w:cs="宋体"/>
          <w:color w:val="auto"/>
          <w:sz w:val="22"/>
          <w:highlight w:val="none"/>
          <w:lang w:val="en-US" w:eastAsia="zh-CN"/>
        </w:rPr>
        <w:t>其他要求</w:t>
      </w:r>
    </w:p>
    <w:p>
      <w:pPr>
        <w:numPr>
          <w:ilvl w:val="0"/>
          <w:numId w:val="0"/>
        </w:numPr>
        <w:tabs>
          <w:tab w:val="left" w:pos="1545"/>
        </w:tabs>
        <w:autoSpaceDE w:val="0"/>
        <w:autoSpaceDN w:val="0"/>
        <w:adjustRightInd w:val="0"/>
        <w:spacing w:line="360" w:lineRule="exact"/>
        <w:ind w:left="400" w:leftChars="0"/>
        <w:rPr>
          <w:rFonts w:ascii="宋体" w:hAnsi="宋体" w:cs="宋体"/>
          <w:color w:val="auto"/>
          <w:sz w:val="22"/>
          <w:highlight w:val="none"/>
          <w:lang w:val="zh-CN"/>
        </w:rPr>
      </w:pPr>
      <w:r>
        <w:rPr>
          <w:rFonts w:hint="eastAsia" w:ascii="宋体" w:hAnsi="宋体" w:cs="宋体"/>
          <w:color w:val="auto"/>
          <w:sz w:val="22"/>
          <w:highlight w:val="none"/>
          <w:lang w:val="zh-CN"/>
        </w:rPr>
        <w:t>1）甲方订购图书涨价超过15%，乙方未征求甲方意见，甲方可以退货，乙方不得拒绝。</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2）凡交到甲方的图书，以图书定价作为计算书款的依据，经验收发现书款与发货单不符的，甲方应及时通知乙方进行核算，乙方接到通知之日起10个工作日内不能回复确认的，以甲方验收的实际数额计算书款金额。</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 xml:space="preserve">八、 服务承诺： </w:t>
      </w:r>
    </w:p>
    <w:p>
      <w:pPr>
        <w:numPr>
          <w:ilvl w:val="0"/>
          <w:numId w:val="12"/>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乙方应按投标文件的规定，满足甲方提出的所有技术要求和服务要求。</w:t>
      </w:r>
    </w:p>
    <w:p>
      <w:pPr>
        <w:numPr>
          <w:ilvl w:val="0"/>
          <w:numId w:val="12"/>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除响应甲方招标文件的要求外，乙方还承诺以下服务和优惠措施：</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________________________________________________________________</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________________________________________________________________</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________________________________________________________________</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________________________________________________________________</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九、 乙方的违约责任</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1.乙方应按照合同规定的时间交货和提供服务图书错发到货地点或收货人的，乙方应负责将货物最终运交甲方指定的到货地点或接货人，费用由乙方负责。</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2.在履行合同过程中，如果乙方遇到妨碍按时交货和提供服务的情况时，应及时以书面形式将延误的事实、可能拖延的时间和原因通知甲方。甲方在收到乙方通知后，应尽快对情况进行分析评价，并确定是否同意延长交货时间以及是否收取误期赔偿费。延期应通过修改合同的方式由双方认可。</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3.除了合同条款中不可抗力的情况外，除甲方同意延误并不收赔偿费外，乙方延误交货或提供服务将按合同条款11条规定被收取误期赔偿费。</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4.所有提供的图书供货、加工及验收都应服从甲方的统一安排。</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5.乙方出现以下情况之一，将视为乙方违约，甲方有权终止合同。</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（1）配发高价低折类图书、</w:t>
      </w:r>
      <w:r>
        <w:rPr>
          <w:rFonts w:hint="eastAsia" w:ascii="宋体" w:hAnsi="宋体" w:cs="宋体"/>
          <w:color w:val="auto"/>
          <w:sz w:val="22"/>
          <w:highlight w:val="none"/>
        </w:rPr>
        <w:t>1</w:t>
      </w:r>
      <w:r>
        <w:rPr>
          <w:rFonts w:hint="eastAsia" w:ascii="宋体" w:hAnsi="宋体" w:cs="宋体"/>
          <w:color w:val="auto"/>
          <w:sz w:val="22"/>
          <w:highlight w:val="none"/>
          <w:lang w:val="zh-CN"/>
        </w:rPr>
        <w:t>特价类图书；</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（2）未经甲方同意私自搭配图书；</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（3）配发盗版、盗印图书及其他非法出版物；</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（4）配发非主渠道出版的图书；</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（5）未按甲方要求提供承诺的加工服务，差错率高，经提醒未及时整改；</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（6）在本次招标中的承诺未能履行并经甲方提醒仍未能执行；</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（7）因触犯国家法律法规而受到有关部门调查起诉；</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（8）其他违反本协议及招标文件有关条款之行为。</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6.要求纸质图书每周一提供条左右新书目录数据；未能按要求提供新书目录，视为自动放弃其供书资格。</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7.纸质图书在内到货率不能达到，取消其3个月供书资格并扣罚该批订单中未到部分码洋5%的违约金。</w:t>
      </w:r>
    </w:p>
    <w:p>
      <w:pPr>
        <w:tabs>
          <w:tab w:val="left" w:pos="1710"/>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8.乙方未做到投标时所做的服务承诺的，视为虚假应标，需自行承担相应法律责任。</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十、 甲方的违约责任</w:t>
      </w:r>
    </w:p>
    <w:p>
      <w:pPr>
        <w:numPr>
          <w:ilvl w:val="0"/>
          <w:numId w:val="13"/>
        </w:numPr>
        <w:tabs>
          <w:tab w:val="left" w:pos="1710"/>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甲方违反合同拒绝收货或验货的，承担由此给乙方造成的损失。</w:t>
      </w:r>
    </w:p>
    <w:p>
      <w:pPr>
        <w:numPr>
          <w:ilvl w:val="0"/>
          <w:numId w:val="13"/>
        </w:numPr>
        <w:tabs>
          <w:tab w:val="left" w:pos="1710"/>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甲方错填到货地点或收货人，承担因此给乙方造成的损失。</w:t>
      </w:r>
    </w:p>
    <w:p>
      <w:pPr>
        <w:numPr>
          <w:ilvl w:val="0"/>
          <w:numId w:val="13"/>
        </w:numPr>
        <w:tabs>
          <w:tab w:val="left" w:pos="1710"/>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eastAsia="宋体" w:cs="宋体"/>
          <w:color w:val="auto"/>
          <w:sz w:val="22"/>
          <w:szCs w:val="22"/>
          <w:highlight w:val="none"/>
        </w:rPr>
        <w:t>履约保证金按付款方式及时退还，逾期支付，应向乙方偿付违约金，自逾期之日起，每逾一日违约罚款按履约保证金的0.2%计付，直至付款完成</w:t>
      </w:r>
      <w:r>
        <w:rPr>
          <w:rFonts w:hint="eastAsia" w:ascii="宋体" w:hAnsi="宋体" w:eastAsia="宋体" w:cs="宋体"/>
          <w:color w:val="auto"/>
          <w:sz w:val="22"/>
          <w:szCs w:val="22"/>
          <w:highlight w:val="none"/>
          <w:lang w:eastAsia="zh-CN"/>
        </w:rPr>
        <w:t>。</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十一、 误期赔偿费</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除不可抗力外，如果乙方没有按照合同规定的时间交货和提供服务，甲方应在不影响合同项下的其他补救措施的情况下，从合同价款中扣除误期赔偿费。每延误一周的赔偿费按迟交货物交货价或未提供服务的服务费用的百分之零点五（0.5%）计收，直至交货或提供服务为止。误期赔偿费最高限额为合同价的百分之五（5%）。一旦延到误期赔偿费的最高限额，甲方可考虑终止合同。</w:t>
      </w:r>
      <w:r>
        <w:rPr>
          <w:rFonts w:hint="eastAsia" w:ascii="宋体" w:hAnsi="宋体" w:cs="宋体"/>
          <w:color w:val="auto"/>
          <w:sz w:val="22"/>
          <w:highlight w:val="none"/>
        </w:rPr>
        <w:t>同意</w:t>
      </w:r>
      <w:r>
        <w:rPr>
          <w:rFonts w:hint="eastAsia" w:ascii="宋体" w:hAnsi="宋体" w:cs="宋体"/>
          <w:color w:val="auto"/>
          <w:sz w:val="22"/>
          <w:highlight w:val="none"/>
          <w:lang w:eastAsia="zh-CN"/>
        </w:rPr>
        <w:t>甲方</w:t>
      </w:r>
      <w:r>
        <w:rPr>
          <w:rFonts w:hint="eastAsia" w:ascii="宋体" w:hAnsi="宋体" w:cs="宋体"/>
          <w:color w:val="auto"/>
          <w:sz w:val="22"/>
          <w:highlight w:val="none"/>
        </w:rPr>
        <w:t>取消</w:t>
      </w:r>
      <w:r>
        <w:rPr>
          <w:rFonts w:hint="eastAsia" w:ascii="宋体" w:hAnsi="宋体" w:cs="宋体"/>
          <w:color w:val="auto"/>
          <w:sz w:val="22"/>
          <w:highlight w:val="none"/>
          <w:lang w:eastAsia="zh-CN"/>
        </w:rPr>
        <w:t>乙方</w:t>
      </w:r>
      <w:r>
        <w:rPr>
          <w:rFonts w:hint="eastAsia" w:ascii="宋体" w:hAnsi="宋体" w:cs="宋体"/>
          <w:color w:val="auto"/>
          <w:sz w:val="22"/>
          <w:highlight w:val="none"/>
        </w:rPr>
        <w:t>的供货资格，另择途径采购，由此造成的损失由</w:t>
      </w:r>
      <w:r>
        <w:rPr>
          <w:rFonts w:hint="eastAsia" w:ascii="宋体" w:hAnsi="宋体" w:cs="宋体"/>
          <w:color w:val="auto"/>
          <w:sz w:val="22"/>
          <w:highlight w:val="none"/>
          <w:lang w:eastAsia="zh-CN"/>
        </w:rPr>
        <w:t>乙方</w:t>
      </w:r>
      <w:r>
        <w:rPr>
          <w:rFonts w:hint="eastAsia" w:ascii="宋体" w:hAnsi="宋体" w:cs="宋体"/>
          <w:color w:val="auto"/>
          <w:sz w:val="22"/>
          <w:highlight w:val="none"/>
        </w:rPr>
        <w:t>承担，</w:t>
      </w:r>
      <w:r>
        <w:rPr>
          <w:rFonts w:hint="eastAsia" w:ascii="宋体" w:hAnsi="宋体" w:cs="宋体"/>
          <w:color w:val="auto"/>
          <w:sz w:val="22"/>
          <w:highlight w:val="none"/>
          <w:lang w:eastAsia="zh-CN"/>
        </w:rPr>
        <w:t>乙方</w:t>
      </w:r>
      <w:r>
        <w:rPr>
          <w:rFonts w:hint="eastAsia" w:ascii="宋体" w:hAnsi="宋体" w:cs="宋体"/>
          <w:color w:val="auto"/>
          <w:sz w:val="22"/>
          <w:highlight w:val="none"/>
        </w:rPr>
        <w:t>向</w:t>
      </w:r>
      <w:r>
        <w:rPr>
          <w:rFonts w:hint="eastAsia" w:ascii="宋体" w:hAnsi="宋体" w:cs="宋体"/>
          <w:color w:val="auto"/>
          <w:sz w:val="22"/>
          <w:highlight w:val="none"/>
          <w:lang w:eastAsia="zh-CN"/>
        </w:rPr>
        <w:t>甲方</w:t>
      </w:r>
      <w:r>
        <w:rPr>
          <w:rFonts w:hint="eastAsia" w:ascii="宋体" w:hAnsi="宋体" w:cs="宋体"/>
          <w:color w:val="auto"/>
          <w:sz w:val="22"/>
          <w:highlight w:val="none"/>
        </w:rPr>
        <w:t>支付30%的合同总额违约处罚金。</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十二、不可抗力</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rPr>
        <w:t>1.</w:t>
      </w:r>
      <w:r>
        <w:rPr>
          <w:rFonts w:hint="eastAsia" w:ascii="宋体" w:hAnsi="宋体" w:cs="宋体"/>
          <w:color w:val="auto"/>
          <w:sz w:val="22"/>
          <w:highlight w:val="none"/>
          <w:lang w:val="zh-CN"/>
        </w:rPr>
        <w:t>如果双方中任何一方由于战争、严重火灾、水灾、破坏性台风和地震以及其它经双方同意属不可抗力的事故，致使合同履行受阻时，履行合同期限应予延长，延长时限应相当于事故所影响的时间，或双方协商解决。</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2.不可抗力事件发生后，应立即通知对方，并寄送有关权威机构出具的证明。</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3.不可抗力事件延续120天以上，双方应通过友好协商，确定是否继续履行合同。</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十三、税费</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rPr>
        <w:t>1.</w:t>
      </w:r>
      <w:r>
        <w:rPr>
          <w:rFonts w:hint="eastAsia" w:ascii="宋体" w:hAnsi="宋体" w:cs="宋体"/>
          <w:color w:val="auto"/>
          <w:sz w:val="22"/>
          <w:highlight w:val="none"/>
          <w:lang w:val="zh-CN"/>
        </w:rPr>
        <w:t>根据国家现行税法对甲方征收的与本合同有关的一切费用由甲方承担。</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rPr>
        <w:t>2.</w:t>
      </w:r>
      <w:r>
        <w:rPr>
          <w:rFonts w:hint="eastAsia" w:ascii="宋体" w:hAnsi="宋体" w:cs="宋体"/>
          <w:color w:val="auto"/>
          <w:sz w:val="22"/>
          <w:highlight w:val="none"/>
          <w:lang w:val="zh-CN"/>
        </w:rPr>
        <w:t>根据现行税法对乙方征收的与本合同有关的一切税费均由乙方承担。</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rPr>
        <w:t>3.</w:t>
      </w:r>
      <w:r>
        <w:rPr>
          <w:rFonts w:hint="eastAsia" w:ascii="宋体" w:hAnsi="宋体" w:cs="宋体"/>
          <w:color w:val="auto"/>
          <w:sz w:val="22"/>
          <w:highlight w:val="none"/>
          <w:lang w:val="zh-CN"/>
        </w:rPr>
        <w:t>在中国境外发生的与本合同执行有关的一切税费由乙方承担。</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十四、 违约责任</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1. 甲方在乙方违约的情况下，如果发生下列情况之一，可考虑终止部分或全部合同：</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1)乙方未能在合同规定的期限内提供货物；</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2)乙方未能按照本合同约定和招标文件所规定的履行合同，已构成违约的；</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3）乙方在履行合同过程中有不正当竞争行为的；</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4）如果合同的履行将损害国家利益或社会公众利益的。</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2. 如果甲方根据上述规定，终止了全部或部分合同，甲方可以依其认为适当的条件和方法购买与未交货物类似的货物或服务，乙方应承担甲方因购买类似货物或服务而产生的额外支出。但是，乙方应继续执行合同中未终止的部分。</w:t>
      </w:r>
    </w:p>
    <w:p>
      <w:pPr>
        <w:tabs>
          <w:tab w:val="left" w:pos="540"/>
        </w:tabs>
        <w:spacing w:line="360" w:lineRule="exact"/>
        <w:rPr>
          <w:rFonts w:ascii="宋体" w:hAnsi="宋体" w:cs="宋体"/>
          <w:b/>
          <w:color w:val="auto"/>
          <w:sz w:val="24"/>
          <w:highlight w:val="none"/>
          <w:lang w:val="zh-CN"/>
        </w:rPr>
      </w:pPr>
      <w:r>
        <w:rPr>
          <w:rFonts w:hint="eastAsia" w:ascii="宋体" w:hAnsi="宋体" w:cs="宋体"/>
          <w:b/>
          <w:color w:val="auto"/>
          <w:sz w:val="22"/>
          <w:highlight w:val="none"/>
          <w:lang w:val="zh-CN"/>
        </w:rPr>
        <w:t>十五、</w:t>
      </w:r>
      <w:r>
        <w:rPr>
          <w:rFonts w:hint="eastAsia" w:ascii="宋体" w:hAnsi="宋体" w:cs="宋体"/>
          <w:b/>
          <w:color w:val="auto"/>
          <w:sz w:val="24"/>
          <w:highlight w:val="none"/>
          <w:lang w:val="zh-CN"/>
        </w:rPr>
        <w:t>履约保证金的罚没</w:t>
      </w:r>
    </w:p>
    <w:p>
      <w:pPr>
        <w:numPr>
          <w:ilvl w:val="0"/>
          <w:numId w:val="14"/>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如乙方未能履行合同规定的任何义务给甲方造成直接或间接损失的，甲方有权从直接从履约保证金中予以补偿。</w:t>
      </w:r>
    </w:p>
    <w:p>
      <w:pPr>
        <w:numPr>
          <w:ilvl w:val="0"/>
          <w:numId w:val="14"/>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如果乙方毫无理由地拖延交货或拒绝履行合同规定的任何义务，经催告后在合理期限内仍不履行的，甲方有权没收全部履约保证金，并另行追索违约赔偿金。</w:t>
      </w:r>
    </w:p>
    <w:p>
      <w:pPr>
        <w:numPr>
          <w:ilvl w:val="0"/>
          <w:numId w:val="14"/>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乙方提供的货物须和投标文件中所承诺的货物规格、数量等相符（合同中另有规定除外）如不符，除追究乙方责任外，其履约保证金将被没收。</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十六、争端的解决</w:t>
      </w:r>
    </w:p>
    <w:p>
      <w:pPr>
        <w:numPr>
          <w:ilvl w:val="0"/>
          <w:numId w:val="15"/>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合同实施或与合同有关的一切争端，甲乙双方应通过友好协商解决，如果协商仍得不到解决，任何一方可向履行合同所在地的仲裁机构申请调解或仲裁。</w:t>
      </w:r>
    </w:p>
    <w:p>
      <w:pPr>
        <w:numPr>
          <w:ilvl w:val="0"/>
          <w:numId w:val="15"/>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仲裁裁决应为最终裁决，对双方均有约束力。</w:t>
      </w:r>
    </w:p>
    <w:p>
      <w:pPr>
        <w:numPr>
          <w:ilvl w:val="0"/>
          <w:numId w:val="15"/>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仲裁费用除仲裁机构另有裁决外应由败诉方承担。</w:t>
      </w:r>
    </w:p>
    <w:p>
      <w:pPr>
        <w:numPr>
          <w:ilvl w:val="0"/>
          <w:numId w:val="15"/>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在仲裁期间，除正在执行仲裁的部分外，本合同的其他部分应继续执行。</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十七、转让和分包及产品不可替代</w:t>
      </w:r>
    </w:p>
    <w:p>
      <w:pPr>
        <w:numPr>
          <w:ilvl w:val="0"/>
          <w:numId w:val="16"/>
        </w:numPr>
        <w:snapToGrid w:val="0"/>
        <w:spacing w:line="360" w:lineRule="exact"/>
        <w:ind w:left="0" w:leftChars="0" w:firstLine="400" w:firstLineChars="0"/>
        <w:rPr>
          <w:rFonts w:ascii="宋体" w:hAnsi="宋体" w:cs="宋体"/>
          <w:color w:val="auto"/>
          <w:spacing w:val="-6"/>
          <w:sz w:val="22"/>
          <w:highlight w:val="none"/>
        </w:rPr>
      </w:pPr>
      <w:r>
        <w:rPr>
          <w:rFonts w:hint="eastAsia" w:ascii="宋体" w:hAnsi="宋体" w:cs="宋体"/>
          <w:color w:val="auto"/>
          <w:spacing w:val="-6"/>
          <w:sz w:val="22"/>
          <w:highlight w:val="none"/>
        </w:rPr>
        <w:t>未经</w:t>
      </w:r>
      <w:r>
        <w:rPr>
          <w:rFonts w:hint="eastAsia" w:ascii="宋体" w:hAnsi="宋体" w:cs="宋体"/>
          <w:color w:val="auto"/>
          <w:spacing w:val="-6"/>
          <w:sz w:val="22"/>
          <w:highlight w:val="none"/>
          <w:lang w:eastAsia="zh-CN"/>
        </w:rPr>
        <w:t>甲方</w:t>
      </w:r>
      <w:r>
        <w:rPr>
          <w:rFonts w:hint="eastAsia" w:ascii="宋体" w:hAnsi="宋体" w:cs="宋体"/>
          <w:color w:val="auto"/>
          <w:spacing w:val="-6"/>
          <w:sz w:val="22"/>
          <w:highlight w:val="none"/>
        </w:rPr>
        <w:t>事先书面同意，</w:t>
      </w:r>
      <w:r>
        <w:rPr>
          <w:rFonts w:hint="eastAsia" w:ascii="宋体" w:hAnsi="宋体" w:cs="宋体"/>
          <w:color w:val="auto"/>
          <w:spacing w:val="-6"/>
          <w:sz w:val="22"/>
          <w:highlight w:val="none"/>
          <w:lang w:eastAsia="zh-CN"/>
        </w:rPr>
        <w:t>乙方</w:t>
      </w:r>
      <w:r>
        <w:rPr>
          <w:rFonts w:hint="eastAsia" w:ascii="宋体" w:hAnsi="宋体" w:cs="宋体"/>
          <w:color w:val="auto"/>
          <w:spacing w:val="-6"/>
          <w:sz w:val="22"/>
          <w:highlight w:val="none"/>
        </w:rPr>
        <w:t>不得分包应履行的合同义务，否则即为违约，</w:t>
      </w:r>
      <w:r>
        <w:rPr>
          <w:rFonts w:hint="eastAsia" w:ascii="宋体" w:hAnsi="宋体" w:cs="宋体"/>
          <w:color w:val="auto"/>
          <w:spacing w:val="-6"/>
          <w:sz w:val="22"/>
          <w:highlight w:val="none"/>
          <w:lang w:eastAsia="zh-CN"/>
        </w:rPr>
        <w:t>甲方</w:t>
      </w:r>
      <w:r>
        <w:rPr>
          <w:rFonts w:hint="eastAsia" w:ascii="宋体" w:hAnsi="宋体" w:cs="宋体"/>
          <w:color w:val="auto"/>
          <w:spacing w:val="-6"/>
          <w:sz w:val="22"/>
          <w:highlight w:val="none"/>
        </w:rPr>
        <w:t>有权</w:t>
      </w:r>
      <w:r>
        <w:rPr>
          <w:rFonts w:hint="eastAsia" w:ascii="宋体" w:hAnsi="宋体" w:cs="宋体"/>
          <w:color w:val="auto"/>
          <w:spacing w:val="-6"/>
          <w:sz w:val="22"/>
          <w:highlight w:val="none"/>
          <w:lang w:eastAsia="zh-CN"/>
        </w:rPr>
        <w:t>乙方</w:t>
      </w:r>
      <w:r>
        <w:rPr>
          <w:rFonts w:hint="eastAsia" w:ascii="宋体" w:hAnsi="宋体" w:cs="宋体"/>
          <w:color w:val="auto"/>
          <w:spacing w:val="-6"/>
          <w:sz w:val="22"/>
          <w:highlight w:val="none"/>
        </w:rPr>
        <w:t>追究违约责任。</w:t>
      </w:r>
    </w:p>
    <w:p>
      <w:pPr>
        <w:numPr>
          <w:ilvl w:val="0"/>
          <w:numId w:val="16"/>
        </w:numPr>
        <w:snapToGrid w:val="0"/>
        <w:spacing w:line="360" w:lineRule="exact"/>
        <w:ind w:left="0" w:leftChars="0" w:firstLine="400" w:firstLineChars="0"/>
        <w:rPr>
          <w:rFonts w:ascii="宋体" w:hAnsi="宋体" w:cs="宋体"/>
          <w:color w:val="auto"/>
          <w:spacing w:val="-6"/>
          <w:sz w:val="22"/>
          <w:highlight w:val="none"/>
        </w:rPr>
      </w:pPr>
      <w:r>
        <w:rPr>
          <w:rFonts w:hint="eastAsia" w:ascii="宋体" w:hAnsi="宋体" w:cs="宋体"/>
          <w:color w:val="auto"/>
          <w:spacing w:val="-6"/>
          <w:sz w:val="22"/>
          <w:highlight w:val="none"/>
          <w:lang w:eastAsia="zh-CN"/>
        </w:rPr>
        <w:t>乙方</w:t>
      </w:r>
      <w:r>
        <w:rPr>
          <w:rFonts w:hint="eastAsia" w:ascii="宋体" w:hAnsi="宋体" w:cs="宋体"/>
          <w:color w:val="auto"/>
          <w:spacing w:val="-6"/>
          <w:sz w:val="22"/>
          <w:highlight w:val="none"/>
        </w:rPr>
        <w:t>不得部分转让或全部转让其应履行的合同义务，否则即为违约，</w:t>
      </w:r>
      <w:r>
        <w:rPr>
          <w:rFonts w:hint="eastAsia" w:ascii="宋体" w:hAnsi="宋体" w:cs="宋体"/>
          <w:color w:val="auto"/>
          <w:spacing w:val="-6"/>
          <w:sz w:val="22"/>
          <w:highlight w:val="none"/>
          <w:lang w:eastAsia="zh-CN"/>
        </w:rPr>
        <w:t>甲方</w:t>
      </w:r>
      <w:r>
        <w:rPr>
          <w:rFonts w:hint="eastAsia" w:ascii="宋体" w:hAnsi="宋体" w:cs="宋体"/>
          <w:color w:val="auto"/>
          <w:spacing w:val="-6"/>
          <w:sz w:val="22"/>
          <w:highlight w:val="none"/>
        </w:rPr>
        <w:t>有权</w:t>
      </w:r>
      <w:r>
        <w:rPr>
          <w:rFonts w:hint="eastAsia" w:ascii="宋体" w:hAnsi="宋体" w:cs="宋体"/>
          <w:color w:val="auto"/>
          <w:spacing w:val="-6"/>
          <w:sz w:val="22"/>
          <w:highlight w:val="none"/>
          <w:lang w:eastAsia="zh-CN"/>
        </w:rPr>
        <w:t>乙方</w:t>
      </w:r>
      <w:r>
        <w:rPr>
          <w:rFonts w:hint="eastAsia" w:ascii="宋体" w:hAnsi="宋体" w:cs="宋体"/>
          <w:color w:val="auto"/>
          <w:spacing w:val="-6"/>
          <w:sz w:val="22"/>
          <w:highlight w:val="none"/>
        </w:rPr>
        <w:t>追究违约责任。</w:t>
      </w:r>
    </w:p>
    <w:p>
      <w:pPr>
        <w:numPr>
          <w:ilvl w:val="0"/>
          <w:numId w:val="16"/>
        </w:numPr>
        <w:snapToGri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产品不可替代，乙方在没有取得甲方的书面授权的情况下，不得将合同货物的生产制造转交其他生产厂商或以其他厂商的产品替代。</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十八、适用法律</w:t>
      </w:r>
    </w:p>
    <w:p>
      <w:pPr>
        <w:tabs>
          <w:tab w:val="left" w:pos="1545"/>
        </w:tabs>
        <w:autoSpaceDE w:val="0"/>
        <w:autoSpaceDN w:val="0"/>
        <w:adjustRightInd w:val="0"/>
        <w:spacing w:line="360" w:lineRule="exact"/>
        <w:ind w:firstLine="440" w:firstLineChars="200"/>
        <w:rPr>
          <w:rFonts w:ascii="宋体" w:hAnsi="宋体" w:cs="宋体"/>
          <w:color w:val="auto"/>
          <w:sz w:val="22"/>
          <w:highlight w:val="none"/>
          <w:lang w:val="zh-CN"/>
        </w:rPr>
      </w:pPr>
      <w:r>
        <w:rPr>
          <w:rFonts w:hint="eastAsia" w:ascii="宋体" w:hAnsi="宋体" w:cs="宋体"/>
          <w:color w:val="auto"/>
          <w:sz w:val="22"/>
          <w:highlight w:val="none"/>
          <w:lang w:val="zh-CN"/>
        </w:rPr>
        <w:t>本合同按照中华人民共和国的法律进行解释。</w:t>
      </w:r>
    </w:p>
    <w:p>
      <w:pPr>
        <w:tabs>
          <w:tab w:val="left" w:pos="540"/>
        </w:tabs>
        <w:spacing w:line="360" w:lineRule="exact"/>
        <w:rPr>
          <w:rFonts w:ascii="宋体" w:hAnsi="宋体" w:cs="宋体"/>
          <w:b/>
          <w:color w:val="auto"/>
          <w:sz w:val="22"/>
          <w:highlight w:val="none"/>
          <w:lang w:val="zh-CN"/>
        </w:rPr>
      </w:pPr>
      <w:r>
        <w:rPr>
          <w:rFonts w:hint="eastAsia" w:ascii="宋体" w:hAnsi="宋体" w:cs="宋体"/>
          <w:b/>
          <w:color w:val="auto"/>
          <w:sz w:val="22"/>
          <w:highlight w:val="none"/>
          <w:lang w:val="zh-CN"/>
        </w:rPr>
        <w:t>十九、合同生效及其他</w:t>
      </w:r>
    </w:p>
    <w:p>
      <w:pPr>
        <w:numPr>
          <w:ilvl w:val="0"/>
          <w:numId w:val="17"/>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合同应在双方签字盖章后开始生效。</w:t>
      </w:r>
    </w:p>
    <w:p>
      <w:pPr>
        <w:numPr>
          <w:ilvl w:val="0"/>
          <w:numId w:val="17"/>
        </w:numPr>
        <w:tabs>
          <w:tab w:val="left" w:pos="1545"/>
        </w:tabs>
        <w:autoSpaceDE w:val="0"/>
        <w:autoSpaceDN w:val="0"/>
        <w:adjustRightInd w:val="0"/>
        <w:spacing w:line="360" w:lineRule="exact"/>
        <w:ind w:left="0" w:leftChars="0" w:firstLine="400" w:firstLineChars="0"/>
        <w:rPr>
          <w:rFonts w:ascii="宋体" w:hAnsi="宋体" w:cs="宋体"/>
          <w:color w:val="auto"/>
          <w:sz w:val="22"/>
          <w:highlight w:val="none"/>
          <w:lang w:val="zh-CN"/>
        </w:rPr>
      </w:pPr>
      <w:r>
        <w:rPr>
          <w:rFonts w:hint="eastAsia" w:ascii="宋体" w:hAnsi="宋体" w:cs="宋体"/>
          <w:color w:val="auto"/>
          <w:sz w:val="22"/>
          <w:highlight w:val="none"/>
          <w:lang w:val="zh-CN"/>
        </w:rPr>
        <w:t>本合同一式陆份，甲方叁份，乙方贰份，合同鉴定方壹份，具有同等效力。</w:t>
      </w:r>
    </w:p>
    <w:p>
      <w:pPr>
        <w:numPr>
          <w:ilvl w:val="0"/>
          <w:numId w:val="17"/>
        </w:numPr>
        <w:tabs>
          <w:tab w:val="left" w:pos="1545"/>
        </w:tabs>
        <w:autoSpaceDE w:val="0"/>
        <w:autoSpaceDN w:val="0"/>
        <w:adjustRightInd w:val="0"/>
        <w:spacing w:line="360" w:lineRule="exact"/>
        <w:ind w:left="0" w:leftChars="0" w:firstLine="400" w:firstLineChars="0"/>
        <w:rPr>
          <w:rFonts w:hint="eastAsia" w:ascii="宋体" w:hAnsi="宋体" w:eastAsia="宋体" w:cs="宋体"/>
          <w:color w:val="auto"/>
          <w:sz w:val="22"/>
          <w:szCs w:val="22"/>
          <w:highlight w:val="none"/>
        </w:rPr>
      </w:pPr>
      <w:r>
        <w:rPr>
          <w:rFonts w:hint="eastAsia" w:ascii="宋体" w:hAnsi="宋体" w:cs="宋体"/>
          <w:color w:val="auto"/>
          <w:sz w:val="22"/>
          <w:highlight w:val="none"/>
          <w:lang w:val="zh-CN"/>
        </w:rPr>
        <w:t>如需修改或补充合同内容，经协商，双方应签署书面修改或补充合同，该补充合同将作为本合同的一个组成部分。</w:t>
      </w:r>
    </w:p>
    <w:p>
      <w:pPr>
        <w:numPr>
          <w:ilvl w:val="0"/>
          <w:numId w:val="17"/>
        </w:numPr>
        <w:tabs>
          <w:tab w:val="left" w:pos="1545"/>
        </w:tabs>
        <w:autoSpaceDE w:val="0"/>
        <w:autoSpaceDN w:val="0"/>
        <w:adjustRightInd w:val="0"/>
        <w:spacing w:line="360" w:lineRule="exact"/>
        <w:ind w:left="0" w:leftChars="0" w:firstLine="400" w:firstLineChars="0"/>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本合同未尽事宜及对合同内容如有异议，以</w:t>
      </w:r>
      <w:r>
        <w:rPr>
          <w:rFonts w:hint="eastAsia" w:ascii="宋体" w:hAnsi="宋体" w:eastAsia="宋体" w:cs="宋体"/>
          <w:b/>
          <w:color w:val="auto"/>
          <w:sz w:val="22"/>
          <w:szCs w:val="22"/>
          <w:highlight w:val="none"/>
          <w:lang w:eastAsia="zh-CN"/>
        </w:rPr>
        <w:t>招标</w:t>
      </w:r>
      <w:r>
        <w:rPr>
          <w:rFonts w:hint="eastAsia" w:ascii="宋体" w:hAnsi="宋体" w:eastAsia="宋体" w:cs="宋体"/>
          <w:b/>
          <w:color w:val="auto"/>
          <w:sz w:val="22"/>
          <w:szCs w:val="22"/>
          <w:highlight w:val="none"/>
        </w:rPr>
        <w:t>文件、</w:t>
      </w:r>
      <w:r>
        <w:rPr>
          <w:rFonts w:hint="eastAsia" w:ascii="宋体" w:hAnsi="宋体" w:eastAsia="宋体" w:cs="宋体"/>
          <w:b/>
          <w:color w:val="auto"/>
          <w:sz w:val="22"/>
          <w:szCs w:val="22"/>
          <w:highlight w:val="none"/>
          <w:lang w:eastAsia="zh-CN"/>
        </w:rPr>
        <w:t>投标</w:t>
      </w:r>
      <w:r>
        <w:rPr>
          <w:rFonts w:hint="eastAsia" w:ascii="宋体" w:hAnsi="宋体" w:eastAsia="宋体" w:cs="宋体"/>
          <w:b/>
          <w:color w:val="auto"/>
          <w:sz w:val="22"/>
          <w:szCs w:val="22"/>
          <w:highlight w:val="none"/>
        </w:rPr>
        <w:t>文件和在招标现场承诺为准，</w:t>
      </w:r>
      <w:r>
        <w:rPr>
          <w:rFonts w:hint="eastAsia" w:ascii="宋体" w:hAnsi="宋体" w:eastAsia="宋体" w:cs="宋体"/>
          <w:color w:val="auto"/>
          <w:sz w:val="22"/>
          <w:szCs w:val="22"/>
          <w:highlight w:val="none"/>
        </w:rPr>
        <w:t>如遇国家法律、法规及政策另有规定的，从其规定。</w:t>
      </w:r>
    </w:p>
    <w:p>
      <w:pPr>
        <w:spacing w:line="360" w:lineRule="exact"/>
        <w:ind w:left="216" w:leftChars="103"/>
        <w:outlineLvl w:val="0"/>
        <w:rPr>
          <w:rFonts w:hint="eastAsia" w:ascii="宋体" w:hAnsi="宋体" w:cs="宋体"/>
          <w:color w:val="auto"/>
          <w:sz w:val="22"/>
          <w:highlight w:val="none"/>
          <w:lang w:eastAsia="zh-CN"/>
        </w:rPr>
      </w:pPr>
    </w:p>
    <w:tbl>
      <w:tblPr>
        <w:tblStyle w:val="30"/>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39"/>
        <w:gridCol w:w="43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39" w:type="dxa"/>
            <w:noWrap w:val="0"/>
            <w:vAlign w:val="center"/>
          </w:tcPr>
          <w:p>
            <w:pPr>
              <w:spacing w:line="360" w:lineRule="exact"/>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甲方（采购人）：（盖章）温州理工学院</w:t>
            </w:r>
          </w:p>
        </w:tc>
        <w:tc>
          <w:tcPr>
            <w:tcW w:w="4317" w:type="dxa"/>
            <w:noWrap w:val="0"/>
            <w:vAlign w:val="center"/>
          </w:tcPr>
          <w:p>
            <w:pPr>
              <w:spacing w:line="360" w:lineRule="exact"/>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乙方（</w:t>
            </w:r>
            <w:r>
              <w:rPr>
                <w:rFonts w:hint="eastAsia" w:ascii="宋体" w:hAnsi="宋体" w:eastAsia="宋体" w:cs="宋体"/>
                <w:color w:val="auto"/>
                <w:spacing w:val="-6"/>
                <w:sz w:val="22"/>
                <w:szCs w:val="22"/>
                <w:highlight w:val="none"/>
                <w:lang w:eastAsia="zh-CN"/>
              </w:rPr>
              <w:t>中标人</w:t>
            </w:r>
            <w:r>
              <w:rPr>
                <w:rFonts w:hint="eastAsia" w:ascii="宋体" w:hAnsi="宋体" w:eastAsia="宋体" w:cs="宋体"/>
                <w:color w:val="auto"/>
                <w:spacing w:val="-6"/>
                <w:sz w:val="22"/>
                <w:szCs w:val="22"/>
                <w:highlight w:val="none"/>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39" w:type="dxa"/>
            <w:noWrap w:val="0"/>
            <w:vAlign w:val="center"/>
          </w:tcPr>
          <w:p>
            <w:pPr>
              <w:spacing w:line="360" w:lineRule="exact"/>
              <w:rPr>
                <w:rFonts w:hint="eastAsia" w:ascii="宋体" w:hAnsi="宋体" w:eastAsia="宋体" w:cs="宋体"/>
                <w:color w:val="auto"/>
                <w:spacing w:val="-6"/>
                <w:sz w:val="22"/>
                <w:szCs w:val="22"/>
                <w:highlight w:val="none"/>
              </w:rPr>
            </w:pPr>
            <w:r>
              <w:rPr>
                <w:rFonts w:hint="eastAsia" w:ascii="宋体" w:hAnsi="宋体" w:cs="宋体"/>
                <w:color w:val="auto"/>
                <w:sz w:val="22"/>
                <w:highlight w:val="none"/>
              </w:rPr>
              <w:t>法人代表：</w:t>
            </w:r>
          </w:p>
        </w:tc>
        <w:tc>
          <w:tcPr>
            <w:tcW w:w="4317" w:type="dxa"/>
            <w:noWrap w:val="0"/>
            <w:vAlign w:val="center"/>
          </w:tcPr>
          <w:p>
            <w:pPr>
              <w:spacing w:line="360" w:lineRule="exact"/>
              <w:rPr>
                <w:rFonts w:hint="eastAsia" w:ascii="宋体" w:hAnsi="宋体" w:eastAsia="宋体" w:cs="宋体"/>
                <w:color w:val="auto"/>
                <w:spacing w:val="-6"/>
                <w:kern w:val="2"/>
                <w:sz w:val="22"/>
                <w:szCs w:val="22"/>
                <w:highlight w:val="none"/>
                <w:lang w:val="en-US" w:eastAsia="zh-CN" w:bidi="ar-SA"/>
              </w:rPr>
            </w:pPr>
            <w:r>
              <w:rPr>
                <w:rFonts w:hint="eastAsia" w:ascii="宋体" w:hAnsi="宋体" w:cs="宋体"/>
                <w:color w:val="auto"/>
                <w:sz w:val="22"/>
                <w:highlight w:val="none"/>
              </w:rPr>
              <w:t>法人代表：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39" w:type="dxa"/>
            <w:noWrap w:val="0"/>
            <w:vAlign w:val="center"/>
          </w:tcPr>
          <w:p>
            <w:pPr>
              <w:spacing w:line="360" w:lineRule="exact"/>
              <w:rPr>
                <w:rFonts w:hint="eastAsia" w:ascii="宋体" w:hAnsi="宋体" w:eastAsia="宋体" w:cs="宋体"/>
                <w:color w:val="auto"/>
                <w:sz w:val="22"/>
                <w:szCs w:val="22"/>
                <w:highlight w:val="none"/>
              </w:rPr>
            </w:pPr>
            <w:r>
              <w:rPr>
                <w:rFonts w:hint="eastAsia" w:ascii="宋体" w:hAnsi="宋体" w:cs="宋体"/>
                <w:color w:val="auto"/>
                <w:sz w:val="22"/>
                <w:highlight w:val="none"/>
              </w:rPr>
              <w:t>委托代理人（签字）：</w:t>
            </w:r>
          </w:p>
        </w:tc>
        <w:tc>
          <w:tcPr>
            <w:tcW w:w="4317" w:type="dxa"/>
            <w:noWrap w:val="0"/>
            <w:vAlign w:val="center"/>
          </w:tcPr>
          <w:p>
            <w:pPr>
              <w:spacing w:line="360" w:lineRule="exact"/>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委托代理人（签字）：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39" w:type="dxa"/>
            <w:noWrap w:val="0"/>
            <w:vAlign w:val="center"/>
          </w:tcPr>
          <w:p>
            <w:pPr>
              <w:spacing w:line="360" w:lineRule="exact"/>
              <w:rPr>
                <w:rFonts w:hint="eastAsia" w:ascii="宋体" w:hAnsi="宋体" w:eastAsia="宋体" w:cs="宋体"/>
                <w:color w:val="auto"/>
                <w:sz w:val="22"/>
                <w:szCs w:val="22"/>
                <w:highlight w:val="none"/>
              </w:rPr>
            </w:pPr>
            <w:r>
              <w:rPr>
                <w:rFonts w:hint="eastAsia" w:ascii="宋体" w:hAnsi="宋体" w:cs="宋体"/>
                <w:color w:val="auto"/>
                <w:sz w:val="22"/>
                <w:highlight w:val="none"/>
              </w:rPr>
              <w:t>联系电话：</w:t>
            </w:r>
          </w:p>
        </w:tc>
        <w:tc>
          <w:tcPr>
            <w:tcW w:w="4317" w:type="dxa"/>
            <w:noWrap w:val="0"/>
            <w:vAlign w:val="center"/>
          </w:tcPr>
          <w:p>
            <w:pPr>
              <w:spacing w:line="360" w:lineRule="exact"/>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39" w:type="dxa"/>
            <w:noWrap w:val="0"/>
            <w:vAlign w:val="center"/>
          </w:tcPr>
          <w:p>
            <w:pPr>
              <w:spacing w:line="360" w:lineRule="exact"/>
              <w:rPr>
                <w:rFonts w:hint="eastAsia" w:ascii="宋体" w:hAnsi="宋体" w:eastAsia="宋体" w:cs="宋体"/>
                <w:color w:val="auto"/>
                <w:sz w:val="22"/>
                <w:szCs w:val="22"/>
                <w:highlight w:val="none"/>
              </w:rPr>
            </w:pPr>
            <w:r>
              <w:rPr>
                <w:rFonts w:hint="eastAsia" w:ascii="宋体" w:hAnsi="宋体" w:cs="宋体"/>
                <w:color w:val="auto"/>
                <w:sz w:val="22"/>
                <w:highlight w:val="none"/>
              </w:rPr>
              <w:t>地址：</w:t>
            </w:r>
          </w:p>
        </w:tc>
        <w:tc>
          <w:tcPr>
            <w:tcW w:w="4317" w:type="dxa"/>
            <w:noWrap w:val="0"/>
            <w:vAlign w:val="center"/>
          </w:tcPr>
          <w:p>
            <w:pPr>
              <w:spacing w:line="360" w:lineRule="exact"/>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39" w:type="dxa"/>
            <w:noWrap w:val="0"/>
            <w:vAlign w:val="center"/>
          </w:tcPr>
          <w:p>
            <w:pPr>
              <w:spacing w:line="360" w:lineRule="exact"/>
              <w:rPr>
                <w:rFonts w:hint="eastAsia" w:ascii="宋体" w:hAnsi="宋体" w:eastAsia="宋体" w:cs="宋体"/>
                <w:color w:val="auto"/>
                <w:sz w:val="22"/>
                <w:szCs w:val="22"/>
                <w:highlight w:val="none"/>
              </w:rPr>
            </w:pPr>
            <w:r>
              <w:rPr>
                <w:rFonts w:hint="eastAsia" w:ascii="宋体" w:hAnsi="宋体" w:cs="宋体"/>
                <w:color w:val="auto"/>
                <w:sz w:val="22"/>
                <w:highlight w:val="none"/>
              </w:rPr>
              <w:t>纳税人名称：</w:t>
            </w:r>
          </w:p>
        </w:tc>
        <w:tc>
          <w:tcPr>
            <w:tcW w:w="4317" w:type="dxa"/>
            <w:noWrap w:val="0"/>
            <w:vAlign w:val="center"/>
          </w:tcPr>
          <w:p>
            <w:pPr>
              <w:spacing w:line="360" w:lineRule="exact"/>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纳税人名称：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39" w:type="dxa"/>
            <w:noWrap w:val="0"/>
            <w:vAlign w:val="center"/>
          </w:tcPr>
          <w:p>
            <w:pPr>
              <w:spacing w:line="360" w:lineRule="exact"/>
              <w:rPr>
                <w:rFonts w:hint="eastAsia" w:ascii="宋体" w:hAnsi="宋体" w:eastAsia="宋体" w:cs="宋体"/>
                <w:color w:val="auto"/>
                <w:sz w:val="22"/>
                <w:szCs w:val="22"/>
                <w:highlight w:val="none"/>
              </w:rPr>
            </w:pPr>
            <w:r>
              <w:rPr>
                <w:rFonts w:hint="eastAsia" w:ascii="宋体" w:hAnsi="宋体" w:cs="宋体"/>
                <w:color w:val="auto"/>
                <w:sz w:val="22"/>
                <w:highlight w:val="none"/>
              </w:rPr>
              <w:t>纳税人识别号：</w:t>
            </w:r>
          </w:p>
        </w:tc>
        <w:tc>
          <w:tcPr>
            <w:tcW w:w="4317" w:type="dxa"/>
            <w:noWrap w:val="0"/>
            <w:vAlign w:val="center"/>
          </w:tcPr>
          <w:p>
            <w:pPr>
              <w:spacing w:line="360" w:lineRule="exact"/>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纳税人识别号：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39" w:type="dxa"/>
            <w:noWrap w:val="0"/>
            <w:vAlign w:val="center"/>
          </w:tcPr>
          <w:p>
            <w:pPr>
              <w:spacing w:line="360" w:lineRule="exact"/>
              <w:rPr>
                <w:rFonts w:hint="eastAsia" w:ascii="宋体" w:hAnsi="宋体" w:eastAsia="宋体" w:cs="宋体"/>
                <w:color w:val="auto"/>
                <w:sz w:val="22"/>
                <w:szCs w:val="22"/>
                <w:highlight w:val="none"/>
              </w:rPr>
            </w:pPr>
            <w:r>
              <w:rPr>
                <w:rFonts w:hint="eastAsia" w:ascii="宋体" w:hAnsi="宋体" w:cs="宋体"/>
                <w:color w:val="auto"/>
                <w:sz w:val="22"/>
                <w:highlight w:val="none"/>
              </w:rPr>
              <w:t>开户行：</w:t>
            </w:r>
          </w:p>
        </w:tc>
        <w:tc>
          <w:tcPr>
            <w:tcW w:w="4317" w:type="dxa"/>
            <w:noWrap w:val="0"/>
            <w:vAlign w:val="center"/>
          </w:tcPr>
          <w:p>
            <w:pPr>
              <w:spacing w:line="360" w:lineRule="exact"/>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开户行：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39" w:type="dxa"/>
            <w:noWrap w:val="0"/>
            <w:vAlign w:val="center"/>
          </w:tcPr>
          <w:p>
            <w:pPr>
              <w:spacing w:line="360" w:lineRule="exact"/>
              <w:rPr>
                <w:rFonts w:hint="eastAsia" w:ascii="宋体" w:hAnsi="宋体" w:cs="宋体"/>
                <w:color w:val="auto"/>
                <w:sz w:val="22"/>
                <w:highlight w:val="none"/>
              </w:rPr>
            </w:pPr>
            <w:r>
              <w:rPr>
                <w:rFonts w:hint="eastAsia" w:ascii="宋体" w:hAnsi="宋体" w:cs="宋体"/>
                <w:color w:val="auto"/>
                <w:sz w:val="22"/>
                <w:highlight w:val="none"/>
              </w:rPr>
              <w:t>账号：</w:t>
            </w:r>
          </w:p>
        </w:tc>
        <w:tc>
          <w:tcPr>
            <w:tcW w:w="4317" w:type="dxa"/>
            <w:noWrap w:val="0"/>
            <w:vAlign w:val="center"/>
          </w:tcPr>
          <w:p>
            <w:pPr>
              <w:spacing w:line="360" w:lineRule="exact"/>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356" w:type="dxa"/>
            <w:gridSpan w:val="2"/>
            <w:noWrap w:val="0"/>
            <w:vAlign w:val="center"/>
          </w:tcPr>
          <w:p>
            <w:pPr>
              <w:spacing w:line="35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 xml:space="preserve">合同鉴证方（盖章）：浙江乐诚工程咨询有限公司 </w:t>
            </w:r>
          </w:p>
          <w:p>
            <w:pPr>
              <w:spacing w:line="35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法定表人或主要负责人（签字）：</w:t>
            </w:r>
            <w:r>
              <w:rPr>
                <w:rFonts w:hint="eastAsia" w:ascii="宋体" w:hAnsi="宋体" w:eastAsia="宋体" w:cs="宋体"/>
                <w:bCs/>
                <w:color w:val="auto"/>
                <w:sz w:val="22"/>
                <w:szCs w:val="22"/>
                <w:highlight w:val="none"/>
              </w:rPr>
              <w:tab/>
            </w:r>
          </w:p>
          <w:p>
            <w:pPr>
              <w:spacing w:line="360" w:lineRule="exact"/>
              <w:rPr>
                <w:rFonts w:hint="eastAsia" w:ascii="宋体" w:hAnsi="宋体" w:eastAsia="宋体" w:cs="宋体"/>
                <w:color w:val="auto"/>
                <w:spacing w:val="-6"/>
                <w:sz w:val="22"/>
                <w:szCs w:val="22"/>
                <w:highlight w:val="none"/>
              </w:rPr>
            </w:pPr>
            <w:r>
              <w:rPr>
                <w:rFonts w:hint="eastAsia" w:ascii="宋体" w:hAnsi="宋体" w:eastAsia="宋体" w:cs="宋体"/>
                <w:bCs/>
                <w:color w:val="auto"/>
                <w:sz w:val="22"/>
                <w:szCs w:val="22"/>
                <w:highlight w:val="none"/>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356" w:type="dxa"/>
            <w:gridSpan w:val="2"/>
            <w:noWrap w:val="0"/>
            <w:vAlign w:val="center"/>
          </w:tcPr>
          <w:p>
            <w:pPr>
              <w:spacing w:line="360" w:lineRule="exact"/>
              <w:rPr>
                <w:rFonts w:hint="eastAsia" w:ascii="宋体" w:hAnsi="宋体" w:eastAsia="宋体" w:cs="宋体"/>
                <w:color w:val="auto"/>
                <w:spacing w:val="-6"/>
                <w:sz w:val="22"/>
                <w:szCs w:val="22"/>
                <w:highlight w:val="none"/>
              </w:rPr>
            </w:pPr>
            <w:r>
              <w:rPr>
                <w:rFonts w:hint="eastAsia" w:ascii="宋体" w:hAnsi="宋体" w:eastAsia="宋体" w:cs="宋体"/>
                <w:bCs/>
                <w:color w:val="auto"/>
                <w:sz w:val="22"/>
                <w:szCs w:val="22"/>
                <w:highlight w:val="none"/>
              </w:rPr>
              <w:t>合同签订日期：      年    月    日</w:t>
            </w:r>
          </w:p>
        </w:tc>
      </w:tr>
    </w:tbl>
    <w:p>
      <w:pPr>
        <w:spacing w:line="360" w:lineRule="exact"/>
        <w:ind w:left="216" w:leftChars="103"/>
        <w:outlineLvl w:val="0"/>
        <w:rPr>
          <w:rFonts w:hint="eastAsia" w:ascii="宋体" w:hAnsi="宋体" w:cs="宋体"/>
          <w:color w:val="auto"/>
          <w:sz w:val="22"/>
          <w:highlight w:val="none"/>
          <w:lang w:eastAsia="zh-CN"/>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tabs>
          <w:tab w:val="left" w:pos="4286"/>
        </w:tabs>
        <w:spacing w:line="400" w:lineRule="exact"/>
        <w:jc w:val="center"/>
        <w:rPr>
          <w:rFonts w:ascii="宋体" w:hAnsi="宋体" w:cs="宋体"/>
          <w:b/>
          <w:color w:val="auto"/>
          <w:sz w:val="32"/>
          <w:highlight w:val="none"/>
        </w:rPr>
      </w:pPr>
      <w:r>
        <w:rPr>
          <w:rFonts w:hint="eastAsia" w:ascii="宋体" w:hAnsi="宋体" w:cs="宋体"/>
          <w:b/>
          <w:color w:val="auto"/>
          <w:sz w:val="32"/>
          <w:highlight w:val="none"/>
        </w:rPr>
        <w:t>第四部分    附件</w:t>
      </w:r>
    </w:p>
    <w:p>
      <w:pPr>
        <w:snapToGrid w:val="0"/>
        <w:spacing w:beforeLines="50" w:after="50"/>
        <w:jc w:val="center"/>
        <w:outlineLvl w:val="1"/>
        <w:rPr>
          <w:rFonts w:ascii="宋体" w:hAnsi="宋体" w:cs="宋体"/>
          <w:b/>
          <w:color w:val="auto"/>
          <w:sz w:val="24"/>
          <w:highlight w:val="none"/>
        </w:rPr>
      </w:pPr>
      <w:r>
        <w:rPr>
          <w:rFonts w:hint="eastAsia" w:ascii="宋体" w:hAnsi="宋体" w:cs="宋体"/>
          <w:b/>
          <w:bCs/>
          <w:color w:val="auto"/>
          <w:sz w:val="24"/>
          <w:highlight w:val="none"/>
        </w:rPr>
        <w:t>一、报价文件部分格式</w:t>
      </w:r>
    </w:p>
    <w:p>
      <w:pPr>
        <w:snapToGrid w:val="0"/>
        <w:spacing w:before="50" w:afterLines="50"/>
        <w:jc w:val="left"/>
        <w:rPr>
          <w:rFonts w:ascii="宋体" w:hAnsi="宋体" w:cs="宋体"/>
          <w:b/>
          <w:color w:val="auto"/>
          <w:sz w:val="24"/>
          <w:highlight w:val="none"/>
        </w:rPr>
      </w:pPr>
    </w:p>
    <w:p>
      <w:pPr>
        <w:snapToGrid w:val="0"/>
        <w:spacing w:before="50" w:afterLines="50"/>
        <w:jc w:val="left"/>
        <w:rPr>
          <w:rFonts w:ascii="宋体" w:hAnsi="宋体" w:cs="宋体"/>
          <w:b/>
          <w:color w:val="auto"/>
          <w:sz w:val="24"/>
          <w:highlight w:val="none"/>
        </w:rPr>
      </w:pPr>
    </w:p>
    <w:p>
      <w:pPr>
        <w:snapToGrid w:val="0"/>
        <w:spacing w:before="50" w:afterLines="50"/>
        <w:jc w:val="left"/>
        <w:rPr>
          <w:rFonts w:ascii="宋体" w:hAnsi="宋体" w:cs="宋体"/>
          <w:b/>
          <w:color w:val="auto"/>
          <w:sz w:val="24"/>
          <w:szCs w:val="24"/>
          <w:highlight w:val="none"/>
        </w:rPr>
      </w:pPr>
      <w:r>
        <w:rPr>
          <w:rFonts w:hint="eastAsia" w:ascii="宋体" w:hAnsi="宋体" w:cs="宋体"/>
          <w:b/>
          <w:bCs/>
          <w:color w:val="auto"/>
          <w:sz w:val="24"/>
          <w:highlight w:val="none"/>
        </w:rPr>
        <w:t>投标报价文件封面格式：</w:t>
      </w:r>
    </w:p>
    <w:p>
      <w:pPr>
        <w:pStyle w:val="15"/>
        <w:ind w:left="0" w:leftChars="0" w:right="1470"/>
        <w:rPr>
          <w:rFonts w:ascii="宋体" w:hAnsi="宋体" w:cs="宋体"/>
          <w:b/>
          <w:color w:val="auto"/>
          <w:sz w:val="24"/>
          <w:szCs w:val="24"/>
          <w:highlight w:val="none"/>
        </w:rPr>
      </w:pPr>
    </w:p>
    <w:p>
      <w:pPr>
        <w:snapToGrid w:val="0"/>
        <w:spacing w:line="400" w:lineRule="exact"/>
        <w:jc w:val="center"/>
        <w:outlineLvl w:val="1"/>
        <w:rPr>
          <w:rFonts w:ascii="宋体" w:hAnsi="宋体" w:cs="宋体"/>
          <w:b/>
          <w:bCs/>
          <w:color w:val="auto"/>
          <w:sz w:val="24"/>
          <w:szCs w:val="20"/>
          <w:highlight w:val="none"/>
        </w:rPr>
      </w:pPr>
    </w:p>
    <w:p>
      <w:pPr>
        <w:snapToGrid w:val="0"/>
        <w:spacing w:line="400" w:lineRule="exact"/>
        <w:jc w:val="center"/>
        <w:rPr>
          <w:rFonts w:ascii="宋体" w:hAnsi="宋体" w:cs="宋体"/>
          <w:bCs/>
          <w:color w:val="auto"/>
          <w:sz w:val="24"/>
          <w:szCs w:val="20"/>
          <w:highlight w:val="none"/>
        </w:rPr>
      </w:pPr>
      <w:r>
        <w:rPr>
          <w:rFonts w:ascii="宋体" w:hAnsi="宋体" w:cs="宋体"/>
          <w:b/>
          <w:bCs/>
          <w:color w:val="auto"/>
          <w:sz w:val="24"/>
          <w:highlight w:val="none"/>
        </w:rPr>
        <w:pict>
          <v:shape id="_x0000_s1026" o:spid="_x0000_s1026" o:spt="202" type="#_x0000_t202" style="position:absolute;left:0pt;margin-left:30.7pt;margin-top:16pt;height:263.35pt;width:399.75pt;mso-wrap-distance-bottom:0pt;mso-wrap-distance-top:0pt;z-index:251661312;mso-width-relative:page;mso-height-relative:page;" coordsize="21600,21600" o:gfxdata="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zosQ3&#10;2QAAAAkBAAAPAAAAAAAAAAEAIAAAACIAAABkcnMvZG93bnJldi54bWxQSwECFAAUAAAACACHTuJA&#10;qi066yACAABoBAAADgAAAAAAAAABACAAAAAoAQAAZHJzL2Uyb0RvYy54bWxQSwUGAAAAAAYABgBZ&#10;AQAAugUAAAAA&#10;">
            <v:path/>
            <v:fill focussize="0,0"/>
            <v:stroke joinstyle="miter"/>
            <v:imagedata o:title=""/>
            <o:lock v:ext="edit" rotation="t"/>
            <v:textbox>
              <w:txbxContent>
                <w:p>
                  <w:pPr>
                    <w:snapToGrid w:val="0"/>
                    <w:spacing w:beforeLines="50" w:after="50"/>
                    <w:ind w:left="-850" w:leftChars="-405"/>
                    <w:rPr>
                      <w:rFonts w:ascii="宋体" w:hAnsi="宋体"/>
                      <w:sz w:val="24"/>
                      <w:szCs w:val="20"/>
                    </w:rPr>
                  </w:pPr>
                </w:p>
                <w:p>
                  <w:pPr>
                    <w:pStyle w:val="29"/>
                    <w:ind w:hanging="480"/>
                  </w:pPr>
                </w:p>
                <w:p>
                  <w:pPr>
                    <w:snapToGrid w:val="0"/>
                    <w:spacing w:beforeLines="50" w:after="50"/>
                    <w:jc w:val="center"/>
                    <w:rPr>
                      <w:rFonts w:ascii="宋体" w:hAnsi="宋体"/>
                      <w:bCs/>
                      <w:sz w:val="24"/>
                      <w:szCs w:val="20"/>
                    </w:rPr>
                  </w:pPr>
                  <w:r>
                    <w:rPr>
                      <w:rFonts w:hint="eastAsia" w:ascii="宋体" w:hAnsi="宋体"/>
                      <w:bCs/>
                      <w:sz w:val="24"/>
                      <w:szCs w:val="20"/>
                    </w:rPr>
                    <w:t>投标报价文件</w:t>
                  </w:r>
                </w:p>
                <w:p>
                  <w:pPr>
                    <w:snapToGrid w:val="0"/>
                    <w:spacing w:beforeLines="50" w:after="50"/>
                    <w:rPr>
                      <w:rFonts w:ascii="宋体" w:hAnsi="宋体"/>
                      <w:bCs/>
                      <w:sz w:val="24"/>
                      <w:szCs w:val="20"/>
                    </w:rPr>
                  </w:pPr>
                </w:p>
                <w:p>
                  <w:pPr>
                    <w:snapToGrid w:val="0"/>
                    <w:spacing w:beforeLines="50" w:after="50"/>
                    <w:ind w:firstLine="1068" w:firstLineChars="445"/>
                    <w:rPr>
                      <w:rFonts w:ascii="宋体" w:hAnsi="宋体"/>
                      <w:bCs/>
                      <w:sz w:val="24"/>
                    </w:rPr>
                  </w:pPr>
                  <w:r>
                    <w:rPr>
                      <w:rFonts w:hint="eastAsia" w:ascii="宋体" w:hAnsi="宋体"/>
                      <w:bCs/>
                      <w:sz w:val="24"/>
                    </w:rPr>
                    <w:t>项目名称：</w:t>
                  </w:r>
                </w:p>
                <w:p>
                  <w:pPr>
                    <w:snapToGrid w:val="0"/>
                    <w:spacing w:beforeLines="50" w:after="50"/>
                    <w:ind w:firstLine="1068" w:firstLineChars="445"/>
                    <w:rPr>
                      <w:rFonts w:ascii="宋体" w:hAnsi="宋体"/>
                      <w:bCs/>
                      <w:sz w:val="24"/>
                    </w:rPr>
                  </w:pPr>
                  <w:r>
                    <w:rPr>
                      <w:rFonts w:hint="eastAsia" w:ascii="宋体" w:hAnsi="宋体"/>
                      <w:bCs/>
                      <w:sz w:val="24"/>
                    </w:rPr>
                    <w:t>项目编号：</w:t>
                  </w:r>
                </w:p>
                <w:p>
                  <w:pPr>
                    <w:snapToGrid w:val="0"/>
                    <w:spacing w:beforeLines="50" w:after="50"/>
                    <w:ind w:firstLine="1068" w:firstLineChars="445"/>
                    <w:rPr>
                      <w:rFonts w:ascii="宋体" w:hAnsi="宋体"/>
                      <w:bCs/>
                      <w:sz w:val="24"/>
                    </w:rPr>
                  </w:pPr>
                  <w:r>
                    <w:rPr>
                      <w:rFonts w:hint="eastAsia" w:ascii="宋体" w:hAnsi="宋体"/>
                      <w:bCs/>
                      <w:sz w:val="24"/>
                    </w:rPr>
                    <w:t>投标人名称（电子签章）：</w:t>
                  </w:r>
                </w:p>
                <w:p>
                  <w:pPr>
                    <w:snapToGrid w:val="0"/>
                    <w:spacing w:beforeLines="50" w:after="50"/>
                    <w:ind w:firstLine="1068" w:firstLineChars="445"/>
                    <w:rPr>
                      <w:rFonts w:ascii="宋体" w:hAnsi="宋体"/>
                      <w:bCs/>
                      <w:sz w:val="24"/>
                    </w:rPr>
                  </w:pPr>
                  <w:r>
                    <w:rPr>
                      <w:rFonts w:hint="eastAsia" w:ascii="宋体" w:hAnsi="宋体"/>
                      <w:bCs/>
                      <w:sz w:val="24"/>
                    </w:rPr>
                    <w:t>标项：</w:t>
                  </w:r>
                </w:p>
                <w:p>
                  <w:pPr>
                    <w:snapToGrid w:val="0"/>
                    <w:spacing w:beforeLines="50" w:after="50"/>
                    <w:ind w:firstLine="1068" w:firstLineChars="445"/>
                    <w:rPr>
                      <w:rFonts w:ascii="宋体" w:hAnsi="宋体"/>
                      <w:bCs/>
                      <w:sz w:val="24"/>
                    </w:rPr>
                  </w:pPr>
                  <w:r>
                    <w:rPr>
                      <w:rFonts w:hint="eastAsia" w:ascii="宋体" w:hAnsi="宋体"/>
                      <w:bCs/>
                      <w:sz w:val="24"/>
                    </w:rPr>
                    <w:t>投标人地址：</w:t>
                  </w:r>
                </w:p>
                <w:p>
                  <w:pPr>
                    <w:snapToGrid w:val="0"/>
                    <w:spacing w:beforeLines="50" w:after="50"/>
                    <w:ind w:firstLine="1068" w:firstLineChars="445"/>
                    <w:rPr>
                      <w:rFonts w:ascii="宋体" w:hAnsi="宋体"/>
                      <w:bCs/>
                      <w:sz w:val="24"/>
                    </w:rPr>
                  </w:pPr>
                </w:p>
                <w:p>
                  <w:pPr>
                    <w:snapToGrid w:val="0"/>
                    <w:spacing w:beforeLines="50" w:after="50"/>
                    <w:ind w:firstLine="4080" w:firstLineChars="1700"/>
                    <w:rPr>
                      <w:rFonts w:ascii="宋体" w:hAnsi="宋体"/>
                      <w:sz w:val="24"/>
                      <w:szCs w:val="20"/>
                    </w:rPr>
                  </w:pPr>
                </w:p>
                <w:p>
                  <w:r>
                    <w:rPr>
                      <w:rFonts w:hint="eastAsia"/>
                      <w:sz w:val="24"/>
                    </w:rPr>
                    <w:t>年月日</w:t>
                  </w:r>
                </w:p>
              </w:txbxContent>
            </v:textbox>
            <w10:wrap type="topAndBottom"/>
          </v:shape>
        </w:pict>
      </w:r>
    </w:p>
    <w:p>
      <w:pPr>
        <w:snapToGrid w:val="0"/>
        <w:spacing w:line="400" w:lineRule="exact"/>
        <w:jc w:val="center"/>
        <w:outlineLvl w:val="1"/>
        <w:rPr>
          <w:rFonts w:ascii="宋体" w:hAnsi="宋体" w:cs="宋体"/>
          <w:color w:val="auto"/>
          <w:highlight w:val="none"/>
        </w:rPr>
      </w:pPr>
    </w:p>
    <w:p>
      <w:pPr>
        <w:snapToGrid w:val="0"/>
        <w:spacing w:line="400" w:lineRule="exact"/>
        <w:jc w:val="center"/>
        <w:outlineLvl w:val="1"/>
        <w:rPr>
          <w:rFonts w:ascii="宋体" w:hAnsi="宋体" w:cs="宋体"/>
          <w:color w:val="auto"/>
          <w:highlight w:val="none"/>
        </w:rPr>
      </w:pPr>
    </w:p>
    <w:p>
      <w:pPr>
        <w:snapToGrid w:val="0"/>
        <w:spacing w:line="400" w:lineRule="exact"/>
        <w:jc w:val="center"/>
        <w:outlineLvl w:val="1"/>
        <w:rPr>
          <w:rFonts w:ascii="宋体" w:hAnsi="宋体" w:cs="宋体"/>
          <w:bCs/>
          <w:color w:val="auto"/>
          <w:sz w:val="24"/>
          <w:szCs w:val="20"/>
          <w:highlight w:val="none"/>
        </w:rPr>
      </w:pPr>
    </w:p>
    <w:p>
      <w:pPr>
        <w:snapToGrid w:val="0"/>
        <w:spacing w:line="400" w:lineRule="exact"/>
        <w:jc w:val="center"/>
        <w:rPr>
          <w:rFonts w:ascii="宋体" w:hAnsi="宋体" w:cs="宋体"/>
          <w:b/>
          <w:color w:val="auto"/>
          <w:sz w:val="24"/>
          <w:highlight w:val="none"/>
        </w:rPr>
      </w:pPr>
      <w:r>
        <w:rPr>
          <w:rFonts w:hint="eastAsia" w:ascii="宋体" w:hAnsi="宋体" w:cs="宋体"/>
          <w:bCs/>
          <w:color w:val="auto"/>
          <w:sz w:val="24"/>
          <w:szCs w:val="20"/>
          <w:highlight w:val="none"/>
        </w:rPr>
        <w:br w:type="page"/>
      </w: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附件1</w:t>
      </w:r>
    </w:p>
    <w:p>
      <w:pPr>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开标一览表</w:t>
      </w:r>
    </w:p>
    <w:p>
      <w:pPr>
        <w:spacing w:line="360" w:lineRule="exact"/>
        <w:rPr>
          <w:rFonts w:ascii="宋体" w:hAnsi="宋体" w:cs="宋体"/>
          <w:color w:val="auto"/>
          <w:sz w:val="22"/>
          <w:highlight w:val="none"/>
        </w:rPr>
      </w:pPr>
    </w:p>
    <w:tbl>
      <w:tblPr>
        <w:tblStyle w:val="30"/>
        <w:tblW w:w="92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2399"/>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7" w:type="dxa"/>
            <w:vAlign w:val="center"/>
          </w:tcPr>
          <w:p>
            <w:pPr>
              <w:pStyle w:val="16"/>
              <w:spacing w:line="360" w:lineRule="exact"/>
              <w:jc w:val="center"/>
              <w:rPr>
                <w:rFonts w:hAnsi="宋体" w:cs="宋体"/>
                <w:b/>
                <w:bCs/>
                <w:color w:val="auto"/>
                <w:sz w:val="22"/>
                <w:highlight w:val="none"/>
              </w:rPr>
            </w:pPr>
            <w:r>
              <w:rPr>
                <w:rFonts w:hint="eastAsia" w:hAnsi="宋体" w:cs="宋体"/>
                <w:b/>
                <w:bCs/>
                <w:color w:val="auto"/>
                <w:sz w:val="22"/>
                <w:highlight w:val="none"/>
              </w:rPr>
              <w:t>1</w:t>
            </w:r>
          </w:p>
        </w:tc>
        <w:tc>
          <w:tcPr>
            <w:tcW w:w="2399" w:type="dxa"/>
            <w:vAlign w:val="center"/>
          </w:tcPr>
          <w:p>
            <w:pPr>
              <w:pStyle w:val="16"/>
              <w:spacing w:line="360" w:lineRule="exact"/>
              <w:jc w:val="center"/>
              <w:rPr>
                <w:rFonts w:hAnsi="宋体" w:cs="宋体"/>
                <w:b/>
                <w:bCs/>
                <w:color w:val="auto"/>
                <w:sz w:val="22"/>
                <w:highlight w:val="none"/>
              </w:rPr>
            </w:pPr>
            <w:r>
              <w:rPr>
                <w:rFonts w:hint="eastAsia" w:hAnsi="宋体" w:cs="宋体"/>
                <w:b/>
                <w:bCs/>
                <w:color w:val="auto"/>
                <w:sz w:val="22"/>
                <w:highlight w:val="none"/>
              </w:rPr>
              <w:t>项目名称</w:t>
            </w:r>
          </w:p>
        </w:tc>
        <w:tc>
          <w:tcPr>
            <w:tcW w:w="6076" w:type="dxa"/>
            <w:vAlign w:val="center"/>
          </w:tcPr>
          <w:p>
            <w:pPr>
              <w:pStyle w:val="16"/>
              <w:spacing w:line="360" w:lineRule="exact"/>
              <w:jc w:val="center"/>
              <w:rPr>
                <w:rFonts w:hAnsi="宋体" w:cs="宋体"/>
                <w:color w:val="auto"/>
                <w:sz w:val="22"/>
                <w:highlight w:val="none"/>
              </w:rPr>
            </w:pPr>
            <w:r>
              <w:rPr>
                <w:rFonts w:hint="eastAsia" w:hAnsi="宋体" w:cs="宋体"/>
                <w:color w:val="auto"/>
                <w:sz w:val="22"/>
                <w:highlight w:val="none"/>
              </w:rPr>
              <w:t>中文纸质图书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7" w:type="dxa"/>
            <w:vAlign w:val="center"/>
          </w:tcPr>
          <w:p>
            <w:pPr>
              <w:pStyle w:val="16"/>
              <w:spacing w:line="360" w:lineRule="exact"/>
              <w:jc w:val="center"/>
              <w:rPr>
                <w:rFonts w:hAnsi="宋体" w:cs="宋体"/>
                <w:b/>
                <w:bCs/>
                <w:color w:val="auto"/>
                <w:sz w:val="22"/>
                <w:highlight w:val="none"/>
              </w:rPr>
            </w:pPr>
            <w:r>
              <w:rPr>
                <w:rFonts w:hint="eastAsia" w:hAnsi="宋体" w:cs="宋体"/>
                <w:b/>
                <w:bCs/>
                <w:color w:val="auto"/>
                <w:sz w:val="22"/>
                <w:highlight w:val="none"/>
              </w:rPr>
              <w:t>2</w:t>
            </w:r>
          </w:p>
        </w:tc>
        <w:tc>
          <w:tcPr>
            <w:tcW w:w="2399" w:type="dxa"/>
            <w:vAlign w:val="center"/>
          </w:tcPr>
          <w:p>
            <w:pPr>
              <w:pStyle w:val="16"/>
              <w:spacing w:line="360" w:lineRule="exact"/>
              <w:jc w:val="center"/>
              <w:rPr>
                <w:rFonts w:hAnsi="宋体" w:cs="宋体"/>
                <w:b/>
                <w:bCs/>
                <w:color w:val="auto"/>
                <w:sz w:val="22"/>
                <w:highlight w:val="none"/>
              </w:rPr>
            </w:pPr>
            <w:r>
              <w:rPr>
                <w:rFonts w:hint="eastAsia" w:hAnsi="宋体" w:cs="宋体"/>
                <w:b/>
                <w:bCs/>
                <w:color w:val="auto"/>
                <w:sz w:val="22"/>
                <w:highlight w:val="none"/>
              </w:rPr>
              <w:t>交货期</w:t>
            </w:r>
          </w:p>
        </w:tc>
        <w:tc>
          <w:tcPr>
            <w:tcW w:w="6076" w:type="dxa"/>
            <w:vAlign w:val="center"/>
          </w:tcPr>
          <w:p>
            <w:pPr>
              <w:pStyle w:val="16"/>
              <w:spacing w:line="360" w:lineRule="exact"/>
              <w:jc w:val="both"/>
              <w:rPr>
                <w:rFonts w:hAnsi="宋体" w:cs="宋体"/>
                <w:b/>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7" w:type="dxa"/>
            <w:vAlign w:val="center"/>
          </w:tcPr>
          <w:p>
            <w:pPr>
              <w:pStyle w:val="16"/>
              <w:spacing w:line="360" w:lineRule="exact"/>
              <w:jc w:val="center"/>
              <w:rPr>
                <w:rFonts w:hAnsi="宋体" w:cs="宋体"/>
                <w:b/>
                <w:bCs/>
                <w:color w:val="auto"/>
                <w:sz w:val="22"/>
                <w:highlight w:val="none"/>
              </w:rPr>
            </w:pPr>
            <w:r>
              <w:rPr>
                <w:rFonts w:hint="eastAsia" w:hAnsi="宋体" w:cs="宋体"/>
                <w:b/>
                <w:bCs/>
                <w:color w:val="auto"/>
                <w:sz w:val="22"/>
                <w:highlight w:val="none"/>
              </w:rPr>
              <w:t>3</w:t>
            </w:r>
          </w:p>
        </w:tc>
        <w:tc>
          <w:tcPr>
            <w:tcW w:w="2399" w:type="dxa"/>
            <w:vAlign w:val="center"/>
          </w:tcPr>
          <w:p>
            <w:pPr>
              <w:pStyle w:val="16"/>
              <w:spacing w:line="360" w:lineRule="exact"/>
              <w:jc w:val="center"/>
              <w:rPr>
                <w:rFonts w:hAnsi="宋体" w:cs="宋体"/>
                <w:b/>
                <w:bCs/>
                <w:color w:val="auto"/>
                <w:sz w:val="22"/>
                <w:highlight w:val="none"/>
              </w:rPr>
            </w:pPr>
            <w:r>
              <w:rPr>
                <w:rFonts w:hint="eastAsia" w:hAnsi="宋体" w:cs="宋体"/>
                <w:b/>
                <w:bCs/>
                <w:color w:val="auto"/>
                <w:sz w:val="22"/>
                <w:highlight w:val="none"/>
              </w:rPr>
              <w:t>投标报价折扣率（%）</w:t>
            </w:r>
          </w:p>
        </w:tc>
        <w:tc>
          <w:tcPr>
            <w:tcW w:w="6076" w:type="dxa"/>
            <w:vAlign w:val="center"/>
          </w:tcPr>
          <w:p>
            <w:pPr>
              <w:pStyle w:val="16"/>
              <w:spacing w:line="360" w:lineRule="exact"/>
              <w:rPr>
                <w:rFonts w:hAnsi="宋体" w:cs="宋体"/>
                <w:b/>
                <w:color w:val="auto"/>
                <w:sz w:val="22"/>
                <w:highlight w:val="none"/>
                <w:u w:val="single"/>
              </w:rPr>
            </w:pPr>
            <w:r>
              <w:rPr>
                <w:rFonts w:hint="eastAsia" w:hAnsi="宋体" w:cs="宋体"/>
                <w:b/>
                <w:color w:val="auto"/>
                <w:sz w:val="22"/>
                <w:highlight w:val="none"/>
              </w:rPr>
              <w:t>小写：</w:t>
            </w:r>
            <w:r>
              <w:rPr>
                <w:rFonts w:hint="eastAsia" w:hAnsi="宋体" w:cs="宋体"/>
                <w:b/>
                <w:color w:val="auto"/>
                <w:sz w:val="22"/>
                <w:highlight w:val="none"/>
                <w:u w:val="single"/>
              </w:rPr>
              <w:t xml:space="preserve">     %</w:t>
            </w:r>
          </w:p>
          <w:p>
            <w:pPr>
              <w:pStyle w:val="16"/>
              <w:spacing w:line="360" w:lineRule="exact"/>
              <w:jc w:val="both"/>
              <w:rPr>
                <w:rFonts w:hAnsi="宋体" w:cs="宋体"/>
                <w:b/>
                <w:color w:val="auto"/>
                <w:sz w:val="22"/>
                <w:highlight w:val="none"/>
              </w:rPr>
            </w:pPr>
            <w:r>
              <w:rPr>
                <w:rFonts w:hint="eastAsia" w:hAnsi="宋体" w:cs="宋体"/>
                <w:b/>
                <w:color w:val="auto"/>
                <w:sz w:val="22"/>
                <w:highlight w:val="none"/>
              </w:rPr>
              <w:t>大写：百分之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7" w:type="dxa"/>
            <w:vAlign w:val="center"/>
          </w:tcPr>
          <w:p>
            <w:pPr>
              <w:pStyle w:val="16"/>
              <w:spacing w:line="360" w:lineRule="exact"/>
              <w:jc w:val="center"/>
              <w:rPr>
                <w:rFonts w:hAnsi="宋体" w:cs="宋体"/>
                <w:b/>
                <w:bCs/>
                <w:color w:val="auto"/>
                <w:sz w:val="22"/>
                <w:highlight w:val="none"/>
              </w:rPr>
            </w:pPr>
            <w:r>
              <w:rPr>
                <w:rFonts w:hint="eastAsia" w:hAnsi="宋体" w:cs="宋体"/>
                <w:b/>
                <w:bCs/>
                <w:color w:val="auto"/>
                <w:sz w:val="22"/>
                <w:highlight w:val="none"/>
              </w:rPr>
              <w:t>4</w:t>
            </w:r>
          </w:p>
        </w:tc>
        <w:tc>
          <w:tcPr>
            <w:tcW w:w="2399" w:type="dxa"/>
            <w:vAlign w:val="center"/>
          </w:tcPr>
          <w:p>
            <w:pPr>
              <w:pStyle w:val="16"/>
              <w:spacing w:line="360" w:lineRule="exact"/>
              <w:jc w:val="center"/>
              <w:rPr>
                <w:rFonts w:hAnsi="宋体" w:cs="宋体"/>
                <w:b/>
                <w:bCs/>
                <w:color w:val="auto"/>
                <w:sz w:val="22"/>
                <w:highlight w:val="none"/>
              </w:rPr>
            </w:pPr>
            <w:r>
              <w:rPr>
                <w:rFonts w:hint="eastAsia" w:hAnsi="宋体" w:cs="宋体"/>
                <w:b/>
                <w:bCs/>
                <w:color w:val="auto"/>
                <w:sz w:val="22"/>
                <w:highlight w:val="none"/>
              </w:rPr>
              <w:t>材料说明</w:t>
            </w:r>
          </w:p>
        </w:tc>
        <w:tc>
          <w:tcPr>
            <w:tcW w:w="6076" w:type="dxa"/>
            <w:vAlign w:val="center"/>
          </w:tcPr>
          <w:p>
            <w:pPr>
              <w:numPr>
                <w:ilvl w:val="0"/>
                <w:numId w:val="18"/>
              </w:numPr>
              <w:rPr>
                <w:rFonts w:ascii="宋体" w:hAnsi="宋体" w:cs="宋体"/>
                <w:color w:val="auto"/>
                <w:kern w:val="0"/>
                <w:sz w:val="22"/>
                <w:highlight w:val="none"/>
              </w:rPr>
            </w:pPr>
            <w:r>
              <w:rPr>
                <w:rFonts w:hint="eastAsia" w:ascii="宋体" w:hAnsi="宋体" w:cs="宋体"/>
                <w:color w:val="auto"/>
                <w:kern w:val="0"/>
                <w:sz w:val="22"/>
                <w:highlight w:val="none"/>
              </w:rPr>
              <w:t>进口3M 16cmB2型可充消磁条</w:t>
            </w:r>
          </w:p>
          <w:p>
            <w:pPr>
              <w:numPr>
                <w:ilvl w:val="0"/>
                <w:numId w:val="18"/>
              </w:numPr>
              <w:rPr>
                <w:rFonts w:ascii="宋体" w:hAnsi="宋体" w:cs="宋体"/>
                <w:color w:val="auto"/>
                <w:kern w:val="0"/>
                <w:sz w:val="22"/>
                <w:highlight w:val="none"/>
              </w:rPr>
            </w:pPr>
            <w:r>
              <w:rPr>
                <w:rFonts w:hint="eastAsia" w:ascii="宋体" w:hAnsi="宋体" w:cs="宋体"/>
                <w:color w:val="auto"/>
                <w:kern w:val="0"/>
                <w:sz w:val="22"/>
                <w:highlight w:val="none"/>
              </w:rPr>
              <w:t>书标</w:t>
            </w:r>
          </w:p>
          <w:p>
            <w:pPr>
              <w:numPr>
                <w:ilvl w:val="0"/>
                <w:numId w:val="18"/>
              </w:numPr>
              <w:rPr>
                <w:rFonts w:ascii="宋体" w:hAnsi="宋体" w:cs="宋体"/>
                <w:color w:val="auto"/>
                <w:kern w:val="0"/>
                <w:sz w:val="22"/>
                <w:highlight w:val="none"/>
              </w:rPr>
            </w:pPr>
            <w:r>
              <w:rPr>
                <w:rFonts w:hint="eastAsia" w:ascii="宋体" w:hAnsi="宋体" w:cs="宋体"/>
                <w:color w:val="auto"/>
                <w:kern w:val="0"/>
                <w:sz w:val="22"/>
                <w:highlight w:val="none"/>
              </w:rPr>
              <w:t>条码</w:t>
            </w:r>
          </w:p>
          <w:p>
            <w:pPr>
              <w:numPr>
                <w:ilvl w:val="0"/>
                <w:numId w:val="18"/>
              </w:numPr>
              <w:rPr>
                <w:rFonts w:ascii="宋体" w:hAnsi="宋体" w:cs="宋体"/>
                <w:color w:val="auto"/>
                <w:kern w:val="0"/>
                <w:sz w:val="22"/>
                <w:highlight w:val="none"/>
              </w:rPr>
            </w:pPr>
            <w:r>
              <w:rPr>
                <w:rFonts w:hint="eastAsia" w:ascii="宋体" w:hAnsi="宋体" w:cs="宋体"/>
                <w:color w:val="auto"/>
                <w:kern w:val="0"/>
                <w:sz w:val="22"/>
                <w:highlight w:val="none"/>
              </w:rPr>
              <w:t>书标膜</w:t>
            </w:r>
          </w:p>
          <w:p>
            <w:pPr>
              <w:pStyle w:val="16"/>
              <w:spacing w:line="360" w:lineRule="exact"/>
              <w:jc w:val="both"/>
              <w:rPr>
                <w:rFonts w:hAnsi="宋体" w:cs="宋体"/>
                <w:b/>
                <w:color w:val="auto"/>
                <w:sz w:val="22"/>
                <w:highlight w:val="none"/>
              </w:rPr>
            </w:pPr>
            <w:r>
              <w:rPr>
                <w:rFonts w:hint="eastAsia" w:hAnsi="宋体" w:cs="宋体"/>
                <w:color w:val="auto"/>
                <w:kern w:val="0"/>
                <w:sz w:val="22"/>
                <w:highlight w:val="none"/>
              </w:rPr>
              <w:t>馆藏章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67" w:type="dxa"/>
            <w:vAlign w:val="center"/>
          </w:tcPr>
          <w:p>
            <w:pPr>
              <w:pStyle w:val="16"/>
              <w:spacing w:line="360" w:lineRule="exact"/>
              <w:jc w:val="center"/>
              <w:rPr>
                <w:rFonts w:hAnsi="宋体" w:cs="宋体"/>
                <w:b/>
                <w:bCs/>
                <w:color w:val="auto"/>
                <w:sz w:val="22"/>
                <w:highlight w:val="none"/>
              </w:rPr>
            </w:pPr>
            <w:r>
              <w:rPr>
                <w:rFonts w:hint="eastAsia" w:hAnsi="宋体" w:cs="宋体"/>
                <w:b/>
                <w:bCs/>
                <w:color w:val="auto"/>
                <w:sz w:val="22"/>
                <w:highlight w:val="none"/>
              </w:rPr>
              <w:t>5</w:t>
            </w:r>
          </w:p>
        </w:tc>
        <w:tc>
          <w:tcPr>
            <w:tcW w:w="2399" w:type="dxa"/>
            <w:vAlign w:val="center"/>
          </w:tcPr>
          <w:p>
            <w:pPr>
              <w:pStyle w:val="16"/>
              <w:spacing w:line="360" w:lineRule="exact"/>
              <w:jc w:val="center"/>
              <w:rPr>
                <w:rFonts w:hAnsi="宋体" w:cs="宋体"/>
                <w:b/>
                <w:bCs/>
                <w:color w:val="auto"/>
                <w:sz w:val="22"/>
                <w:highlight w:val="none"/>
              </w:rPr>
            </w:pPr>
            <w:r>
              <w:rPr>
                <w:rFonts w:hint="eastAsia" w:hAnsi="宋体" w:cs="宋体"/>
                <w:b/>
                <w:bCs/>
                <w:color w:val="auto"/>
                <w:sz w:val="22"/>
                <w:highlight w:val="none"/>
              </w:rPr>
              <w:t>加工要求及流程</w:t>
            </w:r>
          </w:p>
        </w:tc>
        <w:tc>
          <w:tcPr>
            <w:tcW w:w="6076" w:type="dxa"/>
            <w:vAlign w:val="center"/>
          </w:tcPr>
          <w:p>
            <w:pPr>
              <w:widowControl/>
              <w:jc w:val="left"/>
              <w:rPr>
                <w:rFonts w:ascii="宋体" w:hAnsi="宋体" w:cs="宋体"/>
                <w:color w:val="auto"/>
                <w:kern w:val="0"/>
                <w:sz w:val="22"/>
                <w:highlight w:val="none"/>
              </w:rPr>
            </w:pPr>
            <w:r>
              <w:rPr>
                <w:rFonts w:hint="eastAsia" w:ascii="宋体" w:hAnsi="宋体" w:cs="宋体"/>
                <w:color w:val="auto"/>
                <w:kern w:val="0"/>
                <w:sz w:val="22"/>
                <w:highlight w:val="none"/>
              </w:rPr>
              <w:fldChar w:fldCharType="begin"/>
            </w:r>
            <w:r>
              <w:rPr>
                <w:rFonts w:hint="eastAsia" w:ascii="宋体" w:hAnsi="宋体" w:cs="宋体"/>
                <w:color w:val="auto"/>
                <w:kern w:val="0"/>
                <w:sz w:val="22"/>
                <w:highlight w:val="none"/>
              </w:rPr>
              <w:instrText xml:space="preserve"> = 1 \* GB3 </w:instrText>
            </w:r>
            <w:r>
              <w:rPr>
                <w:rFonts w:hint="eastAsia" w:ascii="宋体" w:hAnsi="宋体" w:cs="宋体"/>
                <w:color w:val="auto"/>
                <w:kern w:val="0"/>
                <w:sz w:val="22"/>
                <w:highlight w:val="none"/>
              </w:rPr>
              <w:fldChar w:fldCharType="separate"/>
            </w:r>
            <w:r>
              <w:rPr>
                <w:rFonts w:hint="eastAsia" w:ascii="宋体" w:hAnsi="宋体" w:cs="宋体"/>
                <w:color w:val="auto"/>
                <w:kern w:val="0"/>
                <w:sz w:val="22"/>
                <w:highlight w:val="none"/>
              </w:rPr>
              <w:t>①</w:t>
            </w:r>
            <w:r>
              <w:rPr>
                <w:rFonts w:hint="eastAsia" w:ascii="宋体" w:hAnsi="宋体" w:cs="宋体"/>
                <w:color w:val="auto"/>
                <w:kern w:val="0"/>
                <w:sz w:val="22"/>
                <w:highlight w:val="none"/>
              </w:rPr>
              <w:fldChar w:fldCharType="end"/>
            </w:r>
            <w:r>
              <w:rPr>
                <w:rFonts w:hint="eastAsia" w:ascii="宋体" w:hAnsi="宋体" w:cs="宋体"/>
                <w:color w:val="auto"/>
                <w:kern w:val="0"/>
                <w:sz w:val="22"/>
                <w:highlight w:val="none"/>
              </w:rPr>
              <w:t>对价格：拆包、核对清单、逐册核对价格、按批核对总帐。</w:t>
            </w:r>
          </w:p>
          <w:p>
            <w:pPr>
              <w:widowControl/>
              <w:jc w:val="left"/>
              <w:rPr>
                <w:rFonts w:ascii="宋体" w:hAnsi="宋体" w:cs="宋体"/>
                <w:color w:val="auto"/>
                <w:kern w:val="0"/>
                <w:sz w:val="22"/>
                <w:highlight w:val="none"/>
              </w:rPr>
            </w:pPr>
            <w:r>
              <w:rPr>
                <w:rFonts w:hint="eastAsia" w:ascii="宋体" w:hAnsi="宋体" w:cs="宋体"/>
                <w:color w:val="auto"/>
                <w:kern w:val="0"/>
                <w:sz w:val="22"/>
                <w:highlight w:val="none"/>
              </w:rPr>
              <w:t>②贴磁条：按采购人要求，材料由投标人提供（每本书1根，大于500页的2根）。</w:t>
            </w:r>
          </w:p>
          <w:p>
            <w:pPr>
              <w:widowControl/>
              <w:jc w:val="left"/>
              <w:rPr>
                <w:rFonts w:ascii="宋体" w:hAnsi="宋体" w:cs="宋体"/>
                <w:color w:val="auto"/>
                <w:kern w:val="0"/>
                <w:sz w:val="22"/>
                <w:highlight w:val="none"/>
              </w:rPr>
            </w:pPr>
            <w:r>
              <w:rPr>
                <w:rFonts w:hint="eastAsia" w:ascii="宋体" w:hAnsi="宋体" w:cs="宋体"/>
                <w:color w:val="auto"/>
                <w:kern w:val="0"/>
                <w:sz w:val="22"/>
                <w:highlight w:val="none"/>
              </w:rPr>
              <w:t>③盖馆藏章、贴条码：按采购人要求，材料由投标人提供（每本书盖两个馆藏章，两个条码）。</w:t>
            </w:r>
          </w:p>
          <w:p>
            <w:pPr>
              <w:widowControl/>
              <w:tabs>
                <w:tab w:val="left" w:pos="360"/>
              </w:tabs>
              <w:jc w:val="left"/>
              <w:rPr>
                <w:rFonts w:ascii="宋体" w:hAnsi="宋体" w:cs="宋体"/>
                <w:color w:val="auto"/>
                <w:kern w:val="0"/>
                <w:sz w:val="22"/>
                <w:highlight w:val="none"/>
              </w:rPr>
            </w:pPr>
            <w:r>
              <w:rPr>
                <w:rFonts w:hint="eastAsia" w:ascii="宋体" w:hAnsi="宋体" w:cs="宋体"/>
                <w:color w:val="auto"/>
                <w:kern w:val="0"/>
                <w:sz w:val="22"/>
                <w:highlight w:val="none"/>
              </w:rPr>
              <w:fldChar w:fldCharType="begin"/>
            </w:r>
            <w:r>
              <w:rPr>
                <w:rFonts w:hint="eastAsia" w:ascii="宋体" w:hAnsi="宋体" w:cs="宋体"/>
                <w:color w:val="auto"/>
                <w:kern w:val="0"/>
                <w:sz w:val="22"/>
                <w:highlight w:val="none"/>
              </w:rPr>
              <w:instrText xml:space="preserve"> = 4 \* GB3 </w:instrText>
            </w:r>
            <w:r>
              <w:rPr>
                <w:rFonts w:hint="eastAsia" w:ascii="宋体" w:hAnsi="宋体" w:cs="宋体"/>
                <w:color w:val="auto"/>
                <w:kern w:val="0"/>
                <w:sz w:val="22"/>
                <w:highlight w:val="none"/>
              </w:rPr>
              <w:fldChar w:fldCharType="separate"/>
            </w:r>
            <w:r>
              <w:rPr>
                <w:rFonts w:hint="eastAsia" w:ascii="宋体" w:hAnsi="宋体" w:cs="宋体"/>
                <w:color w:val="auto"/>
                <w:kern w:val="0"/>
                <w:sz w:val="22"/>
                <w:highlight w:val="none"/>
              </w:rPr>
              <w:t>④</w:t>
            </w:r>
            <w:r>
              <w:rPr>
                <w:rFonts w:hint="eastAsia" w:ascii="宋体" w:hAnsi="宋体" w:cs="宋体"/>
                <w:color w:val="auto"/>
                <w:kern w:val="0"/>
                <w:sz w:val="22"/>
                <w:highlight w:val="none"/>
              </w:rPr>
              <w:fldChar w:fldCharType="end"/>
            </w:r>
            <w:r>
              <w:rPr>
                <w:rFonts w:hint="eastAsia" w:ascii="宋体" w:hAnsi="宋体" w:cs="宋体"/>
                <w:color w:val="auto"/>
                <w:kern w:val="0"/>
                <w:sz w:val="22"/>
                <w:highlight w:val="none"/>
              </w:rPr>
              <w:t>划书标线、打印、张贴书标、书标膜、图书类型标识：按采购人要求，材料由投标人提供（每本书1个书标并覆盖书标膜）。</w:t>
            </w:r>
          </w:p>
          <w:p>
            <w:pPr>
              <w:widowControl/>
              <w:jc w:val="left"/>
              <w:rPr>
                <w:rFonts w:ascii="宋体" w:hAnsi="宋体" w:cs="宋体"/>
                <w:color w:val="auto"/>
                <w:kern w:val="0"/>
                <w:sz w:val="22"/>
                <w:highlight w:val="none"/>
              </w:rPr>
            </w:pPr>
            <w:r>
              <w:rPr>
                <w:rFonts w:hint="eastAsia" w:ascii="宋体" w:hAnsi="宋体" w:cs="宋体"/>
                <w:color w:val="auto"/>
                <w:kern w:val="0"/>
                <w:sz w:val="22"/>
                <w:highlight w:val="none"/>
              </w:rPr>
              <w:t>⑤数据加工：分类（标识索取号）、编目、典藏、馆藏分流（多个馆藏地）：按采购人要求，包括图书分类审验、编目套录、典藏入库。</w:t>
            </w:r>
          </w:p>
          <w:p>
            <w:pPr>
              <w:pStyle w:val="16"/>
              <w:spacing w:line="360" w:lineRule="exact"/>
              <w:jc w:val="both"/>
              <w:rPr>
                <w:rFonts w:hAnsi="宋体" w:cs="宋体"/>
                <w:b/>
                <w:color w:val="auto"/>
                <w:sz w:val="22"/>
                <w:highlight w:val="none"/>
              </w:rPr>
            </w:pPr>
            <w:r>
              <w:rPr>
                <w:rFonts w:hint="eastAsia" w:hAnsi="宋体" w:cs="宋体"/>
                <w:color w:val="auto"/>
                <w:kern w:val="0"/>
                <w:sz w:val="22"/>
                <w:highlight w:val="none"/>
              </w:rPr>
              <w:t>⑥上架，核对数量，部份打包：按采购人要求</w:t>
            </w:r>
          </w:p>
        </w:tc>
      </w:tr>
    </w:tbl>
    <w:p>
      <w:pPr>
        <w:pStyle w:val="17"/>
        <w:snapToGrid w:val="0"/>
        <w:spacing w:line="360" w:lineRule="exact"/>
        <w:ind w:left="0" w:leftChars="0"/>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备注：1.</w:t>
      </w:r>
      <w:r>
        <w:rPr>
          <w:rFonts w:hint="eastAsia" w:ascii="宋体" w:hAnsi="宋体" w:eastAsia="宋体" w:cs="宋体"/>
          <w:bCs/>
          <w:color w:val="auto"/>
          <w:sz w:val="22"/>
          <w:highlight w:val="none"/>
          <w:u w:val="single"/>
        </w:rPr>
        <w:t>▲</w:t>
      </w:r>
      <w:r>
        <w:rPr>
          <w:rFonts w:hint="eastAsia" w:ascii="宋体" w:hAnsi="宋体" w:eastAsia="宋体" w:cs="宋体"/>
          <w:bCs/>
          <w:color w:val="auto"/>
          <w:sz w:val="22"/>
          <w:szCs w:val="22"/>
          <w:highlight w:val="none"/>
          <w:u w:val="single"/>
        </w:rPr>
        <w:t>投标报价为图书的折扣率。投标报价（折扣率）一经涂改，应在涂改处加盖单位公章或者由法定代表人或授权委托人签字或盖章，否则其投标作投标无效处理</w:t>
      </w:r>
      <w:r>
        <w:rPr>
          <w:rFonts w:hint="eastAsia" w:ascii="宋体" w:hAnsi="宋体" w:eastAsia="宋体" w:cs="宋体"/>
          <w:color w:val="auto"/>
          <w:sz w:val="22"/>
          <w:szCs w:val="22"/>
          <w:highlight w:val="none"/>
        </w:rPr>
        <w:t>。</w:t>
      </w:r>
    </w:p>
    <w:p>
      <w:pPr>
        <w:pStyle w:val="17"/>
        <w:snapToGrid w:val="0"/>
        <w:spacing w:line="360" w:lineRule="exact"/>
        <w:ind w:left="0" w:leftChars="0"/>
        <w:rPr>
          <w:rFonts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2.</w:t>
      </w:r>
      <w:r>
        <w:rPr>
          <w:rFonts w:hint="eastAsia" w:ascii="宋体" w:hAnsi="宋体" w:eastAsia="宋体" w:cs="宋体"/>
          <w:b/>
          <w:bCs/>
          <w:color w:val="auto"/>
          <w:sz w:val="22"/>
          <w:szCs w:val="22"/>
          <w:highlight w:val="none"/>
        </w:rPr>
        <w:t>投标报价为投标人给予采购人的图书码洋折扣率。系指投标人在保证到书率和采购人要求的服务水平下，提供给采购人订购的图书、随书附件（光盘、软件等）的购买费用、税金、包装、运输、装卸、验收、售后服务、到馆全加工服务的费用（加工价格为每册</w:t>
      </w:r>
      <w:r>
        <w:rPr>
          <w:rFonts w:hint="eastAsia" w:ascii="宋体" w:hAnsi="宋体" w:eastAsia="宋体" w:cs="宋体"/>
          <w:b/>
          <w:bCs/>
          <w:color w:val="auto"/>
          <w:sz w:val="22"/>
          <w:szCs w:val="22"/>
          <w:highlight w:val="none"/>
          <w:u w:val="single"/>
        </w:rPr>
        <w:t xml:space="preserve">2.95 </w:t>
      </w:r>
      <w:r>
        <w:rPr>
          <w:rFonts w:hint="eastAsia" w:ascii="宋体" w:hAnsi="宋体" w:eastAsia="宋体" w:cs="宋体"/>
          <w:b/>
          <w:bCs/>
          <w:color w:val="auto"/>
          <w:sz w:val="22"/>
          <w:szCs w:val="22"/>
          <w:highlight w:val="none"/>
        </w:rPr>
        <w:t>元（承担所有材料成本，按册结算））、人工费、采购代理服务费等全部费用以及其他认为必需的一切费用的总和的全部费用计算价格折扣率。</w:t>
      </w:r>
    </w:p>
    <w:p>
      <w:pPr>
        <w:pStyle w:val="17"/>
        <w:snapToGrid w:val="0"/>
        <w:spacing w:line="360" w:lineRule="exact"/>
        <w:ind w:left="0" w:leftChars="0"/>
        <w:rPr>
          <w:rFonts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3.计算方式：如报价按图书码洋下浮15 %，则所有图书投标报价折扣率为85%。</w:t>
      </w:r>
    </w:p>
    <w:p>
      <w:pPr>
        <w:pStyle w:val="17"/>
        <w:snapToGrid w:val="0"/>
        <w:spacing w:line="360" w:lineRule="exact"/>
        <w:ind w:left="0" w:leftChars="0"/>
        <w:rPr>
          <w:rFonts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4.不提供开标一览表的投标文件将被视为未实质性响应招标文件。</w:t>
      </w:r>
    </w:p>
    <w:p>
      <w:pPr>
        <w:pStyle w:val="17"/>
        <w:snapToGrid w:val="0"/>
        <w:spacing w:line="360" w:lineRule="exact"/>
        <w:ind w:left="0" w:leftChars="0"/>
        <w:rPr>
          <w:rFonts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5.此表不得自行增减内容。</w:t>
      </w:r>
    </w:p>
    <w:p>
      <w:pPr>
        <w:widowControl/>
        <w:spacing w:line="360" w:lineRule="exact"/>
        <w:rPr>
          <w:rFonts w:ascii="宋体" w:hAnsi="宋体" w:cs="宋体"/>
          <w:color w:val="auto"/>
          <w:kern w:val="0"/>
          <w:sz w:val="22"/>
          <w:highlight w:val="none"/>
        </w:rPr>
      </w:pPr>
    </w:p>
    <w:p>
      <w:pPr>
        <w:widowControl/>
        <w:spacing w:line="360" w:lineRule="exact"/>
        <w:rPr>
          <w:rFonts w:ascii="宋体" w:hAnsi="宋体" w:cs="宋体"/>
          <w:color w:val="auto"/>
          <w:kern w:val="0"/>
          <w:sz w:val="22"/>
          <w:highlight w:val="none"/>
          <w:u w:val="single"/>
        </w:rPr>
      </w:pPr>
      <w:r>
        <w:rPr>
          <w:rFonts w:hint="eastAsia" w:ascii="宋体" w:hAnsi="宋体" w:cs="宋体"/>
          <w:color w:val="auto"/>
          <w:kern w:val="0"/>
          <w:sz w:val="22"/>
          <w:highlight w:val="none"/>
        </w:rPr>
        <w:t>投标人全称(电子签章)：</w:t>
      </w:r>
    </w:p>
    <w:p>
      <w:pPr>
        <w:widowControl/>
        <w:spacing w:line="360" w:lineRule="exact"/>
        <w:rPr>
          <w:rFonts w:ascii="宋体" w:hAnsi="宋体" w:cs="宋体"/>
          <w:color w:val="auto"/>
          <w:kern w:val="0"/>
          <w:sz w:val="22"/>
          <w:highlight w:val="none"/>
        </w:rPr>
      </w:pPr>
      <w:r>
        <w:rPr>
          <w:rFonts w:hint="eastAsia" w:ascii="宋体" w:hAnsi="宋体" w:cs="宋体"/>
          <w:color w:val="auto"/>
          <w:kern w:val="0"/>
          <w:sz w:val="22"/>
          <w:highlight w:val="none"/>
        </w:rPr>
        <w:t>法定代表人或授权代表(签字或盖章)：</w:t>
      </w:r>
    </w:p>
    <w:p>
      <w:pPr>
        <w:snapToGrid w:val="0"/>
        <w:spacing w:line="360" w:lineRule="exact"/>
        <w:jc w:val="left"/>
        <w:rPr>
          <w:rFonts w:ascii="宋体" w:hAnsi="宋体" w:cs="宋体"/>
          <w:color w:val="auto"/>
          <w:kern w:val="0"/>
          <w:sz w:val="22"/>
          <w:highlight w:val="none"/>
        </w:rPr>
      </w:pPr>
      <w:r>
        <w:rPr>
          <w:rFonts w:hint="eastAsia" w:ascii="宋体" w:hAnsi="宋体" w:cs="宋体"/>
          <w:color w:val="auto"/>
          <w:kern w:val="0"/>
          <w:sz w:val="22"/>
          <w:highlight w:val="none"/>
        </w:rPr>
        <w:t>日期：    年    月    日</w:t>
      </w:r>
    </w:p>
    <w:p>
      <w:pPr>
        <w:spacing w:line="360" w:lineRule="exact"/>
        <w:rPr>
          <w:rFonts w:ascii="宋体" w:hAnsi="宋体" w:cs="宋体"/>
          <w:b/>
          <w:color w:val="auto"/>
          <w:sz w:val="24"/>
          <w:szCs w:val="24"/>
          <w:highlight w:val="none"/>
        </w:rPr>
      </w:pPr>
    </w:p>
    <w:p>
      <w:pPr>
        <w:spacing w:line="400" w:lineRule="exact"/>
        <w:rPr>
          <w:rFonts w:ascii="宋体" w:hAnsi="宋体" w:cs="宋体"/>
          <w:b/>
          <w:color w:val="auto"/>
          <w:sz w:val="24"/>
          <w:szCs w:val="24"/>
          <w:highlight w:val="none"/>
        </w:rPr>
      </w:pPr>
    </w:p>
    <w:p>
      <w:pPr>
        <w:spacing w:line="400" w:lineRule="exact"/>
        <w:rPr>
          <w:rFonts w:ascii="宋体" w:hAnsi="宋体" w:cs="宋体"/>
          <w:b/>
          <w:color w:val="auto"/>
          <w:sz w:val="24"/>
          <w:szCs w:val="24"/>
          <w:highlight w:val="none"/>
        </w:rPr>
      </w:pPr>
    </w:p>
    <w:p>
      <w:pPr>
        <w:spacing w:line="400" w:lineRule="exact"/>
        <w:rPr>
          <w:rFonts w:ascii="宋体" w:hAnsi="宋体" w:cs="宋体"/>
          <w:b/>
          <w:color w:val="auto"/>
          <w:sz w:val="24"/>
          <w:szCs w:val="24"/>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附件2</w:t>
      </w:r>
    </w:p>
    <w:p>
      <w:pPr>
        <w:spacing w:line="400" w:lineRule="exact"/>
        <w:jc w:val="center"/>
        <w:rPr>
          <w:rFonts w:ascii="宋体" w:hAnsi="宋体" w:cs="宋体"/>
          <w:b/>
          <w:color w:val="auto"/>
          <w:kern w:val="0"/>
          <w:sz w:val="28"/>
          <w:szCs w:val="36"/>
          <w:highlight w:val="none"/>
        </w:rPr>
      </w:pPr>
      <w:r>
        <w:rPr>
          <w:rFonts w:hint="eastAsia" w:ascii="宋体" w:hAnsi="宋体" w:cs="宋体"/>
          <w:b/>
          <w:color w:val="auto"/>
          <w:kern w:val="0"/>
          <w:sz w:val="28"/>
          <w:szCs w:val="36"/>
          <w:highlight w:val="none"/>
        </w:rPr>
        <w:t>报价明细表</w:t>
      </w:r>
    </w:p>
    <w:p>
      <w:pPr>
        <w:spacing w:line="460" w:lineRule="exact"/>
        <w:rPr>
          <w:rFonts w:ascii="宋体" w:hAnsi="宋体" w:cs="宋体"/>
          <w:b/>
          <w:color w:val="auto"/>
          <w:sz w:val="24"/>
          <w:highlight w:val="none"/>
        </w:rPr>
      </w:pPr>
      <w:r>
        <w:rPr>
          <w:rFonts w:hint="eastAsia" w:ascii="宋体" w:hAnsi="宋体" w:cs="宋体"/>
          <w:b/>
          <w:color w:val="auto"/>
          <w:szCs w:val="21"/>
          <w:highlight w:val="none"/>
        </w:rPr>
        <w:t xml:space="preserve">项目名称：                            项目编号：              </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6" w:hRule="atLeast"/>
        </w:trPr>
        <w:tc>
          <w:tcPr>
            <w:tcW w:w="8643" w:type="dxa"/>
            <w:noWrap/>
          </w:tcPr>
          <w:p>
            <w:pPr>
              <w:spacing w:line="380" w:lineRule="exact"/>
              <w:rPr>
                <w:rFonts w:ascii="宋体" w:hAnsi="宋体" w:cs="宋体"/>
                <w:color w:val="auto"/>
                <w:sz w:val="22"/>
                <w:highlight w:val="none"/>
              </w:rPr>
            </w:pPr>
            <w:r>
              <w:rPr>
                <w:rFonts w:hint="eastAsia" w:ascii="宋体" w:hAnsi="宋体" w:cs="宋体"/>
                <w:color w:val="auto"/>
                <w:sz w:val="22"/>
                <w:highlight w:val="none"/>
              </w:rPr>
              <w:t>针对本次投标折扣率，对于成本及利润的合理分析说明，须包含招标文件要求的工作内容。</w:t>
            </w:r>
          </w:p>
          <w:p>
            <w:pPr>
              <w:spacing w:line="380" w:lineRule="exact"/>
              <w:rPr>
                <w:rFonts w:ascii="宋体" w:hAnsi="宋体" w:cs="宋体"/>
                <w:color w:val="auto"/>
                <w:sz w:val="22"/>
                <w:highlight w:val="none"/>
              </w:rPr>
            </w:pPr>
            <w:r>
              <w:rPr>
                <w:rFonts w:hint="eastAsia" w:ascii="宋体" w:hAnsi="宋体" w:cs="宋体"/>
                <w:color w:val="auto"/>
                <w:sz w:val="22"/>
                <w:highlight w:val="none"/>
              </w:rPr>
              <w:t>格式自拟</w:t>
            </w:r>
          </w:p>
          <w:p>
            <w:pPr>
              <w:spacing w:line="380" w:lineRule="exact"/>
              <w:rPr>
                <w:rFonts w:ascii="宋体" w:hAnsi="宋体" w:cs="宋体"/>
                <w:b/>
                <w:color w:val="auto"/>
                <w:sz w:val="22"/>
                <w:highlight w:val="none"/>
              </w:rPr>
            </w:pPr>
            <w:r>
              <w:rPr>
                <w:rFonts w:hint="eastAsia" w:ascii="宋体" w:hAnsi="宋体" w:cs="宋体"/>
                <w:color w:val="auto"/>
                <w:sz w:val="22"/>
                <w:highlight w:val="none"/>
              </w:rPr>
              <w:t>特别说明：投标人不得低于成本价进行投标竞争。</w:t>
            </w:r>
          </w:p>
          <w:p>
            <w:pPr>
              <w:rPr>
                <w:rFonts w:ascii="宋体" w:hAnsi="宋体" w:cs="宋体"/>
                <w:color w:val="auto"/>
                <w:sz w:val="22"/>
                <w:highlight w:val="none"/>
              </w:rPr>
            </w:pPr>
          </w:p>
          <w:p>
            <w:pPr>
              <w:spacing w:line="320" w:lineRule="exact"/>
              <w:rPr>
                <w:rFonts w:ascii="宋体" w:hAnsi="宋体" w:cs="宋体"/>
                <w:color w:val="auto"/>
                <w:sz w:val="22"/>
                <w:highlight w:val="none"/>
              </w:rPr>
            </w:pPr>
          </w:p>
        </w:tc>
      </w:tr>
    </w:tbl>
    <w:p>
      <w:pPr>
        <w:spacing w:line="320" w:lineRule="exact"/>
        <w:rPr>
          <w:rFonts w:ascii="宋体" w:hAnsi="宋体" w:cs="宋体"/>
          <w:color w:val="auto"/>
          <w:sz w:val="22"/>
          <w:highlight w:val="none"/>
        </w:rPr>
      </w:pPr>
      <w:r>
        <w:rPr>
          <w:rFonts w:hint="eastAsia" w:ascii="宋体" w:hAnsi="宋体" w:cs="宋体"/>
          <w:color w:val="auto"/>
          <w:sz w:val="22"/>
          <w:highlight w:val="none"/>
        </w:rPr>
        <w:t>注：</w:t>
      </w:r>
      <w:r>
        <w:rPr>
          <w:rFonts w:hint="eastAsia" w:ascii="宋体" w:hAnsi="宋体" w:cs="宋体"/>
          <w:b/>
          <w:color w:val="auto"/>
          <w:sz w:val="22"/>
          <w:highlight w:val="none"/>
        </w:rPr>
        <w:t>表格可以延续，</w:t>
      </w:r>
      <w:r>
        <w:rPr>
          <w:rFonts w:hint="eastAsia" w:ascii="宋体" w:hAnsi="宋体" w:cs="宋体"/>
          <w:bCs/>
          <w:color w:val="auto"/>
          <w:sz w:val="22"/>
          <w:highlight w:val="none"/>
          <w:u w:val="single"/>
        </w:rPr>
        <w:t>▲</w:t>
      </w:r>
      <w:r>
        <w:rPr>
          <w:rFonts w:hint="eastAsia" w:ascii="宋体" w:hAnsi="宋体" w:cs="宋体"/>
          <w:b/>
          <w:color w:val="auto"/>
          <w:sz w:val="22"/>
          <w:highlight w:val="none"/>
          <w:u w:val="single"/>
        </w:rPr>
        <w:t>不提供此表格的将视为没有实质性响应招标文件</w:t>
      </w:r>
      <w:r>
        <w:rPr>
          <w:rFonts w:hint="eastAsia" w:ascii="宋体" w:hAnsi="宋体" w:cs="宋体"/>
          <w:color w:val="auto"/>
          <w:sz w:val="22"/>
          <w:highlight w:val="none"/>
        </w:rPr>
        <w:t>。</w:t>
      </w:r>
    </w:p>
    <w:p>
      <w:pPr>
        <w:spacing w:line="320" w:lineRule="exact"/>
        <w:rPr>
          <w:rFonts w:ascii="宋体" w:hAnsi="宋体" w:cs="宋体"/>
          <w:color w:val="auto"/>
          <w:szCs w:val="21"/>
          <w:highlight w:val="none"/>
        </w:rPr>
      </w:pPr>
    </w:p>
    <w:p>
      <w:pPr>
        <w:spacing w:line="320" w:lineRule="exact"/>
        <w:rPr>
          <w:rFonts w:ascii="宋体" w:hAnsi="宋体" w:cs="宋体"/>
          <w:color w:val="auto"/>
          <w:szCs w:val="21"/>
          <w:highlight w:val="none"/>
        </w:rPr>
      </w:pPr>
    </w:p>
    <w:p>
      <w:pPr>
        <w:widowControl/>
        <w:spacing w:line="360" w:lineRule="exact"/>
        <w:rPr>
          <w:rFonts w:ascii="宋体" w:hAnsi="宋体" w:cs="宋体"/>
          <w:color w:val="auto"/>
          <w:kern w:val="0"/>
          <w:sz w:val="22"/>
          <w:highlight w:val="none"/>
          <w:u w:val="single"/>
        </w:rPr>
      </w:pPr>
      <w:r>
        <w:rPr>
          <w:rFonts w:hint="eastAsia" w:ascii="宋体" w:hAnsi="宋体" w:cs="宋体"/>
          <w:color w:val="auto"/>
          <w:kern w:val="0"/>
          <w:sz w:val="22"/>
          <w:highlight w:val="none"/>
        </w:rPr>
        <w:t>投标人全称(电子签章)：</w:t>
      </w:r>
    </w:p>
    <w:p>
      <w:pPr>
        <w:widowControl/>
        <w:spacing w:line="360" w:lineRule="exact"/>
        <w:rPr>
          <w:rFonts w:ascii="宋体" w:hAnsi="宋体" w:cs="宋体"/>
          <w:color w:val="auto"/>
          <w:kern w:val="0"/>
          <w:sz w:val="22"/>
          <w:highlight w:val="none"/>
        </w:rPr>
      </w:pPr>
      <w:r>
        <w:rPr>
          <w:rFonts w:hint="eastAsia" w:ascii="宋体" w:hAnsi="宋体" w:cs="宋体"/>
          <w:color w:val="auto"/>
          <w:kern w:val="0"/>
          <w:sz w:val="22"/>
          <w:highlight w:val="none"/>
        </w:rPr>
        <w:t>法定代表人或授权代表(签字或盖章)：</w:t>
      </w:r>
    </w:p>
    <w:p>
      <w:pPr>
        <w:snapToGrid w:val="0"/>
        <w:spacing w:line="360" w:lineRule="exact"/>
        <w:jc w:val="left"/>
        <w:rPr>
          <w:rFonts w:ascii="宋体" w:hAnsi="宋体" w:cs="宋体"/>
          <w:color w:val="auto"/>
          <w:kern w:val="0"/>
          <w:sz w:val="22"/>
          <w:highlight w:val="none"/>
        </w:rPr>
      </w:pPr>
      <w:r>
        <w:rPr>
          <w:rFonts w:hint="eastAsia" w:ascii="宋体" w:hAnsi="宋体" w:cs="宋体"/>
          <w:color w:val="auto"/>
          <w:kern w:val="0"/>
          <w:sz w:val="22"/>
          <w:highlight w:val="none"/>
        </w:rPr>
        <w:t>日期：    年    月    日</w:t>
      </w:r>
    </w:p>
    <w:p>
      <w:pPr>
        <w:widowControl/>
        <w:spacing w:line="400" w:lineRule="exact"/>
        <w:jc w:val="center"/>
        <w:rPr>
          <w:rFonts w:ascii="宋体" w:hAnsi="宋体" w:cs="宋体"/>
          <w:b/>
          <w:bCs/>
          <w:color w:val="auto"/>
          <w:sz w:val="24"/>
          <w:highlight w:val="none"/>
        </w:rPr>
      </w:pPr>
    </w:p>
    <w:p>
      <w:pPr>
        <w:widowControl/>
        <w:spacing w:line="400" w:lineRule="exact"/>
        <w:jc w:val="center"/>
        <w:rPr>
          <w:rFonts w:ascii="宋体" w:hAnsi="宋体" w:cs="宋体"/>
          <w:b/>
          <w:bCs/>
          <w:color w:val="auto"/>
          <w:sz w:val="24"/>
          <w:highlight w:val="none"/>
        </w:rPr>
      </w:pPr>
    </w:p>
    <w:p>
      <w:pPr>
        <w:widowControl/>
        <w:spacing w:line="400" w:lineRule="exact"/>
        <w:jc w:val="center"/>
        <w:rPr>
          <w:rFonts w:ascii="宋体" w:hAnsi="宋体" w:cs="宋体"/>
          <w:b/>
          <w:bCs/>
          <w:color w:val="auto"/>
          <w:sz w:val="24"/>
          <w:highlight w:val="none"/>
        </w:rPr>
      </w:pPr>
    </w:p>
    <w:p>
      <w:pPr>
        <w:widowControl/>
        <w:spacing w:line="400" w:lineRule="exact"/>
        <w:jc w:val="center"/>
        <w:rPr>
          <w:rFonts w:ascii="宋体" w:hAnsi="宋体" w:cs="宋体"/>
          <w:b/>
          <w:bCs/>
          <w:color w:val="auto"/>
          <w:sz w:val="24"/>
          <w:highlight w:val="none"/>
        </w:rPr>
      </w:pPr>
    </w:p>
    <w:p>
      <w:pPr>
        <w:widowControl/>
        <w:spacing w:line="400" w:lineRule="exact"/>
        <w:rPr>
          <w:rFonts w:ascii="宋体" w:hAnsi="宋体" w:cs="宋体"/>
          <w:b/>
          <w:bCs/>
          <w:color w:val="auto"/>
          <w:sz w:val="24"/>
          <w:highlight w:val="none"/>
        </w:rPr>
      </w:pPr>
    </w:p>
    <w:p>
      <w:pPr>
        <w:widowControl/>
        <w:spacing w:line="400" w:lineRule="exact"/>
        <w:rPr>
          <w:rFonts w:ascii="宋体" w:hAnsi="宋体" w:cs="宋体"/>
          <w:b/>
          <w:bCs/>
          <w:color w:val="auto"/>
          <w:sz w:val="24"/>
          <w:highlight w:val="none"/>
        </w:rPr>
      </w:pPr>
    </w:p>
    <w:p>
      <w:pPr>
        <w:widowControl/>
        <w:spacing w:line="400" w:lineRule="exact"/>
        <w:rPr>
          <w:rFonts w:ascii="宋体" w:hAnsi="宋体" w:cs="宋体"/>
          <w:b/>
          <w:bCs/>
          <w:color w:val="auto"/>
          <w:sz w:val="24"/>
          <w:highlight w:val="none"/>
        </w:rPr>
      </w:pPr>
    </w:p>
    <w:p>
      <w:pPr>
        <w:widowControl/>
        <w:spacing w:line="400" w:lineRule="exact"/>
        <w:rPr>
          <w:rFonts w:ascii="宋体" w:hAnsi="宋体" w:cs="宋体"/>
          <w:b/>
          <w:bCs/>
          <w:color w:val="auto"/>
          <w:sz w:val="24"/>
          <w:highlight w:val="none"/>
        </w:rPr>
      </w:pPr>
      <w:r>
        <w:rPr>
          <w:rFonts w:hint="eastAsia" w:ascii="宋体" w:hAnsi="宋体" w:cs="宋体"/>
          <w:b/>
          <w:bCs/>
          <w:color w:val="auto"/>
          <w:sz w:val="24"/>
          <w:highlight w:val="none"/>
        </w:rPr>
        <w:t>附件3</w:t>
      </w:r>
    </w:p>
    <w:p>
      <w:pPr>
        <w:pStyle w:val="27"/>
        <w:spacing w:before="0" w:beforeAutospacing="0" w:after="0" w:afterAutospacing="0" w:line="400" w:lineRule="exact"/>
        <w:jc w:val="center"/>
        <w:rPr>
          <w:b/>
          <w:bCs/>
          <w:color w:val="auto"/>
          <w:sz w:val="28"/>
          <w:szCs w:val="28"/>
          <w:highlight w:val="none"/>
          <w:shd w:val="clear" w:color="auto" w:fill="FFFFFF"/>
        </w:rPr>
      </w:pPr>
      <w:r>
        <w:rPr>
          <w:rFonts w:hint="eastAsia"/>
          <w:b/>
          <w:bCs/>
          <w:color w:val="auto"/>
          <w:sz w:val="28"/>
          <w:szCs w:val="28"/>
          <w:highlight w:val="none"/>
          <w:shd w:val="clear" w:color="auto" w:fill="FFFFFF"/>
        </w:rPr>
        <w:t>中小企业声明函（货物）</w:t>
      </w:r>
    </w:p>
    <w:p>
      <w:pPr>
        <w:pStyle w:val="27"/>
        <w:spacing w:before="0" w:beforeAutospacing="0" w:after="0" w:afterAutospacing="0" w:line="400" w:lineRule="exact"/>
        <w:jc w:val="center"/>
        <w:rPr>
          <w:color w:val="auto"/>
          <w:sz w:val="28"/>
          <w:szCs w:val="28"/>
          <w:highlight w:val="none"/>
          <w:shd w:val="clear" w:color="auto" w:fill="FFFFFF"/>
        </w:rPr>
      </w:pPr>
    </w:p>
    <w:p>
      <w:pPr>
        <w:pStyle w:val="71"/>
        <w:spacing w:line="376" w:lineRule="exact"/>
        <w:ind w:firstLine="460"/>
        <w:rPr>
          <w:color w:val="auto"/>
          <w:sz w:val="24"/>
          <w:szCs w:val="24"/>
          <w:highlight w:val="none"/>
        </w:rPr>
      </w:pPr>
      <w:r>
        <w:rPr>
          <w:rFonts w:hint="eastAsia"/>
          <w:color w:val="auto"/>
          <w:sz w:val="24"/>
          <w:szCs w:val="24"/>
          <w:highlight w:val="none"/>
        </w:rPr>
        <w:t>本公司（联合体）郑重声明，根据《政府采购促进中小企业发展管理办法》（财库（2020）46号）的规定，本公司（联合体）参加</w:t>
      </w:r>
      <w:r>
        <w:rPr>
          <w:rFonts w:hint="eastAsia"/>
          <w:color w:val="auto"/>
          <w:sz w:val="24"/>
          <w:szCs w:val="24"/>
          <w:highlight w:val="none"/>
          <w:u w:val="single"/>
        </w:rPr>
        <w:t>（</w:t>
      </w:r>
      <w:r>
        <w:rPr>
          <w:rFonts w:hint="eastAsia"/>
          <w:color w:val="auto"/>
          <w:sz w:val="24"/>
          <w:szCs w:val="24"/>
          <w:highlight w:val="none"/>
          <w:u w:val="single"/>
          <w:lang w:val="en-US" w:eastAsia="zh-CN"/>
        </w:rPr>
        <w:t>单位</w:t>
      </w:r>
      <w:r>
        <w:rPr>
          <w:rFonts w:hint="eastAsia"/>
          <w:color w:val="auto"/>
          <w:sz w:val="24"/>
          <w:szCs w:val="24"/>
          <w:highlight w:val="none"/>
          <w:u w:val="single"/>
        </w:rPr>
        <w:t>名</w:t>
      </w:r>
      <w:r>
        <w:rPr>
          <w:rFonts w:hint="eastAsia"/>
          <w:color w:val="auto"/>
          <w:sz w:val="24"/>
          <w:szCs w:val="24"/>
          <w:highlight w:val="none"/>
          <w:u w:val="single"/>
          <w:lang w:val="en-US" w:eastAsia="zh-CN" w:bidi="en-US"/>
        </w:rPr>
        <w:t>称）</w:t>
      </w:r>
      <w:r>
        <w:rPr>
          <w:rFonts w:hint="eastAsia"/>
          <w:color w:val="auto"/>
          <w:sz w:val="24"/>
          <w:szCs w:val="24"/>
          <w:highlight w:val="none"/>
        </w:rPr>
        <w:t>的</w:t>
      </w:r>
      <w:r>
        <w:rPr>
          <w:rFonts w:hint="eastAsia"/>
          <w:color w:val="auto"/>
          <w:sz w:val="24"/>
          <w:szCs w:val="24"/>
          <w:highlight w:val="none"/>
          <w:u w:val="single"/>
        </w:rPr>
        <w:t>（项目名称）</w:t>
      </w:r>
      <w:r>
        <w:rPr>
          <w:rFonts w:hint="eastAsia"/>
          <w:color w:val="auto"/>
          <w:sz w:val="24"/>
          <w:szCs w:val="24"/>
          <w:highlight w:val="none"/>
        </w:rPr>
        <w:t>采购</w:t>
      </w:r>
      <w:r>
        <w:rPr>
          <w:rFonts w:hint="eastAsia"/>
          <w:color w:val="auto"/>
          <w:sz w:val="24"/>
          <w:szCs w:val="24"/>
          <w:highlight w:val="none"/>
          <w:lang w:val="zh-CN" w:eastAsia="zh-CN" w:bidi="zh-CN"/>
        </w:rPr>
        <w:t>活动，</w:t>
      </w:r>
      <w:r>
        <w:rPr>
          <w:rFonts w:hint="eastAsia"/>
          <w:color w:val="auto"/>
          <w:sz w:val="24"/>
          <w:szCs w:val="24"/>
          <w:highlight w:val="none"/>
          <w:lang w:val="en-US" w:eastAsia="zh-CN"/>
        </w:rPr>
        <w:t>提供的货物全部由符合政策要求的中小企业制造</w:t>
      </w:r>
      <w:r>
        <w:rPr>
          <w:rFonts w:hint="eastAsia"/>
          <w:color w:val="auto"/>
          <w:sz w:val="24"/>
          <w:szCs w:val="24"/>
          <w:highlight w:val="none"/>
          <w:lang w:eastAsia="zh-CN"/>
        </w:rPr>
        <w:t>（如</w:t>
      </w:r>
      <w:r>
        <w:rPr>
          <w:rFonts w:hint="eastAsia"/>
          <w:color w:val="auto"/>
          <w:sz w:val="24"/>
          <w:szCs w:val="24"/>
          <w:highlight w:val="none"/>
        </w:rPr>
        <w:t>联合体</w:t>
      </w:r>
      <w:r>
        <w:rPr>
          <w:rFonts w:hint="eastAsia"/>
          <w:color w:val="auto"/>
          <w:sz w:val="24"/>
          <w:szCs w:val="24"/>
          <w:highlight w:val="none"/>
          <w:lang w:eastAsia="zh-CN"/>
        </w:rPr>
        <w:t>投标的，</w:t>
      </w:r>
      <w:r>
        <w:rPr>
          <w:rFonts w:hint="eastAsia"/>
          <w:color w:val="auto"/>
          <w:sz w:val="24"/>
          <w:szCs w:val="24"/>
          <w:highlight w:val="none"/>
        </w:rPr>
        <w:t>联合体</w:t>
      </w:r>
      <w:r>
        <w:rPr>
          <w:rFonts w:hint="eastAsia"/>
          <w:color w:val="auto"/>
          <w:sz w:val="24"/>
          <w:szCs w:val="24"/>
          <w:highlight w:val="none"/>
          <w:lang w:eastAsia="zh-CN"/>
        </w:rPr>
        <w:t>协议</w:t>
      </w:r>
      <w:r>
        <w:rPr>
          <w:rFonts w:hint="eastAsia"/>
          <w:color w:val="auto"/>
          <w:sz w:val="24"/>
          <w:szCs w:val="24"/>
          <w:highlight w:val="none"/>
        </w:rPr>
        <w:t>中的中小企业</w:t>
      </w:r>
      <w:r>
        <w:rPr>
          <w:rFonts w:hint="eastAsia"/>
          <w:color w:val="auto"/>
          <w:sz w:val="24"/>
          <w:szCs w:val="24"/>
          <w:highlight w:val="none"/>
          <w:lang w:eastAsia="zh-CN"/>
        </w:rPr>
        <w:t>提供的货物全部</w:t>
      </w:r>
      <w:r>
        <w:rPr>
          <w:rFonts w:hint="eastAsia"/>
          <w:color w:val="auto"/>
          <w:sz w:val="24"/>
          <w:szCs w:val="24"/>
          <w:highlight w:val="none"/>
        </w:rPr>
        <w:t>由符合政策要求的中小企业</w:t>
      </w:r>
      <w:r>
        <w:rPr>
          <w:rFonts w:hint="eastAsia"/>
          <w:color w:val="auto"/>
          <w:sz w:val="24"/>
          <w:szCs w:val="24"/>
          <w:highlight w:val="none"/>
          <w:lang w:eastAsia="zh-CN"/>
        </w:rPr>
        <w:t>制造）</w:t>
      </w:r>
      <w:r>
        <w:rPr>
          <w:rFonts w:hint="eastAsia"/>
          <w:color w:val="auto"/>
          <w:sz w:val="24"/>
          <w:szCs w:val="24"/>
          <w:highlight w:val="none"/>
          <w:lang w:val="en-US" w:eastAsia="zh-CN"/>
        </w:rPr>
        <w:t>。</w:t>
      </w:r>
      <w:r>
        <w:rPr>
          <w:rFonts w:hint="eastAsia"/>
          <w:color w:val="auto"/>
          <w:sz w:val="24"/>
          <w:szCs w:val="24"/>
          <w:highlight w:val="none"/>
        </w:rPr>
        <w:t>相关企业（含联合体中的中小企业）的具体情况如</w:t>
      </w:r>
      <w:r>
        <w:rPr>
          <w:rFonts w:hint="eastAsia"/>
          <w:color w:val="auto"/>
          <w:sz w:val="24"/>
          <w:szCs w:val="24"/>
          <w:highlight w:val="none"/>
          <w:lang w:eastAsia="zh-CN"/>
        </w:rPr>
        <w:t>下</w:t>
      </w:r>
      <w:r>
        <w:rPr>
          <w:rFonts w:hint="eastAsia"/>
          <w:color w:val="auto"/>
          <w:sz w:val="24"/>
          <w:szCs w:val="24"/>
          <w:highlight w:val="none"/>
        </w:rPr>
        <w:t>：</w:t>
      </w:r>
    </w:p>
    <w:p>
      <w:pPr>
        <w:pStyle w:val="71"/>
        <w:numPr>
          <w:ilvl w:val="0"/>
          <w:numId w:val="19"/>
        </w:numPr>
        <w:tabs>
          <w:tab w:val="left" w:pos="908"/>
          <w:tab w:val="left" w:pos="921"/>
          <w:tab w:val="left" w:pos="3178"/>
          <w:tab w:val="left" w:pos="4761"/>
        </w:tabs>
        <w:spacing w:line="370" w:lineRule="exact"/>
        <w:ind w:firstLine="460"/>
        <w:rPr>
          <w:color w:val="auto"/>
          <w:sz w:val="24"/>
          <w:szCs w:val="24"/>
          <w:highlight w:val="none"/>
        </w:rPr>
      </w:pPr>
      <w:bookmarkStart w:id="0" w:name="bookmark0"/>
      <w:bookmarkEnd w:id="0"/>
      <w:r>
        <w:rPr>
          <w:rFonts w:hint="eastAsia"/>
          <w:color w:val="auto"/>
          <w:sz w:val="24"/>
          <w:szCs w:val="24"/>
          <w:highlight w:val="none"/>
          <w:u w:val="single"/>
        </w:rPr>
        <w:t>（标的名称）</w:t>
      </w:r>
      <w:r>
        <w:rPr>
          <w:rFonts w:hint="eastAsia"/>
          <w:color w:val="auto"/>
          <w:sz w:val="24"/>
          <w:szCs w:val="24"/>
          <w:highlight w:val="none"/>
          <w:lang w:eastAsia="zh-CN"/>
        </w:rPr>
        <w:t>，</w:t>
      </w:r>
      <w:r>
        <w:rPr>
          <w:rFonts w:hint="eastAsia"/>
          <w:color w:val="auto"/>
          <w:sz w:val="24"/>
          <w:szCs w:val="24"/>
          <w:highlight w:val="none"/>
        </w:rPr>
        <w:t>属于</w:t>
      </w:r>
      <w:r>
        <w:rPr>
          <w:rFonts w:hint="eastAsia"/>
          <w:color w:val="auto"/>
          <w:sz w:val="24"/>
          <w:szCs w:val="24"/>
          <w:highlight w:val="none"/>
          <w:u w:val="single"/>
          <w:lang w:val="en-US" w:eastAsia="zh-CN"/>
        </w:rPr>
        <w:t>批发业</w:t>
      </w:r>
      <w:r>
        <w:rPr>
          <w:rFonts w:hint="eastAsia"/>
          <w:color w:val="auto"/>
          <w:sz w:val="24"/>
          <w:szCs w:val="24"/>
          <w:highlight w:val="none"/>
          <w:u w:val="single"/>
        </w:rPr>
        <w:t>（采购文件中明确的所属行业）</w:t>
      </w:r>
      <w:r>
        <w:rPr>
          <w:rFonts w:hint="eastAsia"/>
          <w:color w:val="auto"/>
          <w:sz w:val="24"/>
          <w:szCs w:val="24"/>
          <w:highlight w:val="none"/>
          <w:lang w:val="en-US" w:eastAsia="zh-CN"/>
        </w:rPr>
        <w:t>行</w:t>
      </w:r>
      <w:r>
        <w:rPr>
          <w:rFonts w:hint="eastAsia"/>
          <w:color w:val="auto"/>
          <w:sz w:val="24"/>
          <w:szCs w:val="24"/>
          <w:highlight w:val="none"/>
        </w:rPr>
        <w:t>业；制造商为</w:t>
      </w:r>
      <w:r>
        <w:rPr>
          <w:rFonts w:hint="eastAsia"/>
          <w:color w:val="auto"/>
          <w:sz w:val="24"/>
          <w:szCs w:val="24"/>
          <w:highlight w:val="none"/>
          <w:u w:val="single"/>
        </w:rPr>
        <w:t>（企业名称）</w:t>
      </w:r>
      <w:r>
        <w:rPr>
          <w:rFonts w:hint="eastAsia"/>
          <w:i/>
          <w:iCs/>
          <w:color w:val="auto"/>
          <w:sz w:val="24"/>
          <w:szCs w:val="24"/>
          <w:highlight w:val="none"/>
        </w:rPr>
        <w:t>、</w:t>
      </w:r>
      <w:r>
        <w:rPr>
          <w:rFonts w:hint="eastAsia"/>
          <w:color w:val="auto"/>
          <w:sz w:val="24"/>
          <w:szCs w:val="24"/>
          <w:highlight w:val="none"/>
        </w:rPr>
        <w:t>从业人员人，营业收 入为万元，资产总额为</w:t>
      </w:r>
      <w:r>
        <w:rPr>
          <w:rFonts w:hint="eastAsia"/>
          <w:color w:val="auto"/>
          <w:sz w:val="24"/>
          <w:szCs w:val="24"/>
          <w:highlight w:val="none"/>
          <w:u w:val="single"/>
        </w:rPr>
        <w:tab/>
      </w:r>
      <w:r>
        <w:rPr>
          <w:rFonts w:hint="eastAsia"/>
          <w:color w:val="auto"/>
          <w:sz w:val="24"/>
          <w:szCs w:val="24"/>
          <w:highlight w:val="none"/>
        </w:rPr>
        <w:t>万元</w:t>
      </w:r>
      <w:r>
        <w:rPr>
          <w:rStyle w:val="37"/>
          <w:rFonts w:hint="eastAsia" w:cs="宋体"/>
          <w:color w:val="auto"/>
          <w:sz w:val="24"/>
          <w:szCs w:val="24"/>
          <w:highlight w:val="none"/>
          <w:lang w:val="en-US" w:eastAsia="en-US" w:bidi="en-US"/>
        </w:rPr>
        <w:footnoteReference w:id="0"/>
      </w:r>
      <w:r>
        <w:rPr>
          <w:rFonts w:hint="eastAsia"/>
          <w:color w:val="auto"/>
          <w:sz w:val="24"/>
          <w:szCs w:val="24"/>
          <w:highlight w:val="none"/>
          <w:lang w:val="en-US" w:eastAsia="zh-CN" w:bidi="en-US"/>
        </w:rPr>
        <w:t>，</w:t>
      </w:r>
      <w:r>
        <w:rPr>
          <w:rFonts w:hint="eastAsia"/>
          <w:color w:val="auto"/>
          <w:sz w:val="24"/>
          <w:szCs w:val="24"/>
          <w:highlight w:val="none"/>
        </w:rPr>
        <w:t>属于</w:t>
      </w:r>
      <w:r>
        <w:rPr>
          <w:rFonts w:hint="eastAsia"/>
          <w:color w:val="auto"/>
          <w:sz w:val="24"/>
          <w:szCs w:val="24"/>
          <w:highlight w:val="none"/>
          <w:u w:val="single"/>
        </w:rPr>
        <w:t>（中型企业、小型企业、微型企业）</w:t>
      </w:r>
      <w:r>
        <w:rPr>
          <w:rFonts w:hint="eastAsia"/>
          <w:color w:val="auto"/>
          <w:sz w:val="24"/>
          <w:szCs w:val="24"/>
          <w:highlight w:val="none"/>
          <w:lang w:eastAsia="zh-CN"/>
        </w:rPr>
        <w:t>；</w:t>
      </w:r>
    </w:p>
    <w:p>
      <w:pPr>
        <w:pStyle w:val="71"/>
        <w:numPr>
          <w:ilvl w:val="0"/>
          <w:numId w:val="19"/>
        </w:numPr>
        <w:tabs>
          <w:tab w:val="left" w:pos="662"/>
          <w:tab w:val="left" w:pos="908"/>
          <w:tab w:val="left" w:pos="2945"/>
        </w:tabs>
        <w:spacing w:line="370" w:lineRule="exact"/>
        <w:ind w:firstLine="460"/>
        <w:rPr>
          <w:color w:val="auto"/>
          <w:sz w:val="24"/>
          <w:szCs w:val="24"/>
          <w:highlight w:val="none"/>
        </w:rPr>
      </w:pPr>
      <w:bookmarkStart w:id="1" w:name="bookmark1"/>
      <w:bookmarkEnd w:id="1"/>
      <w:r>
        <w:rPr>
          <w:rFonts w:hint="eastAsia"/>
          <w:color w:val="auto"/>
          <w:sz w:val="24"/>
          <w:szCs w:val="24"/>
          <w:highlight w:val="none"/>
          <w:u w:val="single"/>
        </w:rPr>
        <w:t>（标的名称）</w:t>
      </w:r>
      <w:r>
        <w:rPr>
          <w:rFonts w:hint="eastAsia"/>
          <w:color w:val="auto"/>
          <w:sz w:val="24"/>
          <w:szCs w:val="24"/>
          <w:highlight w:val="none"/>
          <w:lang w:eastAsia="zh-CN"/>
        </w:rPr>
        <w:t>，</w:t>
      </w:r>
      <w:r>
        <w:rPr>
          <w:rFonts w:hint="eastAsia"/>
          <w:color w:val="auto"/>
          <w:sz w:val="24"/>
          <w:szCs w:val="24"/>
          <w:highlight w:val="none"/>
        </w:rPr>
        <w:t>属于</w:t>
      </w:r>
      <w:r>
        <w:rPr>
          <w:rFonts w:hint="eastAsia"/>
          <w:color w:val="auto"/>
          <w:sz w:val="24"/>
          <w:szCs w:val="24"/>
          <w:highlight w:val="none"/>
          <w:u w:val="single"/>
        </w:rPr>
        <w:t>（采购文件中明确的所属行业）</w:t>
      </w:r>
      <w:r>
        <w:rPr>
          <w:rFonts w:hint="eastAsia"/>
          <w:color w:val="auto"/>
          <w:sz w:val="24"/>
          <w:szCs w:val="24"/>
          <w:highlight w:val="none"/>
          <w:u w:val="single"/>
          <w:lang w:val="zh-CN" w:eastAsia="zh-CN" w:bidi="zh-CN"/>
        </w:rPr>
        <w:t>行业</w:t>
      </w:r>
      <w:r>
        <w:rPr>
          <w:rFonts w:hint="eastAsia"/>
          <w:i/>
          <w:iCs/>
          <w:color w:val="auto"/>
          <w:sz w:val="24"/>
          <w:szCs w:val="24"/>
          <w:highlight w:val="none"/>
          <w:lang w:val="zh-CN" w:eastAsia="zh-CN" w:bidi="zh-CN"/>
        </w:rPr>
        <w:t>、</w:t>
      </w:r>
      <w:r>
        <w:rPr>
          <w:rFonts w:hint="eastAsia"/>
          <w:color w:val="auto"/>
          <w:sz w:val="24"/>
          <w:szCs w:val="24"/>
          <w:highlight w:val="none"/>
        </w:rPr>
        <w:t>制造商为</w:t>
      </w:r>
      <w:r>
        <w:rPr>
          <w:rFonts w:hint="eastAsia"/>
          <w:i/>
          <w:iCs/>
          <w:color w:val="auto"/>
          <w:sz w:val="24"/>
          <w:szCs w:val="24"/>
          <w:highlight w:val="none"/>
          <w:u w:val="single"/>
        </w:rPr>
        <w:t>（</w:t>
      </w:r>
      <w:r>
        <w:rPr>
          <w:rFonts w:hint="eastAsia"/>
          <w:color w:val="auto"/>
          <w:sz w:val="24"/>
          <w:szCs w:val="24"/>
          <w:highlight w:val="none"/>
          <w:u w:val="single"/>
        </w:rPr>
        <w:t>企业名称）</w:t>
      </w:r>
      <w:r>
        <w:rPr>
          <w:rFonts w:hint="eastAsia"/>
          <w:i/>
          <w:iCs/>
          <w:color w:val="auto"/>
          <w:sz w:val="24"/>
          <w:szCs w:val="24"/>
          <w:highlight w:val="none"/>
          <w:lang w:eastAsia="zh-CN"/>
        </w:rPr>
        <w:t>，</w:t>
      </w:r>
      <w:r>
        <w:rPr>
          <w:rFonts w:hint="eastAsia"/>
          <w:color w:val="auto"/>
          <w:sz w:val="24"/>
          <w:szCs w:val="24"/>
          <w:highlight w:val="none"/>
        </w:rPr>
        <w:t>从业人员人，营业收入为</w:t>
      </w:r>
      <w:r>
        <w:rPr>
          <w:rFonts w:hint="eastAsia"/>
          <w:color w:val="auto"/>
          <w:sz w:val="24"/>
          <w:szCs w:val="24"/>
          <w:highlight w:val="none"/>
          <w:u w:val="single"/>
        </w:rPr>
        <w:tab/>
      </w:r>
      <w:r>
        <w:rPr>
          <w:rFonts w:hint="eastAsia"/>
          <w:color w:val="auto"/>
          <w:sz w:val="24"/>
          <w:szCs w:val="24"/>
          <w:highlight w:val="none"/>
        </w:rPr>
        <w:t>万元，资产总额为</w:t>
      </w:r>
      <w:r>
        <w:rPr>
          <w:rFonts w:hint="eastAsia"/>
          <w:color w:val="auto"/>
          <w:sz w:val="24"/>
          <w:szCs w:val="24"/>
          <w:highlight w:val="none"/>
          <w:u w:val="single"/>
        </w:rPr>
        <w:tab/>
      </w:r>
      <w:r>
        <w:rPr>
          <w:rFonts w:hint="eastAsia"/>
          <w:color w:val="auto"/>
          <w:sz w:val="24"/>
          <w:szCs w:val="24"/>
          <w:highlight w:val="none"/>
        </w:rPr>
        <w:t>万元，属于</w:t>
      </w:r>
      <w:r>
        <w:rPr>
          <w:rFonts w:hint="eastAsia"/>
          <w:color w:val="auto"/>
          <w:sz w:val="24"/>
          <w:szCs w:val="24"/>
          <w:highlight w:val="none"/>
          <w:u w:val="single"/>
        </w:rPr>
        <w:t>（中型企业、小型 企业、微型</w:t>
      </w:r>
      <w:r>
        <w:rPr>
          <w:rFonts w:hint="eastAsia"/>
          <w:color w:val="auto"/>
          <w:sz w:val="24"/>
          <w:szCs w:val="24"/>
          <w:highlight w:val="none"/>
          <w:u w:val="single"/>
          <w:lang w:val="zh-CN" w:eastAsia="zh-CN" w:bidi="zh-CN"/>
        </w:rPr>
        <w:t>企业）；</w:t>
      </w:r>
    </w:p>
    <w:p>
      <w:pPr>
        <w:pStyle w:val="71"/>
        <w:tabs>
          <w:tab w:val="left" w:pos="662"/>
          <w:tab w:val="left" w:pos="908"/>
          <w:tab w:val="left" w:pos="2945"/>
        </w:tabs>
        <w:spacing w:line="370" w:lineRule="exact"/>
        <w:ind w:left="460" w:firstLine="480" w:firstLineChars="200"/>
        <w:rPr>
          <w:color w:val="auto"/>
          <w:sz w:val="24"/>
          <w:szCs w:val="24"/>
          <w:highlight w:val="none"/>
          <w:lang w:val="en-US" w:eastAsia="zh-CN"/>
        </w:rPr>
      </w:pPr>
      <w:r>
        <w:rPr>
          <w:rFonts w:hint="eastAsia"/>
          <w:color w:val="auto"/>
          <w:sz w:val="24"/>
          <w:szCs w:val="24"/>
          <w:highlight w:val="none"/>
          <w:lang w:val="en-US" w:eastAsia="zh-CN"/>
        </w:rPr>
        <w:t>……</w:t>
      </w:r>
    </w:p>
    <w:p>
      <w:pPr>
        <w:pStyle w:val="71"/>
        <w:tabs>
          <w:tab w:val="left" w:pos="662"/>
          <w:tab w:val="left" w:pos="908"/>
          <w:tab w:val="left" w:pos="2945"/>
        </w:tabs>
        <w:spacing w:line="370" w:lineRule="exact"/>
        <w:ind w:firstLine="480" w:firstLineChars="200"/>
        <w:rPr>
          <w:color w:val="auto"/>
          <w:sz w:val="24"/>
          <w:szCs w:val="24"/>
          <w:highlight w:val="none"/>
          <w:lang w:val="en-US" w:eastAsia="zh-CN"/>
        </w:rPr>
      </w:pPr>
      <w:r>
        <w:rPr>
          <w:rFonts w:hint="eastAsia"/>
          <w:color w:val="auto"/>
          <w:sz w:val="24"/>
          <w:szCs w:val="24"/>
          <w:highlight w:val="none"/>
        </w:rPr>
        <w:t>以上企业，不属于大企业的分支机构，不存在控股股东为大企业的情形，也不存在与大企业的负责人为同一人的情形。</w:t>
      </w:r>
      <w:r>
        <w:rPr>
          <w:rFonts w:hint="eastAsia"/>
          <w:color w:val="auto"/>
          <w:sz w:val="24"/>
          <w:szCs w:val="24"/>
          <w:highlight w:val="none"/>
          <w:lang w:val="en-US" w:eastAsia="zh-CN"/>
        </w:rPr>
        <w:tab/>
      </w:r>
      <w:r>
        <w:rPr>
          <w:rFonts w:hint="eastAsia"/>
          <w:color w:val="auto"/>
          <w:sz w:val="24"/>
          <w:szCs w:val="24"/>
          <w:highlight w:val="none"/>
          <w:lang w:val="en-US" w:eastAsia="zh-CN"/>
        </w:rPr>
        <w:tab/>
      </w:r>
    </w:p>
    <w:p>
      <w:pPr>
        <w:pStyle w:val="71"/>
        <w:tabs>
          <w:tab w:val="left" w:pos="662"/>
          <w:tab w:val="left" w:pos="908"/>
          <w:tab w:val="left" w:pos="2945"/>
        </w:tabs>
        <w:spacing w:line="370" w:lineRule="exact"/>
        <w:ind w:firstLine="480" w:firstLineChars="200"/>
        <w:rPr>
          <w:color w:val="auto"/>
          <w:sz w:val="24"/>
          <w:szCs w:val="24"/>
          <w:highlight w:val="none"/>
        </w:rPr>
      </w:pPr>
      <w:r>
        <w:rPr>
          <w:rFonts w:hint="eastAsia"/>
          <w:color w:val="auto"/>
          <w:sz w:val="24"/>
          <w:szCs w:val="24"/>
          <w:highlight w:val="none"/>
        </w:rPr>
        <w:t>本企业对上述声明内容的真实性负责。如有虚假，将依法承担相应责任。</w:t>
      </w:r>
    </w:p>
    <w:p>
      <w:pPr>
        <w:pStyle w:val="71"/>
        <w:spacing w:line="372" w:lineRule="exact"/>
        <w:jc w:val="left"/>
        <w:rPr>
          <w:color w:val="auto"/>
          <w:sz w:val="24"/>
          <w:szCs w:val="24"/>
          <w:highlight w:val="none"/>
        </w:rPr>
      </w:pPr>
    </w:p>
    <w:p>
      <w:pPr>
        <w:pStyle w:val="71"/>
        <w:spacing w:line="372" w:lineRule="exact"/>
        <w:jc w:val="left"/>
        <w:rPr>
          <w:color w:val="auto"/>
          <w:sz w:val="24"/>
          <w:szCs w:val="24"/>
          <w:highlight w:val="none"/>
        </w:rPr>
      </w:pPr>
    </w:p>
    <w:p>
      <w:pPr>
        <w:pStyle w:val="71"/>
        <w:spacing w:line="372" w:lineRule="exact"/>
        <w:ind w:firstLine="4468" w:firstLineChars="1862"/>
        <w:jc w:val="left"/>
        <w:rPr>
          <w:color w:val="auto"/>
          <w:sz w:val="24"/>
          <w:szCs w:val="24"/>
          <w:highlight w:val="none"/>
        </w:rPr>
      </w:pPr>
      <w:r>
        <w:rPr>
          <w:rFonts w:hint="eastAsia"/>
          <w:color w:val="auto"/>
          <w:sz w:val="24"/>
          <w:szCs w:val="24"/>
          <w:highlight w:val="none"/>
        </w:rPr>
        <w:t>企业名称（盖章）：</w:t>
      </w:r>
    </w:p>
    <w:p>
      <w:pPr>
        <w:pStyle w:val="27"/>
        <w:spacing w:before="0" w:beforeAutospacing="0" w:after="0" w:afterAutospacing="0" w:line="360" w:lineRule="auto"/>
        <w:ind w:firstLine="480" w:firstLineChars="200"/>
        <w:jc w:val="center"/>
        <w:rPr>
          <w:color w:val="auto"/>
          <w:sz w:val="22"/>
          <w:highlight w:val="none"/>
          <w:shd w:val="clear" w:color="auto" w:fill="FFFFFF"/>
        </w:rPr>
      </w:pPr>
      <w:r>
        <w:rPr>
          <w:rFonts w:hint="eastAsia"/>
          <w:color w:val="auto"/>
          <w:szCs w:val="24"/>
          <w:highlight w:val="none"/>
        </w:rPr>
        <w:t>日期：</w:t>
      </w:r>
      <w:r>
        <w:rPr>
          <w:rFonts w:hint="eastAsia"/>
          <w:color w:val="auto"/>
          <w:sz w:val="22"/>
          <w:highlight w:val="none"/>
          <w:shd w:val="clear" w:color="auto" w:fill="FFFFFF"/>
        </w:rPr>
        <w:t>　</w:t>
      </w:r>
    </w:p>
    <w:p>
      <w:pPr>
        <w:pStyle w:val="27"/>
        <w:spacing w:before="0" w:beforeAutospacing="0" w:after="0" w:afterAutospacing="0" w:line="360" w:lineRule="auto"/>
        <w:ind w:firstLine="440" w:firstLineChars="200"/>
        <w:jc w:val="center"/>
        <w:rPr>
          <w:color w:val="auto"/>
          <w:sz w:val="22"/>
          <w:highlight w:val="none"/>
          <w:shd w:val="clear" w:color="auto" w:fill="FFFFFF"/>
        </w:rPr>
      </w:pPr>
    </w:p>
    <w:p>
      <w:pPr>
        <w:pStyle w:val="71"/>
        <w:tabs>
          <w:tab w:val="left" w:pos="662"/>
          <w:tab w:val="left" w:pos="908"/>
          <w:tab w:val="left" w:pos="2945"/>
        </w:tabs>
        <w:spacing w:line="370" w:lineRule="exact"/>
        <w:ind w:firstLine="0"/>
        <w:rPr>
          <w:b/>
          <w:bCs/>
          <w:color w:val="auto"/>
          <w:highlight w:val="none"/>
        </w:rPr>
      </w:pPr>
      <w:r>
        <w:rPr>
          <w:rFonts w:hint="eastAsia"/>
          <w:b/>
          <w:bCs/>
          <w:color w:val="auto"/>
          <w:highlight w:val="none"/>
        </w:rPr>
        <w:t>注：</w:t>
      </w:r>
      <w:r>
        <w:rPr>
          <w:rFonts w:hint="eastAsia"/>
          <w:b/>
          <w:bCs/>
          <w:color w:val="auto"/>
          <w:highlight w:val="none"/>
          <w:lang w:val="en-US" w:eastAsia="zh-CN"/>
        </w:rPr>
        <w:t>1.</w:t>
      </w:r>
      <w:r>
        <w:rPr>
          <w:rFonts w:hint="eastAsia"/>
          <w:b/>
          <w:bCs/>
          <w:color w:val="auto"/>
          <w:highlight w:val="none"/>
        </w:rPr>
        <w:t>从业人员、营业收入、资产总额填报上一年度数据，无上一年度数据的新成立企业可不填报。（无上一年度数据的新成立企业需提供相关证明材料）</w:t>
      </w:r>
    </w:p>
    <w:p>
      <w:pPr>
        <w:pStyle w:val="71"/>
        <w:tabs>
          <w:tab w:val="left" w:pos="662"/>
          <w:tab w:val="left" w:pos="908"/>
          <w:tab w:val="left" w:pos="2945"/>
        </w:tabs>
        <w:spacing w:line="370" w:lineRule="exact"/>
        <w:ind w:firstLine="442" w:firstLineChars="200"/>
        <w:rPr>
          <w:b/>
          <w:bCs/>
          <w:color w:val="auto"/>
          <w:highlight w:val="none"/>
          <w:lang w:val="en-US" w:eastAsia="zh-CN"/>
        </w:rPr>
      </w:pPr>
      <w:r>
        <w:rPr>
          <w:rFonts w:hint="eastAsia"/>
          <w:b/>
          <w:bCs/>
          <w:color w:val="auto"/>
          <w:highlight w:val="none"/>
          <w:lang w:val="en-US" w:eastAsia="zh-CN"/>
        </w:rPr>
        <w:t>2.</w:t>
      </w:r>
      <w:r>
        <w:rPr>
          <w:rFonts w:hint="eastAsia"/>
          <w:b/>
          <w:bCs/>
          <w:color w:val="auto"/>
          <w:highlight w:val="none"/>
        </w:rPr>
        <w:t>“标的名称”、“采购文件中明确的所属行业”依据</w:t>
      </w:r>
      <w:r>
        <w:rPr>
          <w:rFonts w:hint="eastAsia"/>
          <w:b/>
          <w:bCs/>
          <w:color w:val="auto"/>
          <w:highlight w:val="none"/>
          <w:lang w:eastAsia="zh-CN"/>
        </w:rPr>
        <w:t>招标文件</w:t>
      </w:r>
      <w:r>
        <w:rPr>
          <w:rFonts w:hint="eastAsia"/>
          <w:b/>
          <w:bCs/>
          <w:color w:val="auto"/>
          <w:highlight w:val="none"/>
        </w:rPr>
        <w:t>第二部分</w:t>
      </w:r>
      <w:r>
        <w:rPr>
          <w:rFonts w:hint="eastAsia"/>
          <w:b/>
          <w:bCs/>
          <w:color w:val="auto"/>
          <w:highlight w:val="none"/>
          <w:lang w:eastAsia="zh-CN"/>
        </w:rPr>
        <w:t>投标人</w:t>
      </w:r>
      <w:r>
        <w:rPr>
          <w:rFonts w:hint="eastAsia"/>
          <w:b/>
          <w:bCs/>
          <w:color w:val="auto"/>
          <w:highlight w:val="none"/>
        </w:rPr>
        <w:t>须知前附表中“</w:t>
      </w:r>
      <w:r>
        <w:rPr>
          <w:rFonts w:hint="eastAsia"/>
          <w:b/>
          <w:bCs/>
          <w:color w:val="auto"/>
          <w:highlight w:val="none"/>
          <w:lang w:eastAsia="zh-CN"/>
        </w:rPr>
        <w:t>所属行业及标的名称</w:t>
      </w:r>
      <w:r>
        <w:rPr>
          <w:rFonts w:hint="eastAsia"/>
          <w:b/>
          <w:bCs/>
          <w:color w:val="auto"/>
          <w:highlight w:val="none"/>
        </w:rPr>
        <w:t>”填写，不得缺漏；中型企业、小型企业、微型企业等3种企业类型，结合以上数据，依据《中小企业划型标准规定》（工信部联企业〔2011〕300号）确定；</w:t>
      </w:r>
    </w:p>
    <w:p>
      <w:pPr>
        <w:pStyle w:val="71"/>
        <w:tabs>
          <w:tab w:val="left" w:pos="662"/>
          <w:tab w:val="left" w:pos="908"/>
          <w:tab w:val="left" w:pos="2945"/>
        </w:tabs>
        <w:spacing w:line="370" w:lineRule="exact"/>
        <w:ind w:firstLine="442" w:firstLineChars="200"/>
        <w:rPr>
          <w:b/>
          <w:bCs/>
          <w:color w:val="auto"/>
          <w:highlight w:val="none"/>
          <w:lang w:val="en-US" w:eastAsia="zh-CN"/>
        </w:rPr>
      </w:pPr>
      <w:r>
        <w:rPr>
          <w:rFonts w:hint="eastAsia"/>
          <w:b/>
          <w:bCs/>
          <w:color w:val="auto"/>
          <w:highlight w:val="none"/>
          <w:lang w:val="en-US" w:eastAsia="zh-CN"/>
        </w:rPr>
        <w:t>3.</w:t>
      </w:r>
      <w:r>
        <w:rPr>
          <w:rFonts w:hint="eastAsia"/>
          <w:b/>
          <w:bCs/>
          <w:color w:val="auto"/>
          <w:highlight w:val="none"/>
          <w:lang w:eastAsia="zh-CN"/>
        </w:rPr>
        <w:t>投标人</w:t>
      </w:r>
      <w:r>
        <w:rPr>
          <w:rFonts w:hint="eastAsia"/>
          <w:b/>
          <w:bCs/>
          <w:color w:val="auto"/>
          <w:highlight w:val="none"/>
        </w:rPr>
        <w:t>提供的《中小企业声明函》与实际情况不符的或者未按以上要求填写的，中小企业声明函无效，不享受中小企业扶持政策。声明内容不实的，属于提供虚假材料谋取中标、成交的，依法承担法律责任。</w:t>
      </w:r>
    </w:p>
    <w:p>
      <w:pPr>
        <w:pStyle w:val="71"/>
        <w:tabs>
          <w:tab w:val="left" w:pos="662"/>
          <w:tab w:val="left" w:pos="908"/>
          <w:tab w:val="left" w:pos="2945"/>
        </w:tabs>
        <w:spacing w:line="370" w:lineRule="exact"/>
        <w:ind w:firstLine="442" w:firstLineChars="200"/>
        <w:rPr>
          <w:b/>
          <w:bCs/>
          <w:color w:val="auto"/>
          <w:highlight w:val="none"/>
        </w:rPr>
      </w:pPr>
      <w:r>
        <w:rPr>
          <w:rFonts w:hint="eastAsia"/>
          <w:b/>
          <w:bCs/>
          <w:color w:val="auto"/>
          <w:highlight w:val="none"/>
          <w:lang w:val="en-US" w:eastAsia="zh-CN"/>
        </w:rPr>
        <w:t>4.</w:t>
      </w:r>
      <w:r>
        <w:rPr>
          <w:rFonts w:hint="eastAsia"/>
          <w:b/>
          <w:bCs/>
          <w:color w:val="auto"/>
          <w:highlight w:val="none"/>
        </w:rPr>
        <w:t>中标、成交供应商享受《政府采购促进中小企业发展管理办法》的通知（财库〔2020〕46号）规定的中小企业扶持政策的，采购人、采购代理机构应当随中标、成交结果公开中标、成交供应商的《中小企业声明函》。</w:t>
      </w:r>
    </w:p>
    <w:p>
      <w:pPr>
        <w:pStyle w:val="71"/>
        <w:tabs>
          <w:tab w:val="left" w:pos="662"/>
          <w:tab w:val="left" w:pos="908"/>
          <w:tab w:val="left" w:pos="2945"/>
        </w:tabs>
        <w:spacing w:line="370" w:lineRule="exact"/>
        <w:ind w:firstLine="442" w:firstLineChars="200"/>
        <w:rPr>
          <w:color w:val="auto"/>
          <w:kern w:val="0"/>
          <w:highlight w:val="none"/>
        </w:rPr>
      </w:pPr>
      <w:r>
        <w:rPr>
          <w:rFonts w:hint="eastAsia"/>
          <w:b/>
          <w:bCs/>
          <w:color w:val="auto"/>
          <w:highlight w:val="none"/>
          <w:lang w:val="en-US" w:eastAsia="zh-CN"/>
        </w:rPr>
        <w:t>5.</w:t>
      </w:r>
      <w:r>
        <w:rPr>
          <w:rFonts w:hint="eastAsia"/>
          <w:b/>
          <w:bCs/>
          <w:color w:val="auto"/>
          <w:kern w:val="0"/>
          <w:highlight w:val="none"/>
          <w:lang w:val="en-US" w:eastAsia="zh-CN"/>
        </w:rPr>
        <w:t>投标人</w:t>
      </w:r>
      <w:r>
        <w:rPr>
          <w:rFonts w:hint="eastAsia"/>
          <w:b/>
          <w:bCs/>
          <w:color w:val="auto"/>
          <w:kern w:val="0"/>
          <w:highlight w:val="none"/>
        </w:rPr>
        <w:t>为联合体形式的，企业名称</w:t>
      </w:r>
      <w:r>
        <w:rPr>
          <w:rFonts w:hint="eastAsia"/>
          <w:b/>
          <w:bCs/>
          <w:color w:val="auto"/>
          <w:kern w:val="0"/>
          <w:highlight w:val="none"/>
          <w:lang w:eastAsia="zh-CN"/>
        </w:rPr>
        <w:t>填写所有联合体成员名称，</w:t>
      </w:r>
      <w:r>
        <w:rPr>
          <w:rFonts w:hint="eastAsia"/>
          <w:b/>
          <w:bCs/>
          <w:color w:val="auto"/>
          <w:kern w:val="0"/>
          <w:highlight w:val="none"/>
        </w:rPr>
        <w:t>盖章可只需联合体牵头方盖章。</w:t>
      </w:r>
    </w:p>
    <w:p>
      <w:pPr>
        <w:jc w:val="center"/>
        <w:rPr>
          <w:rFonts w:ascii="宋体" w:hAnsi="宋体" w:cs="宋体"/>
          <w:b/>
          <w:bCs/>
          <w:color w:val="auto"/>
          <w:sz w:val="24"/>
          <w:highlight w:val="none"/>
        </w:rPr>
      </w:pPr>
    </w:p>
    <w:p>
      <w:pPr>
        <w:jc w:val="center"/>
        <w:rPr>
          <w:rFonts w:ascii="宋体" w:hAnsi="宋体" w:cs="宋体"/>
          <w:b/>
          <w:bCs/>
          <w:color w:val="auto"/>
          <w:sz w:val="24"/>
          <w:highlight w:val="none"/>
        </w:rPr>
      </w:pPr>
      <w:r>
        <w:rPr>
          <w:rFonts w:hint="eastAsia" w:ascii="宋体" w:hAnsi="宋体" w:cs="宋体"/>
          <w:b/>
          <w:bCs/>
          <w:color w:val="auto"/>
          <w:sz w:val="24"/>
          <w:highlight w:val="none"/>
        </w:rPr>
        <w:t>监狱企业资格证明材料</w:t>
      </w:r>
    </w:p>
    <w:p>
      <w:pPr>
        <w:jc w:val="center"/>
        <w:rPr>
          <w:rFonts w:ascii="宋体" w:hAnsi="宋体" w:cs="宋体"/>
          <w:color w:val="auto"/>
          <w:sz w:val="24"/>
          <w:highlight w:val="none"/>
        </w:rPr>
      </w:pPr>
      <w:r>
        <w:rPr>
          <w:rFonts w:hint="eastAsia" w:ascii="宋体" w:hAnsi="宋体" w:cs="宋体"/>
          <w:color w:val="auto"/>
          <w:sz w:val="24"/>
          <w:highlight w:val="none"/>
        </w:rPr>
        <w:t>（注：符合条件的监狱企业请提供本函，不符合的不提供本函）</w:t>
      </w:r>
    </w:p>
    <w:p>
      <w:pPr>
        <w:pStyle w:val="15"/>
        <w:spacing w:after="0" w:line="400" w:lineRule="exact"/>
        <w:ind w:left="0" w:leftChars="0" w:right="0" w:rightChars="0"/>
        <w:jc w:val="center"/>
        <w:rPr>
          <w:rFonts w:ascii="宋体" w:hAnsi="宋体" w:cs="宋体"/>
          <w:b/>
          <w:bCs/>
          <w:color w:val="auto"/>
          <w:sz w:val="24"/>
          <w:highlight w:val="none"/>
        </w:rPr>
      </w:pPr>
    </w:p>
    <w:p>
      <w:pPr>
        <w:spacing w:line="360" w:lineRule="auto"/>
        <w:jc w:val="center"/>
        <w:rPr>
          <w:rFonts w:ascii="宋体" w:hAnsi="宋体" w:cs="宋体"/>
          <w:b/>
          <w:bCs/>
          <w:color w:val="auto"/>
          <w:sz w:val="22"/>
          <w:highlight w:val="none"/>
        </w:rPr>
      </w:pPr>
      <w:r>
        <w:rPr>
          <w:rFonts w:hint="eastAsia" w:ascii="宋体" w:hAnsi="宋体" w:cs="宋体"/>
          <w:b/>
          <w:bCs/>
          <w:color w:val="auto"/>
          <w:sz w:val="22"/>
          <w:highlight w:val="none"/>
        </w:rPr>
        <w:t>（省级以上监狱管理局、戒毒管理局（含新疆生产建设兵团）出具的属于监狱企业的证明文件）</w:t>
      </w: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sz w:val="22"/>
          <w:highlight w:val="none"/>
        </w:rPr>
      </w:pPr>
    </w:p>
    <w:p>
      <w:pPr>
        <w:pStyle w:val="15"/>
        <w:spacing w:after="0" w:line="400" w:lineRule="exact"/>
        <w:ind w:left="0" w:leftChars="0" w:right="0" w:rightChars="0"/>
        <w:rPr>
          <w:rFonts w:ascii="宋体" w:hAnsi="宋体" w:cs="宋体"/>
          <w:color w:val="auto"/>
          <w:highlight w:val="none"/>
        </w:rPr>
      </w:pPr>
    </w:p>
    <w:p>
      <w:pPr>
        <w:pStyle w:val="15"/>
        <w:spacing w:after="0" w:line="400" w:lineRule="exact"/>
        <w:ind w:left="0" w:leftChars="0" w:right="0" w:rightChars="0"/>
        <w:rPr>
          <w:rFonts w:ascii="宋体" w:hAnsi="宋体" w:cs="宋体"/>
          <w:color w:val="auto"/>
          <w:highlight w:val="none"/>
        </w:rPr>
      </w:pPr>
    </w:p>
    <w:p>
      <w:pPr>
        <w:pStyle w:val="15"/>
        <w:spacing w:after="0" w:line="400" w:lineRule="exact"/>
        <w:ind w:left="0" w:leftChars="0" w:right="0" w:rightChars="0"/>
        <w:rPr>
          <w:rFonts w:ascii="宋体" w:hAnsi="宋体" w:cs="宋体"/>
          <w:color w:val="auto"/>
          <w:highlight w:val="none"/>
        </w:rPr>
      </w:pPr>
    </w:p>
    <w:p>
      <w:pPr>
        <w:pStyle w:val="15"/>
        <w:spacing w:after="0" w:line="400" w:lineRule="exact"/>
        <w:ind w:left="0" w:leftChars="0" w:right="0" w:rightChars="0"/>
        <w:rPr>
          <w:rFonts w:ascii="宋体" w:hAnsi="宋体" w:cs="宋体"/>
          <w:color w:val="auto"/>
          <w:highlight w:val="none"/>
        </w:rPr>
      </w:pPr>
    </w:p>
    <w:p>
      <w:pPr>
        <w:pStyle w:val="15"/>
        <w:spacing w:after="0" w:line="400" w:lineRule="exact"/>
        <w:ind w:left="0" w:leftChars="0" w:right="0" w:rightChars="0"/>
        <w:rPr>
          <w:rFonts w:ascii="宋体" w:hAnsi="宋体" w:cs="宋体"/>
          <w:color w:val="auto"/>
          <w:highlight w:val="none"/>
        </w:rPr>
      </w:pPr>
    </w:p>
    <w:p>
      <w:pPr>
        <w:pStyle w:val="15"/>
        <w:spacing w:after="0" w:line="400" w:lineRule="exact"/>
        <w:ind w:left="0" w:leftChars="0" w:right="0" w:rightChars="0"/>
        <w:rPr>
          <w:rFonts w:ascii="宋体" w:hAnsi="宋体" w:cs="宋体"/>
          <w:color w:val="auto"/>
          <w:highlight w:val="none"/>
        </w:rPr>
      </w:pPr>
    </w:p>
    <w:p>
      <w:pPr>
        <w:spacing w:line="400" w:lineRule="exact"/>
        <w:jc w:val="center"/>
        <w:rPr>
          <w:rFonts w:ascii="宋体" w:hAnsi="宋体" w:cs="宋体"/>
          <w:b/>
          <w:bCs/>
          <w:color w:val="auto"/>
          <w:sz w:val="24"/>
          <w:highlight w:val="none"/>
        </w:rPr>
      </w:pPr>
      <w:r>
        <w:rPr>
          <w:rFonts w:hint="eastAsia" w:ascii="宋体" w:hAnsi="宋体" w:cs="宋体"/>
          <w:b/>
          <w:bCs/>
          <w:color w:val="auto"/>
          <w:sz w:val="24"/>
          <w:highlight w:val="none"/>
        </w:rPr>
        <w:t>残疾人福利性单位声明函</w:t>
      </w:r>
    </w:p>
    <w:p>
      <w:pPr>
        <w:jc w:val="center"/>
        <w:rPr>
          <w:rFonts w:ascii="宋体" w:hAnsi="宋体" w:cs="宋体"/>
          <w:color w:val="auto"/>
          <w:sz w:val="24"/>
          <w:highlight w:val="none"/>
        </w:rPr>
      </w:pPr>
      <w:r>
        <w:rPr>
          <w:rFonts w:hint="eastAsia" w:ascii="宋体" w:hAnsi="宋体" w:cs="宋体"/>
          <w:color w:val="auto"/>
          <w:sz w:val="24"/>
          <w:highlight w:val="none"/>
        </w:rPr>
        <w:t>（注：符合条件的残疾人福利性单位请提供本函，不符合的不提供本函）</w:t>
      </w:r>
    </w:p>
    <w:p>
      <w:pPr>
        <w:spacing w:line="400" w:lineRule="exact"/>
        <w:rPr>
          <w:rFonts w:ascii="宋体" w:hAnsi="宋体" w:cs="宋体"/>
          <w:b/>
          <w:color w:val="auto"/>
          <w:spacing w:val="6"/>
          <w:sz w:val="30"/>
          <w:szCs w:val="30"/>
          <w:highlight w:val="none"/>
        </w:rPr>
      </w:pPr>
    </w:p>
    <w:p>
      <w:pPr>
        <w:spacing w:line="400" w:lineRule="exact"/>
        <w:ind w:firstLine="504"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本单位郑重声明，根据《财政部 民政部 中国残疾人联合会关于促进残疾人就业政府采购政策的通知》（财库</w:t>
      </w:r>
      <w:r>
        <w:rPr>
          <w:rFonts w:hint="eastAsia" w:ascii="宋体" w:hAnsi="宋体" w:cs="宋体"/>
          <w:color w:val="auto"/>
          <w:sz w:val="24"/>
          <w:szCs w:val="24"/>
          <w:highlight w:val="none"/>
        </w:rPr>
        <w:t>〔2017〕 141</w:t>
      </w:r>
      <w:r>
        <w:rPr>
          <w:rFonts w:hint="eastAsia" w:ascii="宋体" w:hAnsi="宋体" w:cs="宋体"/>
          <w:color w:val="auto"/>
          <w:spacing w:val="6"/>
          <w:sz w:val="24"/>
          <w:szCs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400" w:lineRule="exact"/>
        <w:ind w:firstLine="504"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本单位对上述声明的真实性负责。如有虚假，将依法承担相应责任。</w:t>
      </w:r>
    </w:p>
    <w:p>
      <w:pPr>
        <w:spacing w:line="400" w:lineRule="exact"/>
        <w:ind w:firstLine="504" w:firstLineChars="200"/>
        <w:rPr>
          <w:rFonts w:ascii="宋体" w:hAnsi="宋体" w:cs="宋体"/>
          <w:color w:val="auto"/>
          <w:spacing w:val="6"/>
          <w:sz w:val="24"/>
          <w:szCs w:val="24"/>
          <w:highlight w:val="none"/>
        </w:rPr>
      </w:pPr>
    </w:p>
    <w:p>
      <w:pPr>
        <w:tabs>
          <w:tab w:val="left" w:pos="4860"/>
        </w:tabs>
        <w:spacing w:line="400" w:lineRule="exact"/>
        <w:ind w:firstLine="504" w:firstLineChars="200"/>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 xml:space="preserve">                               单位名称（电子签章）：</w:t>
      </w:r>
    </w:p>
    <w:p>
      <w:pPr>
        <w:tabs>
          <w:tab w:val="left" w:pos="4860"/>
        </w:tabs>
        <w:spacing w:line="400" w:lineRule="exact"/>
        <w:ind w:firstLine="504" w:firstLineChars="200"/>
        <w:jc w:val="center"/>
        <w:rPr>
          <w:rFonts w:ascii="宋体" w:hAnsi="宋体" w:cs="宋体"/>
          <w:color w:val="auto"/>
          <w:sz w:val="24"/>
          <w:szCs w:val="24"/>
          <w:highlight w:val="none"/>
        </w:rPr>
      </w:pPr>
      <w:r>
        <w:rPr>
          <w:rFonts w:hint="eastAsia" w:ascii="宋体" w:hAnsi="宋体" w:cs="宋体"/>
          <w:color w:val="auto"/>
          <w:spacing w:val="6"/>
          <w:sz w:val="24"/>
          <w:szCs w:val="24"/>
          <w:highlight w:val="none"/>
        </w:rPr>
        <w:t xml:space="preserve">                           日        期：</w:t>
      </w:r>
    </w:p>
    <w:p>
      <w:pPr>
        <w:spacing w:line="400" w:lineRule="exact"/>
        <w:rPr>
          <w:rFonts w:ascii="宋体" w:hAnsi="宋体" w:cs="宋体"/>
          <w:b/>
          <w:color w:val="auto"/>
          <w:sz w:val="24"/>
          <w:szCs w:val="24"/>
          <w:highlight w:val="none"/>
        </w:rPr>
      </w:pPr>
    </w:p>
    <w:p>
      <w:pPr>
        <w:spacing w:line="400" w:lineRule="exact"/>
        <w:rPr>
          <w:rFonts w:ascii="宋体" w:hAnsi="宋体" w:cs="宋体"/>
          <w:b/>
          <w:bCs/>
          <w:color w:val="auto"/>
          <w:sz w:val="24"/>
          <w:highlight w:val="none"/>
        </w:rPr>
      </w:pPr>
      <w:r>
        <w:rPr>
          <w:rFonts w:hint="eastAsia" w:ascii="宋体" w:hAnsi="宋体" w:cs="宋体"/>
          <w:b/>
          <w:bCs/>
          <w:color w:val="auto"/>
          <w:sz w:val="24"/>
          <w:highlight w:val="none"/>
        </w:rPr>
        <w:t>注：投标人不属于残疾人福利性单位的，无需提供此声明函，如提供所引起的后果由投标人承担。中标、中标人为残疾人福利性单位的，采购代理机构将随中标结果同时公告其《残疾人福利性单位声明函》，接受社会监督。</w:t>
      </w:r>
    </w:p>
    <w:p>
      <w:pPr>
        <w:spacing w:line="400" w:lineRule="exact"/>
        <w:rPr>
          <w:rFonts w:ascii="宋体" w:hAnsi="宋体" w:cs="宋体"/>
          <w:b/>
          <w:color w:val="auto"/>
          <w:sz w:val="24"/>
          <w:szCs w:val="24"/>
          <w:highlight w:val="none"/>
        </w:rPr>
      </w:pPr>
    </w:p>
    <w:p>
      <w:pPr>
        <w:pStyle w:val="15"/>
        <w:ind w:left="1470" w:right="1470"/>
        <w:rPr>
          <w:rFonts w:ascii="宋体" w:hAnsi="宋体" w:cs="宋体"/>
          <w:color w:val="auto"/>
          <w:highlight w:val="none"/>
        </w:rPr>
      </w:pPr>
    </w:p>
    <w:p>
      <w:pPr>
        <w:pStyle w:val="15"/>
        <w:ind w:left="1470" w:right="1470"/>
        <w:rPr>
          <w:rFonts w:ascii="宋体" w:hAnsi="宋体" w:cs="宋体"/>
          <w:color w:val="auto"/>
          <w:highlight w:val="none"/>
        </w:rPr>
      </w:pPr>
    </w:p>
    <w:p>
      <w:pPr>
        <w:pStyle w:val="15"/>
        <w:spacing w:after="0" w:line="400" w:lineRule="exact"/>
        <w:ind w:left="0" w:leftChars="0" w:right="0" w:rightChars="0"/>
        <w:rPr>
          <w:rFonts w:ascii="宋体" w:hAnsi="宋体" w:cs="宋体"/>
          <w:color w:val="auto"/>
          <w:szCs w:val="21"/>
          <w:highlight w:val="none"/>
        </w:rPr>
      </w:pPr>
    </w:p>
    <w:p>
      <w:pPr>
        <w:pStyle w:val="15"/>
        <w:spacing w:after="0" w:line="400" w:lineRule="exact"/>
        <w:ind w:left="0" w:leftChars="0" w:right="0" w:rightChars="0"/>
        <w:rPr>
          <w:rFonts w:ascii="宋体" w:hAnsi="宋体" w:cs="宋体"/>
          <w:color w:val="auto"/>
          <w:szCs w:val="21"/>
          <w:highlight w:val="none"/>
        </w:rPr>
      </w:pPr>
    </w:p>
    <w:p>
      <w:pPr>
        <w:pStyle w:val="15"/>
        <w:spacing w:after="0" w:line="400" w:lineRule="exact"/>
        <w:ind w:left="0" w:leftChars="0" w:right="0" w:rightChars="0"/>
        <w:rPr>
          <w:rFonts w:ascii="宋体" w:hAnsi="宋体" w:cs="宋体"/>
          <w:color w:val="auto"/>
          <w:szCs w:val="21"/>
          <w:highlight w:val="none"/>
        </w:rPr>
      </w:pPr>
    </w:p>
    <w:p>
      <w:pPr>
        <w:pStyle w:val="15"/>
        <w:ind w:left="1470" w:right="1470"/>
        <w:rPr>
          <w:rFonts w:ascii="宋体" w:hAnsi="宋体" w:cs="宋体"/>
          <w:color w:val="auto"/>
          <w:highlight w:val="none"/>
        </w:rPr>
      </w:pPr>
    </w:p>
    <w:p>
      <w:pPr>
        <w:snapToGrid w:val="0"/>
        <w:spacing w:beforeLines="50" w:after="50"/>
        <w:jc w:val="center"/>
        <w:outlineLvl w:val="1"/>
        <w:rPr>
          <w:rFonts w:ascii="宋体" w:hAnsi="宋体" w:cs="宋体"/>
          <w:b/>
          <w:color w:val="auto"/>
          <w:sz w:val="24"/>
          <w:highlight w:val="none"/>
        </w:rPr>
      </w:pPr>
      <w:r>
        <w:rPr>
          <w:rFonts w:hint="eastAsia" w:ascii="宋体" w:hAnsi="宋体" w:cs="宋体"/>
          <w:b/>
          <w:bCs/>
          <w:color w:val="auto"/>
          <w:sz w:val="24"/>
          <w:highlight w:val="none"/>
        </w:rPr>
        <w:t>二、资格文件部分封面格式</w:t>
      </w:r>
    </w:p>
    <w:p>
      <w:pPr>
        <w:snapToGrid w:val="0"/>
        <w:spacing w:beforeLines="50" w:after="50"/>
        <w:jc w:val="center"/>
        <w:outlineLvl w:val="1"/>
        <w:rPr>
          <w:rFonts w:ascii="宋体" w:hAnsi="宋体" w:cs="宋体"/>
          <w:b/>
          <w:bCs/>
          <w:color w:val="auto"/>
          <w:sz w:val="24"/>
          <w:highlight w:val="none"/>
        </w:rPr>
      </w:pPr>
    </w:p>
    <w:p>
      <w:pPr>
        <w:pStyle w:val="15"/>
        <w:ind w:left="0" w:leftChars="0" w:right="1470"/>
        <w:rPr>
          <w:rFonts w:ascii="宋体" w:hAnsi="宋体" w:cs="宋体"/>
          <w:b/>
          <w:color w:val="auto"/>
          <w:sz w:val="24"/>
          <w:szCs w:val="24"/>
          <w:highlight w:val="none"/>
        </w:rPr>
      </w:pPr>
    </w:p>
    <w:p>
      <w:pPr>
        <w:snapToGrid w:val="0"/>
        <w:spacing w:line="400" w:lineRule="exact"/>
        <w:jc w:val="center"/>
        <w:outlineLvl w:val="1"/>
        <w:rPr>
          <w:rFonts w:ascii="宋体" w:hAnsi="宋体" w:cs="宋体"/>
          <w:b/>
          <w:bCs/>
          <w:color w:val="auto"/>
          <w:sz w:val="24"/>
          <w:szCs w:val="20"/>
          <w:highlight w:val="none"/>
        </w:rPr>
      </w:pPr>
    </w:p>
    <w:p>
      <w:pPr>
        <w:snapToGrid w:val="0"/>
        <w:spacing w:line="400" w:lineRule="exact"/>
        <w:jc w:val="center"/>
        <w:rPr>
          <w:rFonts w:ascii="宋体" w:hAnsi="宋体" w:cs="宋体"/>
          <w:bCs/>
          <w:color w:val="auto"/>
          <w:sz w:val="24"/>
          <w:szCs w:val="20"/>
          <w:highlight w:val="none"/>
        </w:rPr>
      </w:pPr>
      <w:r>
        <w:rPr>
          <w:rFonts w:ascii="宋体" w:hAnsi="宋体" w:cs="宋体"/>
          <w:b/>
          <w:bCs/>
          <w:color w:val="auto"/>
          <w:sz w:val="24"/>
          <w:highlight w:val="none"/>
        </w:rPr>
        <w:pict>
          <v:shape id="_x0000_s1030" o:spid="_x0000_s1030" o:spt="202" type="#_x0000_t202" style="position:absolute;left:0pt;margin-left:30.7pt;margin-top:16pt;height:263.35pt;width:399.75pt;mso-wrap-distance-bottom:0pt;mso-wrap-distance-top:0pt;z-index:251659264;mso-width-relative:page;mso-height-relative:page;" coordsize="21600,21600" o:gfxdata="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zosQ3&#10;2QAAAAkBAAAPAAAAAAAAAAEAIAAAACIAAABkcnMvZG93bnJldi54bWxQSwECFAAUAAAACACHTuJA&#10;cC66vyACAABqBAAADgAAAAAAAAABACAAAAAoAQAAZHJzL2Uyb0RvYy54bWxQSwUGAAAAAAYABgBZ&#10;AQAAugUAAAAA&#10;">
            <v:path/>
            <v:fill focussize="0,0"/>
            <v:stroke joinstyle="miter"/>
            <v:imagedata o:title=""/>
            <o:lock v:ext="edit" rotation="t"/>
            <v:textbox>
              <w:txbxContent>
                <w:p>
                  <w:pPr>
                    <w:snapToGrid w:val="0"/>
                    <w:spacing w:beforeLines="50" w:after="50"/>
                    <w:jc w:val="right"/>
                    <w:rPr>
                      <w:rFonts w:ascii="宋体" w:hAnsi="宋体"/>
                      <w:b/>
                      <w:bCs/>
                      <w:sz w:val="32"/>
                      <w:szCs w:val="20"/>
                    </w:rPr>
                  </w:pPr>
                </w:p>
                <w:p>
                  <w:pPr>
                    <w:snapToGrid w:val="0"/>
                    <w:spacing w:beforeLines="50" w:after="50"/>
                    <w:ind w:left="-850" w:leftChars="-405"/>
                    <w:rPr>
                      <w:rFonts w:ascii="宋体" w:hAnsi="宋体"/>
                      <w:sz w:val="24"/>
                      <w:szCs w:val="20"/>
                    </w:rPr>
                  </w:pPr>
                </w:p>
                <w:p>
                  <w:pPr>
                    <w:snapToGrid w:val="0"/>
                    <w:spacing w:beforeLines="50" w:after="50"/>
                    <w:jc w:val="center"/>
                    <w:rPr>
                      <w:rFonts w:ascii="宋体" w:hAnsi="宋体"/>
                      <w:bCs/>
                      <w:sz w:val="24"/>
                      <w:szCs w:val="20"/>
                    </w:rPr>
                  </w:pPr>
                  <w:r>
                    <w:rPr>
                      <w:rFonts w:hint="eastAsia" w:ascii="宋体" w:hAnsi="宋体"/>
                      <w:bCs/>
                      <w:sz w:val="24"/>
                      <w:szCs w:val="20"/>
                    </w:rPr>
                    <w:t>资格文件</w:t>
                  </w:r>
                </w:p>
                <w:p>
                  <w:pPr>
                    <w:snapToGrid w:val="0"/>
                    <w:spacing w:beforeLines="50" w:after="50"/>
                    <w:rPr>
                      <w:rFonts w:ascii="宋体" w:hAnsi="宋体"/>
                      <w:bCs/>
                      <w:sz w:val="24"/>
                      <w:szCs w:val="20"/>
                    </w:rPr>
                  </w:pPr>
                </w:p>
                <w:p>
                  <w:pPr>
                    <w:snapToGrid w:val="0"/>
                    <w:spacing w:beforeLines="50" w:after="50"/>
                    <w:ind w:firstLine="1068" w:firstLineChars="445"/>
                    <w:rPr>
                      <w:rFonts w:ascii="宋体" w:hAnsi="宋体"/>
                      <w:bCs/>
                      <w:sz w:val="24"/>
                    </w:rPr>
                  </w:pPr>
                  <w:r>
                    <w:rPr>
                      <w:rFonts w:hint="eastAsia" w:ascii="宋体" w:hAnsi="宋体"/>
                      <w:bCs/>
                      <w:sz w:val="24"/>
                    </w:rPr>
                    <w:t>项目名称：</w:t>
                  </w:r>
                </w:p>
                <w:p>
                  <w:pPr>
                    <w:snapToGrid w:val="0"/>
                    <w:spacing w:beforeLines="50" w:after="50"/>
                    <w:ind w:firstLine="1068" w:firstLineChars="445"/>
                    <w:rPr>
                      <w:rFonts w:ascii="宋体" w:hAnsi="宋体"/>
                      <w:bCs/>
                      <w:sz w:val="24"/>
                    </w:rPr>
                  </w:pPr>
                  <w:r>
                    <w:rPr>
                      <w:rFonts w:hint="eastAsia" w:ascii="宋体" w:hAnsi="宋体"/>
                      <w:bCs/>
                      <w:sz w:val="24"/>
                    </w:rPr>
                    <w:t>项目编号：</w:t>
                  </w:r>
                </w:p>
                <w:p>
                  <w:pPr>
                    <w:snapToGrid w:val="0"/>
                    <w:spacing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pPr>
                    <w:snapToGrid w:val="0"/>
                    <w:spacing w:beforeLines="50" w:after="50"/>
                    <w:ind w:firstLine="1068" w:firstLineChars="445"/>
                    <w:rPr>
                      <w:rFonts w:ascii="宋体" w:hAnsi="宋体"/>
                      <w:bCs/>
                      <w:sz w:val="24"/>
                    </w:rPr>
                  </w:pPr>
                  <w:r>
                    <w:rPr>
                      <w:rFonts w:hint="eastAsia" w:ascii="宋体" w:hAnsi="宋体"/>
                      <w:bCs/>
                      <w:sz w:val="24"/>
                    </w:rPr>
                    <w:t>标项：</w:t>
                  </w:r>
                </w:p>
                <w:p>
                  <w:pPr>
                    <w:snapToGrid w:val="0"/>
                    <w:spacing w:beforeLines="50" w:after="50"/>
                    <w:ind w:firstLine="1068" w:firstLineChars="445"/>
                    <w:rPr>
                      <w:rFonts w:ascii="宋体" w:hAnsi="宋体"/>
                      <w:bCs/>
                      <w:sz w:val="24"/>
                    </w:rPr>
                  </w:pPr>
                  <w:r>
                    <w:rPr>
                      <w:rFonts w:hint="eastAsia" w:ascii="宋体" w:hAnsi="宋体"/>
                      <w:bCs/>
                      <w:sz w:val="24"/>
                    </w:rPr>
                    <w:t>投标人地址：</w:t>
                  </w:r>
                </w:p>
                <w:p>
                  <w:pPr>
                    <w:snapToGrid w:val="0"/>
                    <w:spacing w:beforeLines="50" w:after="50"/>
                    <w:ind w:firstLine="1068" w:firstLineChars="445"/>
                    <w:rPr>
                      <w:rFonts w:ascii="宋体" w:hAnsi="宋体"/>
                      <w:bCs/>
                      <w:sz w:val="24"/>
                    </w:rPr>
                  </w:pPr>
                </w:p>
                <w:p>
                  <w:pPr>
                    <w:snapToGrid w:val="0"/>
                    <w:spacing w:beforeLines="50" w:after="50"/>
                    <w:ind w:firstLine="4080" w:firstLineChars="1700"/>
                    <w:rPr>
                      <w:rFonts w:ascii="宋体" w:hAnsi="宋体"/>
                      <w:sz w:val="24"/>
                      <w:szCs w:val="20"/>
                    </w:rPr>
                  </w:pPr>
                </w:p>
                <w:p>
                  <w:r>
                    <w:rPr>
                      <w:rFonts w:hint="eastAsia"/>
                      <w:sz w:val="24"/>
                    </w:rPr>
                    <w:t>年月日</w:t>
                  </w:r>
                </w:p>
              </w:txbxContent>
            </v:textbox>
            <w10:wrap type="topAndBottom"/>
          </v:shape>
        </w:pict>
      </w:r>
    </w:p>
    <w:p>
      <w:pPr>
        <w:snapToGrid w:val="0"/>
        <w:spacing w:beforeLines="50" w:after="50"/>
        <w:jc w:val="center"/>
        <w:outlineLvl w:val="1"/>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附件4                                 资格文件</w:t>
      </w:r>
    </w:p>
    <w:p>
      <w:pPr>
        <w:spacing w:line="400" w:lineRule="exact"/>
        <w:rPr>
          <w:rFonts w:ascii="宋体" w:hAnsi="宋体" w:cs="宋体"/>
          <w:b/>
          <w:color w:val="auto"/>
          <w:sz w:val="24"/>
          <w:szCs w:val="24"/>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附件4-1</w:t>
      </w:r>
    </w:p>
    <w:p>
      <w:pPr>
        <w:pStyle w:val="12"/>
        <w:rPr>
          <w:rFonts w:ascii="宋体" w:hAnsi="宋体" w:cs="宋体"/>
          <w:color w:val="auto"/>
          <w:highlight w:val="none"/>
        </w:rPr>
      </w:pPr>
    </w:p>
    <w:p>
      <w:pPr>
        <w:spacing w:line="360" w:lineRule="auto"/>
        <w:jc w:val="center"/>
        <w:rPr>
          <w:rFonts w:ascii="宋体" w:hAnsi="宋体" w:cs="宋体"/>
          <w:b/>
          <w:color w:val="auto"/>
          <w:sz w:val="24"/>
          <w:szCs w:val="24"/>
          <w:highlight w:val="none"/>
        </w:rPr>
      </w:pPr>
      <w:r>
        <w:rPr>
          <w:rFonts w:hint="eastAsia" w:ascii="宋体" w:hAnsi="宋体" w:cs="宋体"/>
          <w:b/>
          <w:color w:val="auto"/>
          <w:sz w:val="24"/>
          <w:szCs w:val="24"/>
          <w:highlight w:val="none"/>
        </w:rPr>
        <w:t>有效的法人或者其他组织的营业执照等证明文件，自然人的身份证明</w:t>
      </w:r>
      <w:r>
        <w:rPr>
          <w:rFonts w:hint="eastAsia" w:ascii="宋体" w:hAnsi="宋体" w:cs="宋体"/>
          <w:b/>
          <w:color w:val="auto"/>
          <w:highlight w:val="none"/>
        </w:rPr>
        <w:t>（五选一）</w:t>
      </w:r>
    </w:p>
    <w:p>
      <w:pPr>
        <w:spacing w:line="360" w:lineRule="auto"/>
        <w:jc w:val="center"/>
        <w:rPr>
          <w:rFonts w:ascii="宋体" w:hAnsi="宋体" w:cs="宋体"/>
          <w:b/>
          <w:color w:val="auto"/>
          <w:sz w:val="24"/>
          <w:szCs w:val="24"/>
          <w:highlight w:val="none"/>
        </w:rPr>
      </w:pPr>
      <w:r>
        <w:rPr>
          <w:rFonts w:hint="eastAsia" w:ascii="宋体" w:hAnsi="宋体" w:cs="宋体"/>
          <w:b/>
          <w:bCs/>
          <w:color w:val="auto"/>
          <w:sz w:val="22"/>
          <w:highlight w:val="none"/>
          <w:u w:val="single"/>
        </w:rPr>
        <w:t>（如为联合体投标，则联合体各方均须提供）</w:t>
      </w:r>
    </w:p>
    <w:p>
      <w:pPr>
        <w:spacing w:line="360" w:lineRule="auto"/>
        <w:rPr>
          <w:rFonts w:ascii="宋体" w:hAnsi="宋体" w:cs="宋体"/>
          <w:b/>
          <w:color w:val="auto"/>
          <w:sz w:val="24"/>
          <w:szCs w:val="24"/>
          <w:highlight w:val="none"/>
        </w:rPr>
      </w:pPr>
    </w:p>
    <w:p>
      <w:pPr>
        <w:spacing w:line="360" w:lineRule="auto"/>
        <w:rPr>
          <w:rFonts w:ascii="宋体" w:hAnsi="宋体" w:cs="宋体"/>
          <w:b/>
          <w:color w:val="auto"/>
          <w:spacing w:val="-6"/>
          <w:sz w:val="22"/>
          <w:highlight w:val="none"/>
        </w:rPr>
      </w:pPr>
      <w:r>
        <w:rPr>
          <w:rFonts w:hint="eastAsia" w:ascii="宋体" w:hAnsi="宋体" w:cs="宋体"/>
          <w:b/>
          <w:color w:val="auto"/>
          <w:spacing w:val="-6"/>
          <w:sz w:val="22"/>
          <w:highlight w:val="none"/>
        </w:rPr>
        <w:t>说明：</w:t>
      </w:r>
    </w:p>
    <w:p>
      <w:pPr>
        <w:pStyle w:val="23"/>
        <w:spacing w:line="360" w:lineRule="auto"/>
        <w:ind w:left="418" w:hanging="418"/>
        <w:rPr>
          <w:rFonts w:ascii="宋体" w:hAnsi="宋体" w:cs="宋体"/>
          <w:b/>
          <w:color w:val="auto"/>
          <w:spacing w:val="-6"/>
          <w:sz w:val="22"/>
          <w:highlight w:val="none"/>
        </w:rPr>
      </w:pPr>
      <w:r>
        <w:rPr>
          <w:rFonts w:hint="eastAsia" w:ascii="宋体" w:hAnsi="宋体" w:cs="宋体"/>
          <w:b/>
          <w:color w:val="auto"/>
          <w:spacing w:val="-6"/>
          <w:sz w:val="22"/>
          <w:highlight w:val="none"/>
        </w:rPr>
        <w:t>1.如投标人是企业（包括合伙企业），提供有效“企业法人营业执照”或“营业执照”；</w:t>
      </w:r>
    </w:p>
    <w:p>
      <w:pPr>
        <w:pStyle w:val="23"/>
        <w:spacing w:line="360" w:lineRule="auto"/>
        <w:ind w:left="418" w:hanging="418"/>
        <w:rPr>
          <w:rFonts w:ascii="宋体" w:hAnsi="宋体" w:cs="宋体"/>
          <w:b/>
          <w:color w:val="auto"/>
          <w:spacing w:val="-6"/>
          <w:sz w:val="22"/>
          <w:highlight w:val="none"/>
        </w:rPr>
      </w:pPr>
      <w:r>
        <w:rPr>
          <w:rFonts w:hint="eastAsia" w:ascii="宋体" w:hAnsi="宋体" w:cs="宋体"/>
          <w:b/>
          <w:color w:val="auto"/>
          <w:spacing w:val="-6"/>
          <w:sz w:val="22"/>
          <w:highlight w:val="none"/>
        </w:rPr>
        <w:t>2.如投标人是事业单位，提供有效的“事业单位法人证书”；</w:t>
      </w:r>
    </w:p>
    <w:p>
      <w:pPr>
        <w:pStyle w:val="23"/>
        <w:spacing w:line="360" w:lineRule="auto"/>
        <w:ind w:left="418" w:hanging="418"/>
        <w:rPr>
          <w:rFonts w:ascii="宋体" w:hAnsi="宋体" w:cs="宋体"/>
          <w:b/>
          <w:color w:val="auto"/>
          <w:spacing w:val="-6"/>
          <w:sz w:val="22"/>
          <w:highlight w:val="none"/>
        </w:rPr>
      </w:pPr>
      <w:r>
        <w:rPr>
          <w:rFonts w:hint="eastAsia" w:ascii="宋体" w:hAnsi="宋体" w:cs="宋体"/>
          <w:b/>
          <w:color w:val="auto"/>
          <w:spacing w:val="-6"/>
          <w:sz w:val="22"/>
          <w:highlight w:val="none"/>
        </w:rPr>
        <w:t>3.如投标人是非企业专业服务机构的，提供执业许可证等证明文件；</w:t>
      </w:r>
    </w:p>
    <w:p>
      <w:pPr>
        <w:pStyle w:val="23"/>
        <w:spacing w:line="360" w:lineRule="auto"/>
        <w:ind w:left="418" w:hanging="418"/>
        <w:rPr>
          <w:rFonts w:ascii="宋体" w:hAnsi="宋体" w:cs="宋体"/>
          <w:b/>
          <w:color w:val="auto"/>
          <w:spacing w:val="-6"/>
          <w:sz w:val="22"/>
          <w:highlight w:val="none"/>
        </w:rPr>
      </w:pPr>
      <w:r>
        <w:rPr>
          <w:rFonts w:hint="eastAsia" w:ascii="宋体" w:hAnsi="宋体" w:cs="宋体"/>
          <w:b/>
          <w:color w:val="auto"/>
          <w:spacing w:val="-6"/>
          <w:sz w:val="22"/>
          <w:highlight w:val="none"/>
        </w:rPr>
        <w:t>4.如投标人是个体工商户，提供有效的“个体工商户营业执照”；</w:t>
      </w:r>
    </w:p>
    <w:p>
      <w:pPr>
        <w:pStyle w:val="23"/>
        <w:spacing w:line="360" w:lineRule="auto"/>
        <w:ind w:left="418" w:hanging="418"/>
        <w:rPr>
          <w:rFonts w:ascii="宋体" w:hAnsi="宋体" w:cs="宋体"/>
          <w:color w:val="auto"/>
          <w:highlight w:val="none"/>
        </w:rPr>
      </w:pPr>
      <w:r>
        <w:rPr>
          <w:rFonts w:hint="eastAsia" w:ascii="宋体" w:hAnsi="宋体" w:cs="宋体"/>
          <w:b/>
          <w:color w:val="auto"/>
          <w:spacing w:val="-6"/>
          <w:sz w:val="22"/>
          <w:highlight w:val="none"/>
        </w:rPr>
        <w:t>5.如投标人是自然人，提供有效的自然人身份证明（居民身份证正反面或公安机关出具的临时居民身份证正反面或港澳台胞证或证照）。</w:t>
      </w: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pStyle w:val="15"/>
        <w:spacing w:after="0" w:line="400" w:lineRule="exact"/>
        <w:ind w:left="0" w:leftChars="0" w:right="0" w:rightChars="0"/>
        <w:rPr>
          <w:rFonts w:ascii="宋体" w:hAnsi="宋体" w:cs="宋体"/>
          <w:b/>
          <w:color w:val="auto"/>
          <w:sz w:val="24"/>
          <w:szCs w:val="24"/>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附件4-2</w:t>
      </w:r>
    </w:p>
    <w:p>
      <w:pPr>
        <w:spacing w:beforeLines="100" w:afterLines="100" w:line="360" w:lineRule="auto"/>
        <w:jc w:val="center"/>
        <w:rPr>
          <w:rFonts w:ascii="宋体" w:hAnsi="宋体" w:cs="宋体"/>
          <w:b/>
          <w:color w:val="auto"/>
          <w:sz w:val="24"/>
          <w:szCs w:val="24"/>
          <w:highlight w:val="none"/>
        </w:rPr>
      </w:pPr>
      <w:r>
        <w:rPr>
          <w:rFonts w:hint="eastAsia" w:ascii="宋体" w:hAnsi="宋体" w:cs="宋体"/>
          <w:b/>
          <w:color w:val="auto"/>
          <w:sz w:val="24"/>
          <w:szCs w:val="24"/>
          <w:highlight w:val="none"/>
        </w:rPr>
        <w:t>关于符合《中华人民共和国政府采购法》第二十二条规定的承诺函</w:t>
      </w:r>
    </w:p>
    <w:p>
      <w:pPr>
        <w:spacing w:line="360" w:lineRule="auto"/>
        <w:jc w:val="center"/>
        <w:rPr>
          <w:rFonts w:ascii="宋体" w:hAnsi="宋体" w:cs="宋体"/>
          <w:b/>
          <w:color w:val="auto"/>
          <w:sz w:val="24"/>
          <w:szCs w:val="24"/>
          <w:highlight w:val="none"/>
        </w:rPr>
      </w:pPr>
      <w:r>
        <w:rPr>
          <w:rFonts w:hint="eastAsia" w:ascii="宋体" w:hAnsi="宋体" w:cs="宋体"/>
          <w:b/>
          <w:bCs/>
          <w:color w:val="auto"/>
          <w:sz w:val="22"/>
          <w:highlight w:val="none"/>
          <w:u w:val="single"/>
        </w:rPr>
        <w:t>（如为联合体投标，则联合体各方均须提供，并各自加盖公章）</w:t>
      </w:r>
    </w:p>
    <w:p>
      <w:pPr>
        <w:spacing w:beforeLines="100" w:afterLines="100" w:line="360" w:lineRule="auto"/>
        <w:rPr>
          <w:rFonts w:ascii="宋体" w:hAnsi="宋体" w:cs="宋体"/>
          <w:color w:val="auto"/>
          <w:spacing w:val="-6"/>
          <w:sz w:val="22"/>
          <w:highlight w:val="none"/>
        </w:rPr>
      </w:pPr>
      <w:r>
        <w:rPr>
          <w:rFonts w:hint="eastAsia" w:ascii="宋体" w:hAnsi="宋体" w:cs="宋体"/>
          <w:color w:val="auto"/>
          <w:spacing w:val="-6"/>
          <w:sz w:val="22"/>
          <w:highlight w:val="none"/>
        </w:rPr>
        <w:t>致：</w:t>
      </w:r>
      <w:r>
        <w:rPr>
          <w:rFonts w:hint="eastAsia" w:ascii="宋体" w:hAnsi="宋体" w:cs="宋体"/>
          <w:color w:val="auto"/>
          <w:sz w:val="22"/>
          <w:highlight w:val="none"/>
        </w:rPr>
        <w:t>温州大学、浙江乐诚工程咨询有限公司</w:t>
      </w:r>
      <w:r>
        <w:rPr>
          <w:rFonts w:hint="eastAsia" w:ascii="宋体" w:hAnsi="宋体" w:cs="宋体"/>
          <w:color w:val="auto"/>
          <w:spacing w:val="-6"/>
          <w:sz w:val="22"/>
          <w:highlight w:val="none"/>
        </w:rPr>
        <w:t>：</w:t>
      </w:r>
    </w:p>
    <w:p>
      <w:pPr>
        <w:spacing w:line="360" w:lineRule="auto"/>
        <w:ind w:firstLine="440" w:firstLineChars="200"/>
        <w:rPr>
          <w:rFonts w:ascii="宋体" w:hAnsi="宋体" w:cs="宋体"/>
          <w:color w:val="auto"/>
          <w:sz w:val="22"/>
          <w:highlight w:val="none"/>
        </w:rPr>
      </w:pPr>
      <w:r>
        <w:rPr>
          <w:rFonts w:hint="eastAsia" w:ascii="宋体" w:hAnsi="宋体" w:cs="宋体"/>
          <w:color w:val="auto"/>
          <w:sz w:val="22"/>
          <w:highlight w:val="none"/>
        </w:rPr>
        <w:t>我单位就</w:t>
      </w:r>
      <w:r>
        <w:rPr>
          <w:rFonts w:hint="eastAsia" w:ascii="宋体" w:hAnsi="宋体" w:cs="宋体"/>
          <w:color w:val="auto"/>
          <w:sz w:val="22"/>
          <w:highlight w:val="none"/>
          <w:u w:val="single"/>
        </w:rPr>
        <w:t xml:space="preserve">            （项目名称）           （项目编号）</w:t>
      </w:r>
      <w:r>
        <w:rPr>
          <w:rFonts w:hint="eastAsia" w:ascii="宋体" w:hAnsi="宋体" w:cs="宋体"/>
          <w:color w:val="auto"/>
          <w:sz w:val="22"/>
          <w:highlight w:val="none"/>
        </w:rPr>
        <w:t>项目承诺具备下列条件：</w:t>
      </w:r>
    </w:p>
    <w:p>
      <w:pPr>
        <w:pStyle w:val="27"/>
        <w:spacing w:before="0" w:beforeAutospacing="0" w:after="0" w:afterAutospacing="0" w:line="360" w:lineRule="auto"/>
        <w:ind w:firstLine="440" w:firstLineChars="200"/>
        <w:rPr>
          <w:bCs/>
          <w:color w:val="auto"/>
          <w:kern w:val="2"/>
          <w:sz w:val="22"/>
          <w:highlight w:val="none"/>
        </w:rPr>
      </w:pPr>
      <w:r>
        <w:rPr>
          <w:rFonts w:hint="eastAsia"/>
          <w:bCs/>
          <w:color w:val="auto"/>
          <w:kern w:val="2"/>
          <w:sz w:val="22"/>
          <w:highlight w:val="none"/>
        </w:rPr>
        <w:t>（一）具有独立承担民事责任的能力；</w:t>
      </w:r>
    </w:p>
    <w:p>
      <w:pPr>
        <w:pStyle w:val="27"/>
        <w:spacing w:before="0" w:beforeAutospacing="0" w:after="0" w:afterAutospacing="0" w:line="360" w:lineRule="auto"/>
        <w:ind w:firstLine="440" w:firstLineChars="200"/>
        <w:rPr>
          <w:bCs/>
          <w:color w:val="auto"/>
          <w:kern w:val="2"/>
          <w:sz w:val="22"/>
          <w:highlight w:val="none"/>
        </w:rPr>
      </w:pPr>
      <w:r>
        <w:rPr>
          <w:rFonts w:hint="eastAsia"/>
          <w:bCs/>
          <w:color w:val="auto"/>
          <w:kern w:val="2"/>
          <w:sz w:val="22"/>
          <w:highlight w:val="none"/>
        </w:rPr>
        <w:t>（二）具有良好的商业信誉和健全的财务会计制度；</w:t>
      </w:r>
    </w:p>
    <w:p>
      <w:pPr>
        <w:pStyle w:val="27"/>
        <w:spacing w:before="0" w:beforeAutospacing="0" w:after="0" w:afterAutospacing="0" w:line="360" w:lineRule="auto"/>
        <w:ind w:firstLine="440" w:firstLineChars="200"/>
        <w:rPr>
          <w:bCs/>
          <w:color w:val="auto"/>
          <w:kern w:val="2"/>
          <w:sz w:val="22"/>
          <w:highlight w:val="none"/>
        </w:rPr>
      </w:pPr>
      <w:r>
        <w:rPr>
          <w:rFonts w:hint="eastAsia"/>
          <w:bCs/>
          <w:color w:val="auto"/>
          <w:kern w:val="2"/>
          <w:sz w:val="22"/>
          <w:highlight w:val="none"/>
        </w:rPr>
        <w:t>（三）具有履行合同所必需的设备和专业技术能力；</w:t>
      </w:r>
    </w:p>
    <w:p>
      <w:pPr>
        <w:pStyle w:val="27"/>
        <w:spacing w:before="0" w:beforeAutospacing="0" w:after="0" w:afterAutospacing="0" w:line="360" w:lineRule="auto"/>
        <w:ind w:firstLine="440" w:firstLineChars="200"/>
        <w:rPr>
          <w:bCs/>
          <w:color w:val="auto"/>
          <w:kern w:val="2"/>
          <w:sz w:val="22"/>
          <w:highlight w:val="none"/>
        </w:rPr>
      </w:pPr>
      <w:r>
        <w:rPr>
          <w:rFonts w:hint="eastAsia"/>
          <w:bCs/>
          <w:color w:val="auto"/>
          <w:kern w:val="2"/>
          <w:sz w:val="22"/>
          <w:highlight w:val="none"/>
        </w:rPr>
        <w:t>（四）有依法缴纳税收和社会保障资金的良好记录；</w:t>
      </w:r>
    </w:p>
    <w:p>
      <w:pPr>
        <w:pStyle w:val="27"/>
        <w:spacing w:before="0" w:beforeAutospacing="0" w:after="0" w:afterAutospacing="0" w:line="360" w:lineRule="auto"/>
        <w:ind w:firstLine="440" w:firstLineChars="200"/>
        <w:rPr>
          <w:bCs/>
          <w:color w:val="auto"/>
          <w:kern w:val="2"/>
          <w:sz w:val="22"/>
          <w:highlight w:val="none"/>
        </w:rPr>
      </w:pPr>
      <w:r>
        <w:rPr>
          <w:rFonts w:hint="eastAsia"/>
          <w:bCs/>
          <w:color w:val="auto"/>
          <w:kern w:val="2"/>
          <w:sz w:val="22"/>
          <w:highlight w:val="none"/>
        </w:rPr>
        <w:t>（五）参加政府采购活动前三年内，在经营活动中没有重大违法记录（重大违法记录是指供应商因违法经营受到刑事处罚或者责令停产停业、吊销许可证或者执照、较大数额罚款等行政处罚。）；</w:t>
      </w:r>
    </w:p>
    <w:p>
      <w:pPr>
        <w:pStyle w:val="27"/>
        <w:spacing w:before="0" w:beforeAutospacing="0" w:after="0" w:afterAutospacing="0" w:line="360" w:lineRule="auto"/>
        <w:ind w:firstLine="440" w:firstLineChars="200"/>
        <w:rPr>
          <w:bCs/>
          <w:color w:val="auto"/>
          <w:kern w:val="2"/>
          <w:sz w:val="22"/>
          <w:highlight w:val="none"/>
        </w:rPr>
      </w:pPr>
      <w:r>
        <w:rPr>
          <w:rFonts w:hint="eastAsia"/>
          <w:bCs/>
          <w:color w:val="auto"/>
          <w:kern w:val="2"/>
          <w:sz w:val="22"/>
          <w:highlight w:val="none"/>
        </w:rPr>
        <w:t>（六）未被“信用中国”（www.creditchina.gov.cn）、中国政府采购网（www.ccgp.gov.cn）列入失信被执行人、重大税收违法案件当事人名单、政府采购严重违法失信行为记录名单：以采购代理机构在开标当日查询记录为准。</w:t>
      </w:r>
    </w:p>
    <w:p>
      <w:pPr>
        <w:pStyle w:val="27"/>
        <w:spacing w:before="0" w:beforeAutospacing="0" w:after="0" w:afterAutospacing="0" w:line="360" w:lineRule="auto"/>
        <w:ind w:firstLine="442" w:firstLineChars="200"/>
        <w:rPr>
          <w:rStyle w:val="72"/>
          <w:color w:val="auto"/>
          <w:sz w:val="22"/>
          <w:highlight w:val="none"/>
        </w:rPr>
      </w:pPr>
      <w:r>
        <w:rPr>
          <w:rStyle w:val="72"/>
          <w:rFonts w:hint="eastAsia"/>
          <w:b/>
          <w:bCs/>
          <w:color w:val="auto"/>
          <w:sz w:val="22"/>
          <w:highlight w:val="none"/>
        </w:rPr>
        <w:t>本公司对上述承诺的真实性负责。上述承诺如有虚假，将按“提供虚假材料谋取中标、成交”情形，由采购人取消我公司任何资格（投标/中标/签订合同），且由采购单位/采购代理机构报告至政府采购监管部门。</w:t>
      </w:r>
      <w:r>
        <w:rPr>
          <w:rStyle w:val="72"/>
          <w:rFonts w:hint="eastAsia"/>
          <w:color w:val="auto"/>
          <w:sz w:val="22"/>
          <w:highlight w:val="none"/>
        </w:rPr>
        <w:t>一经监管部门查证属实，将按照《中华人民共和国政府采购法》第七十七条“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规定予以处理。</w:t>
      </w:r>
    </w:p>
    <w:p>
      <w:pPr>
        <w:pStyle w:val="27"/>
        <w:spacing w:before="0" w:beforeAutospacing="0" w:after="0" w:afterAutospacing="0" w:line="360" w:lineRule="auto"/>
        <w:ind w:firstLine="440" w:firstLineChars="200"/>
        <w:rPr>
          <w:rStyle w:val="72"/>
          <w:color w:val="auto"/>
          <w:sz w:val="22"/>
          <w:highlight w:val="none"/>
        </w:rPr>
      </w:pPr>
      <w:r>
        <w:rPr>
          <w:rStyle w:val="72"/>
          <w:rFonts w:hint="eastAsia"/>
          <w:color w:val="auto"/>
          <w:sz w:val="22"/>
          <w:highlight w:val="none"/>
        </w:rPr>
        <w:t>《中华人民共和国政府采购法实施条例》第十九条第一款规定的“</w:t>
      </w:r>
      <w:r>
        <w:rPr>
          <w:rFonts w:hint="eastAsia"/>
          <w:color w:val="auto"/>
          <w:kern w:val="2"/>
          <w:sz w:val="22"/>
          <w:highlight w:val="none"/>
        </w:rPr>
        <w:t>较大数额罚款</w:t>
      </w:r>
      <w:r>
        <w:rPr>
          <w:rStyle w:val="72"/>
          <w:rFonts w:hint="eastAsia"/>
          <w:color w:val="auto"/>
          <w:sz w:val="22"/>
          <w:highlight w:val="none"/>
        </w:rPr>
        <w:t>”认定为200万元以上的罚款，法律、行政法规以及国务院有关部门明确规定相关领域“</w:t>
      </w:r>
      <w:r>
        <w:rPr>
          <w:rFonts w:hint="eastAsia"/>
          <w:color w:val="auto"/>
          <w:kern w:val="2"/>
          <w:sz w:val="22"/>
          <w:highlight w:val="none"/>
        </w:rPr>
        <w:t>较大数额罚款</w:t>
      </w:r>
      <w:r>
        <w:rPr>
          <w:rStyle w:val="72"/>
          <w:rFonts w:hint="eastAsia"/>
          <w:color w:val="auto"/>
          <w:sz w:val="22"/>
          <w:highlight w:val="none"/>
        </w:rPr>
        <w:t>”标准高于200万元的，从其规定。</w:t>
      </w:r>
    </w:p>
    <w:p>
      <w:pPr>
        <w:pStyle w:val="27"/>
        <w:spacing w:before="0" w:beforeAutospacing="0" w:after="0" w:afterAutospacing="0" w:line="360" w:lineRule="auto"/>
        <w:ind w:firstLine="440" w:firstLineChars="200"/>
        <w:rPr>
          <w:rStyle w:val="72"/>
          <w:color w:val="auto"/>
          <w:sz w:val="22"/>
          <w:highlight w:val="none"/>
        </w:rPr>
      </w:pPr>
      <w:r>
        <w:rPr>
          <w:rStyle w:val="72"/>
          <w:rFonts w:hint="eastAsia"/>
          <w:color w:val="auto"/>
          <w:sz w:val="22"/>
          <w:highlight w:val="none"/>
        </w:rPr>
        <w:t>我单位已知晓前述法律规定，对此无任何异议。</w:t>
      </w:r>
    </w:p>
    <w:p>
      <w:pPr>
        <w:ind w:firstLine="442" w:firstLineChars="200"/>
        <w:rPr>
          <w:rStyle w:val="72"/>
          <w:rFonts w:ascii="宋体" w:hAnsi="宋体" w:cs="宋体"/>
          <w:b/>
          <w:bCs/>
          <w:color w:val="auto"/>
          <w:sz w:val="22"/>
          <w:highlight w:val="none"/>
          <w:u w:val="single"/>
        </w:rPr>
      </w:pPr>
      <w:r>
        <w:rPr>
          <w:rStyle w:val="72"/>
          <w:rFonts w:hint="eastAsia" w:ascii="宋体" w:hAnsi="宋体" w:cs="宋体"/>
          <w:b/>
          <w:bCs/>
          <w:color w:val="auto"/>
          <w:sz w:val="22"/>
          <w:highlight w:val="none"/>
        </w:rPr>
        <w:t>注：</w:t>
      </w:r>
      <w:r>
        <w:rPr>
          <w:rStyle w:val="72"/>
          <w:rFonts w:hint="eastAsia" w:ascii="宋体" w:hAnsi="宋体" w:cs="宋体"/>
          <w:color w:val="auto"/>
          <w:sz w:val="22"/>
          <w:highlight w:val="none"/>
          <w:u w:val="single"/>
        </w:rPr>
        <w:t>▲</w:t>
      </w:r>
      <w:r>
        <w:rPr>
          <w:rStyle w:val="72"/>
          <w:rFonts w:hint="eastAsia" w:ascii="宋体" w:hAnsi="宋体" w:cs="宋体"/>
          <w:b/>
          <w:bCs/>
          <w:color w:val="auto"/>
          <w:sz w:val="22"/>
          <w:highlight w:val="none"/>
          <w:u w:val="single"/>
        </w:rPr>
        <w:t>本承诺函必须提供。</w:t>
      </w:r>
    </w:p>
    <w:p>
      <w:pPr>
        <w:spacing w:line="360" w:lineRule="auto"/>
        <w:ind w:left="4620" w:leftChars="2200"/>
        <w:rPr>
          <w:rFonts w:ascii="宋体" w:hAnsi="宋体" w:cs="宋体"/>
          <w:color w:val="auto"/>
          <w:szCs w:val="21"/>
          <w:highlight w:val="none"/>
        </w:rPr>
      </w:pPr>
    </w:p>
    <w:p>
      <w:pPr>
        <w:widowControl/>
        <w:spacing w:line="400" w:lineRule="exact"/>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投标人全称(电子签章)：</w:t>
      </w:r>
    </w:p>
    <w:p>
      <w:pPr>
        <w:widowControl/>
        <w:spacing w:line="400"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法定代表人或授权代表(签字或盖章)：</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    年    月    日</w:t>
      </w:r>
    </w:p>
    <w:p>
      <w:pPr>
        <w:pStyle w:val="15"/>
        <w:spacing w:after="0" w:line="400" w:lineRule="exact"/>
        <w:ind w:left="0" w:leftChars="0" w:right="0" w:rightChars="0"/>
        <w:rPr>
          <w:rFonts w:ascii="宋体" w:hAnsi="宋体" w:cs="宋体"/>
          <w:b/>
          <w:color w:val="auto"/>
          <w:sz w:val="24"/>
          <w:szCs w:val="24"/>
          <w:highlight w:val="none"/>
        </w:rPr>
      </w:pPr>
    </w:p>
    <w:p>
      <w:pPr>
        <w:spacing w:line="400" w:lineRule="exact"/>
        <w:rPr>
          <w:rFonts w:ascii="宋体" w:hAnsi="宋体" w:cs="宋体"/>
          <w:b/>
          <w:color w:val="auto"/>
          <w:sz w:val="24"/>
          <w:szCs w:val="24"/>
          <w:highlight w:val="none"/>
        </w:rPr>
      </w:pPr>
    </w:p>
    <w:p>
      <w:pPr>
        <w:spacing w:line="400" w:lineRule="exact"/>
        <w:rPr>
          <w:rFonts w:ascii="宋体" w:hAnsi="宋体" w:cs="宋体"/>
          <w:b/>
          <w:bCs/>
          <w:color w:val="auto"/>
          <w:sz w:val="22"/>
          <w:highlight w:val="none"/>
        </w:rPr>
      </w:pPr>
      <w:r>
        <w:rPr>
          <w:rFonts w:hint="eastAsia" w:ascii="宋体" w:hAnsi="宋体" w:cs="宋体"/>
          <w:b/>
          <w:color w:val="auto"/>
          <w:sz w:val="24"/>
          <w:szCs w:val="24"/>
          <w:highlight w:val="none"/>
        </w:rPr>
        <w:t>附件4-3</w:t>
      </w:r>
    </w:p>
    <w:p>
      <w:pPr>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投标人出版物经营许可证</w:t>
      </w: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pStyle w:val="12"/>
        <w:rPr>
          <w:rFonts w:ascii="宋体" w:hAnsi="宋体" w:cs="宋体"/>
          <w:color w:val="auto"/>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pStyle w:val="40"/>
        <w:rPr>
          <w:rFonts w:ascii="宋体" w:hAnsi="宋体" w:cs="宋体"/>
          <w:b/>
          <w:bCs/>
          <w:color w:val="auto"/>
          <w:sz w:val="22"/>
          <w:highlight w:val="none"/>
        </w:rPr>
      </w:pPr>
    </w:p>
    <w:p>
      <w:pPr>
        <w:pStyle w:val="40"/>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napToGrid w:val="0"/>
        <w:spacing w:beforeLines="50" w:after="50"/>
        <w:jc w:val="center"/>
        <w:outlineLvl w:val="1"/>
        <w:rPr>
          <w:rFonts w:ascii="宋体" w:hAnsi="宋体" w:cs="宋体"/>
          <w:b/>
          <w:bCs/>
          <w:color w:val="auto"/>
          <w:sz w:val="22"/>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附件4-4</w:t>
      </w:r>
    </w:p>
    <w:p>
      <w:pPr>
        <w:pStyle w:val="3"/>
        <w:numPr>
          <w:ilvl w:val="1"/>
          <w:numId w:val="0"/>
        </w:numPr>
        <w:spacing w:line="440" w:lineRule="exact"/>
        <w:jc w:val="center"/>
        <w:rPr>
          <w:rFonts w:ascii="宋体" w:hAnsi="宋体" w:cs="宋体"/>
          <w:color w:val="auto"/>
          <w:sz w:val="24"/>
          <w:highlight w:val="none"/>
        </w:rPr>
      </w:pPr>
      <w:r>
        <w:rPr>
          <w:rFonts w:hint="eastAsia" w:ascii="宋体" w:hAnsi="宋体" w:cs="宋体"/>
          <w:color w:val="auto"/>
          <w:sz w:val="24"/>
          <w:highlight w:val="none"/>
        </w:rPr>
        <w:t>联合体投标协议书(供应商为联合体的须提供，非联合体的无需提供。)</w:t>
      </w:r>
    </w:p>
    <w:p>
      <w:pPr>
        <w:snapToGrid w:val="0"/>
        <w:spacing w:line="400" w:lineRule="exact"/>
        <w:ind w:firstLine="442" w:firstLineChars="201"/>
        <w:rPr>
          <w:rFonts w:ascii="宋体" w:hAnsi="宋体" w:cs="宋体"/>
          <w:color w:val="auto"/>
          <w:kern w:val="0"/>
          <w:sz w:val="22"/>
          <w:highlight w:val="none"/>
          <w:lang w:val="zh-CN"/>
        </w:rPr>
      </w:pPr>
      <w:r>
        <w:rPr>
          <w:rFonts w:hint="eastAsia" w:ascii="宋体" w:hAnsi="宋体" w:cs="宋体"/>
          <w:color w:val="auto"/>
          <w:kern w:val="0"/>
          <w:sz w:val="22"/>
          <w:highlight w:val="none"/>
        </w:rPr>
        <w:t>_______</w:t>
      </w:r>
      <w:r>
        <w:rPr>
          <w:rFonts w:hint="eastAsia" w:ascii="宋体" w:hAnsi="宋体" w:cs="宋体"/>
          <w:color w:val="auto"/>
          <w:kern w:val="0"/>
          <w:sz w:val="22"/>
          <w:highlight w:val="none"/>
          <w:u w:val="single"/>
        </w:rPr>
        <w:t>（联合体所有成员名称）</w:t>
      </w:r>
      <w:r>
        <w:rPr>
          <w:rFonts w:hint="eastAsia" w:ascii="宋体" w:hAnsi="宋体" w:cs="宋体"/>
          <w:color w:val="auto"/>
          <w:kern w:val="0"/>
          <w:sz w:val="22"/>
          <w:highlight w:val="none"/>
        </w:rPr>
        <w:t>自愿</w:t>
      </w:r>
      <w:r>
        <w:rPr>
          <w:rFonts w:hint="eastAsia" w:ascii="宋体" w:hAnsi="宋体" w:cs="宋体"/>
          <w:color w:val="auto"/>
          <w:kern w:val="0"/>
          <w:sz w:val="22"/>
          <w:highlight w:val="none"/>
          <w:lang w:val="zh-CN"/>
        </w:rPr>
        <w:t>组成一个联合体，以一个供应商的身份</w:t>
      </w:r>
      <w:r>
        <w:rPr>
          <w:rFonts w:hint="eastAsia" w:ascii="宋体" w:hAnsi="宋体" w:cs="宋体"/>
          <w:color w:val="auto"/>
          <w:kern w:val="0"/>
          <w:sz w:val="22"/>
          <w:highlight w:val="none"/>
        </w:rPr>
        <w:t>参加_______</w:t>
      </w:r>
      <w:r>
        <w:rPr>
          <w:rFonts w:hint="eastAsia" w:ascii="宋体" w:hAnsi="宋体" w:cs="宋体"/>
          <w:color w:val="auto"/>
          <w:sz w:val="22"/>
          <w:highlight w:val="none"/>
        </w:rPr>
        <w:t>（项目名称）</w:t>
      </w:r>
      <w:r>
        <w:rPr>
          <w:rFonts w:hint="eastAsia" w:ascii="宋体" w:hAnsi="宋体" w:cs="宋体"/>
          <w:color w:val="auto"/>
          <w:kern w:val="0"/>
          <w:sz w:val="22"/>
          <w:highlight w:val="none"/>
        </w:rPr>
        <w:t>_______</w:t>
      </w:r>
      <w:r>
        <w:rPr>
          <w:rFonts w:hint="eastAsia" w:ascii="宋体" w:hAnsi="宋体" w:cs="宋体"/>
          <w:color w:val="auto"/>
          <w:sz w:val="22"/>
          <w:highlight w:val="none"/>
        </w:rPr>
        <w:t>（项目编号）</w:t>
      </w:r>
      <w:r>
        <w:rPr>
          <w:rFonts w:hint="eastAsia" w:ascii="宋体" w:hAnsi="宋体" w:cs="宋体"/>
          <w:bCs/>
          <w:color w:val="auto"/>
          <w:kern w:val="0"/>
          <w:sz w:val="22"/>
          <w:highlight w:val="none"/>
        </w:rPr>
        <w:t>的政府采购活动</w:t>
      </w:r>
      <w:r>
        <w:rPr>
          <w:rFonts w:hint="eastAsia" w:ascii="宋体" w:hAnsi="宋体" w:cs="宋体"/>
          <w:color w:val="auto"/>
          <w:kern w:val="0"/>
          <w:sz w:val="22"/>
          <w:highlight w:val="none"/>
          <w:lang w:val="zh-CN"/>
        </w:rPr>
        <w:t>。</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现就有关联合投标事宜订立协议如下： </w:t>
      </w:r>
    </w:p>
    <w:p>
      <w:pPr>
        <w:widowControl/>
        <w:numPr>
          <w:ilvl w:val="0"/>
          <w:numId w:val="20"/>
        </w:numPr>
        <w:spacing w:line="400" w:lineRule="exact"/>
        <w:jc w:val="left"/>
        <w:rPr>
          <w:rFonts w:ascii="宋体" w:hAnsi="宋体" w:cs="宋体"/>
          <w:color w:val="auto"/>
          <w:kern w:val="0"/>
          <w:sz w:val="22"/>
          <w:highlight w:val="none"/>
        </w:rPr>
      </w:pPr>
      <w:r>
        <w:rPr>
          <w:rFonts w:hint="eastAsia" w:ascii="宋体" w:hAnsi="宋体" w:cs="宋体"/>
          <w:color w:val="auto"/>
          <w:kern w:val="0"/>
          <w:sz w:val="22"/>
          <w:highlight w:val="none"/>
        </w:rPr>
        <w:t>_________</w:t>
      </w:r>
      <w:r>
        <w:rPr>
          <w:rFonts w:hint="eastAsia" w:ascii="宋体" w:hAnsi="宋体" w:cs="宋体"/>
          <w:color w:val="auto"/>
          <w:kern w:val="0"/>
          <w:sz w:val="22"/>
          <w:highlight w:val="none"/>
          <w:u w:val="single"/>
        </w:rPr>
        <w:t>（牵头人全称）</w:t>
      </w:r>
      <w:r>
        <w:rPr>
          <w:rFonts w:hint="eastAsia" w:ascii="宋体" w:hAnsi="宋体" w:cs="宋体"/>
          <w:color w:val="auto"/>
          <w:kern w:val="0"/>
          <w:sz w:val="22"/>
          <w:highlight w:val="none"/>
        </w:rPr>
        <w:t>_____________为联合体的牵头人，</w:t>
      </w:r>
    </w:p>
    <w:p>
      <w:pPr>
        <w:widowControl/>
        <w:spacing w:line="400" w:lineRule="exact"/>
        <w:jc w:val="left"/>
        <w:rPr>
          <w:rFonts w:ascii="宋体" w:hAnsi="宋体" w:cs="宋体"/>
          <w:color w:val="auto"/>
          <w:kern w:val="0"/>
          <w:sz w:val="22"/>
          <w:highlight w:val="none"/>
        </w:rPr>
      </w:pPr>
      <w:r>
        <w:rPr>
          <w:rFonts w:hint="eastAsia" w:ascii="宋体" w:hAnsi="宋体" w:cs="宋体"/>
          <w:color w:val="auto"/>
          <w:kern w:val="0"/>
          <w:sz w:val="22"/>
          <w:highlight w:val="none"/>
          <w:u w:val="single"/>
        </w:rPr>
        <w:t xml:space="preserve">       （联合体其他成员全称）</w:t>
      </w:r>
      <w:r>
        <w:rPr>
          <w:rFonts w:hint="eastAsia" w:ascii="宋体" w:hAnsi="宋体" w:cs="宋体"/>
          <w:color w:val="auto"/>
          <w:kern w:val="0"/>
          <w:sz w:val="22"/>
          <w:highlight w:val="none"/>
        </w:rPr>
        <w:t xml:space="preserve">_______________为联合体的成员方； </w:t>
      </w:r>
    </w:p>
    <w:p>
      <w:pPr>
        <w:pStyle w:val="12"/>
        <w:spacing w:line="400" w:lineRule="exact"/>
        <w:ind w:left="440" w:hanging="440"/>
        <w:rPr>
          <w:rFonts w:hAnsi="宋体" w:cs="宋体"/>
          <w:color w:val="auto"/>
          <w:sz w:val="22"/>
          <w:highlight w:val="none"/>
        </w:rPr>
      </w:pPr>
      <w:r>
        <w:rPr>
          <w:rFonts w:hint="eastAsia" w:hAnsi="宋体" w:cs="宋体"/>
          <w:color w:val="auto"/>
          <w:sz w:val="22"/>
          <w:highlight w:val="none"/>
        </w:rPr>
        <w:t>......</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2、联合体内部有关事项规定如下：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（1）由牵头人代表本联合体与采购人联系，负责协调工作。 </w:t>
      </w:r>
    </w:p>
    <w:p>
      <w:pPr>
        <w:widowControl/>
        <w:spacing w:line="400" w:lineRule="exact"/>
        <w:jc w:val="left"/>
        <w:rPr>
          <w:rFonts w:ascii="宋体" w:hAnsi="宋体" w:cs="宋体"/>
          <w:color w:val="auto"/>
          <w:sz w:val="22"/>
          <w:highlight w:val="none"/>
        </w:rPr>
      </w:pPr>
      <w:r>
        <w:rPr>
          <w:rFonts w:hint="eastAsia" w:ascii="宋体" w:hAnsi="宋体" w:cs="宋体"/>
          <w:b/>
          <w:color w:val="auto"/>
          <w:kern w:val="0"/>
          <w:sz w:val="22"/>
          <w:highlight w:val="none"/>
        </w:rPr>
        <w:t>（2）投标工作由联合体中的牵头人负责，由各方组成的投标小组具体实施；联合体中的牵头人代表所有联合体成员负责投标和合同实施阶段的主办、协调工作，联合体中的牵头人在</w:t>
      </w:r>
      <w:r>
        <w:rPr>
          <w:rFonts w:hint="eastAsia" w:ascii="宋体" w:hAnsi="宋体" w:cs="宋体"/>
          <w:b/>
          <w:color w:val="auto"/>
          <w:kern w:val="0"/>
          <w:sz w:val="22"/>
          <w:highlight w:val="none"/>
          <w:lang w:eastAsia="zh-CN"/>
        </w:rPr>
        <w:t>投标文件</w:t>
      </w:r>
      <w:r>
        <w:rPr>
          <w:rFonts w:hint="eastAsia" w:ascii="宋体" w:hAnsi="宋体" w:cs="宋体"/>
          <w:b/>
          <w:color w:val="auto"/>
          <w:kern w:val="0"/>
          <w:sz w:val="22"/>
          <w:highlight w:val="none"/>
        </w:rPr>
        <w:t xml:space="preserve">中的所有承诺均代表了联合体各成员的真实意愿。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（3）联合体将严格按照</w:t>
      </w:r>
      <w:r>
        <w:rPr>
          <w:rFonts w:hint="eastAsia" w:ascii="宋体" w:hAnsi="宋体" w:cs="宋体"/>
          <w:color w:val="auto"/>
          <w:kern w:val="0"/>
          <w:sz w:val="22"/>
          <w:highlight w:val="none"/>
          <w:lang w:eastAsia="zh-CN"/>
        </w:rPr>
        <w:t>招标</w:t>
      </w:r>
      <w:r>
        <w:rPr>
          <w:rFonts w:hint="eastAsia" w:ascii="宋体" w:hAnsi="宋体" w:cs="宋体"/>
          <w:color w:val="auto"/>
          <w:kern w:val="0"/>
          <w:sz w:val="22"/>
          <w:highlight w:val="none"/>
        </w:rPr>
        <w:t>文件的各项要求，递交</w:t>
      </w:r>
      <w:r>
        <w:rPr>
          <w:rFonts w:hint="eastAsia" w:ascii="宋体" w:hAnsi="宋体" w:cs="宋体"/>
          <w:color w:val="auto"/>
          <w:kern w:val="0"/>
          <w:sz w:val="22"/>
          <w:highlight w:val="none"/>
          <w:lang w:eastAsia="zh-CN"/>
        </w:rPr>
        <w:t>投标文件</w:t>
      </w:r>
      <w:r>
        <w:rPr>
          <w:rFonts w:hint="eastAsia" w:ascii="宋体" w:hAnsi="宋体" w:cs="宋体"/>
          <w:color w:val="auto"/>
          <w:kern w:val="0"/>
          <w:sz w:val="22"/>
          <w:highlight w:val="none"/>
        </w:rPr>
        <w:t xml:space="preserve">，切实执行一切合同文件，共同承担合同规定的一切义务和责任，同时按照内部职责的划分，承担自身所负的责任和风险，在法律上承担连带责任。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（4）如中标，联合体内部将遵守以下规定：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a．联合体牵头人和成员共同与采购人签订采购合同，并就中标项目向采购人负责有连带的和各自的法律责任；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b．联合体牵头人代表联合体成员接收采购人的指令、指示和通知，并且在整个合同实施过程中的全部事宜（包括合同款支付）均由联合体牵头人负责； </w:t>
      </w:r>
    </w:p>
    <w:p>
      <w:pPr>
        <w:widowControl/>
        <w:spacing w:line="400" w:lineRule="exact"/>
        <w:jc w:val="left"/>
        <w:rPr>
          <w:rFonts w:ascii="宋体" w:hAnsi="宋体" w:cs="宋体"/>
          <w:color w:val="auto"/>
          <w:sz w:val="22"/>
          <w:highlight w:val="none"/>
        </w:rPr>
      </w:pPr>
      <w:r>
        <w:rPr>
          <w:rFonts w:hint="eastAsia" w:ascii="宋体" w:hAnsi="宋体" w:cs="宋体"/>
          <w:b/>
          <w:color w:val="auto"/>
          <w:kern w:val="0"/>
          <w:sz w:val="22"/>
          <w:highlight w:val="none"/>
        </w:rPr>
        <w:t xml:space="preserve">c．联合体各方承担的工作和义务详细安排如下：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___________________________________________________________________________________</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___________________________________________________________________________________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___________________________________________________________________________________</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___________________________________________________________________________________ </w:t>
      </w:r>
    </w:p>
    <w:p>
      <w:pPr>
        <w:widowControl/>
        <w:spacing w:line="400" w:lineRule="exact"/>
        <w:jc w:val="left"/>
        <w:rPr>
          <w:rFonts w:ascii="宋体" w:hAnsi="宋体" w:cs="宋体"/>
          <w:color w:val="auto"/>
          <w:sz w:val="22"/>
          <w:highlight w:val="none"/>
        </w:rPr>
      </w:pPr>
      <w:r>
        <w:rPr>
          <w:rFonts w:hint="eastAsia" w:ascii="宋体" w:hAnsi="宋体" w:cs="宋体"/>
          <w:b/>
          <w:color w:val="auto"/>
          <w:kern w:val="0"/>
          <w:sz w:val="22"/>
          <w:highlight w:val="none"/>
        </w:rPr>
        <w:t xml:space="preserve">（5）投标工作和联合体在中标后项目实施过程中的有关合同占比按各自承担的工作量分摊，具体说明如下： </w:t>
      </w:r>
    </w:p>
    <w:p>
      <w:pPr>
        <w:widowControl/>
        <w:spacing w:line="400" w:lineRule="exact"/>
        <w:jc w:val="left"/>
        <w:rPr>
          <w:rFonts w:ascii="宋体" w:hAnsi="宋体" w:cs="宋体"/>
          <w:color w:val="auto"/>
          <w:kern w:val="0"/>
          <w:sz w:val="22"/>
          <w:highlight w:val="none"/>
        </w:rPr>
      </w:pPr>
      <w:r>
        <w:rPr>
          <w:rFonts w:hint="eastAsia" w:ascii="宋体" w:hAnsi="宋体" w:cs="宋体"/>
          <w:color w:val="auto"/>
          <w:kern w:val="0"/>
          <w:sz w:val="22"/>
          <w:highlight w:val="none"/>
          <w:u w:val="single"/>
        </w:rPr>
        <w:t>（牵头人全称）</w:t>
      </w:r>
      <w:r>
        <w:rPr>
          <w:rFonts w:hint="eastAsia" w:ascii="宋体" w:hAnsi="宋体" w:cs="宋体"/>
          <w:color w:val="auto"/>
          <w:kern w:val="0"/>
          <w:sz w:val="22"/>
          <w:highlight w:val="none"/>
        </w:rPr>
        <w:t>合同占比：_______%</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u w:val="single"/>
        </w:rPr>
        <w:t>（联合体其他成员全称）</w:t>
      </w:r>
      <w:r>
        <w:rPr>
          <w:rFonts w:hint="eastAsia" w:ascii="宋体" w:hAnsi="宋体" w:cs="宋体"/>
          <w:color w:val="auto"/>
          <w:kern w:val="0"/>
          <w:sz w:val="22"/>
          <w:highlight w:val="none"/>
        </w:rPr>
        <w:t>合同占比：_______%</w:t>
      </w:r>
    </w:p>
    <w:p>
      <w:pPr>
        <w:snapToGrid w:val="0"/>
        <w:spacing w:line="400" w:lineRule="exact"/>
        <w:rPr>
          <w:rFonts w:ascii="宋体" w:hAnsi="宋体" w:cs="宋体"/>
          <w:color w:val="auto"/>
          <w:kern w:val="0"/>
          <w:sz w:val="22"/>
          <w:highlight w:val="none"/>
          <w:lang w:val="zh-CN"/>
        </w:rPr>
      </w:pPr>
      <w:r>
        <w:rPr>
          <w:rFonts w:hint="eastAsia" w:ascii="宋体" w:hAnsi="宋体" w:cs="宋体"/>
          <w:color w:val="auto"/>
          <w:kern w:val="0"/>
          <w:sz w:val="22"/>
          <w:highlight w:val="none"/>
        </w:rPr>
        <w:t>3</w:t>
      </w:r>
      <w:r>
        <w:rPr>
          <w:rFonts w:hint="eastAsia" w:ascii="宋体" w:hAnsi="宋体" w:cs="宋体"/>
          <w:color w:val="auto"/>
          <w:kern w:val="0"/>
          <w:sz w:val="22"/>
          <w:highlight w:val="none"/>
          <w:lang w:val="zh-CN"/>
        </w:rPr>
        <w:t>、有关本次联合响应的其他事宜：</w:t>
      </w:r>
    </w:p>
    <w:p>
      <w:pPr>
        <w:snapToGrid w:val="0"/>
        <w:spacing w:line="40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w:t>
      </w:r>
      <w:r>
        <w:rPr>
          <w:rFonts w:hint="eastAsia" w:ascii="宋体" w:hAnsi="宋体" w:cs="宋体"/>
          <w:color w:val="auto"/>
          <w:kern w:val="0"/>
          <w:sz w:val="22"/>
          <w:highlight w:val="none"/>
        </w:rPr>
        <w:t>1</w:t>
      </w:r>
      <w:r>
        <w:rPr>
          <w:rFonts w:hint="eastAsia" w:ascii="宋体" w:hAnsi="宋体" w:cs="宋体"/>
          <w:color w:val="auto"/>
          <w:kern w:val="0"/>
          <w:sz w:val="22"/>
          <w:highlight w:val="none"/>
          <w:lang w:val="zh-CN"/>
        </w:rPr>
        <w:t>）联合体各方不再单独参加或者与其他供应商另外组成联合体参加同一合同项下的政府采购活动。</w:t>
      </w:r>
    </w:p>
    <w:p>
      <w:pPr>
        <w:snapToGrid w:val="0"/>
        <w:spacing w:line="40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w:t>
      </w:r>
      <w:r>
        <w:rPr>
          <w:rFonts w:hint="eastAsia" w:ascii="宋体" w:hAnsi="宋体" w:cs="宋体"/>
          <w:color w:val="auto"/>
          <w:kern w:val="0"/>
          <w:sz w:val="22"/>
          <w:highlight w:val="none"/>
        </w:rPr>
        <w:t>2</w:t>
      </w:r>
      <w:r>
        <w:rPr>
          <w:rFonts w:hint="eastAsia" w:ascii="宋体" w:hAnsi="宋体" w:cs="宋体"/>
          <w:color w:val="auto"/>
          <w:kern w:val="0"/>
          <w:sz w:val="22"/>
          <w:highlight w:val="none"/>
          <w:lang w:val="zh-CN"/>
        </w:rPr>
        <w:t>）联合体中有同类资质的各方按照联合体分工承担相同工作的，按照资质等级较低的供应商确定资质等级。</w:t>
      </w:r>
    </w:p>
    <w:p>
      <w:pPr>
        <w:snapToGrid w:val="0"/>
        <w:spacing w:line="400" w:lineRule="exac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w:t>
      </w:r>
      <w:r>
        <w:rPr>
          <w:rFonts w:hint="eastAsia" w:ascii="宋体" w:hAnsi="宋体" w:cs="宋体"/>
          <w:color w:val="auto"/>
          <w:kern w:val="0"/>
          <w:sz w:val="22"/>
          <w:highlight w:val="none"/>
        </w:rPr>
        <w:t>3</w:t>
      </w:r>
      <w:r>
        <w:rPr>
          <w:rFonts w:hint="eastAsia" w:ascii="宋体" w:hAnsi="宋体" w:cs="宋体"/>
          <w:color w:val="auto"/>
          <w:kern w:val="0"/>
          <w:sz w:val="22"/>
          <w:highlight w:val="none"/>
          <w:lang w:val="zh-CN"/>
        </w:rPr>
        <w:t>）本协议提交采购人、采购机构后，联合体各方不得以任何形式对上述内容进行修改或撤销。</w:t>
      </w:r>
    </w:p>
    <w:p>
      <w:pPr>
        <w:snapToGrid w:val="0"/>
        <w:spacing w:line="400" w:lineRule="exact"/>
        <w:rPr>
          <w:rFonts w:ascii="宋体" w:hAnsi="宋体" w:cs="宋体"/>
          <w:color w:val="auto"/>
          <w:kern w:val="0"/>
          <w:sz w:val="22"/>
          <w:highlight w:val="none"/>
        </w:rPr>
      </w:pPr>
      <w:r>
        <w:rPr>
          <w:rFonts w:hint="eastAsia" w:ascii="宋体" w:hAnsi="宋体" w:cs="宋体"/>
          <w:color w:val="auto"/>
          <w:kern w:val="0"/>
          <w:sz w:val="22"/>
          <w:highlight w:val="none"/>
        </w:rPr>
        <w:t xml:space="preserve">4、本协议书自签署之日起生效，在上述（4）a 所述的合同书规定的期限之后自行失效；如中标后，联合体内部另有协议的，联合体牵头人应将该协议书原件送交采购人。 </w:t>
      </w:r>
    </w:p>
    <w:p>
      <w:pPr>
        <w:widowControl/>
        <w:spacing w:line="400" w:lineRule="exact"/>
        <w:jc w:val="left"/>
        <w:rPr>
          <w:rFonts w:ascii="宋体" w:hAnsi="宋体" w:cs="宋体"/>
          <w:color w:val="auto"/>
          <w:kern w:val="0"/>
          <w:sz w:val="22"/>
          <w:highlight w:val="none"/>
        </w:rPr>
      </w:pPr>
      <w:r>
        <w:rPr>
          <w:rFonts w:hint="eastAsia" w:ascii="宋体" w:hAnsi="宋体" w:cs="宋体"/>
          <w:color w:val="auto"/>
          <w:kern w:val="0"/>
          <w:sz w:val="22"/>
          <w:highlight w:val="none"/>
        </w:rPr>
        <w:t>5、如中标，本项目的采购代理服务费由联合体牵头人缴纳，合同款支付至合同约定的牵头人账号。</w:t>
      </w:r>
    </w:p>
    <w:p>
      <w:pPr>
        <w:widowControl/>
        <w:spacing w:line="400" w:lineRule="exact"/>
        <w:jc w:val="left"/>
        <w:rPr>
          <w:rFonts w:ascii="宋体" w:hAnsi="宋体" w:cs="宋体"/>
          <w:color w:val="auto"/>
          <w:kern w:val="0"/>
          <w:sz w:val="22"/>
          <w:highlight w:val="none"/>
        </w:rPr>
      </w:pPr>
    </w:p>
    <w:p>
      <w:pPr>
        <w:widowControl/>
        <w:spacing w:line="400" w:lineRule="exact"/>
        <w:jc w:val="left"/>
        <w:rPr>
          <w:rFonts w:ascii="宋体" w:hAnsi="宋体" w:cs="宋体"/>
          <w:color w:val="auto"/>
          <w:kern w:val="0"/>
          <w:sz w:val="22"/>
          <w:highlight w:val="none"/>
        </w:rPr>
      </w:pPr>
      <w:r>
        <w:rPr>
          <w:rFonts w:hint="eastAsia" w:ascii="宋体" w:hAnsi="宋体" w:cs="宋体"/>
          <w:color w:val="auto"/>
          <w:kern w:val="0"/>
          <w:sz w:val="22"/>
          <w:highlight w:val="none"/>
        </w:rPr>
        <w:t>联合体成员1：                                        联合体成员2：</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单位名称（盖章）：                                   单位名称（盖章）：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地址：                                               地址：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法定代表人或授权代表（签字或盖章）：                 法定代表人或授权代表（签字或盖章）：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联系方式：                                           联系方式： </w:t>
      </w:r>
    </w:p>
    <w:p>
      <w:pPr>
        <w:widowControl/>
        <w:spacing w:line="400" w:lineRule="exact"/>
        <w:jc w:val="left"/>
        <w:rPr>
          <w:rFonts w:ascii="宋体" w:hAnsi="宋体" w:cs="宋体"/>
          <w:color w:val="auto"/>
          <w:kern w:val="0"/>
          <w:sz w:val="22"/>
          <w:highlight w:val="none"/>
        </w:rPr>
      </w:pPr>
      <w:r>
        <w:rPr>
          <w:rFonts w:hint="eastAsia" w:ascii="宋体" w:hAnsi="宋体" w:cs="宋体"/>
          <w:color w:val="auto"/>
          <w:kern w:val="0"/>
          <w:sz w:val="22"/>
          <w:highlight w:val="none"/>
        </w:rPr>
        <w:t>协议签订时间：                                       协议签订时间：</w:t>
      </w:r>
    </w:p>
    <w:p>
      <w:pPr>
        <w:spacing w:line="360" w:lineRule="auto"/>
        <w:rPr>
          <w:rFonts w:ascii="宋体" w:hAnsi="宋体" w:cs="宋体"/>
          <w:color w:val="auto"/>
          <w:spacing w:val="-6"/>
          <w:sz w:val="24"/>
          <w:highlight w:val="none"/>
        </w:rPr>
      </w:pPr>
    </w:p>
    <w:p>
      <w:pPr>
        <w:spacing w:line="360" w:lineRule="auto"/>
        <w:rPr>
          <w:rFonts w:ascii="宋体" w:hAnsi="宋体" w:cs="宋体"/>
          <w:color w:val="auto"/>
          <w:spacing w:val="-6"/>
          <w:sz w:val="24"/>
          <w:highlight w:val="none"/>
        </w:rPr>
      </w:pPr>
    </w:p>
    <w:p>
      <w:pPr>
        <w:spacing w:line="360" w:lineRule="auto"/>
        <w:rPr>
          <w:rFonts w:ascii="宋体" w:hAnsi="宋体" w:cs="宋体"/>
          <w:color w:val="auto"/>
          <w:spacing w:val="-6"/>
          <w:sz w:val="24"/>
          <w:highlight w:val="none"/>
        </w:rPr>
      </w:pPr>
    </w:p>
    <w:p>
      <w:pPr>
        <w:pStyle w:val="11"/>
        <w:ind w:firstLine="229"/>
        <w:rPr>
          <w:rFonts w:ascii="宋体" w:hAnsi="宋体" w:cs="宋体"/>
          <w:color w:val="auto"/>
          <w:spacing w:val="-6"/>
          <w:sz w:val="24"/>
          <w:highlight w:val="none"/>
        </w:rPr>
      </w:pPr>
    </w:p>
    <w:p>
      <w:pPr>
        <w:pStyle w:val="25"/>
        <w:ind w:firstLine="456"/>
        <w:rPr>
          <w:rFonts w:ascii="宋体" w:hAnsi="宋体" w:cs="宋体"/>
          <w:color w:val="auto"/>
          <w:spacing w:val="-6"/>
          <w:sz w:val="24"/>
          <w:highlight w:val="none"/>
        </w:rPr>
      </w:pPr>
    </w:p>
    <w:p>
      <w:pPr>
        <w:rPr>
          <w:rFonts w:ascii="宋体" w:hAnsi="宋体" w:cs="宋体"/>
          <w:color w:val="auto"/>
          <w:spacing w:val="-6"/>
          <w:sz w:val="24"/>
          <w:highlight w:val="none"/>
        </w:rPr>
      </w:pPr>
    </w:p>
    <w:p>
      <w:pPr>
        <w:pStyle w:val="11"/>
        <w:ind w:firstLine="229"/>
        <w:rPr>
          <w:rFonts w:ascii="宋体" w:hAnsi="宋体" w:cs="宋体"/>
          <w:color w:val="auto"/>
          <w:spacing w:val="-6"/>
          <w:sz w:val="24"/>
          <w:highlight w:val="none"/>
        </w:rPr>
      </w:pPr>
    </w:p>
    <w:p>
      <w:pPr>
        <w:pStyle w:val="25"/>
        <w:ind w:firstLine="456"/>
        <w:rPr>
          <w:rFonts w:ascii="宋体" w:hAnsi="宋体" w:cs="宋体"/>
          <w:color w:val="auto"/>
          <w:spacing w:val="-6"/>
          <w:sz w:val="24"/>
          <w:highlight w:val="none"/>
        </w:rPr>
      </w:pPr>
    </w:p>
    <w:p>
      <w:pPr>
        <w:rPr>
          <w:rFonts w:ascii="宋体" w:hAnsi="宋体" w:cs="宋体"/>
          <w:color w:val="auto"/>
          <w:spacing w:val="-6"/>
          <w:sz w:val="24"/>
          <w:highlight w:val="none"/>
        </w:rPr>
      </w:pPr>
    </w:p>
    <w:p>
      <w:pPr>
        <w:pStyle w:val="11"/>
        <w:ind w:firstLine="229"/>
        <w:rPr>
          <w:rFonts w:ascii="宋体" w:hAnsi="宋体" w:cs="宋体"/>
          <w:color w:val="auto"/>
          <w:spacing w:val="-6"/>
          <w:sz w:val="24"/>
          <w:highlight w:val="none"/>
        </w:rPr>
      </w:pPr>
    </w:p>
    <w:p>
      <w:pPr>
        <w:pStyle w:val="25"/>
        <w:ind w:firstLine="456"/>
        <w:rPr>
          <w:rFonts w:ascii="宋体" w:hAnsi="宋体" w:cs="宋体"/>
          <w:color w:val="auto"/>
          <w:spacing w:val="-6"/>
          <w:sz w:val="24"/>
          <w:highlight w:val="none"/>
        </w:rPr>
      </w:pPr>
    </w:p>
    <w:p>
      <w:pPr>
        <w:rPr>
          <w:rFonts w:ascii="宋体" w:hAnsi="宋体" w:cs="宋体"/>
          <w:color w:val="auto"/>
          <w:spacing w:val="-6"/>
          <w:sz w:val="24"/>
          <w:highlight w:val="none"/>
        </w:rPr>
      </w:pPr>
    </w:p>
    <w:p>
      <w:pPr>
        <w:pStyle w:val="11"/>
        <w:ind w:firstLine="229"/>
        <w:rPr>
          <w:rFonts w:ascii="宋体" w:hAnsi="宋体" w:cs="宋体"/>
          <w:color w:val="auto"/>
          <w:spacing w:val="-6"/>
          <w:sz w:val="24"/>
          <w:highlight w:val="none"/>
        </w:rPr>
      </w:pPr>
    </w:p>
    <w:p>
      <w:pPr>
        <w:pStyle w:val="25"/>
        <w:ind w:firstLine="456"/>
        <w:rPr>
          <w:rFonts w:ascii="宋体" w:hAnsi="宋体" w:cs="宋体"/>
          <w:color w:val="auto"/>
          <w:spacing w:val="-6"/>
          <w:sz w:val="24"/>
          <w:highlight w:val="none"/>
        </w:rPr>
      </w:pPr>
    </w:p>
    <w:p>
      <w:pPr>
        <w:rPr>
          <w:rFonts w:ascii="宋体" w:hAnsi="宋体" w:cs="宋体"/>
          <w:color w:val="auto"/>
          <w:spacing w:val="-6"/>
          <w:sz w:val="24"/>
          <w:highlight w:val="none"/>
        </w:rPr>
      </w:pPr>
    </w:p>
    <w:p>
      <w:pPr>
        <w:pStyle w:val="11"/>
        <w:ind w:firstLine="229"/>
        <w:rPr>
          <w:rFonts w:ascii="宋体" w:hAnsi="宋体" w:cs="宋体"/>
          <w:color w:val="auto"/>
          <w:spacing w:val="-6"/>
          <w:sz w:val="24"/>
          <w:highlight w:val="none"/>
        </w:rPr>
      </w:pPr>
    </w:p>
    <w:p>
      <w:pPr>
        <w:pStyle w:val="25"/>
        <w:ind w:firstLine="456"/>
        <w:rPr>
          <w:rFonts w:ascii="宋体" w:hAnsi="宋体" w:cs="宋体"/>
          <w:color w:val="auto"/>
          <w:spacing w:val="-6"/>
          <w:sz w:val="24"/>
          <w:highlight w:val="none"/>
        </w:rPr>
      </w:pPr>
    </w:p>
    <w:p>
      <w:pPr>
        <w:rPr>
          <w:color w:val="auto"/>
          <w:highlight w:val="none"/>
        </w:rPr>
      </w:pPr>
    </w:p>
    <w:p>
      <w:pPr>
        <w:spacing w:line="360" w:lineRule="auto"/>
        <w:rPr>
          <w:rFonts w:ascii="宋体" w:hAnsi="宋体" w:cs="宋体"/>
          <w:color w:val="auto"/>
          <w:spacing w:val="-6"/>
          <w:sz w:val="24"/>
          <w:highlight w:val="none"/>
        </w:rPr>
      </w:pPr>
    </w:p>
    <w:p>
      <w:pPr>
        <w:snapToGrid w:val="0"/>
        <w:spacing w:beforeLines="50" w:after="50"/>
        <w:jc w:val="center"/>
        <w:outlineLvl w:val="1"/>
        <w:rPr>
          <w:rFonts w:ascii="宋体" w:hAnsi="宋体" w:cs="宋体"/>
          <w:b/>
          <w:color w:val="auto"/>
          <w:sz w:val="24"/>
          <w:highlight w:val="none"/>
        </w:rPr>
      </w:pPr>
      <w:r>
        <w:rPr>
          <w:rFonts w:hint="eastAsia" w:ascii="宋体" w:hAnsi="宋体" w:cs="宋体"/>
          <w:b/>
          <w:bCs/>
          <w:color w:val="auto"/>
          <w:sz w:val="24"/>
          <w:highlight w:val="none"/>
        </w:rPr>
        <w:t>三、商务和技术文件部分封面格式</w:t>
      </w:r>
    </w:p>
    <w:p>
      <w:pPr>
        <w:snapToGrid w:val="0"/>
        <w:spacing w:beforeLines="50" w:after="50"/>
        <w:jc w:val="center"/>
        <w:outlineLvl w:val="1"/>
        <w:rPr>
          <w:rFonts w:ascii="宋体" w:hAnsi="宋体" w:cs="宋体"/>
          <w:b/>
          <w:bCs/>
          <w:color w:val="auto"/>
          <w:sz w:val="24"/>
          <w:highlight w:val="none"/>
        </w:rPr>
      </w:pPr>
    </w:p>
    <w:p>
      <w:pPr>
        <w:pStyle w:val="15"/>
        <w:ind w:left="0" w:leftChars="0" w:right="1470"/>
        <w:rPr>
          <w:rFonts w:ascii="宋体" w:hAnsi="宋体" w:cs="宋体"/>
          <w:b/>
          <w:color w:val="auto"/>
          <w:sz w:val="24"/>
          <w:szCs w:val="24"/>
          <w:highlight w:val="none"/>
        </w:rPr>
      </w:pPr>
    </w:p>
    <w:p>
      <w:pPr>
        <w:snapToGrid w:val="0"/>
        <w:spacing w:line="400" w:lineRule="exact"/>
        <w:jc w:val="center"/>
        <w:outlineLvl w:val="1"/>
        <w:rPr>
          <w:rFonts w:ascii="宋体" w:hAnsi="宋体" w:cs="宋体"/>
          <w:b/>
          <w:bCs/>
          <w:color w:val="auto"/>
          <w:sz w:val="24"/>
          <w:szCs w:val="20"/>
          <w:highlight w:val="none"/>
        </w:rPr>
      </w:pPr>
    </w:p>
    <w:p>
      <w:pPr>
        <w:snapToGrid w:val="0"/>
        <w:spacing w:line="400" w:lineRule="exact"/>
        <w:jc w:val="center"/>
        <w:rPr>
          <w:rFonts w:ascii="宋体" w:hAnsi="宋体" w:cs="宋体"/>
          <w:bCs/>
          <w:color w:val="auto"/>
          <w:sz w:val="24"/>
          <w:szCs w:val="20"/>
          <w:highlight w:val="none"/>
        </w:rPr>
      </w:pPr>
      <w:r>
        <w:rPr>
          <w:rFonts w:ascii="宋体" w:hAnsi="宋体" w:cs="宋体"/>
          <w:b/>
          <w:bCs/>
          <w:color w:val="auto"/>
          <w:sz w:val="24"/>
          <w:highlight w:val="none"/>
        </w:rPr>
        <w:pict>
          <v:shape id="_x0000_s1029" o:spid="_x0000_s1029" o:spt="202" type="#_x0000_t202" style="position:absolute;left:0pt;margin-left:30.7pt;margin-top:16pt;height:263.35pt;width:399.75pt;mso-wrap-distance-bottom:0pt;mso-wrap-distance-top:0pt;z-index:251660288;mso-width-relative:page;mso-height-relative:page;" coordsize="21600,21600" o:gfxdata="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M6LE&#10;N9kAAAAJAQAADwAAAAAAAAABACAAAAAiAAAAZHJzL2Rvd25yZXYueG1sUEsBAhQAFAAAAAgAh07i&#10;QAO6tDwhAgAAagQAAA4AAAAAAAAAAQAgAAAAKAEAAGRycy9lMm9Eb2MueG1sUEsFBgAAAAAGAAYA&#10;WQEAALsFAAAAAA==&#10;">
            <v:path/>
            <v:fill focussize="0,0"/>
            <v:stroke joinstyle="miter"/>
            <v:imagedata o:title=""/>
            <o:lock v:ext="edit" rotation="t"/>
            <v:textbox>
              <w:txbxContent>
                <w:p>
                  <w:pPr>
                    <w:snapToGrid w:val="0"/>
                    <w:spacing w:beforeLines="50" w:after="50"/>
                    <w:jc w:val="right"/>
                    <w:rPr>
                      <w:rFonts w:ascii="宋体" w:hAnsi="宋体"/>
                      <w:b/>
                      <w:bCs/>
                      <w:sz w:val="32"/>
                      <w:szCs w:val="20"/>
                    </w:rPr>
                  </w:pPr>
                </w:p>
                <w:p>
                  <w:pPr>
                    <w:snapToGrid w:val="0"/>
                    <w:spacing w:beforeLines="50" w:after="50"/>
                    <w:ind w:left="-850" w:leftChars="-405"/>
                    <w:rPr>
                      <w:rFonts w:ascii="宋体" w:hAnsi="宋体"/>
                      <w:sz w:val="24"/>
                      <w:szCs w:val="20"/>
                    </w:rPr>
                  </w:pPr>
                </w:p>
                <w:p>
                  <w:pPr>
                    <w:snapToGrid w:val="0"/>
                    <w:spacing w:beforeLines="50" w:after="50"/>
                    <w:jc w:val="center"/>
                    <w:rPr>
                      <w:rFonts w:ascii="宋体" w:hAnsi="宋体"/>
                      <w:bCs/>
                      <w:sz w:val="24"/>
                      <w:szCs w:val="20"/>
                    </w:rPr>
                  </w:pPr>
                  <w:r>
                    <w:rPr>
                      <w:rFonts w:hint="eastAsia" w:ascii="宋体" w:hAnsi="宋体"/>
                      <w:bCs/>
                      <w:sz w:val="24"/>
                      <w:szCs w:val="20"/>
                    </w:rPr>
                    <w:t>商务和技术文件</w:t>
                  </w:r>
                </w:p>
                <w:p>
                  <w:pPr>
                    <w:snapToGrid w:val="0"/>
                    <w:spacing w:beforeLines="50" w:after="50"/>
                    <w:rPr>
                      <w:rFonts w:ascii="宋体" w:hAnsi="宋体"/>
                      <w:bCs/>
                      <w:sz w:val="24"/>
                      <w:szCs w:val="20"/>
                    </w:rPr>
                  </w:pPr>
                </w:p>
                <w:p>
                  <w:pPr>
                    <w:snapToGrid w:val="0"/>
                    <w:spacing w:beforeLines="50" w:after="50"/>
                    <w:ind w:firstLine="1068" w:firstLineChars="445"/>
                    <w:rPr>
                      <w:rFonts w:ascii="宋体" w:hAnsi="宋体"/>
                      <w:bCs/>
                      <w:sz w:val="24"/>
                    </w:rPr>
                  </w:pPr>
                  <w:r>
                    <w:rPr>
                      <w:rFonts w:hint="eastAsia" w:ascii="宋体" w:hAnsi="宋体"/>
                      <w:bCs/>
                      <w:sz w:val="24"/>
                    </w:rPr>
                    <w:t>项目名称：</w:t>
                  </w:r>
                </w:p>
                <w:p>
                  <w:pPr>
                    <w:snapToGrid w:val="0"/>
                    <w:spacing w:beforeLines="50" w:after="50"/>
                    <w:ind w:firstLine="1068" w:firstLineChars="445"/>
                    <w:rPr>
                      <w:rFonts w:ascii="宋体" w:hAnsi="宋体"/>
                      <w:bCs/>
                      <w:sz w:val="24"/>
                    </w:rPr>
                  </w:pPr>
                  <w:r>
                    <w:rPr>
                      <w:rFonts w:hint="eastAsia" w:ascii="宋体" w:hAnsi="宋体"/>
                      <w:bCs/>
                      <w:sz w:val="24"/>
                    </w:rPr>
                    <w:t>项目编号：</w:t>
                  </w:r>
                </w:p>
                <w:p>
                  <w:pPr>
                    <w:snapToGrid w:val="0"/>
                    <w:spacing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pPr>
                    <w:snapToGrid w:val="0"/>
                    <w:spacing w:beforeLines="50" w:after="50"/>
                    <w:ind w:firstLine="1068" w:firstLineChars="445"/>
                    <w:rPr>
                      <w:rFonts w:ascii="宋体" w:hAnsi="宋体"/>
                      <w:bCs/>
                      <w:sz w:val="24"/>
                    </w:rPr>
                  </w:pPr>
                  <w:r>
                    <w:rPr>
                      <w:rFonts w:hint="eastAsia" w:ascii="宋体" w:hAnsi="宋体"/>
                      <w:bCs/>
                      <w:sz w:val="24"/>
                    </w:rPr>
                    <w:t>标项：</w:t>
                  </w:r>
                </w:p>
                <w:p>
                  <w:pPr>
                    <w:snapToGrid w:val="0"/>
                    <w:spacing w:beforeLines="50" w:after="50"/>
                    <w:ind w:firstLine="1068" w:firstLineChars="445"/>
                    <w:rPr>
                      <w:rFonts w:ascii="宋体" w:hAnsi="宋体"/>
                      <w:bCs/>
                      <w:sz w:val="24"/>
                    </w:rPr>
                  </w:pPr>
                  <w:r>
                    <w:rPr>
                      <w:rFonts w:hint="eastAsia" w:ascii="宋体" w:hAnsi="宋体"/>
                      <w:bCs/>
                      <w:sz w:val="24"/>
                    </w:rPr>
                    <w:t>投标人地址：</w:t>
                  </w:r>
                </w:p>
                <w:p>
                  <w:pPr>
                    <w:snapToGrid w:val="0"/>
                    <w:spacing w:beforeLines="50" w:after="50"/>
                    <w:ind w:firstLine="1068" w:firstLineChars="445"/>
                    <w:rPr>
                      <w:rFonts w:ascii="宋体" w:hAnsi="宋体"/>
                      <w:bCs/>
                      <w:sz w:val="24"/>
                    </w:rPr>
                  </w:pPr>
                </w:p>
                <w:p>
                  <w:pPr>
                    <w:snapToGrid w:val="0"/>
                    <w:spacing w:beforeLines="50" w:after="50"/>
                    <w:ind w:firstLine="4080" w:firstLineChars="1700"/>
                    <w:rPr>
                      <w:rFonts w:ascii="宋体" w:hAnsi="宋体"/>
                      <w:sz w:val="24"/>
                      <w:szCs w:val="20"/>
                    </w:rPr>
                  </w:pPr>
                </w:p>
                <w:p>
                  <w:r>
                    <w:rPr>
                      <w:rFonts w:hint="eastAsia"/>
                      <w:sz w:val="24"/>
                    </w:rPr>
                    <w:t>年月日</w:t>
                  </w:r>
                </w:p>
              </w:txbxContent>
            </v:textbox>
            <w10:wrap type="topAndBottom"/>
          </v:shape>
        </w:pict>
      </w:r>
    </w:p>
    <w:p>
      <w:pPr>
        <w:snapToGrid w:val="0"/>
        <w:spacing w:beforeLines="50" w:after="50"/>
        <w:jc w:val="center"/>
        <w:outlineLvl w:val="1"/>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pStyle w:val="15"/>
        <w:ind w:left="1470" w:right="1470"/>
        <w:rPr>
          <w:rFonts w:ascii="宋体" w:hAnsi="宋体" w:cs="宋体"/>
          <w:b/>
          <w:bCs/>
          <w:color w:val="auto"/>
          <w:sz w:val="24"/>
          <w:highlight w:val="none"/>
        </w:rPr>
      </w:pPr>
    </w:p>
    <w:p>
      <w:pPr>
        <w:spacing w:line="400" w:lineRule="exact"/>
        <w:jc w:val="center"/>
        <w:rPr>
          <w:rFonts w:ascii="宋体" w:hAnsi="宋体" w:cs="宋体"/>
          <w:b/>
          <w:color w:val="auto"/>
          <w:sz w:val="24"/>
          <w:szCs w:val="24"/>
          <w:highlight w:val="none"/>
        </w:rPr>
      </w:pPr>
      <w:r>
        <w:rPr>
          <w:rFonts w:hint="eastAsia" w:ascii="宋体" w:hAnsi="宋体" w:cs="宋体"/>
          <w:b/>
          <w:color w:val="auto"/>
          <w:sz w:val="28"/>
          <w:highlight w:val="none"/>
        </w:rPr>
        <w:t>商务和技术文件</w:t>
      </w: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附件5</w:t>
      </w:r>
    </w:p>
    <w:p>
      <w:pPr>
        <w:spacing w:line="400" w:lineRule="exact"/>
        <w:jc w:val="center"/>
        <w:rPr>
          <w:rFonts w:ascii="宋体" w:hAnsi="宋体" w:cs="宋体"/>
          <w:b/>
          <w:color w:val="auto"/>
          <w:sz w:val="28"/>
          <w:highlight w:val="none"/>
        </w:rPr>
      </w:pPr>
      <w:r>
        <w:rPr>
          <w:rFonts w:hint="eastAsia" w:ascii="宋体" w:hAnsi="宋体" w:cs="宋体"/>
          <w:b/>
          <w:color w:val="auto"/>
          <w:sz w:val="28"/>
          <w:highlight w:val="none"/>
        </w:rPr>
        <w:t>评分索引表</w:t>
      </w:r>
    </w:p>
    <w:p>
      <w:pPr>
        <w:spacing w:line="400" w:lineRule="exact"/>
        <w:jc w:val="center"/>
        <w:rPr>
          <w:rFonts w:ascii="宋体" w:hAnsi="宋体" w:cs="宋体"/>
          <w:b/>
          <w:color w:val="auto"/>
          <w:sz w:val="28"/>
          <w:highlight w:val="none"/>
        </w:rPr>
      </w:pPr>
    </w:p>
    <w:p>
      <w:pPr>
        <w:spacing w:line="400" w:lineRule="exact"/>
        <w:ind w:firstLine="480" w:firstLineChars="200"/>
        <w:jc w:val="left"/>
        <w:rPr>
          <w:rFonts w:ascii="宋体" w:hAnsi="宋体" w:cs="宋体"/>
          <w:b/>
          <w:color w:val="auto"/>
          <w:sz w:val="24"/>
          <w:szCs w:val="24"/>
          <w:highlight w:val="none"/>
        </w:rPr>
      </w:pPr>
      <w:r>
        <w:rPr>
          <w:rFonts w:hint="eastAsia" w:ascii="宋体" w:hAnsi="宋体" w:cs="宋体"/>
          <w:color w:val="auto"/>
          <w:sz w:val="24"/>
          <w:szCs w:val="24"/>
          <w:highlight w:val="none"/>
        </w:rPr>
        <w:t>为了方便专家评审投标文件，针对招标文件评分细则要求，投标人应制作投标文件索引，置于投标文件首页，格式如下：</w:t>
      </w:r>
    </w:p>
    <w:tbl>
      <w:tblPr>
        <w:tblStyle w:val="30"/>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6956"/>
        <w:gridCol w:w="1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b/>
                <w:color w:val="auto"/>
                <w:spacing w:val="-6"/>
                <w:sz w:val="24"/>
                <w:szCs w:val="24"/>
                <w:highlight w:val="none"/>
              </w:rPr>
            </w:pPr>
            <w:r>
              <w:rPr>
                <w:rFonts w:hint="eastAsia" w:ascii="宋体" w:hAnsi="宋体" w:cs="宋体"/>
                <w:b/>
                <w:color w:val="auto"/>
                <w:spacing w:val="-6"/>
                <w:sz w:val="24"/>
                <w:szCs w:val="24"/>
                <w:highlight w:val="none"/>
              </w:rPr>
              <w:t>序号</w:t>
            </w:r>
          </w:p>
        </w:tc>
        <w:tc>
          <w:tcPr>
            <w:tcW w:w="6956" w:type="dxa"/>
            <w:vAlign w:val="center"/>
          </w:tcPr>
          <w:p>
            <w:pPr>
              <w:spacing w:line="400" w:lineRule="exact"/>
              <w:jc w:val="center"/>
              <w:rPr>
                <w:rFonts w:ascii="宋体" w:hAnsi="宋体" w:cs="宋体"/>
                <w:b/>
                <w:color w:val="auto"/>
                <w:spacing w:val="-6"/>
                <w:sz w:val="24"/>
                <w:szCs w:val="24"/>
                <w:highlight w:val="none"/>
              </w:rPr>
            </w:pPr>
            <w:r>
              <w:rPr>
                <w:rFonts w:hint="eastAsia" w:ascii="宋体" w:hAnsi="宋体" w:cs="宋体"/>
                <w:b/>
                <w:color w:val="auto"/>
                <w:spacing w:val="-6"/>
                <w:sz w:val="24"/>
                <w:szCs w:val="24"/>
                <w:highlight w:val="none"/>
              </w:rPr>
              <w:t>评分内容</w:t>
            </w:r>
          </w:p>
        </w:tc>
        <w:tc>
          <w:tcPr>
            <w:tcW w:w="1313" w:type="dxa"/>
            <w:vAlign w:val="center"/>
          </w:tcPr>
          <w:p>
            <w:pPr>
              <w:pStyle w:val="58"/>
              <w:spacing w:line="400" w:lineRule="exact"/>
              <w:rPr>
                <w:rFonts w:hint="default" w:ascii="宋体" w:hAnsi="宋体" w:eastAsia="宋体" w:cs="宋体"/>
                <w:b/>
                <w:color w:val="auto"/>
                <w:spacing w:val="-6"/>
                <w:szCs w:val="24"/>
                <w:highlight w:val="none"/>
              </w:rPr>
            </w:pPr>
            <w:r>
              <w:rPr>
                <w:rFonts w:ascii="宋体" w:hAnsi="宋体" w:eastAsia="宋体" w:cs="宋体"/>
                <w:b/>
                <w:color w:val="auto"/>
                <w:spacing w:val="-6"/>
                <w:szCs w:val="24"/>
                <w:highlight w:val="none"/>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bCs/>
                <w:color w:val="auto"/>
                <w:kern w:val="0"/>
                <w:sz w:val="24"/>
                <w:szCs w:val="24"/>
                <w:highlight w:val="none"/>
              </w:rPr>
            </w:pPr>
            <w:r>
              <w:rPr>
                <w:rFonts w:hint="eastAsia" w:ascii="宋体" w:hAnsi="宋体" w:cs="宋体"/>
                <w:bCs/>
                <w:color w:val="auto"/>
                <w:sz w:val="24"/>
                <w:szCs w:val="24"/>
                <w:highlight w:val="none"/>
              </w:rPr>
              <w:t>1</w:t>
            </w:r>
          </w:p>
        </w:tc>
        <w:tc>
          <w:tcPr>
            <w:tcW w:w="6956" w:type="dxa"/>
            <w:vAlign w:val="center"/>
          </w:tcPr>
          <w:p>
            <w:pPr>
              <w:spacing w:line="400" w:lineRule="exact"/>
              <w:jc w:val="left"/>
              <w:rPr>
                <w:rFonts w:ascii="宋体" w:hAnsi="宋体" w:cs="宋体"/>
                <w:color w:val="auto"/>
                <w:kern w:val="0"/>
                <w:sz w:val="24"/>
                <w:szCs w:val="24"/>
                <w:highlight w:val="none"/>
              </w:rPr>
            </w:pPr>
          </w:p>
          <w:p>
            <w:pPr>
              <w:spacing w:line="400" w:lineRule="exact"/>
              <w:jc w:val="left"/>
              <w:rPr>
                <w:rFonts w:ascii="宋体" w:hAnsi="宋体" w:cs="宋体"/>
                <w:color w:val="auto"/>
                <w:kern w:val="0"/>
                <w:sz w:val="24"/>
                <w:szCs w:val="24"/>
                <w:highlight w:val="none"/>
              </w:rPr>
            </w:pPr>
          </w:p>
        </w:tc>
        <w:tc>
          <w:tcPr>
            <w:tcW w:w="1313" w:type="dxa"/>
            <w:vAlign w:val="center"/>
          </w:tcPr>
          <w:p>
            <w:pPr>
              <w:pStyle w:val="12"/>
              <w:spacing w:line="400" w:lineRule="exact"/>
              <w:ind w:left="456" w:hanging="456"/>
              <w:rPr>
                <w:rFonts w:ascii="宋体" w:hAnsi="宋体" w:cs="宋体"/>
                <w:color w:val="auto"/>
                <w:spacing w:val="-6"/>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bCs/>
                <w:color w:val="auto"/>
                <w:kern w:val="0"/>
                <w:sz w:val="24"/>
                <w:szCs w:val="24"/>
                <w:highlight w:val="none"/>
              </w:rPr>
            </w:pPr>
            <w:r>
              <w:rPr>
                <w:rFonts w:hint="eastAsia" w:ascii="宋体" w:hAnsi="宋体" w:cs="宋体"/>
                <w:bCs/>
                <w:color w:val="auto"/>
                <w:sz w:val="24"/>
                <w:szCs w:val="24"/>
                <w:highlight w:val="none"/>
              </w:rPr>
              <w:t>2</w:t>
            </w:r>
          </w:p>
        </w:tc>
        <w:tc>
          <w:tcPr>
            <w:tcW w:w="6956" w:type="dxa"/>
            <w:vAlign w:val="center"/>
          </w:tcPr>
          <w:p>
            <w:pPr>
              <w:spacing w:line="400" w:lineRule="exact"/>
              <w:jc w:val="left"/>
              <w:rPr>
                <w:rFonts w:ascii="宋体" w:hAnsi="宋体" w:cs="宋体"/>
                <w:color w:val="auto"/>
                <w:kern w:val="0"/>
                <w:sz w:val="24"/>
                <w:szCs w:val="24"/>
                <w:highlight w:val="none"/>
              </w:rPr>
            </w:pPr>
          </w:p>
        </w:tc>
        <w:tc>
          <w:tcPr>
            <w:tcW w:w="1313" w:type="dxa"/>
            <w:vAlign w:val="center"/>
          </w:tcPr>
          <w:p>
            <w:pPr>
              <w:pStyle w:val="12"/>
              <w:spacing w:line="400" w:lineRule="exact"/>
              <w:rPr>
                <w:rFonts w:ascii="宋体" w:hAnsi="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3</w:t>
            </w:r>
          </w:p>
        </w:tc>
        <w:tc>
          <w:tcPr>
            <w:tcW w:w="6956" w:type="dxa"/>
            <w:vAlign w:val="center"/>
          </w:tcPr>
          <w:p>
            <w:pPr>
              <w:spacing w:line="400" w:lineRule="exact"/>
              <w:rPr>
                <w:rFonts w:ascii="宋体" w:hAnsi="宋体" w:cs="宋体"/>
                <w:color w:val="auto"/>
                <w:sz w:val="24"/>
                <w:szCs w:val="24"/>
                <w:highlight w:val="none"/>
              </w:rPr>
            </w:pPr>
          </w:p>
        </w:tc>
        <w:tc>
          <w:tcPr>
            <w:tcW w:w="1313" w:type="dxa"/>
          </w:tcPr>
          <w:p>
            <w:pPr>
              <w:spacing w:line="400" w:lineRule="exact"/>
              <w:rPr>
                <w:rFonts w:ascii="宋体" w:hAnsi="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4</w:t>
            </w:r>
          </w:p>
        </w:tc>
        <w:tc>
          <w:tcPr>
            <w:tcW w:w="6956" w:type="dxa"/>
            <w:vAlign w:val="center"/>
          </w:tcPr>
          <w:p>
            <w:pPr>
              <w:spacing w:line="400" w:lineRule="exact"/>
              <w:rPr>
                <w:rFonts w:ascii="宋体" w:hAnsi="宋体" w:cs="宋体"/>
                <w:color w:val="auto"/>
                <w:sz w:val="24"/>
                <w:szCs w:val="24"/>
                <w:highlight w:val="none"/>
              </w:rPr>
            </w:pPr>
          </w:p>
        </w:tc>
        <w:tc>
          <w:tcPr>
            <w:tcW w:w="1313" w:type="dxa"/>
          </w:tcPr>
          <w:p>
            <w:pPr>
              <w:spacing w:line="400" w:lineRule="exact"/>
              <w:rPr>
                <w:rFonts w:ascii="宋体" w:hAnsi="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5</w:t>
            </w:r>
          </w:p>
        </w:tc>
        <w:tc>
          <w:tcPr>
            <w:tcW w:w="6956" w:type="dxa"/>
            <w:vAlign w:val="center"/>
          </w:tcPr>
          <w:p>
            <w:pPr>
              <w:spacing w:line="400" w:lineRule="exact"/>
              <w:jc w:val="left"/>
              <w:rPr>
                <w:rFonts w:ascii="宋体" w:hAnsi="宋体" w:cs="宋体"/>
                <w:color w:val="auto"/>
                <w:sz w:val="24"/>
                <w:szCs w:val="24"/>
                <w:highlight w:val="none"/>
              </w:rPr>
            </w:pPr>
          </w:p>
        </w:tc>
        <w:tc>
          <w:tcPr>
            <w:tcW w:w="1313" w:type="dxa"/>
          </w:tcPr>
          <w:p>
            <w:pPr>
              <w:spacing w:line="400" w:lineRule="exact"/>
              <w:rPr>
                <w:rFonts w:ascii="宋体" w:hAnsi="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6</w:t>
            </w:r>
          </w:p>
        </w:tc>
        <w:tc>
          <w:tcPr>
            <w:tcW w:w="6956" w:type="dxa"/>
            <w:vAlign w:val="center"/>
          </w:tcPr>
          <w:p>
            <w:pPr>
              <w:spacing w:line="400" w:lineRule="exact"/>
              <w:jc w:val="left"/>
              <w:rPr>
                <w:rFonts w:ascii="宋体" w:hAnsi="宋体" w:cs="宋体"/>
                <w:color w:val="auto"/>
                <w:sz w:val="24"/>
                <w:szCs w:val="24"/>
                <w:highlight w:val="none"/>
              </w:rPr>
            </w:pPr>
          </w:p>
        </w:tc>
        <w:tc>
          <w:tcPr>
            <w:tcW w:w="1313" w:type="dxa"/>
          </w:tcPr>
          <w:p>
            <w:pPr>
              <w:spacing w:line="400" w:lineRule="exact"/>
              <w:rPr>
                <w:rFonts w:ascii="宋体" w:hAnsi="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7</w:t>
            </w:r>
          </w:p>
        </w:tc>
        <w:tc>
          <w:tcPr>
            <w:tcW w:w="6956" w:type="dxa"/>
            <w:vAlign w:val="center"/>
          </w:tcPr>
          <w:p>
            <w:pPr>
              <w:spacing w:line="400" w:lineRule="exact"/>
              <w:jc w:val="left"/>
              <w:rPr>
                <w:rFonts w:ascii="宋体" w:hAnsi="宋体" w:cs="宋体"/>
                <w:color w:val="auto"/>
                <w:sz w:val="24"/>
                <w:szCs w:val="24"/>
                <w:highlight w:val="none"/>
              </w:rPr>
            </w:pPr>
          </w:p>
        </w:tc>
        <w:tc>
          <w:tcPr>
            <w:tcW w:w="1313" w:type="dxa"/>
          </w:tcPr>
          <w:p>
            <w:pPr>
              <w:spacing w:line="400" w:lineRule="exact"/>
              <w:rPr>
                <w:rFonts w:ascii="宋体" w:hAnsi="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8</w:t>
            </w:r>
          </w:p>
        </w:tc>
        <w:tc>
          <w:tcPr>
            <w:tcW w:w="6956" w:type="dxa"/>
            <w:vAlign w:val="center"/>
          </w:tcPr>
          <w:p>
            <w:pPr>
              <w:spacing w:line="400" w:lineRule="exact"/>
              <w:rPr>
                <w:rFonts w:ascii="宋体" w:hAnsi="宋体" w:cs="宋体"/>
                <w:color w:val="auto"/>
                <w:sz w:val="24"/>
                <w:szCs w:val="24"/>
                <w:highlight w:val="none"/>
              </w:rPr>
            </w:pPr>
          </w:p>
        </w:tc>
        <w:tc>
          <w:tcPr>
            <w:tcW w:w="1313" w:type="dxa"/>
          </w:tcPr>
          <w:p>
            <w:pPr>
              <w:spacing w:line="400" w:lineRule="exact"/>
              <w:rPr>
                <w:rFonts w:ascii="宋体" w:hAnsi="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9</w:t>
            </w:r>
          </w:p>
        </w:tc>
        <w:tc>
          <w:tcPr>
            <w:tcW w:w="6956" w:type="dxa"/>
            <w:vAlign w:val="center"/>
          </w:tcPr>
          <w:p>
            <w:pPr>
              <w:spacing w:line="400" w:lineRule="exact"/>
              <w:jc w:val="left"/>
              <w:rPr>
                <w:rFonts w:ascii="宋体" w:hAnsi="宋体" w:cs="宋体"/>
                <w:color w:val="auto"/>
                <w:sz w:val="24"/>
                <w:szCs w:val="24"/>
                <w:highlight w:val="none"/>
              </w:rPr>
            </w:pPr>
          </w:p>
        </w:tc>
        <w:tc>
          <w:tcPr>
            <w:tcW w:w="1313" w:type="dxa"/>
          </w:tcPr>
          <w:p>
            <w:pPr>
              <w:spacing w:line="400" w:lineRule="exact"/>
              <w:rPr>
                <w:rFonts w:ascii="宋体" w:hAnsi="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spacing w:line="400" w:lineRule="exact"/>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w:t>
            </w:r>
          </w:p>
        </w:tc>
        <w:tc>
          <w:tcPr>
            <w:tcW w:w="6956" w:type="dxa"/>
            <w:vAlign w:val="center"/>
          </w:tcPr>
          <w:p>
            <w:pPr>
              <w:spacing w:line="400" w:lineRule="exact"/>
              <w:jc w:val="left"/>
              <w:rPr>
                <w:rFonts w:ascii="宋体" w:hAnsi="宋体" w:cs="宋体"/>
                <w:color w:val="auto"/>
                <w:sz w:val="24"/>
                <w:szCs w:val="24"/>
                <w:highlight w:val="none"/>
              </w:rPr>
            </w:pPr>
          </w:p>
        </w:tc>
        <w:tc>
          <w:tcPr>
            <w:tcW w:w="1313" w:type="dxa"/>
          </w:tcPr>
          <w:p>
            <w:pPr>
              <w:spacing w:line="400" w:lineRule="exact"/>
              <w:rPr>
                <w:rFonts w:ascii="宋体" w:hAnsi="宋体" w:cs="宋体"/>
                <w:bCs/>
                <w:color w:val="auto"/>
                <w:sz w:val="24"/>
                <w:szCs w:val="24"/>
                <w:highlight w:val="none"/>
              </w:rPr>
            </w:pPr>
          </w:p>
        </w:tc>
      </w:tr>
    </w:tbl>
    <w:p>
      <w:pPr>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备注：一.“评分内容”对应“第六部分”评标原则及方法。</w:t>
      </w:r>
    </w:p>
    <w:p>
      <w:pPr>
        <w:spacing w:line="400" w:lineRule="exact"/>
        <w:ind w:firstLine="720" w:firstLineChars="300"/>
        <w:rPr>
          <w:rFonts w:ascii="宋体" w:hAnsi="宋体" w:cs="宋体"/>
          <w:color w:val="auto"/>
          <w:sz w:val="24"/>
          <w:szCs w:val="24"/>
          <w:highlight w:val="none"/>
        </w:rPr>
      </w:pPr>
      <w:r>
        <w:rPr>
          <w:rFonts w:hint="eastAsia" w:ascii="宋体" w:hAnsi="宋体" w:cs="宋体"/>
          <w:color w:val="auto"/>
          <w:sz w:val="24"/>
          <w:szCs w:val="24"/>
          <w:highlight w:val="none"/>
        </w:rPr>
        <w:t>二.评标内容自行添加。本表可扩展。</w:t>
      </w:r>
    </w:p>
    <w:p>
      <w:pPr>
        <w:spacing w:line="400" w:lineRule="exact"/>
        <w:ind w:firstLine="720" w:firstLineChars="300"/>
        <w:rPr>
          <w:rFonts w:ascii="宋体" w:hAnsi="宋体" w:cs="宋体"/>
          <w:b/>
          <w:color w:val="auto"/>
          <w:sz w:val="24"/>
          <w:szCs w:val="24"/>
          <w:highlight w:val="none"/>
        </w:rPr>
      </w:pPr>
      <w:r>
        <w:rPr>
          <w:rFonts w:hint="eastAsia" w:ascii="宋体" w:hAnsi="宋体" w:cs="宋体"/>
          <w:color w:val="auto"/>
          <w:sz w:val="24"/>
          <w:szCs w:val="24"/>
          <w:highlight w:val="none"/>
        </w:rPr>
        <w:t>三.各投标人在投标文件最前页根据本评标细则制作评分索引表，清楚标注响应内容及证明材料的所在页码。</w:t>
      </w:r>
    </w:p>
    <w:p>
      <w:pPr>
        <w:spacing w:line="400" w:lineRule="exact"/>
        <w:ind w:hanging="1"/>
        <w:rPr>
          <w:rFonts w:ascii="宋体" w:hAnsi="宋体" w:cs="宋体"/>
          <w:b/>
          <w:color w:val="auto"/>
          <w:sz w:val="22"/>
          <w:highlight w:val="none"/>
        </w:rPr>
      </w:pPr>
    </w:p>
    <w:p>
      <w:pPr>
        <w:spacing w:line="400" w:lineRule="exact"/>
        <w:ind w:hanging="1"/>
        <w:rPr>
          <w:rFonts w:ascii="宋体" w:hAnsi="宋体" w:cs="宋体"/>
          <w:b/>
          <w:color w:val="auto"/>
          <w:sz w:val="22"/>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附件6</w:t>
      </w:r>
    </w:p>
    <w:p>
      <w:pPr>
        <w:spacing w:line="400" w:lineRule="exact"/>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法定代表人资格证明书</w:t>
      </w:r>
    </w:p>
    <w:p>
      <w:pPr>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致：</w:t>
      </w:r>
      <w:r>
        <w:rPr>
          <w:rFonts w:hint="eastAsia" w:ascii="宋体" w:hAnsi="宋体" w:cs="宋体"/>
          <w:color w:val="auto"/>
          <w:sz w:val="24"/>
          <w:szCs w:val="24"/>
          <w:highlight w:val="none"/>
          <w:u w:val="single"/>
        </w:rPr>
        <w:t>温州大学、浙江乐诚工程咨询有限公司</w:t>
      </w:r>
      <w:r>
        <w:rPr>
          <w:rFonts w:hint="eastAsia" w:ascii="宋体" w:hAnsi="宋体" w:cs="宋体"/>
          <w:color w:val="auto"/>
          <w:sz w:val="24"/>
          <w:szCs w:val="24"/>
          <w:highlight w:val="none"/>
        </w:rPr>
        <w:t>：</w:t>
      </w:r>
    </w:p>
    <w:p>
      <w:pPr>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u w:val="single"/>
        </w:rPr>
        <w:t xml:space="preserve">       （姓名、性别、年龄）</w:t>
      </w:r>
      <w:r>
        <w:rPr>
          <w:rFonts w:hint="eastAsia" w:ascii="宋体" w:hAnsi="宋体" w:cs="宋体"/>
          <w:color w:val="auto"/>
          <w:sz w:val="24"/>
          <w:szCs w:val="24"/>
          <w:highlight w:val="none"/>
        </w:rPr>
        <w:t>在我单位任</w:t>
      </w:r>
      <w:r>
        <w:rPr>
          <w:rFonts w:hint="eastAsia" w:ascii="宋体" w:hAnsi="宋体" w:cs="宋体"/>
          <w:color w:val="auto"/>
          <w:sz w:val="24"/>
          <w:szCs w:val="24"/>
          <w:highlight w:val="none"/>
          <w:u w:val="single"/>
        </w:rPr>
        <w:t xml:space="preserve">                      （职务名称）</w:t>
      </w:r>
      <w:r>
        <w:rPr>
          <w:rFonts w:hint="eastAsia" w:ascii="宋体" w:hAnsi="宋体" w:cs="宋体"/>
          <w:color w:val="auto"/>
          <w:sz w:val="24"/>
          <w:szCs w:val="24"/>
          <w:highlight w:val="none"/>
        </w:rPr>
        <w:t>职务，是我单位的法定代表人。</w:t>
      </w:r>
    </w:p>
    <w:p>
      <w:pPr>
        <w:spacing w:line="400" w:lineRule="exact"/>
        <w:ind w:firstLine="960" w:firstLineChars="400"/>
        <w:rPr>
          <w:rFonts w:ascii="宋体" w:hAnsi="宋体" w:cs="宋体"/>
          <w:color w:val="auto"/>
          <w:sz w:val="24"/>
          <w:szCs w:val="24"/>
          <w:highlight w:val="none"/>
        </w:rPr>
      </w:pPr>
      <w:r>
        <w:rPr>
          <w:rFonts w:hint="eastAsia" w:ascii="宋体" w:hAnsi="宋体" w:cs="宋体"/>
          <w:color w:val="auto"/>
          <w:sz w:val="24"/>
          <w:szCs w:val="24"/>
          <w:highlight w:val="none"/>
        </w:rPr>
        <w:t>特此证明。</w:t>
      </w:r>
    </w:p>
    <w:p>
      <w:pPr>
        <w:spacing w:line="400" w:lineRule="exact"/>
        <w:jc w:val="left"/>
        <w:rPr>
          <w:rFonts w:ascii="宋体" w:hAnsi="宋体" w:cs="宋体"/>
          <w:b/>
          <w:bCs/>
          <w:color w:val="auto"/>
          <w:sz w:val="24"/>
          <w:szCs w:val="24"/>
          <w:highlight w:val="none"/>
        </w:rPr>
      </w:pPr>
    </w:p>
    <w:p>
      <w:pPr>
        <w:spacing w:line="400" w:lineRule="exact"/>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法定代表人身份证号：（身份证复印附后）</w:t>
      </w:r>
    </w:p>
    <w:p>
      <w:pPr>
        <w:spacing w:line="400" w:lineRule="exact"/>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法定代表人电话：</w:t>
      </w:r>
    </w:p>
    <w:p>
      <w:pPr>
        <w:spacing w:line="400" w:lineRule="exact"/>
        <w:jc w:val="left"/>
        <w:rPr>
          <w:rFonts w:ascii="宋体" w:hAnsi="宋体" w:cs="宋体"/>
          <w:b/>
          <w:bCs/>
          <w:color w:val="auto"/>
          <w:sz w:val="24"/>
          <w:szCs w:val="24"/>
          <w:highlight w:val="none"/>
          <w:u w:val="single"/>
        </w:rPr>
      </w:pPr>
      <w:r>
        <w:rPr>
          <w:rFonts w:hint="eastAsia" w:ascii="宋体" w:hAnsi="宋体" w:cs="宋体"/>
          <w:b/>
          <w:bCs/>
          <w:color w:val="auto"/>
          <w:sz w:val="24"/>
          <w:szCs w:val="24"/>
          <w:highlight w:val="none"/>
        </w:rPr>
        <w:t>投标人全称（电子签章）</w:t>
      </w:r>
    </w:p>
    <w:p>
      <w:pPr>
        <w:spacing w:line="400" w:lineRule="exact"/>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日 期：   年  月  日</w:t>
      </w:r>
    </w:p>
    <w:p>
      <w:pPr>
        <w:spacing w:line="400" w:lineRule="exact"/>
        <w:rPr>
          <w:rFonts w:ascii="宋体" w:hAnsi="宋体" w:cs="宋体"/>
          <w:b/>
          <w:bCs/>
          <w:color w:val="auto"/>
          <w:sz w:val="24"/>
          <w:szCs w:val="24"/>
          <w:highlight w:val="none"/>
        </w:rPr>
      </w:pPr>
      <w:r>
        <w:rPr>
          <w:rFonts w:ascii="宋体" w:hAnsi="宋体" w:cs="宋体"/>
          <w:b/>
          <w:bCs/>
          <w:color w:val="auto"/>
          <w:sz w:val="24"/>
          <w:szCs w:val="24"/>
          <w:highlight w:val="none"/>
        </w:rPr>
        <w:pict>
          <v:shape id="_x0000_s1028" o:spid="_x0000_s1028" o:spt="202" type="#_x0000_t202" style="position:absolute;left:0pt;margin-left:47.1pt;margin-top:12.45pt;height:187.2pt;width:267.75pt;z-index:251662336;mso-width-relative:page;mso-height-relative:page;" coordsize="21600,21600" o:gfxdata="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NZfJg7YAAAACQEAAA8AAAAA&#10;AAAAAQAgAAAAIgAAAGRycy9kb3ducmV2LnhtbFBLAQIUABQAAAAIAIdO4kD16S5iFAIAAEUEAAAO&#10;AAAAAAAAAAEAIAAAACcBAABkcnMvZTJvRG9jLnhtbFBLBQYAAAAABgAGAFkBAACtBQAAAAA=&#10;">
            <v:path/>
            <v:fill focussize="0,0"/>
            <v:stroke joinstyle="miter"/>
            <v:imagedata o:title=""/>
            <o:lock v:ext="edit"/>
            <v:textbox>
              <w:txbxContent>
                <w:p>
                  <w:pPr>
                    <w:rPr>
                      <w:rFonts w:ascii="宋体" w:hAnsi="宋体" w:cs="宋体"/>
                      <w:sz w:val="24"/>
                      <w:szCs w:val="24"/>
                    </w:rPr>
                  </w:pPr>
                  <w:r>
                    <w:rPr>
                      <w:rFonts w:hint="eastAsia" w:ascii="宋体" w:hAnsi="宋体" w:cs="宋体"/>
                      <w:sz w:val="24"/>
                      <w:szCs w:val="24"/>
                    </w:rPr>
                    <w:t>法人代表身份证复印件粘贴：</w:t>
                  </w:r>
                </w:p>
              </w:txbxContent>
            </v:textbox>
          </v:shape>
        </w:pict>
      </w: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pacing w:line="400" w:lineRule="exact"/>
        <w:rPr>
          <w:rFonts w:ascii="宋体" w:hAnsi="宋体" w:cs="宋体"/>
          <w:b/>
          <w:bCs/>
          <w:color w:val="auto"/>
          <w:sz w:val="24"/>
          <w:szCs w:val="24"/>
          <w:highlight w:val="none"/>
        </w:rPr>
      </w:pPr>
    </w:p>
    <w:p>
      <w:pPr>
        <w:snapToGrid w:val="0"/>
        <w:spacing w:line="400" w:lineRule="exact"/>
        <w:rPr>
          <w:rFonts w:ascii="宋体" w:hAnsi="宋体" w:cs="宋体"/>
          <w:color w:val="auto"/>
          <w:sz w:val="24"/>
          <w:szCs w:val="24"/>
          <w:highlight w:val="none"/>
        </w:rPr>
      </w:pPr>
    </w:p>
    <w:p>
      <w:pPr>
        <w:spacing w:line="400" w:lineRule="exact"/>
        <w:rPr>
          <w:rFonts w:ascii="宋体" w:hAnsi="宋体" w:cs="宋体"/>
          <w:b/>
          <w:bCs/>
          <w:color w:val="auto"/>
          <w:spacing w:val="-6"/>
          <w:sz w:val="24"/>
          <w:highlight w:val="none"/>
        </w:rPr>
      </w:pPr>
      <w:r>
        <w:rPr>
          <w:rFonts w:hint="eastAsia" w:ascii="宋体" w:hAnsi="宋体" w:cs="宋体"/>
          <w:b/>
          <w:bCs/>
          <w:color w:val="auto"/>
          <w:spacing w:val="-6"/>
          <w:sz w:val="24"/>
          <w:highlight w:val="none"/>
        </w:rPr>
        <w:t>说明：投标人的法定代表人参加投标，须在投标文件中提供法定代表人资格证明书；投标人的法定代表人委托授权代表参加投标，须在投标文件中提供法定代表人授权委托书。</w:t>
      </w:r>
    </w:p>
    <w:p>
      <w:pPr>
        <w:spacing w:line="400" w:lineRule="exact"/>
        <w:rPr>
          <w:rFonts w:ascii="宋体" w:hAnsi="宋体" w:cs="宋体"/>
          <w:color w:val="auto"/>
          <w:sz w:val="24"/>
          <w:szCs w:val="24"/>
          <w:highlight w:val="none"/>
        </w:rPr>
      </w:pPr>
    </w:p>
    <w:p>
      <w:pPr>
        <w:spacing w:line="400" w:lineRule="exact"/>
        <w:rPr>
          <w:rFonts w:ascii="宋体" w:hAnsi="宋体" w:cs="宋体"/>
          <w:color w:val="auto"/>
          <w:sz w:val="24"/>
          <w:szCs w:val="24"/>
          <w:highlight w:val="none"/>
        </w:rPr>
      </w:pPr>
    </w:p>
    <w:p>
      <w:pPr>
        <w:pStyle w:val="15"/>
        <w:spacing w:after="0" w:line="400" w:lineRule="exact"/>
        <w:ind w:left="0" w:leftChars="0" w:right="0" w:rightChars="0"/>
        <w:rPr>
          <w:rFonts w:ascii="宋体" w:hAnsi="宋体" w:cs="宋体"/>
          <w:color w:val="auto"/>
          <w:highlight w:val="none"/>
        </w:rPr>
      </w:pPr>
    </w:p>
    <w:p>
      <w:pPr>
        <w:snapToGrid w:val="0"/>
        <w:spacing w:line="400" w:lineRule="exact"/>
        <w:jc w:val="center"/>
        <w:rPr>
          <w:rFonts w:ascii="宋体" w:hAnsi="宋体" w:cs="宋体"/>
          <w:b/>
          <w:color w:val="auto"/>
          <w:spacing w:val="-6"/>
          <w:sz w:val="24"/>
          <w:szCs w:val="24"/>
          <w:highlight w:val="none"/>
        </w:rPr>
      </w:pPr>
    </w:p>
    <w:p>
      <w:pPr>
        <w:pStyle w:val="15"/>
        <w:ind w:left="1470" w:right="1470"/>
        <w:rPr>
          <w:rFonts w:ascii="宋体" w:hAnsi="宋体" w:cs="宋体"/>
          <w:color w:val="auto"/>
          <w:highlight w:val="none"/>
        </w:rPr>
      </w:pPr>
    </w:p>
    <w:p>
      <w:pPr>
        <w:snapToGrid w:val="0"/>
        <w:spacing w:line="400" w:lineRule="exact"/>
        <w:jc w:val="center"/>
        <w:rPr>
          <w:rFonts w:ascii="宋体" w:hAnsi="宋体" w:cs="宋体"/>
          <w:b/>
          <w:color w:val="auto"/>
          <w:spacing w:val="-6"/>
          <w:sz w:val="24"/>
          <w:szCs w:val="24"/>
          <w:highlight w:val="none"/>
        </w:rPr>
      </w:pPr>
    </w:p>
    <w:p>
      <w:pPr>
        <w:pStyle w:val="15"/>
        <w:ind w:left="1470" w:right="1470"/>
        <w:rPr>
          <w:rFonts w:ascii="宋体" w:hAnsi="宋体" w:cs="宋体"/>
          <w:b/>
          <w:color w:val="auto"/>
          <w:spacing w:val="-6"/>
          <w:sz w:val="24"/>
          <w:szCs w:val="24"/>
          <w:highlight w:val="none"/>
        </w:rPr>
      </w:pPr>
    </w:p>
    <w:p>
      <w:pPr>
        <w:snapToGrid w:val="0"/>
        <w:spacing w:line="400" w:lineRule="exact"/>
        <w:jc w:val="center"/>
        <w:rPr>
          <w:rFonts w:ascii="宋体" w:hAnsi="宋体" w:cs="宋体"/>
          <w:b/>
          <w:color w:val="auto"/>
          <w:spacing w:val="-6"/>
          <w:sz w:val="24"/>
          <w:szCs w:val="24"/>
          <w:highlight w:val="none"/>
        </w:rPr>
      </w:pPr>
    </w:p>
    <w:p>
      <w:pPr>
        <w:snapToGrid w:val="0"/>
        <w:spacing w:line="400" w:lineRule="exact"/>
        <w:jc w:val="center"/>
        <w:rPr>
          <w:rFonts w:ascii="宋体" w:hAnsi="宋体" w:cs="宋体"/>
          <w:b/>
          <w:color w:val="auto"/>
          <w:spacing w:val="-6"/>
          <w:sz w:val="24"/>
          <w:szCs w:val="24"/>
          <w:highlight w:val="none"/>
        </w:rPr>
      </w:pPr>
      <w:r>
        <w:rPr>
          <w:rFonts w:hint="eastAsia" w:ascii="宋体" w:hAnsi="宋体" w:cs="宋体"/>
          <w:b/>
          <w:color w:val="auto"/>
          <w:spacing w:val="-6"/>
          <w:sz w:val="24"/>
          <w:szCs w:val="24"/>
          <w:highlight w:val="none"/>
        </w:rPr>
        <w:t>法定代表人授权委托书</w:t>
      </w:r>
    </w:p>
    <w:p>
      <w:pPr>
        <w:spacing w:line="400" w:lineRule="exact"/>
        <w:rPr>
          <w:rFonts w:ascii="宋体" w:hAnsi="宋体" w:cs="宋体"/>
          <w:b/>
          <w:bCs/>
          <w:color w:val="auto"/>
          <w:spacing w:val="-6"/>
          <w:sz w:val="24"/>
          <w:szCs w:val="24"/>
          <w:highlight w:val="none"/>
        </w:rPr>
      </w:pPr>
      <w:r>
        <w:rPr>
          <w:rFonts w:hint="eastAsia" w:ascii="宋体" w:hAnsi="宋体" w:cs="宋体"/>
          <w:color w:val="auto"/>
          <w:sz w:val="24"/>
          <w:szCs w:val="24"/>
          <w:highlight w:val="none"/>
        </w:rPr>
        <w:t>致：</w:t>
      </w:r>
      <w:r>
        <w:rPr>
          <w:rFonts w:hint="eastAsia" w:ascii="宋体" w:hAnsi="宋体" w:cs="宋体"/>
          <w:color w:val="auto"/>
          <w:sz w:val="24"/>
          <w:szCs w:val="24"/>
          <w:highlight w:val="none"/>
          <w:u w:val="single"/>
        </w:rPr>
        <w:t>温州大学、浙江乐诚工程咨询有限公司</w:t>
      </w:r>
      <w:r>
        <w:rPr>
          <w:rFonts w:hint="eastAsia" w:ascii="宋体" w:hAnsi="宋体" w:cs="宋体"/>
          <w:color w:val="auto"/>
          <w:spacing w:val="-6"/>
          <w:sz w:val="24"/>
          <w:szCs w:val="24"/>
          <w:highlight w:val="none"/>
        </w:rPr>
        <w:t>：</w:t>
      </w:r>
    </w:p>
    <w:p>
      <w:pPr>
        <w:snapToGrid w:val="0"/>
        <w:spacing w:line="400" w:lineRule="exact"/>
        <w:ind w:firstLine="456"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我</w:t>
      </w:r>
      <w:r>
        <w:rPr>
          <w:rFonts w:hint="eastAsia" w:ascii="宋体" w:hAnsi="宋体" w:cs="宋体"/>
          <w:color w:val="auto"/>
          <w:sz w:val="24"/>
          <w:szCs w:val="24"/>
          <w:highlight w:val="none"/>
          <w:u w:val="single"/>
        </w:rPr>
        <w:t xml:space="preserve">         　　</w:t>
      </w:r>
      <w:r>
        <w:rPr>
          <w:rFonts w:hint="eastAsia" w:ascii="宋体" w:hAnsi="宋体" w:cs="宋体"/>
          <w:color w:val="auto"/>
          <w:spacing w:val="-6"/>
          <w:sz w:val="24"/>
          <w:szCs w:val="24"/>
          <w:highlight w:val="none"/>
        </w:rPr>
        <w:t>（姓名）系</w:t>
      </w:r>
      <w:r>
        <w:rPr>
          <w:rFonts w:hint="eastAsia" w:ascii="宋体" w:hAnsi="宋体" w:cs="宋体"/>
          <w:color w:val="auto"/>
          <w:sz w:val="24"/>
          <w:szCs w:val="24"/>
          <w:highlight w:val="none"/>
          <w:u w:val="single"/>
        </w:rPr>
        <w:t xml:space="preserve">         　　</w:t>
      </w:r>
      <w:r>
        <w:rPr>
          <w:rFonts w:hint="eastAsia" w:ascii="宋体" w:hAnsi="宋体" w:cs="宋体"/>
          <w:color w:val="auto"/>
          <w:spacing w:val="-6"/>
          <w:sz w:val="24"/>
          <w:szCs w:val="24"/>
          <w:highlight w:val="none"/>
        </w:rPr>
        <w:t xml:space="preserve">（投标人名称）的法定代表人，现授权委托本单位在职职工 </w:t>
      </w:r>
      <w:r>
        <w:rPr>
          <w:rFonts w:hint="eastAsia" w:ascii="宋体" w:hAnsi="宋体" w:cs="宋体"/>
          <w:color w:val="auto"/>
          <w:sz w:val="24"/>
          <w:szCs w:val="24"/>
          <w:highlight w:val="none"/>
          <w:u w:val="single"/>
        </w:rPr>
        <w:t xml:space="preserve">         　　</w:t>
      </w:r>
      <w:r>
        <w:rPr>
          <w:rFonts w:hint="eastAsia" w:ascii="宋体" w:hAnsi="宋体" w:cs="宋体"/>
          <w:color w:val="auto"/>
          <w:spacing w:val="-6"/>
          <w:sz w:val="24"/>
          <w:szCs w:val="24"/>
          <w:highlight w:val="none"/>
        </w:rPr>
        <w:t>（姓名）（身份证号：</w:t>
      </w:r>
      <w:r>
        <w:rPr>
          <w:rFonts w:hint="eastAsia" w:ascii="宋体" w:hAnsi="宋体" w:cs="宋体"/>
          <w:color w:val="auto"/>
          <w:sz w:val="24"/>
          <w:szCs w:val="24"/>
          <w:highlight w:val="none"/>
          <w:u w:val="single"/>
        </w:rPr>
        <w:t xml:space="preserve">         　　</w:t>
      </w:r>
      <w:r>
        <w:rPr>
          <w:rFonts w:hint="eastAsia" w:ascii="宋体" w:hAnsi="宋体" w:cs="宋体"/>
          <w:color w:val="auto"/>
          <w:spacing w:val="-6"/>
          <w:sz w:val="24"/>
          <w:szCs w:val="24"/>
          <w:highlight w:val="none"/>
        </w:rPr>
        <w:t>）以我方的名义参加温州大学</w:t>
      </w:r>
      <w:r>
        <w:rPr>
          <w:rFonts w:hint="eastAsia" w:ascii="宋体" w:hAnsi="宋体" w:cs="宋体"/>
          <w:color w:val="auto"/>
          <w:spacing w:val="-6"/>
          <w:sz w:val="24"/>
          <w:szCs w:val="24"/>
          <w:highlight w:val="none"/>
          <w:u w:val="single"/>
        </w:rPr>
        <w:t>中文纸质图书</w:t>
      </w:r>
      <w:r>
        <w:rPr>
          <w:rFonts w:hint="eastAsia" w:ascii="宋体" w:hAnsi="宋体" w:cs="宋体"/>
          <w:color w:val="auto"/>
          <w:spacing w:val="-6"/>
          <w:sz w:val="24"/>
          <w:szCs w:val="24"/>
          <w:highlight w:val="none"/>
        </w:rPr>
        <w:t xml:space="preserve">项目（项目编号： </w:t>
      </w:r>
      <w:r>
        <w:rPr>
          <w:rFonts w:hint="eastAsia" w:ascii="宋体" w:hAnsi="宋体" w:cs="宋体"/>
          <w:color w:val="auto"/>
          <w:sz w:val="24"/>
          <w:szCs w:val="24"/>
          <w:highlight w:val="none"/>
          <w:u w:val="single"/>
        </w:rPr>
        <w:t xml:space="preserve">         　　</w:t>
      </w:r>
      <w:r>
        <w:rPr>
          <w:rFonts w:hint="eastAsia" w:ascii="宋体" w:hAnsi="宋体" w:cs="宋体"/>
          <w:color w:val="auto"/>
          <w:spacing w:val="-6"/>
          <w:sz w:val="24"/>
          <w:szCs w:val="24"/>
          <w:highlight w:val="none"/>
        </w:rPr>
        <w:t>）的投标活动，并代表我方全权办理针对上述项目的投标、开标、评标、签约等具体事务和签署相关文件。</w:t>
      </w:r>
    </w:p>
    <w:p>
      <w:pPr>
        <w:snapToGrid w:val="0"/>
        <w:spacing w:line="400" w:lineRule="exact"/>
        <w:ind w:firstLine="456"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我方对被授权人的签名负全部责任。</w:t>
      </w:r>
    </w:p>
    <w:p>
      <w:pPr>
        <w:snapToGrid w:val="0"/>
        <w:spacing w:line="400" w:lineRule="exact"/>
        <w:ind w:firstLine="456"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在撤销授权的书面通知以前，本授权书一直有效。被授权人在授权书有效期内签署的所有文件不因授权的撤销而失效。</w:t>
      </w:r>
    </w:p>
    <w:p>
      <w:pPr>
        <w:snapToGrid w:val="0"/>
        <w:spacing w:line="400" w:lineRule="exact"/>
        <w:ind w:firstLine="456"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被授权人无转委托权，特此委托。</w:t>
      </w:r>
    </w:p>
    <w:p>
      <w:pPr>
        <w:snapToGrid w:val="0"/>
        <w:spacing w:line="400" w:lineRule="exact"/>
        <w:rPr>
          <w:rFonts w:ascii="宋体" w:hAnsi="宋体" w:cs="宋体"/>
          <w:color w:val="auto"/>
          <w:spacing w:val="-6"/>
          <w:sz w:val="24"/>
          <w:szCs w:val="24"/>
          <w:highlight w:val="none"/>
        </w:rPr>
      </w:pPr>
    </w:p>
    <w:p>
      <w:pPr>
        <w:snapToGrid w:val="0"/>
        <w:spacing w:line="400" w:lineRule="exact"/>
        <w:rPr>
          <w:rFonts w:ascii="宋体" w:hAnsi="宋体" w:cs="宋体"/>
          <w:color w:val="auto"/>
          <w:spacing w:val="-6"/>
          <w:sz w:val="24"/>
          <w:szCs w:val="24"/>
          <w:highlight w:val="none"/>
        </w:rPr>
      </w:pPr>
    </w:p>
    <w:p>
      <w:pPr>
        <w:snapToGrid w:val="0"/>
        <w:spacing w:line="400" w:lineRule="exact"/>
        <w:rPr>
          <w:rFonts w:ascii="宋体" w:hAnsi="宋体" w:cs="宋体"/>
          <w:color w:val="auto"/>
          <w:spacing w:val="-6"/>
          <w:sz w:val="24"/>
          <w:szCs w:val="24"/>
          <w:highlight w:val="none"/>
          <w:u w:val="single"/>
        </w:rPr>
      </w:pPr>
      <w:r>
        <w:rPr>
          <w:rFonts w:hint="eastAsia" w:ascii="宋体" w:hAnsi="宋体" w:cs="宋体"/>
          <w:color w:val="auto"/>
          <w:spacing w:val="-6"/>
          <w:sz w:val="24"/>
          <w:szCs w:val="24"/>
          <w:highlight w:val="none"/>
        </w:rPr>
        <w:t>被授权人签字：                 法定代表人签字或签章：</w:t>
      </w:r>
    </w:p>
    <w:p>
      <w:pPr>
        <w:snapToGrid w:val="0"/>
        <w:spacing w:line="400" w:lineRule="exact"/>
        <w:ind w:firstLine="912" w:firstLineChars="4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职务：                  职务：</w:t>
      </w:r>
    </w:p>
    <w:p>
      <w:pPr>
        <w:snapToGrid w:val="0"/>
        <w:spacing w:line="400" w:lineRule="exact"/>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被授权人身份证号码：</w:t>
      </w:r>
    </w:p>
    <w:p>
      <w:pPr>
        <w:snapToGrid w:val="0"/>
        <w:spacing w:line="400" w:lineRule="exact"/>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 xml:space="preserve">                                    投标人全称(电子签章)：</w:t>
      </w:r>
    </w:p>
    <w:p>
      <w:pPr>
        <w:snapToGrid w:val="0"/>
        <w:spacing w:line="400" w:lineRule="exact"/>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 xml:space="preserve">                                        年    月    日</w:t>
      </w:r>
    </w:p>
    <w:p>
      <w:pPr>
        <w:spacing w:line="400" w:lineRule="exact"/>
        <w:rPr>
          <w:rFonts w:ascii="宋体" w:hAnsi="宋体" w:cs="宋体"/>
          <w:color w:val="auto"/>
          <w:spacing w:val="-6"/>
          <w:sz w:val="24"/>
          <w:szCs w:val="24"/>
          <w:highlight w:val="none"/>
        </w:rPr>
      </w:pPr>
      <w:r>
        <w:rPr>
          <w:rFonts w:ascii="宋体" w:hAnsi="宋体" w:cs="宋体"/>
          <w:color w:val="auto"/>
          <w:spacing w:val="-6"/>
          <w:sz w:val="24"/>
          <w:szCs w:val="24"/>
          <w:highlight w:val="none"/>
        </w:rPr>
        <w:pict>
          <v:shape id="_x0000_s1027" o:spid="_x0000_s1027" o:spt="202" type="#_x0000_t202" style="position:absolute;left:0pt;margin-left:0pt;margin-top:11.7pt;height:185.85pt;width:408.75pt;z-index:251661312;mso-width-relative:page;mso-height-relative:page;" coordsize="21600,21600" o:gfxdata="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m8q/5NgAAAAHAQAADwAAAAAAAAAB&#10;ACAAAAAiAAAAZHJzL2Rvd25yZXYueG1sUEsBAhQAFAAAAAgAh07iQCzM5yQQAgAARQQAAA4AAAAA&#10;AAAAAQAgAAAAJwEAAGRycy9lMm9Eb2MueG1sUEsFBgAAAAAGAAYAWQEAAKkFAAAAAA==&#10;">
            <v:path/>
            <v:fill focussize="0,0"/>
            <v:stroke joinstyle="miter"/>
            <v:imagedata o:title=""/>
            <o:lock v:ext="edit"/>
            <v:textbox>
              <w:txbxContent>
                <w:p>
                  <w:pPr>
                    <w:rPr>
                      <w:rFonts w:ascii="宋体" w:hAnsi="宋体"/>
                      <w:sz w:val="24"/>
                    </w:rPr>
                  </w:pPr>
                  <w:r>
                    <w:rPr>
                      <w:rFonts w:hint="eastAsia" w:ascii="新宋体" w:hAnsi="新宋体" w:eastAsia="新宋体"/>
                      <w:sz w:val="22"/>
                    </w:rPr>
                    <w:t xml:space="preserve">  被授权人</w:t>
                  </w:r>
                  <w:r>
                    <w:rPr>
                      <w:rFonts w:hint="eastAsia" w:ascii="宋体" w:hAnsi="宋体"/>
                      <w:sz w:val="24"/>
                    </w:rPr>
                    <w:t>身份证：</w:t>
                  </w: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r>
                    <w:rPr>
                      <w:rFonts w:hint="eastAsia" w:ascii="宋体" w:hAnsi="宋体"/>
                      <w:sz w:val="24"/>
                    </w:rPr>
                    <w:t xml:space="preserve">       复印件粘贴处</w:t>
                  </w:r>
                </w:p>
              </w:txbxContent>
            </v:textbox>
          </v:shape>
        </w:pict>
      </w:r>
    </w:p>
    <w:p>
      <w:pPr>
        <w:spacing w:line="400" w:lineRule="exact"/>
        <w:rPr>
          <w:rFonts w:ascii="宋体" w:hAnsi="宋体" w:cs="宋体"/>
          <w:color w:val="auto"/>
          <w:spacing w:val="-6"/>
          <w:sz w:val="24"/>
          <w:szCs w:val="24"/>
          <w:highlight w:val="none"/>
        </w:rPr>
      </w:pPr>
    </w:p>
    <w:p>
      <w:pPr>
        <w:spacing w:line="400" w:lineRule="exact"/>
        <w:rPr>
          <w:rFonts w:ascii="宋体" w:hAnsi="宋体" w:cs="宋体"/>
          <w:color w:val="auto"/>
          <w:spacing w:val="-6"/>
          <w:sz w:val="24"/>
          <w:szCs w:val="24"/>
          <w:highlight w:val="none"/>
        </w:rPr>
      </w:pPr>
    </w:p>
    <w:p>
      <w:pPr>
        <w:spacing w:line="400" w:lineRule="exact"/>
        <w:rPr>
          <w:rFonts w:ascii="宋体" w:hAnsi="宋体" w:cs="宋体"/>
          <w:color w:val="auto"/>
          <w:spacing w:val="-6"/>
          <w:sz w:val="24"/>
          <w:szCs w:val="24"/>
          <w:highlight w:val="none"/>
        </w:rPr>
      </w:pPr>
    </w:p>
    <w:p>
      <w:pPr>
        <w:spacing w:line="400" w:lineRule="exact"/>
        <w:rPr>
          <w:rFonts w:ascii="宋体" w:hAnsi="宋体" w:cs="宋体"/>
          <w:color w:val="auto"/>
          <w:spacing w:val="-6"/>
          <w:sz w:val="24"/>
          <w:szCs w:val="24"/>
          <w:highlight w:val="none"/>
        </w:rPr>
      </w:pPr>
    </w:p>
    <w:p>
      <w:pPr>
        <w:spacing w:line="400" w:lineRule="exact"/>
        <w:rPr>
          <w:rFonts w:ascii="宋体" w:hAnsi="宋体" w:cs="宋体"/>
          <w:color w:val="auto"/>
          <w:spacing w:val="-6"/>
          <w:sz w:val="24"/>
          <w:szCs w:val="24"/>
          <w:highlight w:val="none"/>
        </w:rPr>
      </w:pPr>
    </w:p>
    <w:p>
      <w:pPr>
        <w:spacing w:line="400" w:lineRule="exact"/>
        <w:rPr>
          <w:rFonts w:ascii="宋体" w:hAnsi="宋体" w:cs="宋体"/>
          <w:color w:val="auto"/>
          <w:spacing w:val="-6"/>
          <w:sz w:val="24"/>
          <w:szCs w:val="24"/>
          <w:highlight w:val="none"/>
        </w:rPr>
      </w:pPr>
    </w:p>
    <w:p>
      <w:pPr>
        <w:spacing w:line="400" w:lineRule="exact"/>
        <w:rPr>
          <w:rFonts w:ascii="宋体" w:hAnsi="宋体" w:cs="宋体"/>
          <w:color w:val="auto"/>
          <w:spacing w:val="-6"/>
          <w:sz w:val="24"/>
          <w:szCs w:val="24"/>
          <w:highlight w:val="none"/>
        </w:rPr>
      </w:pPr>
    </w:p>
    <w:p>
      <w:pPr>
        <w:spacing w:line="400" w:lineRule="exact"/>
        <w:rPr>
          <w:rFonts w:ascii="宋体" w:hAnsi="宋体" w:cs="宋体"/>
          <w:color w:val="auto"/>
          <w:spacing w:val="-6"/>
          <w:sz w:val="24"/>
          <w:szCs w:val="24"/>
          <w:highlight w:val="none"/>
        </w:rPr>
      </w:pPr>
    </w:p>
    <w:p>
      <w:pPr>
        <w:spacing w:line="400" w:lineRule="exact"/>
        <w:jc w:val="center"/>
        <w:rPr>
          <w:rFonts w:ascii="宋体" w:hAnsi="宋体" w:cs="宋体"/>
          <w:color w:val="auto"/>
          <w:sz w:val="24"/>
          <w:szCs w:val="24"/>
          <w:highlight w:val="none"/>
          <w:u w:val="single"/>
        </w:rPr>
      </w:pPr>
      <w:r>
        <w:rPr>
          <w:rFonts w:hint="eastAsia" w:ascii="宋体" w:hAnsi="宋体" w:cs="宋体"/>
          <w:color w:val="auto"/>
          <w:sz w:val="24"/>
          <w:szCs w:val="24"/>
          <w:highlight w:val="none"/>
        </w:rPr>
        <w:t>法定代表人授权书</w:t>
      </w:r>
    </w:p>
    <w:p>
      <w:pPr>
        <w:spacing w:line="400" w:lineRule="exact"/>
        <w:ind w:firstLine="240" w:firstLineChars="100"/>
        <w:rPr>
          <w:rFonts w:ascii="宋体" w:hAnsi="宋体" w:cs="宋体"/>
          <w:color w:val="auto"/>
          <w:sz w:val="24"/>
          <w:szCs w:val="24"/>
          <w:highlight w:val="none"/>
        </w:rPr>
      </w:pPr>
    </w:p>
    <w:p>
      <w:pPr>
        <w:spacing w:line="400" w:lineRule="exact"/>
        <w:ind w:firstLine="240" w:firstLineChars="100"/>
        <w:rPr>
          <w:rFonts w:ascii="宋体" w:hAnsi="宋体" w:cs="宋体"/>
          <w:color w:val="auto"/>
          <w:sz w:val="24"/>
          <w:szCs w:val="24"/>
          <w:highlight w:val="none"/>
        </w:rPr>
      </w:pPr>
    </w:p>
    <w:p>
      <w:pPr>
        <w:pStyle w:val="15"/>
        <w:ind w:left="1470" w:right="1470"/>
        <w:rPr>
          <w:rFonts w:ascii="宋体" w:hAnsi="宋体" w:cs="宋体"/>
          <w:color w:val="auto"/>
          <w:sz w:val="24"/>
          <w:szCs w:val="24"/>
          <w:highlight w:val="none"/>
        </w:rPr>
      </w:pPr>
    </w:p>
    <w:p>
      <w:pPr>
        <w:pStyle w:val="15"/>
        <w:ind w:left="1470" w:right="1470"/>
        <w:rPr>
          <w:rFonts w:ascii="宋体" w:hAnsi="宋体" w:cs="宋体"/>
          <w:color w:val="auto"/>
          <w:sz w:val="24"/>
          <w:szCs w:val="24"/>
          <w:highlight w:val="none"/>
        </w:rPr>
      </w:pPr>
    </w:p>
    <w:p>
      <w:pPr>
        <w:pStyle w:val="15"/>
        <w:ind w:left="1470" w:right="1470"/>
        <w:rPr>
          <w:rFonts w:ascii="宋体" w:hAnsi="宋体" w:cs="宋体"/>
          <w:color w:val="auto"/>
          <w:sz w:val="24"/>
          <w:szCs w:val="24"/>
          <w:highlight w:val="none"/>
        </w:rPr>
      </w:pPr>
    </w:p>
    <w:p>
      <w:pPr>
        <w:pStyle w:val="15"/>
        <w:ind w:left="1470" w:right="1470"/>
        <w:rPr>
          <w:rFonts w:ascii="宋体" w:hAnsi="宋体" w:cs="宋体"/>
          <w:color w:val="auto"/>
          <w:sz w:val="24"/>
          <w:szCs w:val="24"/>
          <w:highlight w:val="none"/>
        </w:rPr>
      </w:pPr>
    </w:p>
    <w:p>
      <w:pPr>
        <w:pStyle w:val="15"/>
        <w:ind w:left="1470" w:right="1470"/>
        <w:rPr>
          <w:rFonts w:ascii="宋体" w:hAnsi="宋体" w:cs="宋体"/>
          <w:color w:val="auto"/>
          <w:sz w:val="24"/>
          <w:szCs w:val="24"/>
          <w:highlight w:val="none"/>
        </w:rPr>
      </w:pPr>
    </w:p>
    <w:p>
      <w:pPr>
        <w:pStyle w:val="15"/>
        <w:ind w:left="1470" w:right="1470"/>
        <w:rPr>
          <w:rFonts w:ascii="宋体" w:hAnsi="宋体" w:cs="宋体"/>
          <w:color w:val="auto"/>
          <w:sz w:val="24"/>
          <w:szCs w:val="24"/>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附件7</w:t>
      </w:r>
    </w:p>
    <w:p>
      <w:pPr>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投 标 函</w:t>
      </w:r>
    </w:p>
    <w:p>
      <w:pPr>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致：</w:t>
      </w:r>
      <w:r>
        <w:rPr>
          <w:rFonts w:hint="eastAsia" w:ascii="宋体" w:hAnsi="宋体" w:cs="宋体"/>
          <w:color w:val="auto"/>
          <w:sz w:val="24"/>
          <w:szCs w:val="24"/>
          <w:highlight w:val="none"/>
          <w:u w:val="single"/>
        </w:rPr>
        <w:t>温州大学、浙江乐诚工程咨询有限公司</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根据贵方为温州大学</w:t>
      </w:r>
      <w:r>
        <w:rPr>
          <w:rFonts w:hint="eastAsia" w:ascii="宋体" w:hAnsi="宋体" w:cs="宋体"/>
          <w:color w:val="auto"/>
          <w:sz w:val="24"/>
          <w:szCs w:val="24"/>
          <w:highlight w:val="none"/>
          <w:u w:val="single"/>
        </w:rPr>
        <w:t>中文纸质图书</w:t>
      </w:r>
      <w:r>
        <w:rPr>
          <w:rFonts w:hint="eastAsia" w:ascii="宋体" w:hAnsi="宋体" w:cs="宋体"/>
          <w:color w:val="auto"/>
          <w:sz w:val="24"/>
          <w:szCs w:val="24"/>
          <w:highlight w:val="none"/>
        </w:rPr>
        <w:t>项目（项目编号：</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）的投标邀请，我方</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（投标人名称）作为投标人正式授权</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（授权代表全名，职务）代表我方处理本次项目中的一切投标相关事宜。</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我方己完全明白招标文件的所有条款要求，并重申以下几点：</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（一）本投标文件的有效期自提交投标文件的截止之日起 </w:t>
      </w:r>
      <w:r>
        <w:rPr>
          <w:rFonts w:hint="eastAsia" w:ascii="宋体" w:hAnsi="宋体" w:cs="宋体"/>
          <w:color w:val="auto"/>
          <w:sz w:val="24"/>
          <w:szCs w:val="24"/>
          <w:highlight w:val="none"/>
          <w:u w:val="single"/>
        </w:rPr>
        <w:t>90</w:t>
      </w:r>
      <w:r>
        <w:rPr>
          <w:rFonts w:hint="eastAsia" w:ascii="宋体" w:hAnsi="宋体" w:cs="宋体"/>
          <w:color w:val="auto"/>
          <w:sz w:val="24"/>
          <w:szCs w:val="24"/>
          <w:highlight w:val="none"/>
        </w:rPr>
        <w:t>天内有效，如中标，有效期将延至合同终止日为止；</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（二）我方已详细研究了招标文件的所有内容包括修改书（如有）和所有已提供的参考资料以及有关附件，我方完全理解并同意放弃在此方面提出含糊意见或误解的一切权力；</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（三）我方明白并愿意在规定的开标时间之后，投标人在投标有效期内不撤回投标；</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（四）我方同意提供按照贵方可能要求的与投标有关的一切数据或资料；</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（五）我方理解贵方不一定接受最低报价。</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（六）如中标，我方承诺按照招标文件规定向你方递交履约保证金，本投标文件至本项目合同履行完毕止均保持有效，本投标人将按“招标文件”及政府采购法律、法规的规定履行合同责任和义务。</w:t>
      </w:r>
    </w:p>
    <w:p>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（七）所有与本投标有关的函件请发往下列地址：</w:t>
      </w:r>
    </w:p>
    <w:p>
      <w:pPr>
        <w:spacing w:line="400" w:lineRule="exact"/>
        <w:ind w:firstLine="435"/>
        <w:rPr>
          <w:rFonts w:ascii="宋体" w:hAnsi="宋体" w:cs="宋体"/>
          <w:color w:val="auto"/>
          <w:sz w:val="24"/>
          <w:szCs w:val="24"/>
          <w:highlight w:val="none"/>
        </w:rPr>
      </w:pPr>
      <w:r>
        <w:rPr>
          <w:rFonts w:hint="eastAsia" w:ascii="宋体" w:hAnsi="宋体" w:cs="宋体"/>
          <w:color w:val="auto"/>
          <w:sz w:val="24"/>
          <w:szCs w:val="24"/>
          <w:highlight w:val="none"/>
        </w:rPr>
        <w:t xml:space="preserve">   地址</w:t>
      </w:r>
      <w:r>
        <w:rPr>
          <w:rFonts w:hint="eastAsia" w:ascii="宋体" w:hAnsi="宋体" w:cs="宋体"/>
          <w:color w:val="auto"/>
          <w:sz w:val="24"/>
          <w:szCs w:val="24"/>
          <w:highlight w:val="none"/>
          <w:u w:val="single"/>
        </w:rPr>
        <w:t xml:space="preserve">                　　  　　</w:t>
      </w:r>
    </w:p>
    <w:p>
      <w:pPr>
        <w:spacing w:line="400" w:lineRule="exact"/>
        <w:ind w:firstLine="435"/>
        <w:rPr>
          <w:rFonts w:ascii="宋体" w:hAnsi="宋体" w:cs="宋体"/>
          <w:color w:val="auto"/>
          <w:sz w:val="24"/>
          <w:szCs w:val="24"/>
          <w:highlight w:val="none"/>
        </w:rPr>
      </w:pPr>
      <w:r>
        <w:rPr>
          <w:rFonts w:hint="eastAsia" w:ascii="宋体" w:hAnsi="宋体" w:cs="宋体"/>
          <w:color w:val="auto"/>
          <w:sz w:val="24"/>
          <w:szCs w:val="24"/>
          <w:highlight w:val="none"/>
        </w:rPr>
        <w:t xml:space="preserve">   电话</w:t>
      </w:r>
      <w:r>
        <w:rPr>
          <w:rFonts w:hint="eastAsia" w:ascii="宋体" w:hAnsi="宋体" w:cs="宋体"/>
          <w:color w:val="auto"/>
          <w:sz w:val="24"/>
          <w:szCs w:val="24"/>
          <w:highlight w:val="none"/>
          <w:u w:val="single"/>
        </w:rPr>
        <w:t xml:space="preserve">               　　   　　</w:t>
      </w:r>
    </w:p>
    <w:p>
      <w:pPr>
        <w:spacing w:line="400" w:lineRule="exact"/>
        <w:ind w:firstLine="435"/>
        <w:rPr>
          <w:rFonts w:ascii="宋体" w:hAnsi="宋体" w:cs="宋体"/>
          <w:color w:val="auto"/>
          <w:sz w:val="24"/>
          <w:szCs w:val="24"/>
          <w:highlight w:val="none"/>
          <w:u w:val="single"/>
        </w:rPr>
      </w:pPr>
      <w:r>
        <w:rPr>
          <w:rFonts w:hint="eastAsia" w:ascii="宋体" w:hAnsi="宋体" w:cs="宋体"/>
          <w:color w:val="auto"/>
          <w:sz w:val="24"/>
          <w:szCs w:val="24"/>
          <w:highlight w:val="none"/>
        </w:rPr>
        <w:t xml:space="preserve">   传真</w:t>
      </w:r>
      <w:r>
        <w:rPr>
          <w:rFonts w:hint="eastAsia" w:ascii="宋体" w:hAnsi="宋体" w:cs="宋体"/>
          <w:color w:val="auto"/>
          <w:sz w:val="24"/>
          <w:szCs w:val="24"/>
          <w:highlight w:val="none"/>
          <w:u w:val="single"/>
        </w:rPr>
        <w:t xml:space="preserve">         　　         　　</w:t>
      </w:r>
    </w:p>
    <w:p>
      <w:pPr>
        <w:spacing w:line="400" w:lineRule="exact"/>
        <w:ind w:firstLine="840" w:firstLineChars="350"/>
        <w:rPr>
          <w:rFonts w:ascii="宋体" w:hAnsi="宋体" w:cs="宋体"/>
          <w:color w:val="auto"/>
          <w:sz w:val="24"/>
          <w:szCs w:val="24"/>
          <w:highlight w:val="none"/>
          <w:u w:val="single"/>
        </w:rPr>
      </w:pPr>
      <w:r>
        <w:rPr>
          <w:rFonts w:hint="eastAsia" w:ascii="宋体" w:hAnsi="宋体" w:cs="宋体"/>
          <w:color w:val="auto"/>
          <w:sz w:val="24"/>
          <w:szCs w:val="24"/>
          <w:highlight w:val="none"/>
        </w:rPr>
        <w:t>电子邮件</w:t>
      </w:r>
      <w:r>
        <w:rPr>
          <w:rFonts w:hint="eastAsia" w:ascii="宋体" w:hAnsi="宋体" w:cs="宋体"/>
          <w:color w:val="auto"/>
          <w:sz w:val="24"/>
          <w:szCs w:val="24"/>
          <w:highlight w:val="none"/>
          <w:u w:val="single"/>
        </w:rPr>
        <w:t xml:space="preserve">         　　         </w:t>
      </w:r>
    </w:p>
    <w:p>
      <w:pPr>
        <w:spacing w:line="400" w:lineRule="exact"/>
        <w:rPr>
          <w:rFonts w:ascii="宋体" w:hAnsi="宋体" w:cs="宋体"/>
          <w:color w:val="auto"/>
          <w:sz w:val="24"/>
          <w:szCs w:val="24"/>
          <w:highlight w:val="none"/>
        </w:rPr>
      </w:pPr>
    </w:p>
    <w:p>
      <w:pPr>
        <w:widowControl/>
        <w:spacing w:line="400" w:lineRule="exact"/>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投标人全称(电子签章)：</w:t>
      </w:r>
    </w:p>
    <w:p>
      <w:pPr>
        <w:widowControl/>
        <w:spacing w:line="400"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法定代表人或授权代表(签字或盖章)：</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    年    月    日</w:t>
      </w:r>
    </w:p>
    <w:p>
      <w:pPr>
        <w:snapToGrid w:val="0"/>
        <w:spacing w:line="400" w:lineRule="exact"/>
        <w:jc w:val="center"/>
        <w:rPr>
          <w:rFonts w:ascii="宋体" w:hAnsi="宋体" w:cs="宋体"/>
          <w:b/>
          <w:bCs/>
          <w:color w:val="auto"/>
          <w:sz w:val="28"/>
          <w:szCs w:val="28"/>
          <w:highlight w:val="none"/>
        </w:rPr>
      </w:pPr>
    </w:p>
    <w:p>
      <w:pPr>
        <w:snapToGrid w:val="0"/>
        <w:spacing w:line="400" w:lineRule="exact"/>
        <w:jc w:val="center"/>
        <w:rPr>
          <w:rFonts w:ascii="宋体" w:hAnsi="宋体" w:cs="宋体"/>
          <w:b/>
          <w:bCs/>
          <w:color w:val="auto"/>
          <w:sz w:val="28"/>
          <w:szCs w:val="28"/>
          <w:highlight w:val="none"/>
        </w:rPr>
      </w:pPr>
    </w:p>
    <w:p>
      <w:pPr>
        <w:snapToGrid w:val="0"/>
        <w:spacing w:line="400" w:lineRule="exact"/>
        <w:jc w:val="center"/>
        <w:rPr>
          <w:rFonts w:ascii="宋体" w:hAnsi="宋体" w:cs="宋体"/>
          <w:b/>
          <w:bCs/>
          <w:color w:val="auto"/>
          <w:sz w:val="28"/>
          <w:szCs w:val="28"/>
          <w:highlight w:val="none"/>
        </w:rPr>
      </w:pPr>
    </w:p>
    <w:p>
      <w:pPr>
        <w:snapToGrid w:val="0"/>
        <w:spacing w:line="400" w:lineRule="exact"/>
        <w:jc w:val="center"/>
        <w:rPr>
          <w:rFonts w:ascii="宋体" w:hAnsi="宋体" w:cs="宋体"/>
          <w:b/>
          <w:bCs/>
          <w:color w:val="auto"/>
          <w:sz w:val="28"/>
          <w:szCs w:val="28"/>
          <w:highlight w:val="none"/>
        </w:rPr>
      </w:pPr>
    </w:p>
    <w:p>
      <w:pPr>
        <w:pStyle w:val="15"/>
        <w:ind w:left="1470" w:right="1470"/>
        <w:rPr>
          <w:rFonts w:ascii="宋体" w:hAnsi="宋体" w:cs="宋体"/>
          <w:color w:val="auto"/>
          <w:highlight w:val="none"/>
        </w:rPr>
      </w:pPr>
    </w:p>
    <w:p>
      <w:pPr>
        <w:pStyle w:val="11"/>
        <w:ind w:firstLine="321"/>
        <w:rPr>
          <w:rFonts w:ascii="宋体" w:hAnsi="宋体" w:cs="宋体"/>
          <w:color w:val="auto"/>
          <w:highlight w:val="none"/>
        </w:rPr>
      </w:pPr>
    </w:p>
    <w:p>
      <w:pPr>
        <w:pStyle w:val="11"/>
        <w:ind w:firstLine="321"/>
        <w:rPr>
          <w:rFonts w:ascii="宋体" w:hAnsi="宋体" w:cs="宋体"/>
          <w:color w:val="auto"/>
          <w:highlight w:val="none"/>
        </w:rPr>
      </w:pPr>
    </w:p>
    <w:p>
      <w:pPr>
        <w:pStyle w:val="11"/>
        <w:ind w:firstLine="321"/>
        <w:rPr>
          <w:rFonts w:ascii="宋体" w:hAnsi="宋体" w:cs="宋体"/>
          <w:color w:val="auto"/>
          <w:highlight w:val="none"/>
        </w:rPr>
      </w:pPr>
    </w:p>
    <w:p>
      <w:pPr>
        <w:spacing w:line="400" w:lineRule="exact"/>
        <w:rPr>
          <w:rFonts w:ascii="宋体" w:hAnsi="宋体" w:cs="宋体"/>
          <w:b/>
          <w:bCs/>
          <w:color w:val="auto"/>
          <w:sz w:val="28"/>
          <w:szCs w:val="28"/>
          <w:highlight w:val="none"/>
        </w:rPr>
      </w:pPr>
      <w:r>
        <w:rPr>
          <w:rFonts w:hint="eastAsia" w:ascii="宋体" w:hAnsi="宋体" w:cs="宋体"/>
          <w:b/>
          <w:color w:val="auto"/>
          <w:sz w:val="24"/>
          <w:szCs w:val="24"/>
          <w:highlight w:val="none"/>
        </w:rPr>
        <w:t>附件8</w:t>
      </w:r>
    </w:p>
    <w:p>
      <w:pPr>
        <w:snapToGrid w:val="0"/>
        <w:spacing w:line="400" w:lineRule="exact"/>
        <w:jc w:val="center"/>
        <w:rPr>
          <w:rFonts w:ascii="宋体" w:hAnsi="宋体" w:cs="宋体"/>
          <w:b/>
          <w:bCs/>
          <w:color w:val="auto"/>
          <w:sz w:val="24"/>
          <w:szCs w:val="24"/>
          <w:highlight w:val="none"/>
        </w:rPr>
      </w:pPr>
      <w:r>
        <w:rPr>
          <w:rFonts w:hint="eastAsia" w:ascii="宋体" w:hAnsi="宋体" w:cs="宋体"/>
          <w:b/>
          <w:bCs/>
          <w:color w:val="auto"/>
          <w:sz w:val="28"/>
          <w:szCs w:val="28"/>
          <w:highlight w:val="none"/>
        </w:rPr>
        <w:t>投标声明书</w:t>
      </w:r>
    </w:p>
    <w:p>
      <w:pPr>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致：</w:t>
      </w:r>
      <w:r>
        <w:rPr>
          <w:rFonts w:hint="eastAsia" w:ascii="宋体" w:hAnsi="宋体" w:cs="宋体"/>
          <w:color w:val="auto"/>
          <w:sz w:val="24"/>
          <w:szCs w:val="24"/>
          <w:highlight w:val="none"/>
          <w:u w:val="single"/>
        </w:rPr>
        <w:t>温州大学、浙江乐诚工程咨询有限公司</w:t>
      </w:r>
      <w:r>
        <w:rPr>
          <w:rFonts w:hint="eastAsia" w:ascii="宋体" w:hAnsi="宋体" w:cs="宋体"/>
          <w:color w:val="auto"/>
          <w:sz w:val="24"/>
          <w:szCs w:val="24"/>
          <w:highlight w:val="none"/>
        </w:rPr>
        <w:t>：</w:t>
      </w:r>
    </w:p>
    <w:p>
      <w:pPr>
        <w:snapToGrid w:val="0"/>
        <w:spacing w:line="400" w:lineRule="exact"/>
        <w:ind w:firstLine="720" w:firstLineChars="300"/>
        <w:rPr>
          <w:rFonts w:ascii="宋体" w:hAnsi="宋体" w:cs="宋体"/>
          <w:color w:val="auto"/>
          <w:sz w:val="24"/>
          <w:szCs w:val="24"/>
          <w:highlight w:val="none"/>
        </w:rPr>
      </w:pPr>
      <w:r>
        <w:rPr>
          <w:rFonts w:hint="eastAsia" w:ascii="宋体" w:hAnsi="宋体" w:cs="宋体"/>
          <w:color w:val="auto"/>
          <w:sz w:val="24"/>
          <w:szCs w:val="24"/>
          <w:highlight w:val="none"/>
        </w:rPr>
        <w:t>（投标人名称）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系中华人民共和国合法企业，经营地址</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p>
    <w:p>
      <w:pPr>
        <w:snapToGrid w:val="0"/>
        <w:spacing w:line="400" w:lineRule="exact"/>
        <w:ind w:firstLine="645"/>
        <w:rPr>
          <w:rFonts w:ascii="宋体" w:hAnsi="宋体" w:cs="宋体"/>
          <w:color w:val="auto"/>
          <w:sz w:val="24"/>
          <w:szCs w:val="24"/>
          <w:highlight w:val="none"/>
        </w:rPr>
      </w:pPr>
      <w:r>
        <w:rPr>
          <w:rFonts w:hint="eastAsia" w:ascii="宋体" w:hAnsi="宋体" w:cs="宋体"/>
          <w:color w:val="auto"/>
          <w:sz w:val="24"/>
          <w:szCs w:val="24"/>
          <w:highlight w:val="none"/>
        </w:rPr>
        <w:t>我（姓名）</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系（投标人名称）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的法定代表人，我方愿意参加贵方组织的</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项目（项目编号：</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）的投标，为便于贵方公正、择优地确定中标人及其服务，我方就本次投标有关事项郑重声明如下：</w:t>
      </w:r>
    </w:p>
    <w:p>
      <w:pPr>
        <w:spacing w:line="400" w:lineRule="exact"/>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1.我方向贵方提交的所有投标文件、资料都是准确的和真实的；</w:t>
      </w:r>
    </w:p>
    <w:p>
      <w:pPr>
        <w:spacing w:line="400" w:lineRule="exact"/>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2.我方不是采购人的附属机构；在获知本项目采购信息后，与采购人聘请的为此项目提供咨询服务的公司及其附属机构没有任何联系；</w:t>
      </w:r>
    </w:p>
    <w:p>
      <w:pPr>
        <w:spacing w:line="400" w:lineRule="exact"/>
        <w:ind w:firstLine="456"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3.我方在参加政府采购活动前3年内：</w:t>
      </w:r>
      <w:r>
        <w:rPr>
          <w:rFonts w:hint="eastAsia" w:ascii="宋体" w:hAnsi="宋体" w:cs="宋体"/>
          <w:color w:val="auto"/>
          <w:sz w:val="24"/>
          <w:szCs w:val="24"/>
          <w:highlight w:val="none"/>
          <w:u w:val="single"/>
        </w:rPr>
        <w:t xml:space="preserve">         　　</w:t>
      </w:r>
      <w:r>
        <w:rPr>
          <w:rFonts w:hint="eastAsia" w:ascii="宋体" w:hAnsi="宋体" w:cs="宋体"/>
          <w:b/>
          <w:color w:val="auto"/>
          <w:spacing w:val="-6"/>
          <w:sz w:val="24"/>
          <w:szCs w:val="24"/>
          <w:highlight w:val="none"/>
        </w:rPr>
        <w:t>（填写“有”或“没有”，如实填写，如不填写视同未按要求填写）</w:t>
      </w:r>
      <w:r>
        <w:rPr>
          <w:rFonts w:hint="eastAsia" w:ascii="宋体" w:hAnsi="宋体" w:cs="宋体"/>
          <w:color w:val="auto"/>
          <w:spacing w:val="-6"/>
          <w:sz w:val="24"/>
          <w:szCs w:val="24"/>
          <w:highlight w:val="none"/>
        </w:rPr>
        <w:t>因违法经营被禁止在一定期限内参加政府采购活动，且期限未满的情形；</w:t>
      </w:r>
    </w:p>
    <w:p>
      <w:pPr>
        <w:spacing w:line="400" w:lineRule="exact"/>
        <w:ind w:firstLine="456"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4.以上事项如有虚假或隐瞒，我方愿意承担一切后果和责任。</w:t>
      </w:r>
    </w:p>
    <w:p>
      <w:pPr>
        <w:pStyle w:val="14"/>
        <w:tabs>
          <w:tab w:val="left" w:pos="939"/>
        </w:tabs>
        <w:snapToGrid w:val="0"/>
        <w:spacing w:line="400" w:lineRule="exact"/>
        <w:ind w:left="458" w:leftChars="0" w:hanging="458" w:hangingChars="191"/>
        <w:rPr>
          <w:rFonts w:ascii="宋体" w:hAnsi="宋体" w:cs="宋体"/>
          <w:color w:val="auto"/>
          <w:sz w:val="24"/>
          <w:szCs w:val="24"/>
          <w:highlight w:val="none"/>
        </w:rPr>
      </w:pPr>
    </w:p>
    <w:p>
      <w:pPr>
        <w:pStyle w:val="59"/>
        <w:snapToGrid w:val="0"/>
        <w:spacing w:line="400" w:lineRule="exact"/>
        <w:ind w:firstLine="200"/>
        <w:rPr>
          <w:rFonts w:ascii="宋体" w:hAnsi="宋体" w:cs="宋体"/>
          <w:color w:val="auto"/>
          <w:highlight w:val="none"/>
        </w:rPr>
      </w:pPr>
    </w:p>
    <w:p>
      <w:pPr>
        <w:widowControl/>
        <w:spacing w:line="400" w:lineRule="exact"/>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投标人全称(电子签章)：</w:t>
      </w:r>
    </w:p>
    <w:p>
      <w:pPr>
        <w:widowControl/>
        <w:spacing w:line="400"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法定代表人或授权代表(签字或盖章)：</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    年    月    日</w:t>
      </w:r>
    </w:p>
    <w:p>
      <w:pPr>
        <w:spacing w:line="400" w:lineRule="exact"/>
        <w:ind w:firstLine="435"/>
        <w:jc w:val="center"/>
        <w:rPr>
          <w:rFonts w:ascii="宋体" w:hAnsi="宋体" w:cs="宋体"/>
          <w:b/>
          <w:color w:val="auto"/>
          <w:spacing w:val="-6"/>
          <w:sz w:val="24"/>
          <w:highlight w:val="none"/>
        </w:rPr>
      </w:pPr>
    </w:p>
    <w:p>
      <w:pPr>
        <w:pStyle w:val="15"/>
        <w:spacing w:after="0" w:line="400" w:lineRule="exact"/>
        <w:ind w:left="0" w:leftChars="0" w:right="0" w:rightChars="0"/>
        <w:rPr>
          <w:rFonts w:ascii="宋体" w:hAnsi="宋体" w:cs="宋体"/>
          <w:color w:val="auto"/>
          <w:highlight w:val="none"/>
        </w:rPr>
      </w:pPr>
    </w:p>
    <w:p>
      <w:pPr>
        <w:spacing w:line="400" w:lineRule="exact"/>
        <w:ind w:firstLine="435"/>
        <w:jc w:val="center"/>
        <w:rPr>
          <w:rFonts w:ascii="宋体" w:hAnsi="宋体" w:cs="宋体"/>
          <w:b/>
          <w:color w:val="auto"/>
          <w:spacing w:val="-6"/>
          <w:sz w:val="24"/>
          <w:highlight w:val="none"/>
        </w:rPr>
      </w:pPr>
    </w:p>
    <w:p>
      <w:pPr>
        <w:spacing w:line="400" w:lineRule="exact"/>
        <w:ind w:firstLine="435"/>
        <w:jc w:val="center"/>
        <w:rPr>
          <w:rFonts w:ascii="宋体" w:hAnsi="宋体" w:cs="宋体"/>
          <w:b/>
          <w:color w:val="auto"/>
          <w:spacing w:val="-6"/>
          <w:sz w:val="24"/>
          <w:highlight w:val="none"/>
        </w:rPr>
      </w:pPr>
    </w:p>
    <w:p>
      <w:pPr>
        <w:spacing w:line="400" w:lineRule="exact"/>
        <w:ind w:firstLine="435"/>
        <w:jc w:val="center"/>
        <w:rPr>
          <w:rFonts w:ascii="宋体" w:hAnsi="宋体" w:cs="宋体"/>
          <w:b/>
          <w:color w:val="auto"/>
          <w:spacing w:val="-6"/>
          <w:sz w:val="24"/>
          <w:highlight w:val="none"/>
        </w:rPr>
      </w:pPr>
    </w:p>
    <w:p>
      <w:pPr>
        <w:spacing w:line="400" w:lineRule="exact"/>
        <w:ind w:firstLine="435"/>
        <w:jc w:val="center"/>
        <w:rPr>
          <w:rFonts w:ascii="宋体" w:hAnsi="宋体" w:cs="宋体"/>
          <w:b/>
          <w:color w:val="auto"/>
          <w:spacing w:val="-6"/>
          <w:sz w:val="24"/>
          <w:highlight w:val="none"/>
        </w:rPr>
      </w:pPr>
    </w:p>
    <w:p>
      <w:pPr>
        <w:spacing w:line="400" w:lineRule="exact"/>
        <w:ind w:firstLine="435"/>
        <w:jc w:val="center"/>
        <w:rPr>
          <w:rFonts w:ascii="宋体" w:hAnsi="宋体" w:cs="宋体"/>
          <w:b/>
          <w:color w:val="auto"/>
          <w:spacing w:val="-6"/>
          <w:sz w:val="24"/>
          <w:highlight w:val="none"/>
        </w:rPr>
      </w:pPr>
    </w:p>
    <w:p>
      <w:pPr>
        <w:spacing w:line="400" w:lineRule="exact"/>
        <w:ind w:firstLine="435"/>
        <w:jc w:val="center"/>
        <w:rPr>
          <w:rFonts w:ascii="宋体" w:hAnsi="宋体" w:cs="宋体"/>
          <w:b/>
          <w:color w:val="auto"/>
          <w:spacing w:val="-6"/>
          <w:sz w:val="24"/>
          <w:highlight w:val="none"/>
        </w:rPr>
      </w:pPr>
    </w:p>
    <w:p>
      <w:pPr>
        <w:spacing w:line="400" w:lineRule="exact"/>
        <w:ind w:firstLine="435"/>
        <w:jc w:val="center"/>
        <w:rPr>
          <w:rFonts w:ascii="宋体" w:hAnsi="宋体" w:cs="宋体"/>
          <w:b/>
          <w:color w:val="auto"/>
          <w:spacing w:val="-6"/>
          <w:sz w:val="24"/>
          <w:highlight w:val="none"/>
        </w:rPr>
      </w:pPr>
    </w:p>
    <w:p>
      <w:pPr>
        <w:spacing w:line="400" w:lineRule="exact"/>
        <w:ind w:firstLine="435"/>
        <w:jc w:val="center"/>
        <w:rPr>
          <w:rFonts w:ascii="宋体" w:hAnsi="宋体" w:cs="宋体"/>
          <w:b/>
          <w:color w:val="auto"/>
          <w:spacing w:val="-6"/>
          <w:sz w:val="24"/>
          <w:highlight w:val="none"/>
        </w:rPr>
      </w:pPr>
    </w:p>
    <w:p>
      <w:pPr>
        <w:spacing w:line="400" w:lineRule="exact"/>
        <w:ind w:firstLine="435"/>
        <w:jc w:val="center"/>
        <w:rPr>
          <w:rFonts w:ascii="宋体" w:hAnsi="宋体" w:cs="宋体"/>
          <w:b/>
          <w:color w:val="auto"/>
          <w:spacing w:val="-6"/>
          <w:sz w:val="24"/>
          <w:highlight w:val="none"/>
        </w:rPr>
      </w:pPr>
    </w:p>
    <w:p>
      <w:pPr>
        <w:spacing w:line="400" w:lineRule="exact"/>
        <w:jc w:val="center"/>
        <w:rPr>
          <w:rFonts w:ascii="宋体" w:hAnsi="宋体" w:cs="宋体"/>
          <w:b/>
          <w:color w:val="auto"/>
          <w:sz w:val="32"/>
          <w:highlight w:val="none"/>
        </w:rPr>
      </w:pPr>
    </w:p>
    <w:p>
      <w:pPr>
        <w:pStyle w:val="40"/>
        <w:rPr>
          <w:rFonts w:ascii="宋体" w:hAnsi="宋体" w:cs="宋体"/>
          <w:b/>
          <w:color w:val="auto"/>
          <w:sz w:val="32"/>
          <w:highlight w:val="none"/>
        </w:rPr>
      </w:pPr>
    </w:p>
    <w:p>
      <w:pPr>
        <w:pStyle w:val="40"/>
        <w:rPr>
          <w:rFonts w:ascii="宋体" w:hAnsi="宋体" w:cs="宋体"/>
          <w:b/>
          <w:color w:val="auto"/>
          <w:sz w:val="32"/>
          <w:highlight w:val="none"/>
        </w:rPr>
      </w:pPr>
    </w:p>
    <w:p>
      <w:pPr>
        <w:spacing w:line="400" w:lineRule="exact"/>
        <w:jc w:val="center"/>
        <w:rPr>
          <w:rFonts w:ascii="宋体" w:hAnsi="宋体" w:cs="宋体"/>
          <w:b/>
          <w:color w:val="auto"/>
          <w:sz w:val="32"/>
          <w:highlight w:val="none"/>
        </w:rPr>
      </w:pPr>
    </w:p>
    <w:p>
      <w:pPr>
        <w:spacing w:line="400" w:lineRule="exact"/>
        <w:rPr>
          <w:rFonts w:ascii="宋体" w:hAnsi="宋体" w:cs="宋体"/>
          <w:b/>
          <w:color w:val="auto"/>
          <w:sz w:val="24"/>
          <w:szCs w:val="24"/>
          <w:highlight w:val="none"/>
        </w:rPr>
      </w:pPr>
    </w:p>
    <w:p>
      <w:pPr>
        <w:spacing w:line="400" w:lineRule="exact"/>
        <w:rPr>
          <w:rFonts w:ascii="宋体" w:hAnsi="宋体" w:cs="宋体"/>
          <w:b/>
          <w:color w:val="auto"/>
          <w:spacing w:val="-6"/>
          <w:sz w:val="24"/>
          <w:highlight w:val="none"/>
        </w:rPr>
      </w:pPr>
      <w:r>
        <w:rPr>
          <w:rFonts w:hint="eastAsia" w:ascii="宋体" w:hAnsi="宋体" w:cs="宋体"/>
          <w:b/>
          <w:color w:val="auto"/>
          <w:sz w:val="24"/>
          <w:szCs w:val="24"/>
          <w:highlight w:val="none"/>
        </w:rPr>
        <w:t>附件9</w:t>
      </w:r>
    </w:p>
    <w:p>
      <w:pPr>
        <w:spacing w:line="400" w:lineRule="exact"/>
        <w:ind w:firstLine="435"/>
        <w:jc w:val="center"/>
        <w:rPr>
          <w:rFonts w:ascii="宋体" w:hAnsi="宋体" w:cs="宋体"/>
          <w:b/>
          <w:color w:val="auto"/>
          <w:spacing w:val="-6"/>
          <w:sz w:val="24"/>
          <w:highlight w:val="none"/>
        </w:rPr>
      </w:pPr>
      <w:r>
        <w:rPr>
          <w:rFonts w:hint="eastAsia" w:ascii="宋体" w:hAnsi="宋体" w:cs="宋体"/>
          <w:b/>
          <w:color w:val="auto"/>
          <w:spacing w:val="-6"/>
          <w:sz w:val="24"/>
          <w:highlight w:val="none"/>
        </w:rPr>
        <w:t>投标人基本情况表</w:t>
      </w:r>
    </w:p>
    <w:tbl>
      <w:tblPr>
        <w:tblStyle w:val="30"/>
        <w:tblW w:w="9225"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520"/>
        <w:gridCol w:w="1785"/>
        <w:gridCol w:w="4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400" w:lineRule="exact"/>
              <w:jc w:val="center"/>
              <w:rPr>
                <w:rFonts w:ascii="宋体" w:hAnsi="宋体" w:cs="宋体"/>
                <w:color w:val="auto"/>
                <w:spacing w:val="-6"/>
                <w:sz w:val="24"/>
                <w:highlight w:val="none"/>
              </w:rPr>
            </w:pPr>
            <w:r>
              <w:rPr>
                <w:rFonts w:hint="eastAsia" w:ascii="宋体" w:hAnsi="宋体" w:cs="宋体"/>
                <w:color w:val="auto"/>
                <w:spacing w:val="-6"/>
                <w:sz w:val="24"/>
                <w:highlight w:val="none"/>
              </w:rPr>
              <w:t>1</w:t>
            </w:r>
          </w:p>
        </w:tc>
        <w:tc>
          <w:tcPr>
            <w:tcW w:w="8490" w:type="dxa"/>
            <w:gridSpan w:val="3"/>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400" w:lineRule="exact"/>
              <w:jc w:val="center"/>
              <w:rPr>
                <w:rFonts w:ascii="宋体" w:hAnsi="宋体" w:cs="宋体"/>
                <w:color w:val="auto"/>
                <w:spacing w:val="-6"/>
                <w:sz w:val="24"/>
                <w:highlight w:val="none"/>
              </w:rPr>
            </w:pPr>
            <w:r>
              <w:rPr>
                <w:rFonts w:hint="eastAsia" w:ascii="宋体" w:hAnsi="宋体" w:cs="宋体"/>
                <w:color w:val="auto"/>
                <w:spacing w:val="-6"/>
                <w:sz w:val="24"/>
                <w:highlight w:val="none"/>
              </w:rPr>
              <w:t>2</w:t>
            </w:r>
          </w:p>
        </w:tc>
        <w:tc>
          <w:tcPr>
            <w:tcW w:w="8490" w:type="dxa"/>
            <w:gridSpan w:val="3"/>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总部地址：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400" w:lineRule="exact"/>
              <w:jc w:val="center"/>
              <w:rPr>
                <w:rFonts w:ascii="宋体" w:hAnsi="宋体" w:cs="宋体"/>
                <w:color w:val="auto"/>
                <w:spacing w:val="-6"/>
                <w:sz w:val="24"/>
                <w:highlight w:val="none"/>
              </w:rPr>
            </w:pPr>
            <w:r>
              <w:rPr>
                <w:rFonts w:hint="eastAsia" w:ascii="宋体" w:hAnsi="宋体" w:cs="宋体"/>
                <w:color w:val="auto"/>
                <w:spacing w:val="-6"/>
                <w:sz w:val="24"/>
                <w:highlight w:val="none"/>
              </w:rPr>
              <w:t>3</w:t>
            </w:r>
          </w:p>
        </w:tc>
        <w:tc>
          <w:tcPr>
            <w:tcW w:w="8490" w:type="dxa"/>
            <w:gridSpan w:val="3"/>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当地代表处地址：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400" w:lineRule="exact"/>
              <w:jc w:val="center"/>
              <w:rPr>
                <w:rFonts w:ascii="宋体" w:hAnsi="宋体" w:cs="宋体"/>
                <w:color w:val="auto"/>
                <w:spacing w:val="-6"/>
                <w:sz w:val="24"/>
                <w:highlight w:val="none"/>
              </w:rPr>
            </w:pPr>
            <w:r>
              <w:rPr>
                <w:rFonts w:hint="eastAsia" w:ascii="宋体" w:hAnsi="宋体" w:cs="宋体"/>
                <w:color w:val="auto"/>
                <w:spacing w:val="-6"/>
                <w:sz w:val="24"/>
                <w:highlight w:val="none"/>
              </w:rPr>
              <w:t>4</w:t>
            </w:r>
          </w:p>
        </w:tc>
        <w:tc>
          <w:tcPr>
            <w:tcW w:w="4305" w:type="dxa"/>
            <w:gridSpan w:val="2"/>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电话：</w:t>
            </w:r>
          </w:p>
        </w:tc>
        <w:tc>
          <w:tcPr>
            <w:tcW w:w="4185" w:type="dxa"/>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联系人：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400" w:lineRule="exact"/>
              <w:jc w:val="center"/>
              <w:rPr>
                <w:rFonts w:ascii="宋体" w:hAnsi="宋体" w:cs="宋体"/>
                <w:color w:val="auto"/>
                <w:spacing w:val="-6"/>
                <w:sz w:val="24"/>
                <w:highlight w:val="none"/>
              </w:rPr>
            </w:pPr>
            <w:r>
              <w:rPr>
                <w:rFonts w:hint="eastAsia" w:ascii="宋体" w:hAnsi="宋体" w:cs="宋体"/>
                <w:color w:val="auto"/>
                <w:spacing w:val="-6"/>
                <w:sz w:val="24"/>
                <w:highlight w:val="none"/>
              </w:rPr>
              <w:t>5</w:t>
            </w:r>
          </w:p>
        </w:tc>
        <w:tc>
          <w:tcPr>
            <w:tcW w:w="4305" w:type="dxa"/>
            <w:gridSpan w:val="2"/>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传真：</w:t>
            </w:r>
          </w:p>
        </w:tc>
        <w:tc>
          <w:tcPr>
            <w:tcW w:w="4185" w:type="dxa"/>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电子信箱：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400" w:lineRule="exact"/>
              <w:jc w:val="center"/>
              <w:rPr>
                <w:rFonts w:ascii="宋体" w:hAnsi="宋体" w:cs="宋体"/>
                <w:color w:val="auto"/>
                <w:spacing w:val="-6"/>
                <w:sz w:val="24"/>
                <w:highlight w:val="none"/>
              </w:rPr>
            </w:pPr>
            <w:r>
              <w:rPr>
                <w:rFonts w:hint="eastAsia" w:ascii="宋体" w:hAnsi="宋体" w:cs="宋体"/>
                <w:color w:val="auto"/>
                <w:spacing w:val="-6"/>
                <w:sz w:val="24"/>
                <w:highlight w:val="none"/>
              </w:rPr>
              <w:t>6</w:t>
            </w:r>
          </w:p>
        </w:tc>
        <w:tc>
          <w:tcPr>
            <w:tcW w:w="4305" w:type="dxa"/>
            <w:gridSpan w:val="2"/>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注册地：</w:t>
            </w:r>
          </w:p>
        </w:tc>
        <w:tc>
          <w:tcPr>
            <w:tcW w:w="4185" w:type="dxa"/>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注册年份：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400" w:lineRule="exact"/>
              <w:jc w:val="center"/>
              <w:rPr>
                <w:rFonts w:ascii="宋体" w:hAnsi="宋体" w:cs="宋体"/>
                <w:color w:val="auto"/>
                <w:spacing w:val="-6"/>
                <w:sz w:val="24"/>
                <w:highlight w:val="none"/>
              </w:rPr>
            </w:pPr>
            <w:r>
              <w:rPr>
                <w:rFonts w:hint="eastAsia" w:ascii="宋体" w:hAnsi="宋体" w:cs="宋体"/>
                <w:color w:val="auto"/>
                <w:spacing w:val="-6"/>
                <w:sz w:val="24"/>
                <w:highlight w:val="none"/>
              </w:rPr>
              <w:t>7</w:t>
            </w:r>
          </w:p>
        </w:tc>
        <w:tc>
          <w:tcPr>
            <w:tcW w:w="8490" w:type="dxa"/>
            <w:gridSpan w:val="3"/>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公司的资质等级（请附上有关证书）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400" w:lineRule="exact"/>
              <w:jc w:val="center"/>
              <w:rPr>
                <w:rFonts w:ascii="宋体" w:hAnsi="宋体" w:cs="宋体"/>
                <w:color w:val="auto"/>
                <w:spacing w:val="-6"/>
                <w:sz w:val="24"/>
                <w:highlight w:val="none"/>
              </w:rPr>
            </w:pPr>
            <w:r>
              <w:rPr>
                <w:rFonts w:hint="eastAsia" w:ascii="宋体" w:hAnsi="宋体" w:cs="宋体"/>
                <w:color w:val="auto"/>
                <w:spacing w:val="-6"/>
                <w:sz w:val="24"/>
                <w:highlight w:val="none"/>
              </w:rPr>
              <w:t>8</w:t>
            </w:r>
          </w:p>
        </w:tc>
        <w:tc>
          <w:tcPr>
            <w:tcW w:w="8490" w:type="dxa"/>
            <w:gridSpan w:val="3"/>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公司（是否通过，何种）质量保证体系认证（如通过请附相关证书，提供认证机构年审监督报告）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400" w:lineRule="exact"/>
              <w:jc w:val="center"/>
              <w:rPr>
                <w:rFonts w:ascii="宋体" w:hAnsi="宋体" w:cs="宋体"/>
                <w:color w:val="auto"/>
                <w:spacing w:val="-6"/>
                <w:sz w:val="24"/>
                <w:highlight w:val="none"/>
              </w:rPr>
            </w:pPr>
            <w:r>
              <w:rPr>
                <w:rFonts w:hint="eastAsia" w:ascii="宋体" w:hAnsi="宋体" w:cs="宋体"/>
                <w:color w:val="auto"/>
                <w:spacing w:val="-6"/>
                <w:sz w:val="24"/>
                <w:highlight w:val="none"/>
              </w:rPr>
              <w:t>9</w:t>
            </w:r>
          </w:p>
        </w:tc>
        <w:tc>
          <w:tcPr>
            <w:tcW w:w="2520" w:type="dxa"/>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作为承包人经历年数</w:t>
            </w:r>
          </w:p>
        </w:tc>
        <w:tc>
          <w:tcPr>
            <w:tcW w:w="5970" w:type="dxa"/>
            <w:gridSpan w:val="2"/>
            <w:vAlign w:val="center"/>
          </w:tcPr>
          <w:p>
            <w:pPr>
              <w:spacing w:line="400" w:lineRule="exact"/>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400" w:lineRule="exact"/>
              <w:jc w:val="center"/>
              <w:rPr>
                <w:rFonts w:ascii="宋体" w:hAnsi="宋体" w:cs="宋体"/>
                <w:color w:val="auto"/>
                <w:spacing w:val="-6"/>
                <w:sz w:val="24"/>
                <w:highlight w:val="none"/>
              </w:rPr>
            </w:pPr>
            <w:r>
              <w:rPr>
                <w:rFonts w:hint="eastAsia" w:ascii="宋体" w:hAnsi="宋体" w:cs="宋体"/>
                <w:color w:val="auto"/>
                <w:spacing w:val="-6"/>
                <w:sz w:val="24"/>
                <w:highlight w:val="none"/>
              </w:rPr>
              <w:t>10</w:t>
            </w:r>
          </w:p>
        </w:tc>
        <w:tc>
          <w:tcPr>
            <w:tcW w:w="2520" w:type="dxa"/>
            <w:vAlign w:val="center"/>
          </w:tcPr>
          <w:p>
            <w:pPr>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其他需要说明的情况</w:t>
            </w:r>
          </w:p>
        </w:tc>
        <w:tc>
          <w:tcPr>
            <w:tcW w:w="5970" w:type="dxa"/>
            <w:gridSpan w:val="2"/>
            <w:vAlign w:val="center"/>
          </w:tcPr>
          <w:p>
            <w:pPr>
              <w:spacing w:line="400" w:lineRule="exact"/>
              <w:rPr>
                <w:rFonts w:ascii="宋体" w:hAnsi="宋体" w:cs="宋体"/>
                <w:color w:val="auto"/>
                <w:spacing w:val="-6"/>
                <w:sz w:val="24"/>
                <w:highlight w:val="none"/>
              </w:rPr>
            </w:pPr>
          </w:p>
        </w:tc>
      </w:tr>
    </w:tbl>
    <w:p>
      <w:pPr>
        <w:spacing w:line="400" w:lineRule="exact"/>
        <w:rPr>
          <w:rFonts w:ascii="宋体" w:hAnsi="宋体" w:cs="宋体"/>
          <w:color w:val="auto"/>
          <w:spacing w:val="-6"/>
          <w:sz w:val="24"/>
          <w:highlight w:val="none"/>
        </w:rPr>
      </w:pPr>
    </w:p>
    <w:p>
      <w:pPr>
        <w:spacing w:line="400" w:lineRule="exact"/>
        <w:rPr>
          <w:rFonts w:ascii="宋体" w:hAnsi="宋体" w:cs="宋体"/>
          <w:b/>
          <w:color w:val="auto"/>
          <w:spacing w:val="-6"/>
          <w:sz w:val="24"/>
          <w:highlight w:val="none"/>
        </w:rPr>
      </w:pPr>
      <w:r>
        <w:rPr>
          <w:rFonts w:hint="eastAsia" w:ascii="宋体" w:hAnsi="宋体" w:cs="宋体"/>
          <w:b/>
          <w:color w:val="auto"/>
          <w:spacing w:val="-6"/>
          <w:sz w:val="24"/>
          <w:highlight w:val="none"/>
        </w:rPr>
        <w:t>说明：所有投标人都须填写此表。</w:t>
      </w:r>
    </w:p>
    <w:p>
      <w:pPr>
        <w:spacing w:line="400" w:lineRule="exact"/>
        <w:rPr>
          <w:rFonts w:ascii="宋体" w:hAnsi="宋体" w:cs="宋体"/>
          <w:color w:val="auto"/>
          <w:spacing w:val="-6"/>
          <w:sz w:val="24"/>
          <w:highlight w:val="none"/>
        </w:rPr>
      </w:pPr>
    </w:p>
    <w:p>
      <w:pPr>
        <w:spacing w:line="400" w:lineRule="exact"/>
        <w:rPr>
          <w:rFonts w:ascii="宋体" w:hAnsi="宋体" w:cs="宋体"/>
          <w:color w:val="auto"/>
          <w:spacing w:val="-6"/>
          <w:sz w:val="24"/>
          <w:highlight w:val="none"/>
        </w:rPr>
      </w:pPr>
    </w:p>
    <w:p>
      <w:pPr>
        <w:widowControl/>
        <w:spacing w:line="400" w:lineRule="exact"/>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投标人全称(电子签章)：</w:t>
      </w:r>
    </w:p>
    <w:p>
      <w:pPr>
        <w:widowControl/>
        <w:spacing w:line="400"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法定代表人或授权代表(签字或盖章)：</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    年    月    日</w:t>
      </w:r>
    </w:p>
    <w:p>
      <w:pPr>
        <w:spacing w:line="400" w:lineRule="exact"/>
        <w:jc w:val="center"/>
        <w:rPr>
          <w:rFonts w:ascii="宋体" w:hAnsi="宋体" w:cs="宋体"/>
          <w:color w:val="auto"/>
          <w:sz w:val="24"/>
          <w:szCs w:val="24"/>
          <w:highlight w:val="none"/>
        </w:rPr>
      </w:pPr>
    </w:p>
    <w:p>
      <w:pPr>
        <w:spacing w:line="400" w:lineRule="exact"/>
        <w:jc w:val="center"/>
        <w:rPr>
          <w:rFonts w:ascii="宋体" w:hAnsi="宋体" w:cs="宋体"/>
          <w:color w:val="auto"/>
          <w:sz w:val="24"/>
          <w:szCs w:val="24"/>
          <w:highlight w:val="none"/>
        </w:rPr>
      </w:pPr>
    </w:p>
    <w:p>
      <w:pPr>
        <w:spacing w:line="400" w:lineRule="exact"/>
        <w:jc w:val="center"/>
        <w:rPr>
          <w:rFonts w:ascii="宋体" w:hAnsi="宋体" w:cs="宋体"/>
          <w:color w:val="auto"/>
          <w:sz w:val="24"/>
          <w:szCs w:val="24"/>
          <w:highlight w:val="none"/>
        </w:rPr>
      </w:pPr>
    </w:p>
    <w:p>
      <w:pPr>
        <w:spacing w:line="400" w:lineRule="exact"/>
        <w:jc w:val="center"/>
        <w:rPr>
          <w:rFonts w:ascii="宋体" w:hAnsi="宋体" w:cs="宋体"/>
          <w:color w:val="auto"/>
          <w:sz w:val="24"/>
          <w:szCs w:val="24"/>
          <w:highlight w:val="none"/>
        </w:rPr>
      </w:pPr>
    </w:p>
    <w:p>
      <w:pPr>
        <w:spacing w:line="400" w:lineRule="exact"/>
        <w:jc w:val="center"/>
        <w:rPr>
          <w:rFonts w:ascii="宋体" w:hAnsi="宋体" w:cs="宋体"/>
          <w:color w:val="auto"/>
          <w:sz w:val="24"/>
          <w:szCs w:val="24"/>
          <w:highlight w:val="none"/>
        </w:rPr>
      </w:pPr>
    </w:p>
    <w:p>
      <w:pPr>
        <w:spacing w:line="400" w:lineRule="exact"/>
        <w:jc w:val="center"/>
        <w:rPr>
          <w:rFonts w:ascii="宋体" w:hAnsi="宋体" w:cs="宋体"/>
          <w:color w:val="auto"/>
          <w:sz w:val="24"/>
          <w:szCs w:val="24"/>
          <w:highlight w:val="none"/>
        </w:rPr>
      </w:pPr>
    </w:p>
    <w:p>
      <w:pPr>
        <w:spacing w:line="400" w:lineRule="exact"/>
        <w:jc w:val="center"/>
        <w:rPr>
          <w:rFonts w:ascii="宋体" w:hAnsi="宋体" w:cs="宋体"/>
          <w:color w:val="auto"/>
          <w:sz w:val="24"/>
          <w:szCs w:val="24"/>
          <w:highlight w:val="none"/>
        </w:rPr>
      </w:pPr>
    </w:p>
    <w:p>
      <w:pPr>
        <w:spacing w:line="400" w:lineRule="exact"/>
        <w:jc w:val="center"/>
        <w:rPr>
          <w:rFonts w:ascii="宋体" w:hAnsi="宋体" w:cs="宋体"/>
          <w:color w:val="auto"/>
          <w:sz w:val="24"/>
          <w:szCs w:val="24"/>
          <w:highlight w:val="none"/>
        </w:rPr>
      </w:pPr>
    </w:p>
    <w:p>
      <w:pPr>
        <w:pStyle w:val="15"/>
        <w:spacing w:after="0" w:line="400" w:lineRule="exact"/>
        <w:ind w:left="0" w:leftChars="0" w:right="0" w:rightChars="0"/>
        <w:rPr>
          <w:rFonts w:ascii="宋体" w:hAnsi="宋体" w:cs="宋体"/>
          <w:color w:val="auto"/>
          <w:highlight w:val="none"/>
        </w:rPr>
      </w:pPr>
    </w:p>
    <w:p>
      <w:pPr>
        <w:pStyle w:val="15"/>
        <w:spacing w:after="0" w:line="400" w:lineRule="exact"/>
        <w:ind w:left="0" w:leftChars="0" w:right="0" w:rightChars="0"/>
        <w:rPr>
          <w:rFonts w:ascii="宋体" w:hAnsi="宋体" w:cs="宋体"/>
          <w:color w:val="auto"/>
          <w:highlight w:val="none"/>
        </w:rPr>
      </w:pPr>
    </w:p>
    <w:p>
      <w:pPr>
        <w:pStyle w:val="15"/>
        <w:spacing w:after="0" w:line="400" w:lineRule="exact"/>
        <w:ind w:left="0" w:leftChars="0" w:right="0" w:rightChars="0"/>
        <w:rPr>
          <w:rFonts w:ascii="宋体" w:hAnsi="宋体" w:cs="宋体"/>
          <w:color w:val="auto"/>
          <w:highlight w:val="none"/>
        </w:rPr>
      </w:pPr>
    </w:p>
    <w:p>
      <w:pPr>
        <w:spacing w:line="400" w:lineRule="exact"/>
        <w:jc w:val="center"/>
        <w:rPr>
          <w:rFonts w:ascii="宋体" w:hAnsi="宋体" w:cs="宋体"/>
          <w:color w:val="auto"/>
          <w:sz w:val="24"/>
          <w:szCs w:val="24"/>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附件10</w:t>
      </w:r>
    </w:p>
    <w:p>
      <w:pPr>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节能、环保产品证明材料（如有）</w:t>
      </w:r>
    </w:p>
    <w:p>
      <w:pPr>
        <w:spacing w:line="360" w:lineRule="exact"/>
        <w:jc w:val="left"/>
        <w:rPr>
          <w:rFonts w:ascii="宋体" w:hAnsi="宋体" w:cs="宋体"/>
          <w:b/>
          <w:color w:val="auto"/>
          <w:sz w:val="22"/>
          <w:highlight w:val="none"/>
        </w:rPr>
      </w:pPr>
      <w:r>
        <w:rPr>
          <w:rFonts w:hint="eastAsia" w:ascii="宋体" w:hAnsi="宋体" w:cs="宋体"/>
          <w:b/>
          <w:color w:val="auto"/>
          <w:sz w:val="22"/>
          <w:highlight w:val="none"/>
        </w:rPr>
        <w:t>说明：</w:t>
      </w:r>
    </w:p>
    <w:p>
      <w:pPr>
        <w:spacing w:line="360" w:lineRule="exact"/>
        <w:jc w:val="left"/>
        <w:rPr>
          <w:rFonts w:ascii="宋体" w:hAnsi="宋体" w:cs="宋体"/>
          <w:b/>
          <w:color w:val="auto"/>
          <w:sz w:val="22"/>
          <w:highlight w:val="none"/>
        </w:rPr>
      </w:pPr>
      <w:r>
        <w:rPr>
          <w:rFonts w:hint="eastAsia" w:ascii="宋体" w:hAnsi="宋体" w:cs="宋体"/>
          <w:b/>
          <w:color w:val="auto"/>
          <w:sz w:val="22"/>
          <w:highlight w:val="none"/>
        </w:rPr>
        <w:t>1、根据财政部 发展改革委 生态环境部 市场监管总局关于调整优化节能产品、环境标志产品政府采购执行机制的通知财库〔2019〕9号文件要求，投标人所投产品如属于节能产品政府采购品目清单或环境标志产品政府采购品目清单内的（详见：</w:t>
      </w:r>
      <w:r>
        <w:rPr>
          <w:color w:val="auto"/>
          <w:highlight w:val="none"/>
        </w:rPr>
        <w:fldChar w:fldCharType="begin"/>
      </w:r>
      <w:r>
        <w:rPr>
          <w:color w:val="auto"/>
          <w:highlight w:val="none"/>
        </w:rPr>
        <w:instrText xml:space="preserve"> HYPERLINK "http://www.ccgp.gov.cn/zcfg/mof/201903/t20190330_11833800.htm" \t "http://www.ccgp.gov.cn/jnhb/jnhbqd/_blank" \o "关于印发环境标志产品政府采购品目清单的通知（财库〔2019〕18号）" </w:instrText>
      </w:r>
      <w:r>
        <w:rPr>
          <w:color w:val="auto"/>
          <w:highlight w:val="none"/>
        </w:rPr>
        <w:fldChar w:fldCharType="separate"/>
      </w:r>
      <w:r>
        <w:rPr>
          <w:rFonts w:hint="eastAsia" w:ascii="宋体" w:hAnsi="宋体" w:cs="宋体"/>
          <w:b/>
          <w:color w:val="auto"/>
          <w:sz w:val="22"/>
          <w:highlight w:val="none"/>
        </w:rPr>
        <w:t>关于印发环境标志产品政府采购品目清单的通知（财库〔2019〕18号）</w:t>
      </w:r>
      <w:r>
        <w:rPr>
          <w:rFonts w:hint="eastAsia" w:ascii="宋体" w:hAnsi="宋体" w:cs="宋体"/>
          <w:b/>
          <w:color w:val="auto"/>
          <w:sz w:val="22"/>
          <w:highlight w:val="none"/>
        </w:rPr>
        <w:fldChar w:fldCharType="end"/>
      </w:r>
      <w:r>
        <w:rPr>
          <w:color w:val="auto"/>
          <w:highlight w:val="none"/>
        </w:rPr>
        <w:fldChar w:fldCharType="begin"/>
      </w:r>
      <w:r>
        <w:rPr>
          <w:color w:val="auto"/>
          <w:highlight w:val="none"/>
        </w:rPr>
        <w:instrText xml:space="preserve"> HYPERLINK "http://www.ccgp.gov.cn/zcfg/mof/201903/t20190330_11833800.htm" </w:instrText>
      </w:r>
      <w:r>
        <w:rPr>
          <w:color w:val="auto"/>
          <w:highlight w:val="none"/>
        </w:rPr>
        <w:fldChar w:fldCharType="separate"/>
      </w:r>
      <w:r>
        <w:rPr>
          <w:rFonts w:hint="eastAsia" w:ascii="宋体" w:hAnsi="宋体" w:cs="宋体"/>
          <w:b/>
          <w:color w:val="auto"/>
          <w:sz w:val="22"/>
          <w:highlight w:val="none"/>
        </w:rPr>
        <w:t>http://www.ccgp.gov.cn/zcfg/mof/201903/t20190330_11833800.htm</w:t>
      </w:r>
      <w:r>
        <w:rPr>
          <w:rFonts w:hint="eastAsia" w:ascii="宋体" w:hAnsi="宋体" w:cs="宋体"/>
          <w:b/>
          <w:color w:val="auto"/>
          <w:sz w:val="22"/>
          <w:highlight w:val="none"/>
        </w:rPr>
        <w:fldChar w:fldCharType="end"/>
      </w:r>
      <w:r>
        <w:rPr>
          <w:rFonts w:hint="eastAsia" w:ascii="宋体" w:hAnsi="宋体" w:cs="宋体"/>
          <w:b/>
          <w:color w:val="auto"/>
          <w:sz w:val="22"/>
          <w:highlight w:val="none"/>
        </w:rPr>
        <w:t>和</w:t>
      </w:r>
      <w:r>
        <w:rPr>
          <w:color w:val="auto"/>
          <w:highlight w:val="none"/>
        </w:rPr>
        <w:fldChar w:fldCharType="begin"/>
      </w:r>
      <w:r>
        <w:rPr>
          <w:color w:val="auto"/>
          <w:highlight w:val="none"/>
        </w:rPr>
        <w:instrText xml:space="preserve"> HYPERLINK "http://www.ccgp.gov.cn/zcfg/mof/201904/t20190403_11849836.htm" \t "http://www.ccgp.gov.cn/jnhb/jnhbqd/_blank" \o "关于印发节能产品政府采购品目清单的通知（财库〔2019〕19号）" </w:instrText>
      </w:r>
      <w:r>
        <w:rPr>
          <w:color w:val="auto"/>
          <w:highlight w:val="none"/>
        </w:rPr>
        <w:fldChar w:fldCharType="separate"/>
      </w:r>
      <w:r>
        <w:rPr>
          <w:rFonts w:hint="eastAsia" w:ascii="宋体" w:hAnsi="宋体" w:cs="宋体"/>
          <w:b/>
          <w:color w:val="auto"/>
          <w:sz w:val="22"/>
          <w:highlight w:val="none"/>
        </w:rPr>
        <w:t>关于印发节能产品政府采购品目清单的通知（财库〔2019〕19号）</w:t>
      </w:r>
      <w:r>
        <w:rPr>
          <w:rFonts w:hint="eastAsia" w:ascii="宋体" w:hAnsi="宋体" w:cs="宋体"/>
          <w:b/>
          <w:color w:val="auto"/>
          <w:sz w:val="22"/>
          <w:highlight w:val="none"/>
        </w:rPr>
        <w:fldChar w:fldCharType="end"/>
      </w:r>
      <w:r>
        <w:rPr>
          <w:color w:val="auto"/>
          <w:highlight w:val="none"/>
        </w:rPr>
        <w:fldChar w:fldCharType="begin"/>
      </w:r>
      <w:r>
        <w:rPr>
          <w:color w:val="auto"/>
          <w:highlight w:val="none"/>
        </w:rPr>
        <w:instrText xml:space="preserve"> HYPERLINK "http://www.ccgp.gov.cn/zcfg/mof/201904/t20190403_11849836.htm" </w:instrText>
      </w:r>
      <w:r>
        <w:rPr>
          <w:color w:val="auto"/>
          <w:highlight w:val="none"/>
        </w:rPr>
        <w:fldChar w:fldCharType="separate"/>
      </w:r>
      <w:r>
        <w:rPr>
          <w:rFonts w:hint="eastAsia" w:ascii="宋体" w:hAnsi="宋体" w:cs="宋体"/>
          <w:b/>
          <w:color w:val="auto"/>
          <w:sz w:val="22"/>
          <w:highlight w:val="none"/>
        </w:rPr>
        <w:t>http://www.ccgp.gov.cn/zcfg/mof/201904/t20190403_11849836.htm</w:t>
      </w:r>
      <w:r>
        <w:rPr>
          <w:rFonts w:hint="eastAsia" w:ascii="宋体" w:hAnsi="宋体" w:cs="宋体"/>
          <w:b/>
          <w:color w:val="auto"/>
          <w:sz w:val="22"/>
          <w:highlight w:val="none"/>
        </w:rPr>
        <w:fldChar w:fldCharType="end"/>
      </w:r>
      <w:r>
        <w:rPr>
          <w:rFonts w:hint="eastAsia" w:ascii="宋体" w:hAnsi="宋体" w:cs="宋体"/>
          <w:b/>
          <w:color w:val="auto"/>
          <w:sz w:val="22"/>
          <w:highlight w:val="none"/>
        </w:rPr>
        <w:t>），投标人提供投标产品经国家确定的认证机构（市场监管总局关于发布参与实施政府采购节能产品、环境标志产品认证机构名录的公告（2019年第16号）http://www.ccgp.gov.cn/zcfg/bwfile/201904/t20190403_11853998.htm）出具的处于有效期之内的节能产品、环境标志产品认证证书”或“投标产品在‘中国政府采购网’上节能产品或环境标志产品查询截图”；</w:t>
      </w:r>
    </w:p>
    <w:p>
      <w:pPr>
        <w:spacing w:line="360" w:lineRule="exact"/>
        <w:jc w:val="left"/>
        <w:rPr>
          <w:rFonts w:ascii="宋体" w:hAnsi="宋体" w:cs="宋体"/>
          <w:color w:val="auto"/>
          <w:sz w:val="22"/>
          <w:highlight w:val="none"/>
          <w:u w:val="single"/>
        </w:rPr>
      </w:pPr>
      <w:r>
        <w:rPr>
          <w:rFonts w:hint="eastAsia" w:ascii="宋体" w:hAnsi="宋体" w:cs="宋体"/>
          <w:color w:val="auto"/>
          <w:sz w:val="22"/>
          <w:highlight w:val="none"/>
          <w:u w:val="single"/>
        </w:rPr>
        <w:t>▲注：采购需求中要求提供的产品属于节能产品政府采购品目清单中强制采购的，投标人须提供该清单内产品，并按上款要求提供节能产品认证证书或规定网站证书查询截图，否则其投标无效。</w:t>
      </w:r>
    </w:p>
    <w:p>
      <w:pPr>
        <w:spacing w:line="360" w:lineRule="exact"/>
        <w:jc w:val="left"/>
        <w:rPr>
          <w:rFonts w:ascii="宋体" w:hAnsi="宋体" w:cs="宋体"/>
          <w:b/>
          <w:color w:val="auto"/>
          <w:sz w:val="22"/>
          <w:highlight w:val="none"/>
        </w:rPr>
      </w:pPr>
      <w:r>
        <w:rPr>
          <w:rFonts w:hint="eastAsia" w:ascii="宋体" w:hAnsi="宋体" w:cs="宋体"/>
          <w:b/>
          <w:color w:val="auto"/>
          <w:sz w:val="22"/>
          <w:highlight w:val="none"/>
        </w:rPr>
        <w:t>2、评审小组成员审查此项只根据投标文件本身的内容，不再寻求其他的外部证据。</w:t>
      </w:r>
    </w:p>
    <w:p>
      <w:pPr>
        <w:spacing w:line="400" w:lineRule="exact"/>
        <w:jc w:val="center"/>
        <w:rPr>
          <w:rFonts w:ascii="宋体" w:hAnsi="宋体" w:cs="宋体"/>
          <w:b/>
          <w:color w:val="auto"/>
          <w:sz w:val="24"/>
          <w:szCs w:val="24"/>
          <w:highlight w:val="none"/>
        </w:rPr>
      </w:pPr>
    </w:p>
    <w:p>
      <w:pPr>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附表</w:t>
      </w:r>
    </w:p>
    <w:p>
      <w:pPr>
        <w:rPr>
          <w:rFonts w:ascii="宋体" w:hAnsi="宋体" w:cs="宋体"/>
          <w:color w:val="auto"/>
          <w:sz w:val="22"/>
          <w:highlight w:val="none"/>
        </w:rPr>
      </w:pPr>
      <w:r>
        <w:rPr>
          <w:rFonts w:hint="eastAsia" w:ascii="宋体" w:hAnsi="宋体" w:cs="宋体"/>
          <w:color w:val="auto"/>
          <w:sz w:val="22"/>
          <w:highlight w:val="none"/>
        </w:rPr>
        <w:t>（1）投标产品中节能产品明细清单</w:t>
      </w:r>
    </w:p>
    <w:tbl>
      <w:tblPr>
        <w:tblStyle w:val="30"/>
        <w:tblW w:w="89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741"/>
        <w:gridCol w:w="1342"/>
        <w:gridCol w:w="1342"/>
        <w:gridCol w:w="1342"/>
        <w:gridCol w:w="1920"/>
        <w:gridCol w:w="764"/>
        <w:gridCol w:w="7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制造商</w:t>
            </w:r>
          </w:p>
        </w:tc>
        <w:tc>
          <w:tcPr>
            <w:tcW w:w="74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品牌</w:t>
            </w:r>
          </w:p>
        </w:tc>
        <w:tc>
          <w:tcPr>
            <w:tcW w:w="134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产品名称、规格型号</w:t>
            </w:r>
          </w:p>
        </w:tc>
        <w:tc>
          <w:tcPr>
            <w:tcW w:w="134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节能产品认证证书编号</w:t>
            </w:r>
          </w:p>
        </w:tc>
        <w:tc>
          <w:tcPr>
            <w:tcW w:w="134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节能产品认证证书有效截止日期</w:t>
            </w:r>
          </w:p>
        </w:tc>
        <w:tc>
          <w:tcPr>
            <w:tcW w:w="19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产品所在节能产品政府采购品目清单品目序号</w:t>
            </w:r>
          </w:p>
        </w:tc>
        <w:tc>
          <w:tcPr>
            <w:tcW w:w="76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认证机构</w:t>
            </w:r>
          </w:p>
        </w:tc>
        <w:tc>
          <w:tcPr>
            <w:tcW w:w="76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74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9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74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92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r>
    </w:tbl>
    <w:p>
      <w:pPr>
        <w:rPr>
          <w:rFonts w:ascii="宋体" w:hAnsi="宋体" w:cs="宋体"/>
          <w:color w:val="auto"/>
          <w:sz w:val="22"/>
          <w:highlight w:val="none"/>
        </w:rPr>
      </w:pPr>
    </w:p>
    <w:p>
      <w:pPr>
        <w:rPr>
          <w:rFonts w:ascii="宋体" w:hAnsi="宋体" w:cs="宋体"/>
          <w:color w:val="auto"/>
          <w:sz w:val="22"/>
          <w:highlight w:val="none"/>
        </w:rPr>
      </w:pPr>
      <w:r>
        <w:rPr>
          <w:rFonts w:hint="eastAsia" w:ascii="宋体" w:hAnsi="宋体" w:cs="宋体"/>
          <w:color w:val="auto"/>
          <w:sz w:val="22"/>
          <w:highlight w:val="none"/>
        </w:rPr>
        <w:t>（2）投标产品中环保产品明细清单</w:t>
      </w:r>
    </w:p>
    <w:tbl>
      <w:tblPr>
        <w:tblStyle w:val="30"/>
        <w:tblW w:w="92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916"/>
        <w:gridCol w:w="1222"/>
        <w:gridCol w:w="1362"/>
        <w:gridCol w:w="1550"/>
        <w:gridCol w:w="2000"/>
        <w:gridCol w:w="700"/>
        <w:gridCol w:w="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8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制造商</w:t>
            </w:r>
          </w:p>
        </w:tc>
        <w:tc>
          <w:tcPr>
            <w:tcW w:w="91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品牌</w:t>
            </w:r>
          </w:p>
        </w:tc>
        <w:tc>
          <w:tcPr>
            <w:tcW w:w="12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产品名称、规格型号</w:t>
            </w:r>
          </w:p>
        </w:tc>
        <w:tc>
          <w:tcPr>
            <w:tcW w:w="136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环境标志产品认证证书编号</w:t>
            </w:r>
          </w:p>
        </w:tc>
        <w:tc>
          <w:tcPr>
            <w:tcW w:w="155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环境标志产品认证证书有效截止日期</w:t>
            </w:r>
          </w:p>
        </w:tc>
        <w:tc>
          <w:tcPr>
            <w:tcW w:w="20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产品所在环境标志产品政府采购品目清单品目序号</w:t>
            </w:r>
          </w:p>
        </w:tc>
        <w:tc>
          <w:tcPr>
            <w:tcW w:w="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认证机构</w:t>
            </w:r>
          </w:p>
        </w:tc>
        <w:tc>
          <w:tcPr>
            <w:tcW w:w="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r>
              <w:rPr>
                <w:rFonts w:hint="eastAsia" w:ascii="宋体" w:hAnsi="宋体" w:cs="宋体"/>
                <w:color w:val="auto"/>
                <w:sz w:val="22"/>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813"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9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222"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362"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55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20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813"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9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222"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362"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155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2"/>
                <w:highlight w:val="none"/>
              </w:rPr>
            </w:pPr>
          </w:p>
        </w:tc>
        <w:tc>
          <w:tcPr>
            <w:tcW w:w="200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2"/>
                <w:highlight w:val="none"/>
              </w:rPr>
            </w:pPr>
          </w:p>
        </w:tc>
      </w:tr>
    </w:tbl>
    <w:p>
      <w:pPr>
        <w:rPr>
          <w:rFonts w:ascii="宋体" w:hAnsi="宋体" w:cs="宋体"/>
          <w:color w:val="auto"/>
          <w:sz w:val="22"/>
          <w:highlight w:val="none"/>
        </w:rPr>
      </w:pPr>
    </w:p>
    <w:p>
      <w:pPr>
        <w:rPr>
          <w:rFonts w:ascii="宋体" w:hAnsi="宋体" w:cs="宋体"/>
          <w:b/>
          <w:color w:val="auto"/>
          <w:sz w:val="22"/>
          <w:highlight w:val="none"/>
        </w:rPr>
      </w:pPr>
      <w:r>
        <w:rPr>
          <w:rFonts w:hint="eastAsia" w:ascii="宋体" w:hAnsi="宋体" w:cs="宋体"/>
          <w:color w:val="auto"/>
          <w:sz w:val="22"/>
          <w:highlight w:val="none"/>
        </w:rPr>
        <w:t>备注：节能产品、环境标志产品认证证书或查询截图附后</w:t>
      </w:r>
    </w:p>
    <w:p>
      <w:pPr>
        <w:spacing w:line="400" w:lineRule="exact"/>
        <w:rPr>
          <w:rFonts w:ascii="宋体" w:hAnsi="宋体" w:cs="宋体"/>
          <w:b/>
          <w:color w:val="auto"/>
          <w:sz w:val="24"/>
          <w:szCs w:val="24"/>
          <w:highlight w:val="none"/>
        </w:rPr>
      </w:pPr>
    </w:p>
    <w:p>
      <w:pPr>
        <w:pStyle w:val="11"/>
        <w:ind w:firstLine="321"/>
        <w:rPr>
          <w:rFonts w:ascii="宋体" w:hAnsi="宋体" w:cs="宋体"/>
          <w:color w:val="auto"/>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附件11</w:t>
      </w:r>
    </w:p>
    <w:p>
      <w:pPr>
        <w:spacing w:line="400" w:lineRule="exact"/>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投标人同类项目业绩一览表（如有）</w:t>
      </w:r>
    </w:p>
    <w:p>
      <w:pPr>
        <w:spacing w:line="400" w:lineRule="exact"/>
        <w:rPr>
          <w:rFonts w:ascii="宋体" w:hAnsi="宋体" w:cs="宋体"/>
          <w:b/>
          <w:bCs/>
          <w:color w:val="auto"/>
          <w:sz w:val="24"/>
          <w:szCs w:val="24"/>
          <w:highlight w:val="none"/>
        </w:rPr>
      </w:pPr>
    </w:p>
    <w:p>
      <w:pPr>
        <w:pStyle w:val="15"/>
        <w:spacing w:after="0" w:line="400" w:lineRule="exact"/>
        <w:ind w:left="0" w:leftChars="0" w:right="0" w:rightChars="0"/>
        <w:rPr>
          <w:rFonts w:ascii="宋体" w:hAnsi="宋体" w:cs="宋体"/>
          <w:bCs/>
          <w:color w:val="auto"/>
          <w:sz w:val="24"/>
          <w:szCs w:val="24"/>
          <w:highlight w:val="none"/>
        </w:rPr>
      </w:pPr>
      <w:r>
        <w:rPr>
          <w:rFonts w:hint="eastAsia" w:ascii="宋体" w:hAnsi="宋体" w:cs="宋体"/>
          <w:b/>
          <w:color w:val="auto"/>
          <w:sz w:val="24"/>
          <w:szCs w:val="24"/>
          <w:highlight w:val="none"/>
        </w:rPr>
        <w:t xml:space="preserve">项目名称：                         项目编号：                  </w:t>
      </w:r>
    </w:p>
    <w:tbl>
      <w:tblPr>
        <w:tblStyle w:val="30"/>
        <w:tblW w:w="9492" w:type="dxa"/>
        <w:tblInd w:w="-72"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9"/>
        <w:gridCol w:w="1559"/>
        <w:gridCol w:w="2127"/>
        <w:gridCol w:w="1275"/>
        <w:gridCol w:w="1276"/>
        <w:gridCol w:w="236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序号</w:t>
            </w:r>
          </w:p>
        </w:tc>
        <w:tc>
          <w:tcPr>
            <w:tcW w:w="1559" w:type="dxa"/>
            <w:vAlign w:val="center"/>
          </w:tcPr>
          <w:p>
            <w:pPr>
              <w:spacing w:line="400" w:lineRule="exact"/>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用户名称</w:t>
            </w:r>
          </w:p>
        </w:tc>
        <w:tc>
          <w:tcPr>
            <w:tcW w:w="2127" w:type="dxa"/>
            <w:vAlign w:val="center"/>
          </w:tcPr>
          <w:p>
            <w:pPr>
              <w:spacing w:line="400" w:lineRule="exact"/>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项目名称</w:t>
            </w:r>
          </w:p>
        </w:tc>
        <w:tc>
          <w:tcPr>
            <w:tcW w:w="1275" w:type="dxa"/>
            <w:vAlign w:val="center"/>
          </w:tcPr>
          <w:p>
            <w:pPr>
              <w:spacing w:line="400" w:lineRule="exact"/>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数量</w:t>
            </w:r>
          </w:p>
        </w:tc>
        <w:tc>
          <w:tcPr>
            <w:tcW w:w="1276" w:type="dxa"/>
            <w:vAlign w:val="center"/>
          </w:tcPr>
          <w:p>
            <w:pPr>
              <w:spacing w:line="400" w:lineRule="exact"/>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合同金额</w:t>
            </w:r>
          </w:p>
        </w:tc>
        <w:tc>
          <w:tcPr>
            <w:tcW w:w="2366" w:type="dxa"/>
            <w:vAlign w:val="center"/>
          </w:tcPr>
          <w:p>
            <w:pPr>
              <w:spacing w:line="400" w:lineRule="exact"/>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用户联系电话/手机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spacing w:line="400" w:lineRule="exact"/>
              <w:jc w:val="center"/>
              <w:rPr>
                <w:rFonts w:ascii="宋体" w:hAnsi="宋体" w:cs="宋体"/>
                <w:b/>
                <w:bCs/>
                <w:color w:val="auto"/>
                <w:sz w:val="24"/>
                <w:szCs w:val="24"/>
                <w:highlight w:val="none"/>
              </w:rPr>
            </w:pPr>
          </w:p>
        </w:tc>
        <w:tc>
          <w:tcPr>
            <w:tcW w:w="1559" w:type="dxa"/>
            <w:vAlign w:val="center"/>
          </w:tcPr>
          <w:p>
            <w:pPr>
              <w:spacing w:line="400" w:lineRule="exact"/>
              <w:jc w:val="center"/>
              <w:rPr>
                <w:rFonts w:ascii="宋体" w:hAnsi="宋体" w:cs="宋体"/>
                <w:b/>
                <w:bCs/>
                <w:color w:val="auto"/>
                <w:sz w:val="24"/>
                <w:szCs w:val="24"/>
                <w:highlight w:val="none"/>
              </w:rPr>
            </w:pPr>
          </w:p>
        </w:tc>
        <w:tc>
          <w:tcPr>
            <w:tcW w:w="2127" w:type="dxa"/>
            <w:vAlign w:val="center"/>
          </w:tcPr>
          <w:p>
            <w:pPr>
              <w:spacing w:line="400" w:lineRule="exact"/>
              <w:jc w:val="center"/>
              <w:rPr>
                <w:rFonts w:ascii="宋体" w:hAnsi="宋体" w:cs="宋体"/>
                <w:b/>
                <w:bCs/>
                <w:color w:val="auto"/>
                <w:sz w:val="24"/>
                <w:szCs w:val="24"/>
                <w:highlight w:val="none"/>
              </w:rPr>
            </w:pPr>
          </w:p>
        </w:tc>
        <w:tc>
          <w:tcPr>
            <w:tcW w:w="1275" w:type="dxa"/>
            <w:vAlign w:val="center"/>
          </w:tcPr>
          <w:p>
            <w:pPr>
              <w:spacing w:line="400" w:lineRule="exact"/>
              <w:jc w:val="center"/>
              <w:rPr>
                <w:rFonts w:ascii="宋体" w:hAnsi="宋体" w:cs="宋体"/>
                <w:b/>
                <w:bCs/>
                <w:color w:val="auto"/>
                <w:sz w:val="24"/>
                <w:szCs w:val="24"/>
                <w:highlight w:val="none"/>
              </w:rPr>
            </w:pPr>
          </w:p>
        </w:tc>
        <w:tc>
          <w:tcPr>
            <w:tcW w:w="1276" w:type="dxa"/>
            <w:vAlign w:val="center"/>
          </w:tcPr>
          <w:p>
            <w:pPr>
              <w:spacing w:line="400" w:lineRule="exact"/>
              <w:jc w:val="center"/>
              <w:rPr>
                <w:rFonts w:ascii="宋体" w:hAnsi="宋体" w:cs="宋体"/>
                <w:b/>
                <w:bCs/>
                <w:color w:val="auto"/>
                <w:sz w:val="24"/>
                <w:szCs w:val="24"/>
                <w:highlight w:val="none"/>
              </w:rPr>
            </w:pPr>
          </w:p>
        </w:tc>
        <w:tc>
          <w:tcPr>
            <w:tcW w:w="2366" w:type="dxa"/>
          </w:tcPr>
          <w:p>
            <w:pPr>
              <w:spacing w:line="400" w:lineRule="exact"/>
              <w:jc w:val="center"/>
              <w:rPr>
                <w:rFonts w:ascii="宋体" w:hAnsi="宋体" w:cs="宋体"/>
                <w:b/>
                <w:bCs/>
                <w:color w:val="auto"/>
                <w:sz w:val="24"/>
                <w:szCs w:val="24"/>
                <w:highlight w:val="none"/>
              </w:rPr>
            </w:pPr>
          </w:p>
        </w:tc>
      </w:tr>
    </w:tbl>
    <w:p>
      <w:pPr>
        <w:spacing w:line="400" w:lineRule="exact"/>
        <w:ind w:left="706" w:hanging="705" w:hangingChars="294"/>
        <w:rPr>
          <w:rFonts w:ascii="宋体" w:hAnsi="宋体" w:cs="宋体"/>
          <w:color w:val="auto"/>
          <w:sz w:val="24"/>
          <w:szCs w:val="24"/>
          <w:highlight w:val="none"/>
        </w:rPr>
      </w:pPr>
      <w:r>
        <w:rPr>
          <w:rFonts w:hint="eastAsia" w:ascii="宋体" w:hAnsi="宋体" w:cs="宋体"/>
          <w:color w:val="auto"/>
          <w:sz w:val="24"/>
          <w:szCs w:val="24"/>
          <w:highlight w:val="none"/>
        </w:rPr>
        <w:t>备注：证明材料附后</w:t>
      </w:r>
    </w:p>
    <w:p>
      <w:pPr>
        <w:widowControl/>
        <w:spacing w:line="400" w:lineRule="exact"/>
        <w:rPr>
          <w:rFonts w:ascii="宋体" w:hAnsi="宋体" w:cs="宋体"/>
          <w:color w:val="auto"/>
          <w:kern w:val="0"/>
          <w:sz w:val="24"/>
          <w:szCs w:val="24"/>
          <w:highlight w:val="none"/>
        </w:rPr>
      </w:pPr>
    </w:p>
    <w:p>
      <w:pPr>
        <w:widowControl/>
        <w:spacing w:line="400" w:lineRule="exact"/>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投标人全称(电子签章)：</w:t>
      </w:r>
    </w:p>
    <w:p>
      <w:pPr>
        <w:widowControl/>
        <w:spacing w:line="400"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法定代表人或授权代表(签字或盖章)：</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    年    月    日</w:t>
      </w:r>
    </w:p>
    <w:p>
      <w:pPr>
        <w:spacing w:line="400" w:lineRule="exact"/>
        <w:rPr>
          <w:rFonts w:ascii="宋体" w:hAnsi="宋体" w:cs="宋体"/>
          <w:color w:val="auto"/>
          <w:sz w:val="24"/>
          <w:szCs w:val="24"/>
          <w:highlight w:val="none"/>
        </w:rPr>
      </w:pPr>
    </w:p>
    <w:p>
      <w:pPr>
        <w:pStyle w:val="15"/>
        <w:spacing w:after="0" w:line="400" w:lineRule="exact"/>
        <w:ind w:left="0" w:leftChars="0" w:right="0" w:rightChars="0"/>
        <w:rPr>
          <w:rFonts w:ascii="宋体" w:hAnsi="宋体" w:cs="宋体"/>
          <w:color w:val="auto"/>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附件12</w:t>
      </w:r>
    </w:p>
    <w:p>
      <w:pPr>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采购需求偏离表</w:t>
      </w:r>
    </w:p>
    <w:p>
      <w:pPr>
        <w:pStyle w:val="15"/>
        <w:spacing w:after="0" w:line="400" w:lineRule="exact"/>
        <w:ind w:left="0" w:leftChars="0" w:right="0" w:rightChars="0"/>
        <w:rPr>
          <w:rFonts w:ascii="宋体" w:hAnsi="宋体" w:cs="宋体"/>
          <w:color w:val="auto"/>
          <w:highlight w:val="none"/>
        </w:rPr>
      </w:pPr>
      <w:r>
        <w:rPr>
          <w:rFonts w:hint="eastAsia" w:ascii="宋体" w:hAnsi="宋体" w:cs="宋体"/>
          <w:b/>
          <w:color w:val="auto"/>
          <w:sz w:val="24"/>
          <w:szCs w:val="24"/>
          <w:highlight w:val="none"/>
        </w:rPr>
        <w:t xml:space="preserve">项目名称：                       项目编号：                  </w:t>
      </w:r>
    </w:p>
    <w:tbl>
      <w:tblPr>
        <w:tblStyle w:val="30"/>
        <w:tblW w:w="9640"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656"/>
        <w:gridCol w:w="3219"/>
        <w:gridCol w:w="1822"/>
        <w:gridCol w:w="20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b/>
                <w:color w:val="auto"/>
                <w:spacing w:val="-6"/>
                <w:sz w:val="24"/>
                <w:highlight w:val="none"/>
              </w:rPr>
            </w:pPr>
            <w:r>
              <w:rPr>
                <w:rFonts w:hint="eastAsia" w:ascii="宋体" w:hAnsi="宋体" w:cs="宋体"/>
                <w:b/>
                <w:color w:val="auto"/>
                <w:spacing w:val="-6"/>
                <w:sz w:val="24"/>
                <w:highlight w:val="none"/>
              </w:rPr>
              <w:t>序号</w:t>
            </w:r>
          </w:p>
        </w:tc>
        <w:tc>
          <w:tcPr>
            <w:tcW w:w="1656" w:type="dxa"/>
            <w:vAlign w:val="center"/>
          </w:tcPr>
          <w:p>
            <w:pPr>
              <w:snapToGrid w:val="0"/>
              <w:spacing w:line="400" w:lineRule="exact"/>
              <w:jc w:val="center"/>
              <w:rPr>
                <w:rFonts w:ascii="宋体" w:hAnsi="宋体" w:cs="宋体"/>
                <w:b/>
                <w:color w:val="auto"/>
                <w:spacing w:val="-6"/>
                <w:sz w:val="24"/>
                <w:highlight w:val="none"/>
              </w:rPr>
            </w:pPr>
            <w:r>
              <w:rPr>
                <w:rFonts w:hint="eastAsia" w:ascii="宋体" w:hAnsi="宋体" w:cs="宋体"/>
                <w:b/>
                <w:color w:val="auto"/>
                <w:spacing w:val="-6"/>
                <w:sz w:val="24"/>
                <w:highlight w:val="none"/>
              </w:rPr>
              <w:t>招标文件要求</w:t>
            </w:r>
          </w:p>
        </w:tc>
        <w:tc>
          <w:tcPr>
            <w:tcW w:w="3219" w:type="dxa"/>
            <w:vAlign w:val="center"/>
          </w:tcPr>
          <w:p>
            <w:pPr>
              <w:snapToGrid w:val="0"/>
              <w:spacing w:line="400" w:lineRule="exact"/>
              <w:jc w:val="center"/>
              <w:rPr>
                <w:rFonts w:ascii="宋体" w:hAnsi="宋体" w:cs="宋体"/>
                <w:b/>
                <w:color w:val="auto"/>
                <w:spacing w:val="-6"/>
                <w:sz w:val="24"/>
                <w:highlight w:val="none"/>
              </w:rPr>
            </w:pPr>
            <w:r>
              <w:rPr>
                <w:rFonts w:hint="eastAsia" w:ascii="宋体" w:hAnsi="宋体" w:cs="宋体"/>
                <w:b/>
                <w:color w:val="auto"/>
                <w:spacing w:val="-6"/>
                <w:sz w:val="24"/>
                <w:highlight w:val="none"/>
              </w:rPr>
              <w:t>投标文件对应规范</w:t>
            </w:r>
          </w:p>
        </w:tc>
        <w:tc>
          <w:tcPr>
            <w:tcW w:w="1822" w:type="dxa"/>
            <w:vAlign w:val="center"/>
          </w:tcPr>
          <w:p>
            <w:pPr>
              <w:snapToGrid w:val="0"/>
              <w:spacing w:line="400" w:lineRule="exact"/>
              <w:jc w:val="center"/>
              <w:rPr>
                <w:rFonts w:ascii="宋体" w:hAnsi="宋体" w:cs="宋体"/>
                <w:b/>
                <w:color w:val="auto"/>
                <w:spacing w:val="-6"/>
                <w:sz w:val="24"/>
                <w:highlight w:val="none"/>
              </w:rPr>
            </w:pPr>
            <w:r>
              <w:rPr>
                <w:rFonts w:hint="eastAsia" w:ascii="宋体" w:hAnsi="宋体" w:cs="宋体"/>
                <w:b/>
                <w:color w:val="auto"/>
                <w:spacing w:val="-6"/>
                <w:sz w:val="24"/>
                <w:highlight w:val="none"/>
              </w:rPr>
              <w:t>是否偏离</w:t>
            </w:r>
          </w:p>
          <w:p>
            <w:pPr>
              <w:snapToGrid w:val="0"/>
              <w:spacing w:line="400" w:lineRule="exact"/>
              <w:jc w:val="center"/>
              <w:rPr>
                <w:rFonts w:ascii="宋体" w:hAnsi="宋体" w:cs="宋体"/>
                <w:b/>
                <w:color w:val="auto"/>
                <w:spacing w:val="-6"/>
                <w:sz w:val="24"/>
                <w:highlight w:val="none"/>
              </w:rPr>
            </w:pPr>
            <w:r>
              <w:rPr>
                <w:rFonts w:hint="eastAsia" w:ascii="宋体" w:hAnsi="宋体" w:cs="宋体"/>
                <w:b/>
                <w:color w:val="auto"/>
                <w:spacing w:val="-6"/>
                <w:sz w:val="24"/>
                <w:highlight w:val="none"/>
              </w:rPr>
              <w:t>（提供说明）</w:t>
            </w:r>
          </w:p>
        </w:tc>
        <w:tc>
          <w:tcPr>
            <w:tcW w:w="2092" w:type="dxa"/>
            <w:vAlign w:val="center"/>
          </w:tcPr>
          <w:p>
            <w:pPr>
              <w:snapToGrid w:val="0"/>
              <w:spacing w:line="400" w:lineRule="exact"/>
              <w:jc w:val="center"/>
              <w:rPr>
                <w:rFonts w:ascii="宋体" w:hAnsi="宋体" w:cs="宋体"/>
                <w:b/>
                <w:color w:val="auto"/>
                <w:spacing w:val="-6"/>
                <w:sz w:val="24"/>
                <w:highlight w:val="none"/>
              </w:rPr>
            </w:pPr>
            <w:r>
              <w:rPr>
                <w:rFonts w:hint="eastAsia" w:ascii="宋体" w:hAnsi="宋体" w:cs="宋体"/>
                <w:b/>
                <w:color w:val="auto"/>
                <w:spacing w:val="-6"/>
                <w:sz w:val="24"/>
                <w:highlight w:val="none"/>
              </w:rPr>
              <w:t>要求提供的证明材料页码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640" w:type="dxa"/>
            <w:gridSpan w:val="5"/>
            <w:vAlign w:val="center"/>
          </w:tcPr>
          <w:p>
            <w:pPr>
              <w:snapToGrid w:val="0"/>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color w:val="auto"/>
                <w:spacing w:val="-6"/>
                <w:sz w:val="24"/>
                <w:highlight w:val="none"/>
              </w:rPr>
            </w:pPr>
          </w:p>
        </w:tc>
        <w:tc>
          <w:tcPr>
            <w:tcW w:w="1656" w:type="dxa"/>
            <w:vAlign w:val="center"/>
          </w:tcPr>
          <w:p>
            <w:pPr>
              <w:snapToGrid w:val="0"/>
              <w:spacing w:line="400" w:lineRule="exact"/>
              <w:jc w:val="center"/>
              <w:rPr>
                <w:rFonts w:ascii="宋体" w:hAnsi="宋体" w:cs="宋体"/>
                <w:color w:val="auto"/>
                <w:spacing w:val="-6"/>
                <w:sz w:val="24"/>
                <w:highlight w:val="none"/>
              </w:rPr>
            </w:pPr>
          </w:p>
        </w:tc>
        <w:tc>
          <w:tcPr>
            <w:tcW w:w="3219" w:type="dxa"/>
            <w:vAlign w:val="center"/>
          </w:tcPr>
          <w:p>
            <w:pPr>
              <w:snapToGrid w:val="0"/>
              <w:spacing w:line="400" w:lineRule="exact"/>
              <w:jc w:val="center"/>
              <w:rPr>
                <w:rFonts w:ascii="宋体" w:hAnsi="宋体" w:cs="宋体"/>
                <w:color w:val="auto"/>
                <w:spacing w:val="-6"/>
                <w:sz w:val="24"/>
                <w:highlight w:val="none"/>
              </w:rPr>
            </w:pPr>
          </w:p>
        </w:tc>
        <w:tc>
          <w:tcPr>
            <w:tcW w:w="1822" w:type="dxa"/>
            <w:vAlign w:val="center"/>
          </w:tcPr>
          <w:p>
            <w:pPr>
              <w:snapToGrid w:val="0"/>
              <w:spacing w:line="400" w:lineRule="exact"/>
              <w:jc w:val="center"/>
              <w:rPr>
                <w:rFonts w:ascii="宋体" w:hAnsi="宋体" w:cs="宋体"/>
                <w:color w:val="auto"/>
                <w:spacing w:val="-6"/>
                <w:sz w:val="24"/>
                <w:highlight w:val="none"/>
              </w:rPr>
            </w:pPr>
          </w:p>
        </w:tc>
        <w:tc>
          <w:tcPr>
            <w:tcW w:w="2092" w:type="dxa"/>
            <w:vAlign w:val="center"/>
          </w:tcPr>
          <w:p>
            <w:pPr>
              <w:snapToGrid w:val="0"/>
              <w:spacing w:line="400" w:lineRule="exact"/>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color w:val="auto"/>
                <w:spacing w:val="-6"/>
                <w:sz w:val="24"/>
                <w:highlight w:val="none"/>
              </w:rPr>
            </w:pPr>
          </w:p>
        </w:tc>
        <w:tc>
          <w:tcPr>
            <w:tcW w:w="1656" w:type="dxa"/>
            <w:vAlign w:val="center"/>
          </w:tcPr>
          <w:p>
            <w:pPr>
              <w:snapToGrid w:val="0"/>
              <w:spacing w:line="400" w:lineRule="exact"/>
              <w:jc w:val="center"/>
              <w:rPr>
                <w:rFonts w:ascii="宋体" w:hAnsi="宋体" w:cs="宋体"/>
                <w:color w:val="auto"/>
                <w:spacing w:val="-6"/>
                <w:sz w:val="24"/>
                <w:highlight w:val="none"/>
              </w:rPr>
            </w:pPr>
          </w:p>
        </w:tc>
        <w:tc>
          <w:tcPr>
            <w:tcW w:w="3219" w:type="dxa"/>
            <w:vAlign w:val="center"/>
          </w:tcPr>
          <w:p>
            <w:pPr>
              <w:snapToGrid w:val="0"/>
              <w:spacing w:line="400" w:lineRule="exact"/>
              <w:jc w:val="center"/>
              <w:rPr>
                <w:rFonts w:ascii="宋体" w:hAnsi="宋体" w:cs="宋体"/>
                <w:color w:val="auto"/>
                <w:spacing w:val="-6"/>
                <w:sz w:val="24"/>
                <w:highlight w:val="none"/>
              </w:rPr>
            </w:pPr>
          </w:p>
        </w:tc>
        <w:tc>
          <w:tcPr>
            <w:tcW w:w="1822" w:type="dxa"/>
            <w:vAlign w:val="center"/>
          </w:tcPr>
          <w:p>
            <w:pPr>
              <w:snapToGrid w:val="0"/>
              <w:spacing w:line="400" w:lineRule="exact"/>
              <w:jc w:val="center"/>
              <w:rPr>
                <w:rFonts w:ascii="宋体" w:hAnsi="宋体" w:cs="宋体"/>
                <w:color w:val="auto"/>
                <w:spacing w:val="-6"/>
                <w:sz w:val="24"/>
                <w:highlight w:val="none"/>
              </w:rPr>
            </w:pPr>
          </w:p>
        </w:tc>
        <w:tc>
          <w:tcPr>
            <w:tcW w:w="2092" w:type="dxa"/>
            <w:vAlign w:val="center"/>
          </w:tcPr>
          <w:p>
            <w:pPr>
              <w:snapToGrid w:val="0"/>
              <w:spacing w:line="400" w:lineRule="exact"/>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851" w:type="dxa"/>
            <w:vAlign w:val="center"/>
          </w:tcPr>
          <w:p>
            <w:pPr>
              <w:snapToGrid w:val="0"/>
              <w:spacing w:line="400" w:lineRule="exact"/>
              <w:jc w:val="center"/>
              <w:rPr>
                <w:rFonts w:ascii="宋体" w:hAnsi="宋体" w:cs="宋体"/>
                <w:color w:val="auto"/>
                <w:spacing w:val="-6"/>
                <w:sz w:val="24"/>
                <w:highlight w:val="none"/>
              </w:rPr>
            </w:pPr>
          </w:p>
        </w:tc>
        <w:tc>
          <w:tcPr>
            <w:tcW w:w="1656" w:type="dxa"/>
            <w:vAlign w:val="center"/>
          </w:tcPr>
          <w:p>
            <w:pPr>
              <w:snapToGrid w:val="0"/>
              <w:spacing w:line="400" w:lineRule="exact"/>
              <w:jc w:val="center"/>
              <w:rPr>
                <w:rFonts w:ascii="宋体" w:hAnsi="宋体" w:cs="宋体"/>
                <w:color w:val="auto"/>
                <w:spacing w:val="-6"/>
                <w:sz w:val="24"/>
                <w:highlight w:val="none"/>
              </w:rPr>
            </w:pPr>
          </w:p>
        </w:tc>
        <w:tc>
          <w:tcPr>
            <w:tcW w:w="3219" w:type="dxa"/>
            <w:vAlign w:val="center"/>
          </w:tcPr>
          <w:p>
            <w:pPr>
              <w:snapToGrid w:val="0"/>
              <w:spacing w:line="400" w:lineRule="exact"/>
              <w:jc w:val="center"/>
              <w:rPr>
                <w:rFonts w:ascii="宋体" w:hAnsi="宋体" w:cs="宋体"/>
                <w:color w:val="auto"/>
                <w:spacing w:val="-6"/>
                <w:sz w:val="24"/>
                <w:highlight w:val="none"/>
              </w:rPr>
            </w:pPr>
          </w:p>
        </w:tc>
        <w:tc>
          <w:tcPr>
            <w:tcW w:w="1822" w:type="dxa"/>
            <w:vAlign w:val="center"/>
          </w:tcPr>
          <w:p>
            <w:pPr>
              <w:snapToGrid w:val="0"/>
              <w:spacing w:line="400" w:lineRule="exact"/>
              <w:jc w:val="center"/>
              <w:rPr>
                <w:rFonts w:ascii="宋体" w:hAnsi="宋体" w:cs="宋体"/>
                <w:color w:val="auto"/>
                <w:spacing w:val="-6"/>
                <w:sz w:val="24"/>
                <w:highlight w:val="none"/>
              </w:rPr>
            </w:pPr>
          </w:p>
        </w:tc>
        <w:tc>
          <w:tcPr>
            <w:tcW w:w="2092" w:type="dxa"/>
            <w:vAlign w:val="center"/>
          </w:tcPr>
          <w:p>
            <w:pPr>
              <w:snapToGrid w:val="0"/>
              <w:spacing w:line="400" w:lineRule="exact"/>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color w:val="auto"/>
                <w:spacing w:val="-6"/>
                <w:sz w:val="24"/>
                <w:highlight w:val="none"/>
              </w:rPr>
            </w:pPr>
          </w:p>
        </w:tc>
        <w:tc>
          <w:tcPr>
            <w:tcW w:w="1656" w:type="dxa"/>
            <w:vAlign w:val="center"/>
          </w:tcPr>
          <w:p>
            <w:pPr>
              <w:snapToGrid w:val="0"/>
              <w:spacing w:line="400" w:lineRule="exact"/>
              <w:jc w:val="center"/>
              <w:rPr>
                <w:rFonts w:ascii="宋体" w:hAnsi="宋体" w:cs="宋体"/>
                <w:color w:val="auto"/>
                <w:spacing w:val="-6"/>
                <w:sz w:val="24"/>
                <w:highlight w:val="none"/>
              </w:rPr>
            </w:pPr>
          </w:p>
        </w:tc>
        <w:tc>
          <w:tcPr>
            <w:tcW w:w="3219" w:type="dxa"/>
            <w:vAlign w:val="center"/>
          </w:tcPr>
          <w:p>
            <w:pPr>
              <w:snapToGrid w:val="0"/>
              <w:spacing w:line="400" w:lineRule="exact"/>
              <w:jc w:val="center"/>
              <w:rPr>
                <w:rFonts w:ascii="宋体" w:hAnsi="宋体" w:cs="宋体"/>
                <w:color w:val="auto"/>
                <w:spacing w:val="-6"/>
                <w:sz w:val="24"/>
                <w:highlight w:val="none"/>
              </w:rPr>
            </w:pPr>
          </w:p>
        </w:tc>
        <w:tc>
          <w:tcPr>
            <w:tcW w:w="1822" w:type="dxa"/>
            <w:vAlign w:val="center"/>
          </w:tcPr>
          <w:p>
            <w:pPr>
              <w:snapToGrid w:val="0"/>
              <w:spacing w:line="400" w:lineRule="exact"/>
              <w:jc w:val="center"/>
              <w:rPr>
                <w:rFonts w:ascii="宋体" w:hAnsi="宋体" w:cs="宋体"/>
                <w:color w:val="auto"/>
                <w:spacing w:val="-6"/>
                <w:sz w:val="24"/>
                <w:highlight w:val="none"/>
              </w:rPr>
            </w:pPr>
          </w:p>
        </w:tc>
        <w:tc>
          <w:tcPr>
            <w:tcW w:w="2092" w:type="dxa"/>
            <w:vAlign w:val="center"/>
          </w:tcPr>
          <w:p>
            <w:pPr>
              <w:snapToGrid w:val="0"/>
              <w:spacing w:line="400" w:lineRule="exact"/>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rPr>
                <w:rFonts w:ascii="宋体" w:hAnsi="宋体" w:cs="宋体"/>
                <w:color w:val="auto"/>
                <w:spacing w:val="-6"/>
                <w:sz w:val="24"/>
                <w:highlight w:val="none"/>
              </w:rPr>
            </w:pPr>
          </w:p>
        </w:tc>
        <w:tc>
          <w:tcPr>
            <w:tcW w:w="1656" w:type="dxa"/>
            <w:vAlign w:val="center"/>
          </w:tcPr>
          <w:p>
            <w:pPr>
              <w:snapToGrid w:val="0"/>
              <w:spacing w:line="400" w:lineRule="exact"/>
              <w:rPr>
                <w:rFonts w:ascii="宋体" w:hAnsi="宋体" w:cs="宋体"/>
                <w:color w:val="auto"/>
                <w:spacing w:val="-6"/>
                <w:sz w:val="24"/>
                <w:highlight w:val="none"/>
              </w:rPr>
            </w:pPr>
          </w:p>
        </w:tc>
        <w:tc>
          <w:tcPr>
            <w:tcW w:w="3219" w:type="dxa"/>
            <w:vAlign w:val="center"/>
          </w:tcPr>
          <w:p>
            <w:pPr>
              <w:snapToGrid w:val="0"/>
              <w:spacing w:line="400" w:lineRule="exact"/>
              <w:jc w:val="center"/>
              <w:rPr>
                <w:rFonts w:ascii="宋体" w:hAnsi="宋体" w:cs="宋体"/>
                <w:color w:val="auto"/>
                <w:spacing w:val="-6"/>
                <w:sz w:val="24"/>
                <w:highlight w:val="none"/>
              </w:rPr>
            </w:pPr>
          </w:p>
        </w:tc>
        <w:tc>
          <w:tcPr>
            <w:tcW w:w="1822" w:type="dxa"/>
            <w:vAlign w:val="center"/>
          </w:tcPr>
          <w:p>
            <w:pPr>
              <w:snapToGrid w:val="0"/>
              <w:spacing w:line="400" w:lineRule="exact"/>
              <w:jc w:val="center"/>
              <w:rPr>
                <w:rFonts w:ascii="宋体" w:hAnsi="宋体" w:cs="宋体"/>
                <w:color w:val="auto"/>
                <w:spacing w:val="-6"/>
                <w:sz w:val="24"/>
                <w:highlight w:val="none"/>
              </w:rPr>
            </w:pPr>
          </w:p>
        </w:tc>
        <w:tc>
          <w:tcPr>
            <w:tcW w:w="2092" w:type="dxa"/>
            <w:vAlign w:val="center"/>
          </w:tcPr>
          <w:p>
            <w:pPr>
              <w:snapToGrid w:val="0"/>
              <w:spacing w:line="400" w:lineRule="exact"/>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640" w:type="dxa"/>
            <w:gridSpan w:val="5"/>
            <w:vAlign w:val="center"/>
          </w:tcPr>
          <w:p>
            <w:pPr>
              <w:snapToGrid w:val="0"/>
              <w:spacing w:line="400" w:lineRule="exact"/>
              <w:rPr>
                <w:rFonts w:ascii="宋体" w:hAnsi="宋体" w:cs="宋体"/>
                <w:color w:val="auto"/>
                <w:spacing w:val="-6"/>
                <w:sz w:val="24"/>
                <w:highlight w:val="none"/>
              </w:rPr>
            </w:pPr>
            <w:r>
              <w:rPr>
                <w:rFonts w:hint="eastAsia" w:ascii="宋体" w:hAnsi="宋体" w:cs="宋体"/>
                <w:color w:val="auto"/>
                <w:spacing w:val="-6"/>
                <w:sz w:val="24"/>
                <w:highlight w:val="none"/>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rPr>
                <w:rFonts w:ascii="宋体" w:hAnsi="宋体" w:cs="宋体"/>
                <w:color w:val="auto"/>
                <w:spacing w:val="-6"/>
                <w:sz w:val="24"/>
                <w:highlight w:val="none"/>
              </w:rPr>
            </w:pPr>
          </w:p>
        </w:tc>
        <w:tc>
          <w:tcPr>
            <w:tcW w:w="1656" w:type="dxa"/>
            <w:vAlign w:val="center"/>
          </w:tcPr>
          <w:p>
            <w:pPr>
              <w:snapToGrid w:val="0"/>
              <w:spacing w:line="400" w:lineRule="exact"/>
              <w:rPr>
                <w:rFonts w:ascii="宋体" w:hAnsi="宋体" w:cs="宋体"/>
                <w:color w:val="auto"/>
                <w:spacing w:val="-6"/>
                <w:sz w:val="24"/>
                <w:highlight w:val="none"/>
              </w:rPr>
            </w:pPr>
          </w:p>
        </w:tc>
        <w:tc>
          <w:tcPr>
            <w:tcW w:w="3219" w:type="dxa"/>
            <w:vAlign w:val="center"/>
          </w:tcPr>
          <w:p>
            <w:pPr>
              <w:snapToGrid w:val="0"/>
              <w:spacing w:line="400" w:lineRule="exact"/>
              <w:jc w:val="center"/>
              <w:rPr>
                <w:rFonts w:ascii="宋体" w:hAnsi="宋体" w:cs="宋体"/>
                <w:color w:val="auto"/>
                <w:spacing w:val="-6"/>
                <w:sz w:val="24"/>
                <w:highlight w:val="none"/>
              </w:rPr>
            </w:pPr>
          </w:p>
        </w:tc>
        <w:tc>
          <w:tcPr>
            <w:tcW w:w="1822" w:type="dxa"/>
            <w:vAlign w:val="center"/>
          </w:tcPr>
          <w:p>
            <w:pPr>
              <w:snapToGrid w:val="0"/>
              <w:spacing w:line="400" w:lineRule="exact"/>
              <w:jc w:val="center"/>
              <w:rPr>
                <w:rFonts w:ascii="宋体" w:hAnsi="宋体" w:cs="宋体"/>
                <w:color w:val="auto"/>
                <w:spacing w:val="-6"/>
                <w:sz w:val="24"/>
                <w:highlight w:val="none"/>
              </w:rPr>
            </w:pPr>
          </w:p>
        </w:tc>
        <w:tc>
          <w:tcPr>
            <w:tcW w:w="2092" w:type="dxa"/>
            <w:vAlign w:val="center"/>
          </w:tcPr>
          <w:p>
            <w:pPr>
              <w:snapToGrid w:val="0"/>
              <w:spacing w:line="400" w:lineRule="exact"/>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color w:val="auto"/>
                <w:spacing w:val="-6"/>
                <w:sz w:val="24"/>
                <w:highlight w:val="none"/>
              </w:rPr>
            </w:pPr>
          </w:p>
        </w:tc>
        <w:tc>
          <w:tcPr>
            <w:tcW w:w="1656" w:type="dxa"/>
            <w:vAlign w:val="center"/>
          </w:tcPr>
          <w:p>
            <w:pPr>
              <w:snapToGrid w:val="0"/>
              <w:spacing w:line="400" w:lineRule="exact"/>
              <w:jc w:val="center"/>
              <w:rPr>
                <w:rFonts w:ascii="宋体" w:hAnsi="宋体" w:cs="宋体"/>
                <w:color w:val="auto"/>
                <w:spacing w:val="-6"/>
                <w:sz w:val="24"/>
                <w:highlight w:val="none"/>
              </w:rPr>
            </w:pPr>
          </w:p>
        </w:tc>
        <w:tc>
          <w:tcPr>
            <w:tcW w:w="3219" w:type="dxa"/>
            <w:vAlign w:val="center"/>
          </w:tcPr>
          <w:p>
            <w:pPr>
              <w:snapToGrid w:val="0"/>
              <w:spacing w:line="400" w:lineRule="exact"/>
              <w:jc w:val="center"/>
              <w:rPr>
                <w:rFonts w:ascii="宋体" w:hAnsi="宋体" w:cs="宋体"/>
                <w:color w:val="auto"/>
                <w:spacing w:val="-6"/>
                <w:sz w:val="24"/>
                <w:highlight w:val="none"/>
              </w:rPr>
            </w:pPr>
          </w:p>
        </w:tc>
        <w:tc>
          <w:tcPr>
            <w:tcW w:w="1822" w:type="dxa"/>
            <w:vAlign w:val="center"/>
          </w:tcPr>
          <w:p>
            <w:pPr>
              <w:snapToGrid w:val="0"/>
              <w:spacing w:line="400" w:lineRule="exact"/>
              <w:jc w:val="center"/>
              <w:rPr>
                <w:rFonts w:ascii="宋体" w:hAnsi="宋体" w:cs="宋体"/>
                <w:color w:val="auto"/>
                <w:spacing w:val="-6"/>
                <w:sz w:val="24"/>
                <w:highlight w:val="none"/>
              </w:rPr>
            </w:pPr>
          </w:p>
        </w:tc>
        <w:tc>
          <w:tcPr>
            <w:tcW w:w="2092" w:type="dxa"/>
            <w:vAlign w:val="center"/>
          </w:tcPr>
          <w:p>
            <w:pPr>
              <w:snapToGrid w:val="0"/>
              <w:spacing w:line="400" w:lineRule="exact"/>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color w:val="auto"/>
                <w:spacing w:val="-6"/>
                <w:sz w:val="24"/>
                <w:highlight w:val="none"/>
              </w:rPr>
            </w:pPr>
          </w:p>
        </w:tc>
        <w:tc>
          <w:tcPr>
            <w:tcW w:w="1656" w:type="dxa"/>
            <w:vAlign w:val="center"/>
          </w:tcPr>
          <w:p>
            <w:pPr>
              <w:snapToGrid w:val="0"/>
              <w:spacing w:line="400" w:lineRule="exact"/>
              <w:jc w:val="center"/>
              <w:rPr>
                <w:rFonts w:ascii="宋体" w:hAnsi="宋体" w:cs="宋体"/>
                <w:color w:val="auto"/>
                <w:spacing w:val="-6"/>
                <w:sz w:val="24"/>
                <w:highlight w:val="none"/>
              </w:rPr>
            </w:pPr>
          </w:p>
        </w:tc>
        <w:tc>
          <w:tcPr>
            <w:tcW w:w="3219" w:type="dxa"/>
            <w:vAlign w:val="center"/>
          </w:tcPr>
          <w:p>
            <w:pPr>
              <w:snapToGrid w:val="0"/>
              <w:spacing w:line="400" w:lineRule="exact"/>
              <w:jc w:val="center"/>
              <w:rPr>
                <w:rFonts w:ascii="宋体" w:hAnsi="宋体" w:cs="宋体"/>
                <w:color w:val="auto"/>
                <w:spacing w:val="-6"/>
                <w:sz w:val="24"/>
                <w:highlight w:val="none"/>
              </w:rPr>
            </w:pPr>
          </w:p>
        </w:tc>
        <w:tc>
          <w:tcPr>
            <w:tcW w:w="1822" w:type="dxa"/>
            <w:vAlign w:val="center"/>
          </w:tcPr>
          <w:p>
            <w:pPr>
              <w:snapToGrid w:val="0"/>
              <w:spacing w:line="400" w:lineRule="exact"/>
              <w:jc w:val="center"/>
              <w:rPr>
                <w:rFonts w:ascii="宋体" w:hAnsi="宋体" w:cs="宋体"/>
                <w:color w:val="auto"/>
                <w:spacing w:val="-6"/>
                <w:sz w:val="24"/>
                <w:highlight w:val="none"/>
              </w:rPr>
            </w:pPr>
          </w:p>
        </w:tc>
        <w:tc>
          <w:tcPr>
            <w:tcW w:w="2092" w:type="dxa"/>
            <w:vAlign w:val="center"/>
          </w:tcPr>
          <w:p>
            <w:pPr>
              <w:snapToGrid w:val="0"/>
              <w:spacing w:line="400" w:lineRule="exact"/>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line="400" w:lineRule="exact"/>
              <w:jc w:val="center"/>
              <w:rPr>
                <w:rFonts w:ascii="宋体" w:hAnsi="宋体" w:cs="宋体"/>
                <w:color w:val="auto"/>
                <w:spacing w:val="-6"/>
                <w:sz w:val="24"/>
                <w:highlight w:val="none"/>
              </w:rPr>
            </w:pPr>
          </w:p>
        </w:tc>
        <w:tc>
          <w:tcPr>
            <w:tcW w:w="1656" w:type="dxa"/>
            <w:vAlign w:val="center"/>
          </w:tcPr>
          <w:p>
            <w:pPr>
              <w:snapToGrid w:val="0"/>
              <w:spacing w:line="400" w:lineRule="exact"/>
              <w:jc w:val="center"/>
              <w:rPr>
                <w:rFonts w:ascii="宋体" w:hAnsi="宋体" w:cs="宋体"/>
                <w:color w:val="auto"/>
                <w:spacing w:val="-6"/>
                <w:sz w:val="24"/>
                <w:highlight w:val="none"/>
              </w:rPr>
            </w:pPr>
          </w:p>
        </w:tc>
        <w:tc>
          <w:tcPr>
            <w:tcW w:w="3219" w:type="dxa"/>
            <w:vAlign w:val="center"/>
          </w:tcPr>
          <w:p>
            <w:pPr>
              <w:snapToGrid w:val="0"/>
              <w:spacing w:line="400" w:lineRule="exact"/>
              <w:jc w:val="center"/>
              <w:rPr>
                <w:rFonts w:ascii="宋体" w:hAnsi="宋体" w:cs="宋体"/>
                <w:color w:val="auto"/>
                <w:spacing w:val="-6"/>
                <w:sz w:val="24"/>
                <w:highlight w:val="none"/>
              </w:rPr>
            </w:pPr>
          </w:p>
        </w:tc>
        <w:tc>
          <w:tcPr>
            <w:tcW w:w="1822" w:type="dxa"/>
            <w:vAlign w:val="center"/>
          </w:tcPr>
          <w:p>
            <w:pPr>
              <w:snapToGrid w:val="0"/>
              <w:spacing w:line="400" w:lineRule="exact"/>
              <w:jc w:val="center"/>
              <w:rPr>
                <w:rFonts w:ascii="宋体" w:hAnsi="宋体" w:cs="宋体"/>
                <w:color w:val="auto"/>
                <w:spacing w:val="-6"/>
                <w:sz w:val="24"/>
                <w:highlight w:val="none"/>
              </w:rPr>
            </w:pPr>
          </w:p>
        </w:tc>
        <w:tc>
          <w:tcPr>
            <w:tcW w:w="2092" w:type="dxa"/>
            <w:vAlign w:val="center"/>
          </w:tcPr>
          <w:p>
            <w:pPr>
              <w:snapToGrid w:val="0"/>
              <w:spacing w:line="400" w:lineRule="exact"/>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851" w:type="dxa"/>
            <w:vAlign w:val="center"/>
          </w:tcPr>
          <w:p>
            <w:pPr>
              <w:snapToGrid w:val="0"/>
              <w:spacing w:line="400" w:lineRule="exact"/>
              <w:jc w:val="center"/>
              <w:rPr>
                <w:rFonts w:ascii="宋体" w:hAnsi="宋体" w:cs="宋体"/>
                <w:color w:val="auto"/>
                <w:spacing w:val="-6"/>
                <w:sz w:val="24"/>
                <w:highlight w:val="none"/>
              </w:rPr>
            </w:pPr>
          </w:p>
        </w:tc>
        <w:tc>
          <w:tcPr>
            <w:tcW w:w="1656" w:type="dxa"/>
            <w:vAlign w:val="center"/>
          </w:tcPr>
          <w:p>
            <w:pPr>
              <w:snapToGrid w:val="0"/>
              <w:spacing w:line="400" w:lineRule="exact"/>
              <w:jc w:val="center"/>
              <w:rPr>
                <w:rFonts w:ascii="宋体" w:hAnsi="宋体" w:cs="宋体"/>
                <w:color w:val="auto"/>
                <w:spacing w:val="-6"/>
                <w:sz w:val="24"/>
                <w:highlight w:val="none"/>
              </w:rPr>
            </w:pPr>
          </w:p>
        </w:tc>
        <w:tc>
          <w:tcPr>
            <w:tcW w:w="3219" w:type="dxa"/>
            <w:vAlign w:val="center"/>
          </w:tcPr>
          <w:p>
            <w:pPr>
              <w:snapToGrid w:val="0"/>
              <w:spacing w:line="400" w:lineRule="exact"/>
              <w:jc w:val="center"/>
              <w:rPr>
                <w:rFonts w:ascii="宋体" w:hAnsi="宋体" w:cs="宋体"/>
                <w:color w:val="auto"/>
                <w:spacing w:val="-6"/>
                <w:sz w:val="24"/>
                <w:highlight w:val="none"/>
              </w:rPr>
            </w:pPr>
          </w:p>
        </w:tc>
        <w:tc>
          <w:tcPr>
            <w:tcW w:w="1822" w:type="dxa"/>
            <w:vAlign w:val="center"/>
          </w:tcPr>
          <w:p>
            <w:pPr>
              <w:snapToGrid w:val="0"/>
              <w:spacing w:line="400" w:lineRule="exact"/>
              <w:jc w:val="center"/>
              <w:rPr>
                <w:rFonts w:ascii="宋体" w:hAnsi="宋体" w:cs="宋体"/>
                <w:color w:val="auto"/>
                <w:spacing w:val="-6"/>
                <w:sz w:val="24"/>
                <w:highlight w:val="none"/>
              </w:rPr>
            </w:pPr>
          </w:p>
        </w:tc>
        <w:tc>
          <w:tcPr>
            <w:tcW w:w="2092" w:type="dxa"/>
            <w:vAlign w:val="center"/>
          </w:tcPr>
          <w:p>
            <w:pPr>
              <w:snapToGrid w:val="0"/>
              <w:spacing w:line="400" w:lineRule="exact"/>
              <w:jc w:val="center"/>
              <w:rPr>
                <w:rFonts w:ascii="宋体" w:hAnsi="宋体" w:cs="宋体"/>
                <w:color w:val="auto"/>
                <w:spacing w:val="-6"/>
                <w:sz w:val="24"/>
                <w:highlight w:val="none"/>
              </w:rPr>
            </w:pPr>
          </w:p>
        </w:tc>
      </w:tr>
    </w:tbl>
    <w:p>
      <w:pPr>
        <w:pStyle w:val="15"/>
        <w:spacing w:after="0" w:line="400" w:lineRule="exact"/>
        <w:ind w:left="0" w:leftChars="0" w:right="0" w:rightChars="0"/>
        <w:rPr>
          <w:rFonts w:ascii="宋体" w:hAnsi="宋体" w:cs="宋体"/>
          <w:b/>
          <w:bCs/>
          <w:color w:val="auto"/>
          <w:spacing w:val="-6"/>
          <w:sz w:val="24"/>
          <w:highlight w:val="none"/>
        </w:rPr>
      </w:pPr>
    </w:p>
    <w:p>
      <w:pPr>
        <w:adjustRightInd w:val="0"/>
        <w:snapToGrid w:val="0"/>
        <w:spacing w:line="400" w:lineRule="exact"/>
        <w:jc w:val="left"/>
        <w:rPr>
          <w:rFonts w:ascii="宋体" w:hAnsi="宋体" w:cs="宋体"/>
          <w:b/>
          <w:bCs/>
          <w:color w:val="auto"/>
          <w:spacing w:val="-6"/>
          <w:sz w:val="24"/>
          <w:highlight w:val="none"/>
        </w:rPr>
      </w:pPr>
      <w:r>
        <w:rPr>
          <w:rFonts w:hint="eastAsia" w:ascii="宋体" w:hAnsi="宋体" w:cs="宋体"/>
          <w:b/>
          <w:bCs/>
          <w:color w:val="auto"/>
          <w:spacing w:val="-6"/>
          <w:sz w:val="24"/>
          <w:highlight w:val="none"/>
        </w:rPr>
        <w:t>注意：1.逐项按照招标文件要求填写响应规格；</w:t>
      </w:r>
    </w:p>
    <w:p>
      <w:pPr>
        <w:adjustRightInd w:val="0"/>
        <w:snapToGrid w:val="0"/>
        <w:spacing w:line="400" w:lineRule="exact"/>
        <w:ind w:firstLine="687" w:firstLineChars="300"/>
        <w:jc w:val="left"/>
        <w:rPr>
          <w:rFonts w:ascii="宋体" w:hAnsi="宋体" w:cs="宋体"/>
          <w:b/>
          <w:bCs/>
          <w:color w:val="auto"/>
          <w:spacing w:val="-6"/>
          <w:sz w:val="24"/>
          <w:szCs w:val="24"/>
          <w:highlight w:val="none"/>
        </w:rPr>
      </w:pPr>
      <w:r>
        <w:rPr>
          <w:rFonts w:hint="eastAsia" w:ascii="宋体" w:hAnsi="宋体" w:cs="宋体"/>
          <w:b/>
          <w:bCs/>
          <w:color w:val="auto"/>
          <w:spacing w:val="-6"/>
          <w:sz w:val="24"/>
          <w:szCs w:val="24"/>
          <w:highlight w:val="none"/>
        </w:rPr>
        <w:t>2.偏离说明是指对招标文件要求存在不同之处的解释说明。偏离系指：正偏离（高于采购需求）、负偏离（低于采购需求或未按采购需求提供相应证明材料的）、无偏离（满足采购需求）；</w:t>
      </w:r>
    </w:p>
    <w:p>
      <w:pPr>
        <w:adjustRightInd w:val="0"/>
        <w:snapToGrid w:val="0"/>
        <w:spacing w:line="400" w:lineRule="exact"/>
        <w:ind w:firstLine="687" w:firstLineChars="300"/>
        <w:jc w:val="left"/>
        <w:rPr>
          <w:rFonts w:ascii="宋体" w:hAnsi="宋体" w:cs="宋体"/>
          <w:b/>
          <w:bCs/>
          <w:color w:val="auto"/>
          <w:spacing w:val="-6"/>
          <w:sz w:val="24"/>
          <w:szCs w:val="24"/>
          <w:highlight w:val="none"/>
        </w:rPr>
      </w:pPr>
      <w:r>
        <w:rPr>
          <w:rFonts w:hint="eastAsia" w:ascii="宋体" w:hAnsi="宋体" w:cs="宋体"/>
          <w:b/>
          <w:bCs/>
          <w:color w:val="auto"/>
          <w:spacing w:val="-6"/>
          <w:sz w:val="24"/>
          <w:szCs w:val="24"/>
          <w:highlight w:val="none"/>
        </w:rPr>
        <w:t>3.如不填写此表或留空，视为完全响应招标文件要求，自行承担投标风险。</w:t>
      </w:r>
    </w:p>
    <w:p>
      <w:pPr>
        <w:widowControl/>
        <w:spacing w:line="400" w:lineRule="exact"/>
        <w:rPr>
          <w:rFonts w:ascii="宋体" w:hAnsi="宋体" w:cs="宋体"/>
          <w:color w:val="auto"/>
          <w:kern w:val="0"/>
          <w:sz w:val="24"/>
          <w:szCs w:val="24"/>
          <w:highlight w:val="none"/>
        </w:rPr>
      </w:pPr>
    </w:p>
    <w:p>
      <w:pPr>
        <w:widowControl/>
        <w:spacing w:line="400" w:lineRule="exact"/>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投标人全称(电子签章)：</w:t>
      </w:r>
    </w:p>
    <w:p>
      <w:pPr>
        <w:widowControl/>
        <w:spacing w:line="400"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法定代表人或授权代表(签字或盖章)：</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    年    月    日</w:t>
      </w:r>
    </w:p>
    <w:p>
      <w:pPr>
        <w:spacing w:line="400" w:lineRule="exact"/>
        <w:rPr>
          <w:rFonts w:ascii="宋体" w:hAnsi="宋体" w:cs="宋体"/>
          <w:b/>
          <w:color w:val="auto"/>
          <w:sz w:val="24"/>
          <w:szCs w:val="24"/>
          <w:highlight w:val="none"/>
        </w:rPr>
      </w:pPr>
    </w:p>
    <w:p>
      <w:pPr>
        <w:pStyle w:val="29"/>
        <w:ind w:left="482" w:hanging="482"/>
        <w:rPr>
          <w:rFonts w:ascii="宋体" w:hAnsi="宋体" w:cs="宋体"/>
          <w:b/>
          <w:color w:val="auto"/>
          <w:szCs w:val="24"/>
          <w:highlight w:val="none"/>
        </w:rPr>
      </w:pPr>
    </w:p>
    <w:p>
      <w:pPr>
        <w:pStyle w:val="29"/>
        <w:ind w:left="482" w:hanging="482"/>
        <w:rPr>
          <w:rFonts w:ascii="宋体" w:hAnsi="宋体" w:cs="宋体"/>
          <w:b/>
          <w:color w:val="auto"/>
          <w:szCs w:val="24"/>
          <w:highlight w:val="none"/>
        </w:rPr>
      </w:pPr>
    </w:p>
    <w:p>
      <w:pPr>
        <w:pStyle w:val="29"/>
        <w:ind w:left="482" w:hanging="482"/>
        <w:rPr>
          <w:rFonts w:ascii="宋体" w:hAnsi="宋体" w:cs="宋体"/>
          <w:b/>
          <w:color w:val="auto"/>
          <w:szCs w:val="24"/>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附件13</w:t>
      </w:r>
    </w:p>
    <w:p>
      <w:pPr>
        <w:pStyle w:val="65"/>
        <w:snapToGrid w:val="0"/>
        <w:spacing w:line="600" w:lineRule="exact"/>
        <w:jc w:val="center"/>
        <w:rPr>
          <w:rFonts w:hint="default" w:hAnsi="宋体" w:eastAsia="宋体" w:cs="宋体"/>
          <w:color w:val="auto"/>
          <w:sz w:val="32"/>
          <w:szCs w:val="32"/>
          <w:highlight w:val="none"/>
        </w:rPr>
      </w:pPr>
      <w:r>
        <w:rPr>
          <w:rFonts w:hAnsi="宋体" w:eastAsia="宋体" w:cs="宋体"/>
          <w:b/>
          <w:bCs/>
          <w:color w:val="auto"/>
          <w:sz w:val="32"/>
          <w:szCs w:val="32"/>
          <w:highlight w:val="none"/>
        </w:rPr>
        <w:t>政府采购活动现场确认声明书</w:t>
      </w:r>
    </w:p>
    <w:p>
      <w:pPr>
        <w:pStyle w:val="65"/>
        <w:snapToGrid w:val="0"/>
        <w:spacing w:line="400" w:lineRule="exact"/>
        <w:rPr>
          <w:rFonts w:hint="default" w:hAnsi="宋体" w:eastAsia="宋体" w:cs="宋体"/>
          <w:b/>
          <w:color w:val="auto"/>
          <w:sz w:val="24"/>
          <w:szCs w:val="24"/>
          <w:highlight w:val="none"/>
        </w:rPr>
      </w:pPr>
      <w:r>
        <w:rPr>
          <w:rFonts w:hAnsi="宋体" w:eastAsia="宋体" w:cs="宋体"/>
          <w:color w:val="auto"/>
          <w:kern w:val="0"/>
          <w:sz w:val="24"/>
          <w:szCs w:val="24"/>
          <w:highlight w:val="none"/>
          <w:u w:val="single"/>
        </w:rPr>
        <w:t>浙江乐诚工程咨询有限公司</w:t>
      </w:r>
      <w:r>
        <w:rPr>
          <w:rFonts w:hAnsi="宋体" w:eastAsia="宋体" w:cs="宋体"/>
          <w:color w:val="auto"/>
          <w:kern w:val="0"/>
          <w:sz w:val="24"/>
          <w:szCs w:val="24"/>
          <w:highlight w:val="none"/>
        </w:rPr>
        <w:t>：</w:t>
      </w:r>
    </w:p>
    <w:p>
      <w:pPr>
        <w:pStyle w:val="65"/>
        <w:snapToGrid w:val="0"/>
        <w:spacing w:line="400" w:lineRule="exact"/>
        <w:ind w:firstLine="504" w:firstLineChars="200"/>
        <w:rPr>
          <w:rFonts w:hint="default" w:hAnsi="宋体" w:eastAsia="宋体" w:cs="宋体"/>
          <w:color w:val="auto"/>
          <w:spacing w:val="6"/>
          <w:sz w:val="24"/>
          <w:szCs w:val="24"/>
          <w:highlight w:val="none"/>
        </w:rPr>
      </w:pPr>
      <w:r>
        <w:rPr>
          <w:rFonts w:hAnsi="宋体" w:eastAsia="宋体" w:cs="宋体"/>
          <w:color w:val="auto"/>
          <w:spacing w:val="6"/>
          <w:sz w:val="24"/>
          <w:szCs w:val="24"/>
          <w:highlight w:val="none"/>
        </w:rPr>
        <w:t>本人经由</w:t>
      </w:r>
      <w:r>
        <w:rPr>
          <w:rFonts w:hAnsi="宋体" w:eastAsia="宋体" w:cs="宋体"/>
          <w:color w:val="auto"/>
          <w:kern w:val="0"/>
          <w:sz w:val="24"/>
          <w:szCs w:val="24"/>
          <w:highlight w:val="none"/>
          <w:u w:val="single"/>
        </w:rPr>
        <w:t>（</w:t>
      </w:r>
      <w:r>
        <w:rPr>
          <w:rFonts w:hAnsi="宋体" w:eastAsia="宋体" w:cs="宋体"/>
          <w:color w:val="auto"/>
          <w:spacing w:val="6"/>
          <w:sz w:val="24"/>
          <w:szCs w:val="24"/>
          <w:highlight w:val="none"/>
          <w:u w:val="single"/>
        </w:rPr>
        <w:t>单位）</w:t>
      </w:r>
      <w:r>
        <w:rPr>
          <w:rFonts w:hAnsi="宋体" w:eastAsia="宋体" w:cs="宋体"/>
          <w:color w:val="auto"/>
          <w:spacing w:val="6"/>
          <w:sz w:val="24"/>
          <w:szCs w:val="24"/>
          <w:highlight w:val="none"/>
        </w:rPr>
        <w:t>法人代表负责人</w:t>
      </w:r>
      <w:r>
        <w:rPr>
          <w:rFonts w:hAnsi="宋体" w:eastAsia="宋体" w:cs="宋体"/>
          <w:color w:val="auto"/>
          <w:spacing w:val="6"/>
          <w:sz w:val="24"/>
          <w:szCs w:val="24"/>
          <w:highlight w:val="none"/>
          <w:u w:val="single"/>
        </w:rPr>
        <w:t xml:space="preserve">         （姓名）</w:t>
      </w:r>
      <w:r>
        <w:rPr>
          <w:rFonts w:hAnsi="宋体" w:eastAsia="宋体" w:cs="宋体"/>
          <w:color w:val="auto"/>
          <w:spacing w:val="6"/>
          <w:sz w:val="24"/>
          <w:szCs w:val="24"/>
          <w:highlight w:val="none"/>
        </w:rPr>
        <w:t>合法授权参加（项目）（项目编号</w:t>
      </w:r>
      <w:r>
        <w:rPr>
          <w:rFonts w:hAnsi="宋体" w:eastAsia="宋体" w:cs="宋体"/>
          <w:color w:val="auto"/>
          <w:spacing w:val="6"/>
          <w:sz w:val="24"/>
          <w:szCs w:val="24"/>
          <w:highlight w:val="none"/>
          <w:u w:val="single"/>
        </w:rPr>
        <w:t xml:space="preserve">：             </w:t>
      </w:r>
      <w:r>
        <w:rPr>
          <w:rFonts w:hAnsi="宋体" w:eastAsia="宋体" w:cs="宋体"/>
          <w:color w:val="auto"/>
          <w:spacing w:val="6"/>
          <w:sz w:val="24"/>
          <w:szCs w:val="24"/>
          <w:highlight w:val="none"/>
        </w:rPr>
        <w:t xml:space="preserve">）政府采购活动，经与本单位法人代表（负责人）联系确认，现就有关公平竞争事项郑重声明如下： </w:t>
      </w:r>
    </w:p>
    <w:p>
      <w:pPr>
        <w:pStyle w:val="65"/>
        <w:numPr>
          <w:ilvl w:val="0"/>
          <w:numId w:val="21"/>
        </w:numPr>
        <w:snapToGrid w:val="0"/>
        <w:spacing w:line="400" w:lineRule="exact"/>
        <w:ind w:firstLine="240" w:firstLineChars="100"/>
        <w:rPr>
          <w:rFonts w:hint="default" w:hAnsi="宋体" w:eastAsia="宋体" w:cs="宋体"/>
          <w:color w:val="auto"/>
          <w:kern w:val="0"/>
          <w:sz w:val="24"/>
          <w:szCs w:val="24"/>
          <w:highlight w:val="none"/>
        </w:rPr>
      </w:pPr>
      <w:r>
        <w:rPr>
          <w:rFonts w:hAnsi="宋体" w:eastAsia="宋体" w:cs="宋体"/>
          <w:color w:val="auto"/>
          <w:kern w:val="0"/>
          <w:sz w:val="24"/>
          <w:szCs w:val="24"/>
          <w:highlight w:val="none"/>
        </w:rPr>
        <w:t>本单位与采购人之间□不存在利害关系 □存在下列利害关系：</w:t>
      </w:r>
    </w:p>
    <w:p>
      <w:pPr>
        <w:pStyle w:val="65"/>
        <w:snapToGrid w:val="0"/>
        <w:spacing w:line="400" w:lineRule="exact"/>
        <w:ind w:firstLine="240" w:firstLineChars="100"/>
        <w:rPr>
          <w:rFonts w:hint="default" w:hAnsi="宋体" w:eastAsia="宋体" w:cs="宋体"/>
          <w:color w:val="auto"/>
          <w:kern w:val="0"/>
          <w:sz w:val="24"/>
          <w:szCs w:val="24"/>
          <w:highlight w:val="none"/>
        </w:rPr>
      </w:pPr>
      <w:r>
        <w:rPr>
          <w:rFonts w:hAnsi="宋体" w:eastAsia="宋体" w:cs="宋体"/>
          <w:color w:val="auto"/>
          <w:kern w:val="0"/>
          <w:sz w:val="24"/>
          <w:szCs w:val="24"/>
          <w:highlight w:val="none"/>
        </w:rPr>
        <w:t>A.投资关系    B.行政隶属关系    C.业务指导关系</w:t>
      </w:r>
    </w:p>
    <w:p>
      <w:pPr>
        <w:pStyle w:val="65"/>
        <w:snapToGrid w:val="0"/>
        <w:spacing w:line="400" w:lineRule="exact"/>
        <w:ind w:firstLine="240" w:firstLineChars="100"/>
        <w:rPr>
          <w:rFonts w:hint="default" w:hAnsi="宋体" w:eastAsia="宋体" w:cs="宋体"/>
          <w:color w:val="auto"/>
          <w:kern w:val="0"/>
          <w:sz w:val="24"/>
          <w:szCs w:val="24"/>
          <w:highlight w:val="none"/>
        </w:rPr>
      </w:pPr>
      <w:r>
        <w:rPr>
          <w:rFonts w:hAnsi="宋体" w:eastAsia="宋体" w:cs="宋体"/>
          <w:color w:val="auto"/>
          <w:kern w:val="0"/>
          <w:sz w:val="24"/>
          <w:szCs w:val="24"/>
          <w:highlight w:val="none"/>
        </w:rPr>
        <w:t>D.其他可能</w:t>
      </w:r>
      <w:r>
        <w:rPr>
          <w:rFonts w:hAnsi="宋体" w:eastAsia="宋体" w:cs="宋体"/>
          <w:color w:val="auto"/>
          <w:sz w:val="24"/>
          <w:szCs w:val="24"/>
          <w:highlight w:val="none"/>
        </w:rPr>
        <w:t>影响采购公正的</w:t>
      </w:r>
      <w:r>
        <w:rPr>
          <w:rFonts w:hAnsi="宋体" w:eastAsia="宋体" w:cs="宋体"/>
          <w:color w:val="auto"/>
          <w:kern w:val="0"/>
          <w:sz w:val="24"/>
          <w:szCs w:val="24"/>
          <w:highlight w:val="none"/>
        </w:rPr>
        <w:t>利害关系</w:t>
      </w:r>
      <w:r>
        <w:rPr>
          <w:rFonts w:hAnsi="宋体" w:eastAsia="宋体" w:cs="宋体"/>
          <w:color w:val="auto"/>
          <w:kern w:val="0"/>
          <w:sz w:val="24"/>
          <w:szCs w:val="24"/>
          <w:highlight w:val="none"/>
          <w:u w:val="single"/>
        </w:rPr>
        <w:t xml:space="preserve">（如有，请如实说明）                 </w:t>
      </w:r>
      <w:r>
        <w:rPr>
          <w:rFonts w:hAnsi="宋体" w:eastAsia="宋体" w:cs="宋体"/>
          <w:color w:val="auto"/>
          <w:kern w:val="0"/>
          <w:sz w:val="24"/>
          <w:szCs w:val="24"/>
          <w:highlight w:val="none"/>
        </w:rPr>
        <w:t>。</w:t>
      </w:r>
    </w:p>
    <w:p>
      <w:pPr>
        <w:pStyle w:val="66"/>
        <w:widowControl/>
        <w:snapToGrid w:val="0"/>
        <w:spacing w:line="400" w:lineRule="exact"/>
        <w:rPr>
          <w:rFonts w:ascii="宋体" w:hAnsi="宋体" w:cs="宋体"/>
          <w:color w:val="auto"/>
          <w:kern w:val="0"/>
          <w:sz w:val="24"/>
          <w:szCs w:val="24"/>
          <w:highlight w:val="none"/>
        </w:rPr>
      </w:pPr>
      <w:r>
        <w:rPr>
          <w:rFonts w:hint="eastAsia" w:ascii="宋体" w:hAnsi="宋体" w:cs="宋体"/>
          <w:color w:val="auto"/>
          <w:spacing w:val="6"/>
          <w:sz w:val="24"/>
          <w:szCs w:val="24"/>
          <w:highlight w:val="none"/>
        </w:rPr>
        <w:t xml:space="preserve">  二、</w:t>
      </w:r>
      <w:r>
        <w:rPr>
          <w:rFonts w:hint="eastAsia" w:ascii="宋体" w:hAnsi="宋体" w:cs="宋体"/>
          <w:color w:val="auto"/>
          <w:kern w:val="0"/>
          <w:sz w:val="24"/>
          <w:szCs w:val="24"/>
          <w:highlight w:val="none"/>
        </w:rPr>
        <w:t>现已清楚知道参加本项目采购活动的其他所有供应商名称，本单位 □与其他所有供应商之间均不存在利害关系 □与</w:t>
      </w:r>
      <w:r>
        <w:rPr>
          <w:rFonts w:hint="eastAsia" w:ascii="宋体" w:hAnsi="宋体" w:cs="宋体"/>
          <w:color w:val="auto"/>
          <w:kern w:val="0"/>
          <w:sz w:val="24"/>
          <w:szCs w:val="24"/>
          <w:highlight w:val="none"/>
          <w:u w:val="single"/>
        </w:rPr>
        <w:t xml:space="preserve">           （供应商名称）</w:t>
      </w:r>
      <w:r>
        <w:rPr>
          <w:rFonts w:hint="eastAsia" w:ascii="宋体" w:hAnsi="宋体" w:cs="宋体"/>
          <w:color w:val="auto"/>
          <w:kern w:val="0"/>
          <w:sz w:val="24"/>
          <w:szCs w:val="24"/>
          <w:highlight w:val="none"/>
        </w:rPr>
        <w:t>之间存在下列利害关系：</w:t>
      </w:r>
    </w:p>
    <w:p>
      <w:pPr>
        <w:pStyle w:val="65"/>
        <w:snapToGrid w:val="0"/>
        <w:spacing w:line="400" w:lineRule="exact"/>
        <w:rPr>
          <w:rFonts w:hint="default" w:hAnsi="宋体" w:eastAsia="宋体" w:cs="宋体"/>
          <w:color w:val="auto"/>
          <w:kern w:val="0"/>
          <w:sz w:val="24"/>
          <w:szCs w:val="24"/>
          <w:highlight w:val="none"/>
        </w:rPr>
      </w:pPr>
      <w:r>
        <w:rPr>
          <w:rFonts w:hAnsi="宋体" w:eastAsia="宋体" w:cs="宋体"/>
          <w:color w:val="auto"/>
          <w:kern w:val="0"/>
          <w:sz w:val="24"/>
          <w:szCs w:val="24"/>
          <w:highlight w:val="none"/>
        </w:rPr>
        <w:t xml:space="preserve">  A.法定代表人或负责人或实际控制人是同一人</w:t>
      </w:r>
    </w:p>
    <w:p>
      <w:pPr>
        <w:pStyle w:val="65"/>
        <w:snapToGrid w:val="0"/>
        <w:spacing w:line="400" w:lineRule="exact"/>
        <w:rPr>
          <w:rFonts w:hint="default" w:hAnsi="宋体" w:eastAsia="宋体" w:cs="宋体"/>
          <w:color w:val="auto"/>
          <w:spacing w:val="6"/>
          <w:sz w:val="24"/>
          <w:szCs w:val="24"/>
          <w:highlight w:val="none"/>
        </w:rPr>
      </w:pPr>
      <w:r>
        <w:rPr>
          <w:rFonts w:hAnsi="宋体" w:eastAsia="宋体" w:cs="宋体"/>
          <w:color w:val="auto"/>
          <w:kern w:val="0"/>
          <w:sz w:val="24"/>
          <w:szCs w:val="24"/>
          <w:highlight w:val="none"/>
        </w:rPr>
        <w:t xml:space="preserve">  B.法定代表人或负责人或实际控制人是夫妻关系</w:t>
      </w:r>
    </w:p>
    <w:p>
      <w:pPr>
        <w:pStyle w:val="65"/>
        <w:snapToGrid w:val="0"/>
        <w:spacing w:line="400" w:lineRule="exact"/>
        <w:rPr>
          <w:rFonts w:hint="default" w:hAnsi="宋体" w:eastAsia="宋体" w:cs="宋体"/>
          <w:color w:val="auto"/>
          <w:spacing w:val="6"/>
          <w:sz w:val="24"/>
          <w:szCs w:val="24"/>
          <w:highlight w:val="none"/>
        </w:rPr>
      </w:pPr>
      <w:r>
        <w:rPr>
          <w:rFonts w:hAnsi="宋体" w:eastAsia="宋体" w:cs="宋体"/>
          <w:color w:val="auto"/>
          <w:kern w:val="0"/>
          <w:sz w:val="24"/>
          <w:szCs w:val="24"/>
          <w:highlight w:val="none"/>
        </w:rPr>
        <w:t xml:space="preserve">  C.法定代表人或负责人或实际控制人是直系血亲关系</w:t>
      </w:r>
    </w:p>
    <w:p>
      <w:pPr>
        <w:pStyle w:val="65"/>
        <w:snapToGrid w:val="0"/>
        <w:spacing w:line="400" w:lineRule="exact"/>
        <w:rPr>
          <w:rFonts w:hint="default" w:hAnsi="宋体" w:eastAsia="宋体" w:cs="宋体"/>
          <w:color w:val="auto"/>
          <w:spacing w:val="6"/>
          <w:sz w:val="24"/>
          <w:szCs w:val="24"/>
          <w:highlight w:val="none"/>
        </w:rPr>
      </w:pPr>
      <w:r>
        <w:rPr>
          <w:rFonts w:hAnsi="宋体" w:eastAsia="宋体" w:cs="宋体"/>
          <w:color w:val="auto"/>
          <w:kern w:val="0"/>
          <w:sz w:val="24"/>
          <w:szCs w:val="24"/>
          <w:highlight w:val="none"/>
        </w:rPr>
        <w:t xml:space="preserve">  D.法定代表人或负责人或实际控制人存在三代以内旁系血亲关系</w:t>
      </w:r>
    </w:p>
    <w:p>
      <w:pPr>
        <w:pStyle w:val="65"/>
        <w:snapToGrid w:val="0"/>
        <w:spacing w:line="400" w:lineRule="exact"/>
        <w:rPr>
          <w:rFonts w:hint="default" w:hAnsi="宋体" w:eastAsia="宋体" w:cs="宋体"/>
          <w:color w:val="auto"/>
          <w:kern w:val="0"/>
          <w:sz w:val="24"/>
          <w:szCs w:val="24"/>
          <w:highlight w:val="none"/>
        </w:rPr>
      </w:pPr>
      <w:r>
        <w:rPr>
          <w:rFonts w:hAnsi="宋体" w:eastAsia="宋体" w:cs="宋体"/>
          <w:color w:val="auto"/>
          <w:kern w:val="0"/>
          <w:sz w:val="24"/>
          <w:szCs w:val="24"/>
          <w:highlight w:val="none"/>
        </w:rPr>
        <w:t xml:space="preserve">  E.法定代表人或负责人或实际控制人存在近姻亲关系</w:t>
      </w:r>
    </w:p>
    <w:p>
      <w:pPr>
        <w:pStyle w:val="65"/>
        <w:snapToGrid w:val="0"/>
        <w:spacing w:line="400" w:lineRule="exact"/>
        <w:rPr>
          <w:rFonts w:hint="default" w:hAnsi="宋体" w:eastAsia="宋体" w:cs="宋体"/>
          <w:color w:val="auto"/>
          <w:kern w:val="0"/>
          <w:sz w:val="24"/>
          <w:szCs w:val="24"/>
          <w:highlight w:val="none"/>
        </w:rPr>
      </w:pPr>
      <w:r>
        <w:rPr>
          <w:rFonts w:hAnsi="宋体" w:eastAsia="宋体" w:cs="宋体"/>
          <w:color w:val="auto"/>
          <w:kern w:val="0"/>
          <w:sz w:val="24"/>
          <w:szCs w:val="24"/>
          <w:highlight w:val="none"/>
        </w:rPr>
        <w:t xml:space="preserve">  F.法定代表人或负责人或实际控制人存在股份控制或实际控制关系</w:t>
      </w:r>
    </w:p>
    <w:p>
      <w:pPr>
        <w:pStyle w:val="65"/>
        <w:snapToGrid w:val="0"/>
        <w:spacing w:line="400" w:lineRule="exact"/>
        <w:outlineLvl w:val="0"/>
        <w:rPr>
          <w:rFonts w:hint="default" w:hAnsi="宋体" w:eastAsia="宋体" w:cs="宋体"/>
          <w:color w:val="auto"/>
          <w:kern w:val="0"/>
          <w:sz w:val="24"/>
          <w:szCs w:val="24"/>
          <w:highlight w:val="none"/>
        </w:rPr>
      </w:pPr>
      <w:r>
        <w:rPr>
          <w:rFonts w:hAnsi="宋体" w:eastAsia="宋体" w:cs="宋体"/>
          <w:color w:val="auto"/>
          <w:kern w:val="0"/>
          <w:sz w:val="24"/>
          <w:szCs w:val="24"/>
          <w:highlight w:val="none"/>
        </w:rPr>
        <w:t xml:space="preserve">  G.存在共同直接或间接投资设立子公司、联营企业和合营企业情况</w:t>
      </w:r>
    </w:p>
    <w:p>
      <w:pPr>
        <w:pStyle w:val="65"/>
        <w:snapToGrid w:val="0"/>
        <w:spacing w:line="400" w:lineRule="exact"/>
        <w:rPr>
          <w:rFonts w:hint="default" w:hAnsi="宋体" w:eastAsia="宋体" w:cs="宋体"/>
          <w:color w:val="auto"/>
          <w:sz w:val="24"/>
          <w:szCs w:val="24"/>
          <w:highlight w:val="none"/>
        </w:rPr>
      </w:pPr>
      <w:r>
        <w:rPr>
          <w:rFonts w:hAnsi="宋体" w:eastAsia="宋体" w:cs="宋体"/>
          <w:color w:val="auto"/>
          <w:kern w:val="0"/>
          <w:sz w:val="24"/>
          <w:szCs w:val="24"/>
          <w:highlight w:val="none"/>
        </w:rPr>
        <w:t xml:space="preserve">  H.存在分级代理或代销关系、同一生产制造商关系、</w:t>
      </w:r>
      <w:r>
        <w:rPr>
          <w:rFonts w:hAnsi="宋体" w:eastAsia="宋体" w:cs="宋体"/>
          <w:color w:val="auto"/>
          <w:sz w:val="24"/>
          <w:szCs w:val="24"/>
          <w:highlight w:val="none"/>
        </w:rPr>
        <w:t>管理关系、重要业务（占主营业务收入50%以上）或重要财务往来关系（如融资）等其他实质性控制关系</w:t>
      </w:r>
    </w:p>
    <w:p>
      <w:pPr>
        <w:pStyle w:val="65"/>
        <w:snapToGrid w:val="0"/>
        <w:spacing w:line="400" w:lineRule="exact"/>
        <w:rPr>
          <w:rFonts w:hint="default" w:hAnsi="宋体" w:eastAsia="宋体" w:cs="宋体"/>
          <w:color w:val="auto"/>
          <w:spacing w:val="6"/>
          <w:sz w:val="24"/>
          <w:szCs w:val="24"/>
          <w:highlight w:val="none"/>
        </w:rPr>
      </w:pPr>
      <w:r>
        <w:rPr>
          <w:rFonts w:hAnsi="宋体" w:eastAsia="宋体" w:cs="宋体"/>
          <w:color w:val="auto"/>
          <w:sz w:val="24"/>
          <w:szCs w:val="24"/>
          <w:highlight w:val="none"/>
        </w:rPr>
        <w:t xml:space="preserve">    I</w:t>
      </w:r>
      <w:r>
        <w:rPr>
          <w:rFonts w:hAnsi="宋体" w:eastAsia="宋体" w:cs="宋体"/>
          <w:color w:val="auto"/>
          <w:kern w:val="0"/>
          <w:sz w:val="24"/>
          <w:szCs w:val="24"/>
          <w:highlight w:val="none"/>
        </w:rPr>
        <w:t>.</w:t>
      </w:r>
      <w:r>
        <w:rPr>
          <w:rFonts w:hAnsi="宋体" w:eastAsia="宋体" w:cs="宋体"/>
          <w:color w:val="auto"/>
          <w:sz w:val="24"/>
          <w:szCs w:val="24"/>
          <w:highlight w:val="none"/>
        </w:rPr>
        <w:t>其他利害关系情况</w:t>
      </w:r>
      <w:r>
        <w:rPr>
          <w:rFonts w:hAnsi="宋体" w:eastAsia="宋体" w:cs="宋体"/>
          <w:color w:val="auto"/>
          <w:kern w:val="0"/>
          <w:sz w:val="24"/>
          <w:szCs w:val="24"/>
          <w:highlight w:val="none"/>
        </w:rPr>
        <w:t>。</w:t>
      </w:r>
    </w:p>
    <w:p>
      <w:pPr>
        <w:pStyle w:val="66"/>
        <w:widowControl/>
        <w:numPr>
          <w:ilvl w:val="0"/>
          <w:numId w:val="22"/>
        </w:numPr>
        <w:snapToGrid w:val="0"/>
        <w:spacing w:line="400" w:lineRule="exact"/>
        <w:ind w:firstLine="453" w:firstLineChars="189"/>
        <w:rPr>
          <w:rFonts w:ascii="宋体" w:hAnsi="宋体" w:cs="宋体"/>
          <w:color w:val="auto"/>
          <w:kern w:val="0"/>
          <w:sz w:val="24"/>
          <w:szCs w:val="24"/>
          <w:highlight w:val="none"/>
        </w:rPr>
      </w:pPr>
      <w:r>
        <w:rPr>
          <w:rFonts w:hint="eastAsia" w:ascii="宋体" w:hAnsi="宋体" w:cs="宋体"/>
          <w:color w:val="auto"/>
          <w:sz w:val="24"/>
          <w:szCs w:val="24"/>
          <w:highlight w:val="none"/>
        </w:rPr>
        <w:t>现已清楚知道并</w:t>
      </w:r>
      <w:r>
        <w:rPr>
          <w:rFonts w:hint="eastAsia" w:ascii="宋体" w:hAnsi="宋体" w:cs="宋体"/>
          <w:color w:val="auto"/>
          <w:kern w:val="0"/>
          <w:sz w:val="24"/>
          <w:szCs w:val="24"/>
          <w:highlight w:val="none"/>
        </w:rPr>
        <w:t>严格遵守政府采购法律法规和现场纪律。</w:t>
      </w:r>
    </w:p>
    <w:p>
      <w:pPr>
        <w:pStyle w:val="66"/>
        <w:widowControl/>
        <w:numPr>
          <w:ilvl w:val="0"/>
          <w:numId w:val="22"/>
        </w:numPr>
        <w:snapToGrid w:val="0"/>
        <w:spacing w:line="400" w:lineRule="exact"/>
        <w:ind w:firstLine="453" w:firstLineChars="189"/>
        <w:rPr>
          <w:rFonts w:ascii="宋体" w:hAnsi="宋体" w:cs="宋体"/>
          <w:color w:val="auto"/>
          <w:kern w:val="0"/>
          <w:sz w:val="24"/>
          <w:szCs w:val="24"/>
          <w:highlight w:val="none"/>
        </w:rPr>
      </w:pPr>
      <w:r>
        <w:rPr>
          <w:rFonts w:hint="eastAsia" w:ascii="宋体" w:hAnsi="宋体" w:cs="宋体"/>
          <w:color w:val="auto"/>
          <w:kern w:val="0"/>
          <w:sz w:val="24"/>
          <w:szCs w:val="24"/>
          <w:highlight w:val="none"/>
        </w:rPr>
        <w:t>我发现供应商之间存在或可能存在上述第二条第项利害关系。</w:t>
      </w:r>
    </w:p>
    <w:p>
      <w:pPr>
        <w:pStyle w:val="65"/>
        <w:snapToGrid w:val="0"/>
        <w:spacing w:line="400" w:lineRule="exact"/>
        <w:ind w:firstLine="480" w:firstLineChars="200"/>
        <w:rPr>
          <w:rFonts w:hint="default" w:hAnsi="宋体" w:eastAsia="宋体" w:cs="宋体"/>
          <w:color w:val="auto"/>
          <w:sz w:val="24"/>
          <w:szCs w:val="24"/>
          <w:highlight w:val="none"/>
        </w:rPr>
      </w:pPr>
    </w:p>
    <w:p>
      <w:pPr>
        <w:pStyle w:val="65"/>
        <w:snapToGrid w:val="0"/>
        <w:spacing w:line="600" w:lineRule="exact"/>
        <w:ind w:firstLine="480" w:firstLineChars="200"/>
        <w:rPr>
          <w:rFonts w:hint="default" w:hAnsi="宋体" w:eastAsia="宋体" w:cs="宋体"/>
          <w:color w:val="auto"/>
          <w:sz w:val="24"/>
          <w:szCs w:val="24"/>
          <w:highlight w:val="none"/>
        </w:rPr>
      </w:pPr>
      <w:r>
        <w:rPr>
          <w:rFonts w:hAnsi="宋体" w:eastAsia="宋体" w:cs="宋体"/>
          <w:color w:val="auto"/>
          <w:sz w:val="24"/>
          <w:szCs w:val="24"/>
          <w:highlight w:val="none"/>
        </w:rPr>
        <w:t xml:space="preserve">                                      供应商授权代表签名：</w:t>
      </w:r>
    </w:p>
    <w:p>
      <w:pPr>
        <w:pStyle w:val="65"/>
        <w:snapToGrid w:val="0"/>
        <w:spacing w:line="600" w:lineRule="exact"/>
        <w:jc w:val="right"/>
        <w:rPr>
          <w:rFonts w:hint="default" w:hAnsi="宋体" w:eastAsia="宋体" w:cs="宋体"/>
          <w:color w:val="auto"/>
          <w:sz w:val="24"/>
          <w:szCs w:val="24"/>
          <w:highlight w:val="none"/>
        </w:rPr>
      </w:pPr>
      <w:r>
        <w:rPr>
          <w:rFonts w:hint="eastAsia" w:hAnsi="宋体" w:eastAsia="宋体" w:cs="宋体"/>
          <w:color w:val="auto"/>
          <w:sz w:val="24"/>
          <w:szCs w:val="24"/>
          <w:highlight w:val="none"/>
          <w:lang w:val="en-US" w:eastAsia="zh-CN"/>
        </w:rPr>
        <w:t>2022</w:t>
      </w:r>
      <w:r>
        <w:rPr>
          <w:rFonts w:hAnsi="宋体" w:eastAsia="宋体" w:cs="宋体"/>
          <w:color w:val="auto"/>
          <w:sz w:val="24"/>
          <w:szCs w:val="24"/>
          <w:highlight w:val="none"/>
        </w:rPr>
        <w:t>年</w:t>
      </w:r>
      <w:r>
        <w:rPr>
          <w:rFonts w:hint="eastAsia" w:hAnsi="宋体" w:eastAsia="宋体" w:cs="宋体"/>
          <w:color w:val="auto"/>
          <w:sz w:val="24"/>
          <w:szCs w:val="24"/>
          <w:highlight w:val="none"/>
          <w:lang w:val="en-US" w:eastAsia="zh-CN"/>
        </w:rPr>
        <w:t>10</w:t>
      </w:r>
      <w:r>
        <w:rPr>
          <w:rFonts w:hAnsi="宋体" w:eastAsia="宋体" w:cs="宋体"/>
          <w:color w:val="auto"/>
          <w:sz w:val="24"/>
          <w:szCs w:val="24"/>
          <w:highlight w:val="none"/>
        </w:rPr>
        <w:t>月</w:t>
      </w:r>
      <w:r>
        <w:rPr>
          <w:rFonts w:hint="eastAsia" w:hAnsi="宋体" w:eastAsia="宋体" w:cs="宋体"/>
          <w:color w:val="auto"/>
          <w:sz w:val="24"/>
          <w:szCs w:val="24"/>
          <w:highlight w:val="none"/>
          <w:lang w:val="en-US" w:eastAsia="zh-CN"/>
        </w:rPr>
        <w:t>24</w:t>
      </w:r>
      <w:r>
        <w:rPr>
          <w:rFonts w:hAnsi="宋体" w:eastAsia="宋体" w:cs="宋体"/>
          <w:color w:val="auto"/>
          <w:sz w:val="24"/>
          <w:szCs w:val="24"/>
          <w:highlight w:val="none"/>
        </w:rPr>
        <w:t xml:space="preserve">日  </w:t>
      </w:r>
    </w:p>
    <w:p>
      <w:pPr>
        <w:pStyle w:val="15"/>
        <w:ind w:left="1470" w:right="1470"/>
        <w:rPr>
          <w:rFonts w:ascii="宋体" w:hAnsi="宋体" w:cs="宋体"/>
          <w:color w:val="auto"/>
          <w:sz w:val="22"/>
          <w:highlight w:val="none"/>
        </w:rPr>
      </w:pPr>
    </w:p>
    <w:p>
      <w:pPr>
        <w:pStyle w:val="15"/>
        <w:ind w:left="1470" w:right="1470"/>
        <w:rPr>
          <w:rFonts w:ascii="宋体" w:hAnsi="宋体" w:cs="宋体"/>
          <w:color w:val="auto"/>
          <w:sz w:val="22"/>
          <w:highlight w:val="none"/>
        </w:rPr>
      </w:pPr>
    </w:p>
    <w:p>
      <w:pPr>
        <w:pStyle w:val="15"/>
        <w:ind w:left="1470" w:right="1470"/>
        <w:rPr>
          <w:rFonts w:ascii="宋体" w:hAnsi="宋体" w:cs="宋体"/>
          <w:color w:val="auto"/>
          <w:sz w:val="22"/>
          <w:highlight w:val="none"/>
        </w:rPr>
      </w:pPr>
    </w:p>
    <w:p>
      <w:pPr>
        <w:pStyle w:val="15"/>
        <w:ind w:left="1470" w:right="1470"/>
        <w:rPr>
          <w:rFonts w:ascii="宋体" w:hAnsi="宋体" w:cs="宋体"/>
          <w:color w:val="auto"/>
          <w:sz w:val="22"/>
          <w:highlight w:val="none"/>
        </w:rPr>
      </w:pPr>
    </w:p>
    <w:p>
      <w:pPr>
        <w:spacing w:line="400" w:lineRule="exact"/>
        <w:rPr>
          <w:rFonts w:ascii="宋体" w:hAnsi="宋体" w:cs="宋体"/>
          <w:b/>
          <w:color w:val="auto"/>
          <w:sz w:val="24"/>
          <w:szCs w:val="24"/>
          <w:highlight w:val="none"/>
        </w:rPr>
      </w:pPr>
    </w:p>
    <w:p>
      <w:pPr>
        <w:pStyle w:val="11"/>
        <w:ind w:firstLine="321"/>
        <w:rPr>
          <w:color w:val="auto"/>
          <w:highlight w:val="none"/>
        </w:rPr>
      </w:pPr>
    </w:p>
    <w:p>
      <w:pPr>
        <w:spacing w:line="400" w:lineRule="exact"/>
        <w:rPr>
          <w:rFonts w:ascii="宋体" w:hAnsi="宋体" w:cs="宋体"/>
          <w:b/>
          <w:color w:val="auto"/>
          <w:sz w:val="24"/>
          <w:szCs w:val="24"/>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附件14</w:t>
      </w:r>
    </w:p>
    <w:p>
      <w:pPr>
        <w:spacing w:line="400" w:lineRule="exact"/>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项目组成员一览表</w:t>
      </w:r>
    </w:p>
    <w:p>
      <w:pPr>
        <w:pStyle w:val="16"/>
        <w:spacing w:afterLines="50" w:line="400" w:lineRule="atLeast"/>
        <w:ind w:left="2629" w:leftChars="1252" w:firstLine="354" w:firstLineChars="147"/>
        <w:rPr>
          <w:rFonts w:hAnsi="宋体" w:cs="宋体"/>
          <w:b/>
          <w:bCs/>
          <w:color w:val="auto"/>
          <w:szCs w:val="24"/>
          <w:highlight w:val="none"/>
        </w:rPr>
      </w:pPr>
      <w:r>
        <w:rPr>
          <w:rFonts w:hint="eastAsia" w:hAnsi="宋体" w:cs="宋体"/>
          <w:b/>
          <w:bCs/>
          <w:color w:val="auto"/>
          <w:szCs w:val="24"/>
          <w:highlight w:val="none"/>
        </w:rPr>
        <w:t>（1）项目主要负责人简历表</w:t>
      </w:r>
    </w:p>
    <w:p>
      <w:pPr>
        <w:pStyle w:val="16"/>
        <w:spacing w:line="400" w:lineRule="atLeast"/>
        <w:ind w:left="720" w:hanging="720" w:hangingChars="300"/>
        <w:rPr>
          <w:rFonts w:hAnsi="宋体" w:cs="宋体"/>
          <w:bCs/>
          <w:color w:val="auto"/>
          <w:szCs w:val="21"/>
          <w:highlight w:val="none"/>
        </w:rPr>
      </w:pPr>
      <w:r>
        <w:rPr>
          <w:rFonts w:hint="eastAsia" w:hAnsi="宋体" w:cs="宋体"/>
          <w:bCs/>
          <w:color w:val="auto"/>
          <w:szCs w:val="21"/>
          <w:highlight w:val="none"/>
        </w:rPr>
        <w:t>项目名称：                                            项目编号：</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2"/>
        <w:gridCol w:w="1843"/>
        <w:gridCol w:w="961"/>
        <w:gridCol w:w="1782"/>
        <w:gridCol w:w="1096"/>
        <w:gridCol w:w="16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exact"/>
        </w:trPr>
        <w:tc>
          <w:tcPr>
            <w:tcW w:w="1552" w:type="dxa"/>
            <w:tcBorders>
              <w:top w:val="single" w:color="auto" w:sz="12" w:space="0"/>
              <w:left w:val="single" w:color="auto" w:sz="12"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r>
              <w:rPr>
                <w:rFonts w:hint="eastAsia" w:hAnsi="宋体" w:cs="宋体"/>
                <w:bCs/>
                <w:color w:val="auto"/>
                <w:kern w:val="0"/>
                <w:szCs w:val="21"/>
                <w:highlight w:val="none"/>
              </w:rPr>
              <w:t>姓 名</w:t>
            </w:r>
          </w:p>
        </w:tc>
        <w:tc>
          <w:tcPr>
            <w:tcW w:w="1843" w:type="dxa"/>
            <w:tcBorders>
              <w:top w:val="single" w:color="auto" w:sz="12" w:space="0"/>
              <w:left w:val="single" w:color="auto" w:sz="6"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p>
        </w:tc>
        <w:tc>
          <w:tcPr>
            <w:tcW w:w="961" w:type="dxa"/>
            <w:tcBorders>
              <w:top w:val="single" w:color="auto" w:sz="12" w:space="0"/>
              <w:left w:val="single" w:color="auto" w:sz="6"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r>
              <w:rPr>
                <w:rFonts w:hint="eastAsia" w:hAnsi="宋体" w:cs="宋体"/>
                <w:bCs/>
                <w:color w:val="auto"/>
                <w:kern w:val="0"/>
                <w:szCs w:val="21"/>
                <w:highlight w:val="none"/>
              </w:rPr>
              <w:t>性 别</w:t>
            </w:r>
          </w:p>
        </w:tc>
        <w:tc>
          <w:tcPr>
            <w:tcW w:w="1782" w:type="dxa"/>
            <w:tcBorders>
              <w:top w:val="single" w:color="auto" w:sz="12" w:space="0"/>
              <w:left w:val="single" w:color="auto" w:sz="6"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p>
        </w:tc>
        <w:tc>
          <w:tcPr>
            <w:tcW w:w="1096" w:type="dxa"/>
            <w:tcBorders>
              <w:top w:val="single" w:color="auto" w:sz="12" w:space="0"/>
              <w:left w:val="single" w:color="auto" w:sz="6"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r>
              <w:rPr>
                <w:rFonts w:hint="eastAsia" w:hAnsi="宋体" w:cs="宋体"/>
                <w:bCs/>
                <w:color w:val="auto"/>
                <w:kern w:val="0"/>
                <w:szCs w:val="21"/>
                <w:highlight w:val="none"/>
              </w:rPr>
              <w:t>年 龄</w:t>
            </w:r>
          </w:p>
        </w:tc>
        <w:tc>
          <w:tcPr>
            <w:tcW w:w="1646" w:type="dxa"/>
            <w:tcBorders>
              <w:top w:val="single" w:color="auto" w:sz="12" w:space="0"/>
              <w:left w:val="single" w:color="auto" w:sz="6" w:space="0"/>
              <w:bottom w:val="single" w:color="auto" w:sz="6" w:space="0"/>
              <w:right w:val="single" w:color="auto" w:sz="12"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exact"/>
        </w:trPr>
        <w:tc>
          <w:tcPr>
            <w:tcW w:w="1552" w:type="dxa"/>
            <w:tcBorders>
              <w:top w:val="single" w:color="auto" w:sz="6" w:space="0"/>
              <w:left w:val="single" w:color="auto" w:sz="12"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r>
              <w:rPr>
                <w:rFonts w:hint="eastAsia" w:hAnsi="宋体" w:cs="宋体"/>
                <w:bCs/>
                <w:color w:val="auto"/>
                <w:kern w:val="0"/>
                <w:szCs w:val="21"/>
                <w:highlight w:val="none"/>
              </w:rPr>
              <w:t>学 历</w:t>
            </w:r>
          </w:p>
        </w:tc>
        <w:tc>
          <w:tcPr>
            <w:tcW w:w="1843" w:type="dxa"/>
            <w:tcBorders>
              <w:top w:val="single" w:color="auto" w:sz="6" w:space="0"/>
              <w:left w:val="single" w:color="auto" w:sz="6"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p>
        </w:tc>
        <w:tc>
          <w:tcPr>
            <w:tcW w:w="961" w:type="dxa"/>
            <w:tcBorders>
              <w:top w:val="single" w:color="auto" w:sz="6" w:space="0"/>
              <w:left w:val="single" w:color="auto" w:sz="6"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r>
              <w:rPr>
                <w:rFonts w:hint="eastAsia" w:hAnsi="宋体" w:cs="宋体"/>
                <w:bCs/>
                <w:color w:val="auto"/>
                <w:kern w:val="0"/>
                <w:szCs w:val="21"/>
                <w:highlight w:val="none"/>
              </w:rPr>
              <w:t>职 称</w:t>
            </w:r>
          </w:p>
        </w:tc>
        <w:tc>
          <w:tcPr>
            <w:tcW w:w="1782" w:type="dxa"/>
            <w:tcBorders>
              <w:top w:val="single" w:color="auto" w:sz="6" w:space="0"/>
              <w:left w:val="single" w:color="auto" w:sz="6"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p>
        </w:tc>
        <w:tc>
          <w:tcPr>
            <w:tcW w:w="1096" w:type="dxa"/>
            <w:tcBorders>
              <w:top w:val="single" w:color="auto" w:sz="6" w:space="0"/>
              <w:left w:val="single" w:color="auto" w:sz="6"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r>
              <w:rPr>
                <w:rFonts w:hint="eastAsia" w:hAnsi="宋体" w:cs="宋体"/>
                <w:bCs/>
                <w:color w:val="auto"/>
                <w:kern w:val="0"/>
                <w:szCs w:val="21"/>
                <w:highlight w:val="none"/>
              </w:rPr>
              <w:t>职 务</w:t>
            </w:r>
          </w:p>
        </w:tc>
        <w:tc>
          <w:tcPr>
            <w:tcW w:w="1646" w:type="dxa"/>
            <w:tcBorders>
              <w:top w:val="single" w:color="auto" w:sz="6" w:space="0"/>
              <w:left w:val="single" w:color="auto" w:sz="6" w:space="0"/>
              <w:bottom w:val="single" w:color="auto" w:sz="6" w:space="0"/>
              <w:right w:val="single" w:color="auto" w:sz="12"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exact"/>
        </w:trPr>
        <w:tc>
          <w:tcPr>
            <w:tcW w:w="1552" w:type="dxa"/>
            <w:tcBorders>
              <w:top w:val="single" w:color="auto" w:sz="6" w:space="0"/>
              <w:left w:val="single" w:color="auto" w:sz="12"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r>
              <w:rPr>
                <w:rFonts w:hint="eastAsia" w:hAnsi="宋体" w:cs="宋体"/>
                <w:bCs/>
                <w:color w:val="auto"/>
                <w:kern w:val="0"/>
                <w:szCs w:val="21"/>
                <w:highlight w:val="none"/>
              </w:rPr>
              <w:t>联系电话</w:t>
            </w:r>
          </w:p>
        </w:tc>
        <w:tc>
          <w:tcPr>
            <w:tcW w:w="2804" w:type="dxa"/>
            <w:gridSpan w:val="2"/>
            <w:tcBorders>
              <w:top w:val="single" w:color="auto" w:sz="6" w:space="0"/>
              <w:left w:val="single" w:color="auto" w:sz="6"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p>
        </w:tc>
        <w:tc>
          <w:tcPr>
            <w:tcW w:w="1782" w:type="dxa"/>
            <w:tcBorders>
              <w:top w:val="single" w:color="auto" w:sz="6" w:space="0"/>
              <w:left w:val="single" w:color="auto" w:sz="6" w:space="0"/>
              <w:bottom w:val="single" w:color="auto" w:sz="6" w:space="0"/>
              <w:right w:val="single" w:color="auto" w:sz="6"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r>
              <w:rPr>
                <w:rFonts w:hint="eastAsia" w:hAnsi="宋体" w:cs="宋体"/>
                <w:bCs/>
                <w:color w:val="auto"/>
                <w:kern w:val="0"/>
                <w:szCs w:val="21"/>
                <w:highlight w:val="none"/>
              </w:rPr>
              <w:t>手 机</w:t>
            </w:r>
          </w:p>
        </w:tc>
        <w:tc>
          <w:tcPr>
            <w:tcW w:w="2742" w:type="dxa"/>
            <w:gridSpan w:val="2"/>
            <w:tcBorders>
              <w:top w:val="single" w:color="auto" w:sz="6" w:space="0"/>
              <w:left w:val="single" w:color="auto" w:sz="6" w:space="0"/>
              <w:bottom w:val="single" w:color="auto" w:sz="6" w:space="0"/>
              <w:right w:val="single" w:color="auto" w:sz="12" w:space="0"/>
            </w:tcBorders>
            <w:noWrap/>
            <w:vAlign w:val="center"/>
          </w:tcPr>
          <w:p>
            <w:pPr>
              <w:pStyle w:val="16"/>
              <w:spacing w:line="400" w:lineRule="atLeast"/>
              <w:ind w:left="720" w:hanging="720" w:hangingChars="300"/>
              <w:jc w:val="center"/>
              <w:rPr>
                <w:rFonts w:hAnsi="宋体" w:cs="宋体"/>
                <w:bCs/>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4" w:hRule="atLeast"/>
        </w:trPr>
        <w:tc>
          <w:tcPr>
            <w:tcW w:w="8880" w:type="dxa"/>
            <w:gridSpan w:val="6"/>
            <w:tcBorders>
              <w:top w:val="single" w:color="auto" w:sz="6" w:space="0"/>
              <w:left w:val="single" w:color="auto" w:sz="12" w:space="0"/>
              <w:bottom w:val="single" w:color="auto" w:sz="12" w:space="0"/>
              <w:right w:val="single" w:color="auto" w:sz="12" w:space="0"/>
            </w:tcBorders>
            <w:noWrap/>
          </w:tcPr>
          <w:p>
            <w:pPr>
              <w:pStyle w:val="16"/>
              <w:spacing w:line="400" w:lineRule="atLeast"/>
              <w:ind w:left="720" w:hanging="720" w:hangingChars="300"/>
              <w:rPr>
                <w:rFonts w:hAnsi="宋体" w:cs="宋体"/>
                <w:bCs/>
                <w:color w:val="auto"/>
                <w:kern w:val="0"/>
                <w:szCs w:val="21"/>
                <w:highlight w:val="none"/>
              </w:rPr>
            </w:pPr>
            <w:r>
              <w:rPr>
                <w:rFonts w:hint="eastAsia" w:hAnsi="宋体" w:cs="宋体"/>
                <w:bCs/>
                <w:color w:val="auto"/>
                <w:kern w:val="0"/>
                <w:szCs w:val="21"/>
                <w:highlight w:val="none"/>
              </w:rPr>
              <w:t>近五年从事相关工作经历及业绩：</w:t>
            </w:r>
          </w:p>
        </w:tc>
      </w:tr>
    </w:tbl>
    <w:p>
      <w:pPr>
        <w:widowControl/>
        <w:spacing w:line="400" w:lineRule="exact"/>
        <w:rPr>
          <w:rFonts w:ascii="宋体" w:hAnsi="宋体" w:cs="宋体"/>
          <w:color w:val="auto"/>
          <w:kern w:val="0"/>
          <w:sz w:val="24"/>
          <w:szCs w:val="24"/>
          <w:highlight w:val="none"/>
          <w:u w:val="single"/>
        </w:rPr>
      </w:pPr>
      <w:bookmarkStart w:id="2" w:name="_Toc433019962"/>
      <w:bookmarkStart w:id="3" w:name="_Toc384303168"/>
      <w:bookmarkStart w:id="4" w:name="_Toc505324108"/>
      <w:bookmarkStart w:id="5" w:name="_Toc402258846"/>
      <w:r>
        <w:rPr>
          <w:rFonts w:hint="eastAsia" w:ascii="宋体" w:hAnsi="宋体" w:cs="宋体"/>
          <w:color w:val="auto"/>
          <w:kern w:val="0"/>
          <w:sz w:val="24"/>
          <w:szCs w:val="24"/>
          <w:highlight w:val="none"/>
        </w:rPr>
        <w:t>投标人全称(电子签章)：</w:t>
      </w:r>
    </w:p>
    <w:p>
      <w:pPr>
        <w:widowControl/>
        <w:spacing w:line="400"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法定代表人或授权代表(签字或盖章)：</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    年    月    日</w:t>
      </w:r>
    </w:p>
    <w:p>
      <w:pPr>
        <w:spacing w:beforeLines="50" w:afterLines="50" w:line="400" w:lineRule="atLeast"/>
        <w:rPr>
          <w:rFonts w:ascii="宋体" w:hAnsi="宋体" w:cs="宋体"/>
          <w:color w:val="auto"/>
          <w:szCs w:val="21"/>
          <w:highlight w:val="none"/>
        </w:rPr>
      </w:pPr>
    </w:p>
    <w:p>
      <w:pPr>
        <w:pStyle w:val="29"/>
        <w:ind w:hanging="480"/>
        <w:rPr>
          <w:rFonts w:ascii="宋体" w:hAnsi="宋体" w:cs="宋体"/>
          <w:color w:val="auto"/>
          <w:szCs w:val="21"/>
          <w:highlight w:val="none"/>
        </w:rPr>
      </w:pPr>
    </w:p>
    <w:p>
      <w:pPr>
        <w:pStyle w:val="29"/>
        <w:ind w:hanging="480"/>
        <w:rPr>
          <w:rFonts w:ascii="宋体" w:hAnsi="宋体" w:cs="宋体"/>
          <w:color w:val="auto"/>
          <w:szCs w:val="21"/>
          <w:highlight w:val="none"/>
        </w:rPr>
      </w:pPr>
    </w:p>
    <w:p>
      <w:pPr>
        <w:pStyle w:val="29"/>
        <w:ind w:hanging="480"/>
        <w:rPr>
          <w:rFonts w:ascii="宋体" w:hAnsi="宋体" w:cs="宋体"/>
          <w:color w:val="auto"/>
          <w:szCs w:val="21"/>
          <w:highlight w:val="none"/>
        </w:rPr>
      </w:pPr>
    </w:p>
    <w:p>
      <w:pPr>
        <w:pStyle w:val="29"/>
        <w:ind w:hanging="480"/>
        <w:rPr>
          <w:rFonts w:ascii="宋体" w:hAnsi="宋体" w:cs="宋体"/>
          <w:color w:val="auto"/>
          <w:szCs w:val="21"/>
          <w:highlight w:val="none"/>
        </w:rPr>
      </w:pPr>
    </w:p>
    <w:p>
      <w:pPr>
        <w:pStyle w:val="29"/>
        <w:ind w:hanging="480"/>
        <w:rPr>
          <w:rFonts w:ascii="宋体" w:hAnsi="宋体" w:cs="宋体"/>
          <w:color w:val="auto"/>
          <w:szCs w:val="21"/>
          <w:highlight w:val="none"/>
        </w:rPr>
      </w:pPr>
    </w:p>
    <w:p>
      <w:pPr>
        <w:pStyle w:val="16"/>
        <w:spacing w:afterLines="50" w:line="400" w:lineRule="atLeast"/>
        <w:jc w:val="center"/>
        <w:rPr>
          <w:rFonts w:hAnsi="宋体" w:cs="宋体"/>
          <w:b/>
          <w:color w:val="auto"/>
          <w:sz w:val="22"/>
          <w:highlight w:val="none"/>
        </w:rPr>
      </w:pPr>
      <w:r>
        <w:rPr>
          <w:rFonts w:hint="eastAsia" w:hAnsi="宋体" w:cs="宋体"/>
          <w:b/>
          <w:color w:val="auto"/>
          <w:sz w:val="22"/>
          <w:highlight w:val="none"/>
        </w:rPr>
        <w:t>（2）</w:t>
      </w:r>
      <w:bookmarkEnd w:id="2"/>
      <w:bookmarkEnd w:id="3"/>
      <w:bookmarkEnd w:id="4"/>
      <w:bookmarkEnd w:id="5"/>
      <w:r>
        <w:rPr>
          <w:rFonts w:hint="eastAsia" w:hAnsi="宋体" w:cs="宋体"/>
          <w:b/>
          <w:color w:val="auto"/>
          <w:sz w:val="22"/>
          <w:highlight w:val="none"/>
        </w:rPr>
        <w:t>拟投入的项目实施人员名单</w:t>
      </w:r>
    </w:p>
    <w:p>
      <w:pPr>
        <w:spacing w:line="400" w:lineRule="atLeast"/>
        <w:rPr>
          <w:rFonts w:ascii="宋体" w:hAnsi="宋体" w:cs="宋体"/>
          <w:color w:val="auto"/>
          <w:sz w:val="22"/>
          <w:highlight w:val="none"/>
        </w:rPr>
      </w:pPr>
      <w:r>
        <w:rPr>
          <w:rFonts w:hint="eastAsia" w:ascii="宋体" w:hAnsi="宋体" w:cs="宋体"/>
          <w:b/>
          <w:color w:val="auto"/>
          <w:sz w:val="22"/>
          <w:highlight w:val="none"/>
        </w:rPr>
        <w:t>项目名称：                                     项目编号：</w:t>
      </w:r>
    </w:p>
    <w:tbl>
      <w:tblPr>
        <w:tblStyle w:val="30"/>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6"/>
        <w:gridCol w:w="958"/>
        <w:gridCol w:w="958"/>
        <w:gridCol w:w="767"/>
        <w:gridCol w:w="767"/>
        <w:gridCol w:w="1340"/>
        <w:gridCol w:w="1326"/>
        <w:gridCol w:w="1825"/>
        <w:gridCol w:w="89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719" w:hRule="atLeast"/>
          <w:jc w:val="center"/>
        </w:trPr>
        <w:tc>
          <w:tcPr>
            <w:tcW w:w="766" w:type="dxa"/>
            <w:noWrap/>
            <w:vAlign w:val="center"/>
          </w:tcPr>
          <w:p>
            <w:pPr>
              <w:spacing w:line="360" w:lineRule="auto"/>
              <w:jc w:val="center"/>
              <w:rPr>
                <w:rFonts w:ascii="宋体" w:hAnsi="宋体" w:cs="宋体"/>
                <w:color w:val="auto"/>
                <w:sz w:val="22"/>
                <w:highlight w:val="none"/>
              </w:rPr>
            </w:pPr>
            <w:r>
              <w:rPr>
                <w:rFonts w:hint="eastAsia" w:ascii="宋体" w:hAnsi="宋体" w:cs="宋体"/>
                <w:color w:val="auto"/>
                <w:sz w:val="22"/>
                <w:highlight w:val="none"/>
              </w:rPr>
              <w:t>序号</w:t>
            </w:r>
          </w:p>
        </w:tc>
        <w:tc>
          <w:tcPr>
            <w:tcW w:w="958" w:type="dxa"/>
            <w:noWrap/>
            <w:vAlign w:val="center"/>
          </w:tcPr>
          <w:p>
            <w:pPr>
              <w:spacing w:line="360" w:lineRule="auto"/>
              <w:jc w:val="center"/>
              <w:rPr>
                <w:rFonts w:ascii="宋体" w:hAnsi="宋体" w:cs="宋体"/>
                <w:color w:val="auto"/>
                <w:sz w:val="22"/>
                <w:highlight w:val="none"/>
              </w:rPr>
            </w:pPr>
            <w:r>
              <w:rPr>
                <w:rFonts w:hint="eastAsia" w:ascii="宋体" w:hAnsi="宋体" w:cs="宋体"/>
                <w:color w:val="auto"/>
                <w:sz w:val="22"/>
                <w:highlight w:val="none"/>
              </w:rPr>
              <w:t>姓名</w:t>
            </w:r>
          </w:p>
        </w:tc>
        <w:tc>
          <w:tcPr>
            <w:tcW w:w="958" w:type="dxa"/>
            <w:noWrap/>
            <w:vAlign w:val="center"/>
          </w:tcPr>
          <w:p>
            <w:pPr>
              <w:spacing w:line="360" w:lineRule="auto"/>
              <w:jc w:val="center"/>
              <w:rPr>
                <w:rFonts w:ascii="宋体" w:hAnsi="宋体" w:cs="宋体"/>
                <w:color w:val="auto"/>
                <w:sz w:val="22"/>
                <w:highlight w:val="none"/>
              </w:rPr>
            </w:pPr>
            <w:r>
              <w:rPr>
                <w:rFonts w:hint="eastAsia" w:ascii="宋体" w:hAnsi="宋体" w:cs="宋体"/>
                <w:color w:val="auto"/>
                <w:sz w:val="22"/>
                <w:highlight w:val="none"/>
              </w:rPr>
              <w:t>性别</w:t>
            </w:r>
          </w:p>
        </w:tc>
        <w:tc>
          <w:tcPr>
            <w:tcW w:w="767" w:type="dxa"/>
            <w:noWrap/>
            <w:vAlign w:val="center"/>
          </w:tcPr>
          <w:p>
            <w:pPr>
              <w:spacing w:line="360" w:lineRule="auto"/>
              <w:jc w:val="center"/>
              <w:rPr>
                <w:rFonts w:ascii="宋体" w:hAnsi="宋体" w:cs="宋体"/>
                <w:color w:val="auto"/>
                <w:sz w:val="22"/>
                <w:highlight w:val="none"/>
              </w:rPr>
            </w:pPr>
            <w:r>
              <w:rPr>
                <w:rFonts w:hint="eastAsia" w:ascii="宋体" w:hAnsi="宋体" w:cs="宋体"/>
                <w:color w:val="auto"/>
                <w:sz w:val="22"/>
                <w:highlight w:val="none"/>
              </w:rPr>
              <w:t>年龄</w:t>
            </w:r>
          </w:p>
        </w:tc>
        <w:tc>
          <w:tcPr>
            <w:tcW w:w="767" w:type="dxa"/>
            <w:noWrap/>
            <w:vAlign w:val="center"/>
          </w:tcPr>
          <w:p>
            <w:pPr>
              <w:spacing w:line="360" w:lineRule="auto"/>
              <w:jc w:val="center"/>
              <w:rPr>
                <w:rFonts w:ascii="宋体" w:hAnsi="宋体" w:cs="宋体"/>
                <w:color w:val="auto"/>
                <w:sz w:val="22"/>
                <w:highlight w:val="none"/>
              </w:rPr>
            </w:pPr>
            <w:r>
              <w:rPr>
                <w:rFonts w:hint="eastAsia" w:ascii="宋体" w:hAnsi="宋体" w:cs="宋体"/>
                <w:color w:val="auto"/>
                <w:sz w:val="22"/>
                <w:highlight w:val="none"/>
              </w:rPr>
              <w:t>学历</w:t>
            </w:r>
          </w:p>
        </w:tc>
        <w:tc>
          <w:tcPr>
            <w:tcW w:w="1340" w:type="dxa"/>
            <w:noWrap/>
            <w:vAlign w:val="center"/>
          </w:tcPr>
          <w:p>
            <w:pPr>
              <w:spacing w:line="280" w:lineRule="exact"/>
              <w:jc w:val="center"/>
              <w:rPr>
                <w:rFonts w:ascii="宋体" w:hAnsi="宋体" w:cs="宋体"/>
                <w:color w:val="auto"/>
                <w:sz w:val="22"/>
                <w:highlight w:val="none"/>
              </w:rPr>
            </w:pPr>
            <w:r>
              <w:rPr>
                <w:rFonts w:hint="eastAsia" w:ascii="宋体" w:hAnsi="宋体" w:cs="宋体"/>
                <w:color w:val="auto"/>
                <w:sz w:val="22"/>
                <w:highlight w:val="none"/>
              </w:rPr>
              <w:t>职称/职务</w:t>
            </w:r>
          </w:p>
        </w:tc>
        <w:tc>
          <w:tcPr>
            <w:tcW w:w="1326" w:type="dxa"/>
            <w:noWrap/>
            <w:vAlign w:val="center"/>
          </w:tcPr>
          <w:p>
            <w:pPr>
              <w:spacing w:line="280" w:lineRule="exact"/>
              <w:jc w:val="center"/>
              <w:rPr>
                <w:rFonts w:ascii="宋体" w:hAnsi="宋体" w:cs="宋体"/>
                <w:color w:val="auto"/>
                <w:sz w:val="22"/>
                <w:highlight w:val="none"/>
              </w:rPr>
            </w:pPr>
            <w:r>
              <w:rPr>
                <w:rFonts w:hint="eastAsia" w:ascii="宋体" w:hAnsi="宋体" w:cs="宋体"/>
                <w:color w:val="auto"/>
                <w:sz w:val="22"/>
                <w:highlight w:val="none"/>
              </w:rPr>
              <w:t>本工程中的岗位</w:t>
            </w:r>
          </w:p>
        </w:tc>
        <w:tc>
          <w:tcPr>
            <w:tcW w:w="1825" w:type="dxa"/>
            <w:noWrap/>
            <w:vAlign w:val="center"/>
          </w:tcPr>
          <w:p>
            <w:pPr>
              <w:spacing w:line="360" w:lineRule="auto"/>
              <w:jc w:val="center"/>
              <w:rPr>
                <w:rFonts w:ascii="宋体" w:hAnsi="宋体" w:cs="宋体"/>
                <w:color w:val="auto"/>
                <w:sz w:val="22"/>
                <w:highlight w:val="none"/>
              </w:rPr>
            </w:pPr>
            <w:r>
              <w:rPr>
                <w:rFonts w:hint="eastAsia" w:ascii="宋体" w:hAnsi="宋体" w:cs="宋体"/>
                <w:color w:val="auto"/>
                <w:sz w:val="22"/>
                <w:highlight w:val="none"/>
              </w:rPr>
              <w:t>从事专业年限</w:t>
            </w:r>
          </w:p>
        </w:tc>
        <w:tc>
          <w:tcPr>
            <w:tcW w:w="899" w:type="dxa"/>
            <w:noWrap/>
            <w:vAlign w:val="center"/>
          </w:tcPr>
          <w:p>
            <w:pPr>
              <w:spacing w:line="360" w:lineRule="auto"/>
              <w:jc w:val="center"/>
              <w:rPr>
                <w:rFonts w:ascii="宋体" w:hAnsi="宋体" w:cs="宋体"/>
                <w:color w:val="auto"/>
                <w:sz w:val="22"/>
                <w:highlight w:val="none"/>
              </w:rPr>
            </w:pPr>
            <w:r>
              <w:rPr>
                <w:rFonts w:hint="eastAsia" w:ascii="宋体" w:hAnsi="宋体" w:cs="宋体"/>
                <w:color w:val="auto"/>
                <w:sz w:val="22"/>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exact"/>
          <w:jc w:val="center"/>
        </w:trPr>
        <w:tc>
          <w:tcPr>
            <w:tcW w:w="766"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958"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767" w:type="dxa"/>
            <w:noWrap/>
            <w:vAlign w:val="center"/>
          </w:tcPr>
          <w:p>
            <w:pPr>
              <w:spacing w:line="360" w:lineRule="auto"/>
              <w:jc w:val="center"/>
              <w:rPr>
                <w:rFonts w:ascii="宋体" w:hAnsi="宋体" w:cs="宋体"/>
                <w:color w:val="auto"/>
                <w:sz w:val="22"/>
                <w:highlight w:val="none"/>
              </w:rPr>
            </w:pPr>
          </w:p>
        </w:tc>
        <w:tc>
          <w:tcPr>
            <w:tcW w:w="1340" w:type="dxa"/>
            <w:noWrap/>
            <w:vAlign w:val="center"/>
          </w:tcPr>
          <w:p>
            <w:pPr>
              <w:spacing w:line="360" w:lineRule="auto"/>
              <w:jc w:val="center"/>
              <w:rPr>
                <w:rFonts w:ascii="宋体" w:hAnsi="宋体" w:cs="宋体"/>
                <w:color w:val="auto"/>
                <w:sz w:val="22"/>
                <w:highlight w:val="none"/>
              </w:rPr>
            </w:pPr>
          </w:p>
        </w:tc>
        <w:tc>
          <w:tcPr>
            <w:tcW w:w="1326" w:type="dxa"/>
            <w:noWrap/>
            <w:vAlign w:val="center"/>
          </w:tcPr>
          <w:p>
            <w:pPr>
              <w:spacing w:line="360" w:lineRule="auto"/>
              <w:jc w:val="center"/>
              <w:rPr>
                <w:rFonts w:ascii="宋体" w:hAnsi="宋体" w:cs="宋体"/>
                <w:color w:val="auto"/>
                <w:sz w:val="22"/>
                <w:highlight w:val="none"/>
              </w:rPr>
            </w:pPr>
          </w:p>
        </w:tc>
        <w:tc>
          <w:tcPr>
            <w:tcW w:w="1825" w:type="dxa"/>
            <w:noWrap/>
          </w:tcPr>
          <w:p>
            <w:pPr>
              <w:spacing w:line="360" w:lineRule="auto"/>
              <w:jc w:val="center"/>
              <w:rPr>
                <w:rFonts w:ascii="宋体" w:hAnsi="宋体" w:cs="宋体"/>
                <w:color w:val="auto"/>
                <w:sz w:val="22"/>
                <w:highlight w:val="none"/>
              </w:rPr>
            </w:pPr>
          </w:p>
        </w:tc>
        <w:tc>
          <w:tcPr>
            <w:tcW w:w="899" w:type="dxa"/>
            <w:noWrap/>
            <w:vAlign w:val="center"/>
          </w:tcPr>
          <w:p>
            <w:pPr>
              <w:spacing w:line="360" w:lineRule="auto"/>
              <w:jc w:val="center"/>
              <w:rPr>
                <w:rFonts w:ascii="宋体" w:hAnsi="宋体" w:cs="宋体"/>
                <w:color w:val="auto"/>
                <w:sz w:val="22"/>
                <w:highlight w:val="none"/>
              </w:rPr>
            </w:pPr>
          </w:p>
        </w:tc>
      </w:tr>
    </w:tbl>
    <w:p>
      <w:pPr>
        <w:spacing w:afterLines="50" w:line="400" w:lineRule="atLeast"/>
        <w:rPr>
          <w:rFonts w:ascii="宋体" w:hAnsi="宋体" w:cs="宋体"/>
          <w:color w:val="auto"/>
          <w:sz w:val="22"/>
          <w:highlight w:val="none"/>
        </w:rPr>
      </w:pPr>
      <w:r>
        <w:rPr>
          <w:rFonts w:hint="eastAsia" w:ascii="宋体" w:hAnsi="宋体" w:cs="宋体"/>
          <w:color w:val="auto"/>
          <w:sz w:val="22"/>
          <w:highlight w:val="none"/>
        </w:rPr>
        <w:t>注：此表仅提供了表格形式，投标人可按此表格复制。</w:t>
      </w:r>
    </w:p>
    <w:p>
      <w:pPr>
        <w:spacing w:afterLines="50" w:line="400" w:lineRule="atLeast"/>
        <w:ind w:firstLine="4622" w:firstLineChars="2101"/>
        <w:rPr>
          <w:rFonts w:ascii="宋体" w:hAnsi="宋体" w:cs="宋体"/>
          <w:color w:val="auto"/>
          <w:sz w:val="22"/>
          <w:highlight w:val="none"/>
        </w:rPr>
      </w:pPr>
    </w:p>
    <w:p>
      <w:pPr>
        <w:widowControl/>
        <w:spacing w:line="400" w:lineRule="exact"/>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投标人全称(电子签章)：</w:t>
      </w:r>
    </w:p>
    <w:p>
      <w:pPr>
        <w:widowControl/>
        <w:spacing w:line="400"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法定代表人或授权代表(签字或盖章)：</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    年    月    日</w:t>
      </w:r>
    </w:p>
    <w:p>
      <w:pPr>
        <w:spacing w:line="400" w:lineRule="exact"/>
        <w:jc w:val="center"/>
        <w:rPr>
          <w:rFonts w:ascii="宋体" w:hAnsi="宋体" w:cs="宋体"/>
          <w:b/>
          <w:color w:val="auto"/>
          <w:sz w:val="32"/>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附件15</w:t>
      </w:r>
    </w:p>
    <w:p>
      <w:pPr>
        <w:pStyle w:val="16"/>
        <w:snapToGrid w:val="0"/>
        <w:spacing w:line="400" w:lineRule="exact"/>
        <w:jc w:val="center"/>
        <w:rPr>
          <w:rFonts w:hAnsi="宋体" w:cs="宋体"/>
          <w:b/>
          <w:color w:val="auto"/>
          <w:sz w:val="30"/>
          <w:szCs w:val="30"/>
          <w:highlight w:val="none"/>
        </w:rPr>
      </w:pPr>
      <w:r>
        <w:rPr>
          <w:rFonts w:hint="eastAsia" w:hAnsi="宋体" w:cs="宋体"/>
          <w:b/>
          <w:color w:val="auto"/>
          <w:sz w:val="30"/>
          <w:szCs w:val="30"/>
          <w:highlight w:val="none"/>
        </w:rPr>
        <w:t>承诺函</w:t>
      </w:r>
    </w:p>
    <w:p>
      <w:pPr>
        <w:pStyle w:val="16"/>
        <w:snapToGrid w:val="0"/>
        <w:spacing w:line="400" w:lineRule="exact"/>
        <w:jc w:val="center"/>
        <w:rPr>
          <w:rFonts w:hAnsi="宋体" w:cs="宋体"/>
          <w:b/>
          <w:color w:val="auto"/>
          <w:szCs w:val="24"/>
          <w:highlight w:val="none"/>
        </w:rPr>
      </w:pPr>
    </w:p>
    <w:p>
      <w:pPr>
        <w:spacing w:line="460" w:lineRule="exact"/>
        <w:rPr>
          <w:rFonts w:ascii="宋体" w:hAnsi="宋体" w:cs="宋体"/>
          <w:color w:val="auto"/>
          <w:sz w:val="22"/>
          <w:highlight w:val="none"/>
        </w:rPr>
      </w:pPr>
      <w:r>
        <w:rPr>
          <w:rFonts w:hint="eastAsia" w:ascii="宋体" w:hAnsi="宋体" w:cs="宋体"/>
          <w:color w:val="auto"/>
          <w:sz w:val="22"/>
          <w:highlight w:val="none"/>
        </w:rPr>
        <w:t>温州大学：</w:t>
      </w:r>
    </w:p>
    <w:p>
      <w:pPr>
        <w:spacing w:line="4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我单位就</w:t>
      </w:r>
      <w:r>
        <w:rPr>
          <w:rFonts w:hint="eastAsia" w:ascii="宋体" w:hAnsi="宋体" w:cs="宋体"/>
          <w:color w:val="auto"/>
          <w:sz w:val="22"/>
          <w:highlight w:val="none"/>
          <w:u w:val="single"/>
        </w:rPr>
        <w:t xml:space="preserve">（项目名称）    （项目编号）    </w:t>
      </w:r>
      <w:r>
        <w:rPr>
          <w:rFonts w:hint="eastAsia" w:ascii="宋体" w:hAnsi="宋体" w:cs="宋体"/>
          <w:color w:val="auto"/>
          <w:sz w:val="22"/>
          <w:highlight w:val="none"/>
        </w:rPr>
        <w:t>承诺如下：</w:t>
      </w:r>
    </w:p>
    <w:p>
      <w:pPr>
        <w:spacing w:line="4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 xml:space="preserve">  </w:t>
      </w:r>
      <w:r>
        <w:rPr>
          <w:rFonts w:hint="eastAsia" w:ascii="宋体" w:hAnsi="宋体" w:cs="宋体"/>
          <w:color w:val="auto"/>
          <w:sz w:val="22"/>
          <w:highlight w:val="none"/>
          <w:u w:val="single"/>
          <w:lang w:val="en-US" w:eastAsia="zh-CN"/>
        </w:rPr>
        <w:t xml:space="preserve">   </w:t>
      </w:r>
      <w:r>
        <w:rPr>
          <w:rFonts w:hint="eastAsia" w:ascii="宋体" w:hAnsi="宋体" w:cs="宋体"/>
          <w:color w:val="auto"/>
          <w:sz w:val="22"/>
          <w:highlight w:val="none"/>
          <w:u w:val="single"/>
        </w:rPr>
        <w:t xml:space="preserve"> </w:t>
      </w:r>
    </w:p>
    <w:p>
      <w:pPr>
        <w:spacing w:line="46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u w:val="single"/>
        </w:rPr>
        <w:t xml:space="preserve">  </w:t>
      </w:r>
      <w:r>
        <w:rPr>
          <w:rFonts w:hint="eastAsia" w:ascii="宋体" w:hAnsi="宋体" w:cs="宋体"/>
          <w:color w:val="auto"/>
          <w:sz w:val="22"/>
          <w:highlight w:val="none"/>
          <w:u w:val="single"/>
          <w:lang w:val="en-US" w:eastAsia="zh-CN"/>
        </w:rPr>
        <w:t xml:space="preserve">   </w:t>
      </w:r>
      <w:r>
        <w:rPr>
          <w:rFonts w:hint="eastAsia" w:ascii="宋体" w:hAnsi="宋体" w:cs="宋体"/>
          <w:color w:val="auto"/>
          <w:sz w:val="22"/>
          <w:highlight w:val="none"/>
          <w:u w:val="single"/>
        </w:rPr>
        <w:t xml:space="preserve"> </w:t>
      </w:r>
    </w:p>
    <w:p>
      <w:pPr>
        <w:spacing w:line="4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若不能落实到位，我方无条件接受采购人的任何处罚，我单位对此无任何异议。</w:t>
      </w:r>
    </w:p>
    <w:p>
      <w:pPr>
        <w:spacing w:line="460" w:lineRule="exact"/>
        <w:ind w:firstLine="442" w:firstLineChars="200"/>
        <w:rPr>
          <w:rFonts w:ascii="宋体" w:hAnsi="宋体" w:cs="宋体"/>
          <w:b/>
          <w:color w:val="auto"/>
          <w:sz w:val="22"/>
          <w:highlight w:val="none"/>
        </w:rPr>
      </w:pPr>
      <w:r>
        <w:rPr>
          <w:rFonts w:hint="eastAsia" w:ascii="宋体" w:hAnsi="宋体" w:cs="宋体"/>
          <w:b/>
          <w:color w:val="auto"/>
          <w:sz w:val="22"/>
          <w:highlight w:val="none"/>
        </w:rPr>
        <w:t>特此承诺！</w:t>
      </w:r>
    </w:p>
    <w:p>
      <w:pPr>
        <w:pStyle w:val="2"/>
        <w:spacing w:before="0" w:after="0"/>
        <w:jc w:val="left"/>
        <w:rPr>
          <w:rFonts w:ascii="宋体" w:hAnsi="宋体" w:cs="宋体"/>
          <w:b w:val="0"/>
          <w:bCs w:val="0"/>
          <w:color w:val="auto"/>
          <w:kern w:val="2"/>
          <w:sz w:val="22"/>
          <w:szCs w:val="22"/>
          <w:highlight w:val="none"/>
        </w:rPr>
      </w:pPr>
    </w:p>
    <w:p>
      <w:pPr>
        <w:pStyle w:val="2"/>
        <w:spacing w:before="0" w:after="0"/>
        <w:jc w:val="left"/>
        <w:rPr>
          <w:rFonts w:ascii="宋体" w:hAnsi="宋体" w:cs="宋体"/>
          <w:b w:val="0"/>
          <w:bCs w:val="0"/>
          <w:color w:val="auto"/>
          <w:kern w:val="2"/>
          <w:sz w:val="24"/>
          <w:szCs w:val="24"/>
          <w:highlight w:val="none"/>
        </w:rPr>
      </w:pPr>
    </w:p>
    <w:p>
      <w:pPr>
        <w:widowControl/>
        <w:spacing w:line="400" w:lineRule="exact"/>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投标人全称(电子签章)：</w:t>
      </w:r>
    </w:p>
    <w:p>
      <w:pPr>
        <w:widowControl/>
        <w:spacing w:line="400"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法定代表人或授权代表(签字或盖章)：</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    年    月    日</w:t>
      </w: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rPr>
          <w:rFonts w:hAnsi="宋体" w:cs="宋体"/>
          <w:b/>
          <w:color w:val="auto"/>
          <w:szCs w:val="24"/>
          <w:highlight w:val="none"/>
        </w:rPr>
      </w:pPr>
      <w:r>
        <w:rPr>
          <w:rFonts w:hint="eastAsia" w:hAnsi="宋体" w:cs="宋体"/>
          <w:b/>
          <w:color w:val="auto"/>
          <w:szCs w:val="24"/>
          <w:highlight w:val="none"/>
        </w:rPr>
        <w:t>注：以上承诺函投标人可根据承诺事项自行调整。</w:t>
      </w: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pStyle w:val="16"/>
        <w:snapToGrid w:val="0"/>
        <w:spacing w:line="400" w:lineRule="exact"/>
        <w:jc w:val="center"/>
        <w:rPr>
          <w:rFonts w:hAnsi="宋体" w:cs="宋体"/>
          <w:b/>
          <w:color w:val="auto"/>
          <w:szCs w:val="24"/>
          <w:highlight w:val="none"/>
        </w:rPr>
      </w:pPr>
    </w:p>
    <w:p>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附件16</w:t>
      </w:r>
    </w:p>
    <w:p>
      <w:pPr>
        <w:spacing w:line="360" w:lineRule="auto"/>
        <w:jc w:val="center"/>
        <w:outlineLvl w:val="2"/>
        <w:rPr>
          <w:rFonts w:ascii="宋体" w:hAnsi="宋体" w:cs="宋体"/>
          <w:b/>
          <w:color w:val="auto"/>
          <w:spacing w:val="-6"/>
          <w:sz w:val="24"/>
          <w:szCs w:val="24"/>
          <w:highlight w:val="none"/>
        </w:rPr>
      </w:pPr>
      <w:r>
        <w:rPr>
          <w:rFonts w:hint="eastAsia" w:ascii="宋体" w:hAnsi="宋体" w:cs="宋体"/>
          <w:b/>
          <w:color w:val="auto"/>
          <w:spacing w:val="-6"/>
          <w:sz w:val="24"/>
          <w:szCs w:val="24"/>
          <w:highlight w:val="none"/>
        </w:rPr>
        <w:t>投标人图书服务质量评价表</w:t>
      </w:r>
    </w:p>
    <w:p>
      <w:pPr>
        <w:widowControl/>
        <w:rPr>
          <w:rFonts w:ascii="仿宋_GB2312" w:hAnsi="仿宋_GB2312" w:eastAsia="仿宋_GB2312"/>
          <w:b/>
          <w:color w:val="auto"/>
          <w:kern w:val="0"/>
          <w:sz w:val="24"/>
          <w:highlight w:val="none"/>
        </w:rPr>
      </w:pPr>
    </w:p>
    <w:p>
      <w:pPr>
        <w:widowControl/>
        <w:rPr>
          <w:rFonts w:ascii="宋体" w:hAnsi="宋体"/>
          <w:b/>
          <w:color w:val="auto"/>
          <w:kern w:val="0"/>
          <w:szCs w:val="21"/>
          <w:highlight w:val="none"/>
        </w:rPr>
      </w:pPr>
      <w:r>
        <w:rPr>
          <w:rFonts w:hint="eastAsia" w:ascii="宋体" w:hAnsi="宋体"/>
          <w:b/>
          <w:color w:val="auto"/>
          <w:kern w:val="0"/>
          <w:szCs w:val="21"/>
          <w:highlight w:val="none"/>
        </w:rPr>
        <w:t>被评价供应商：XXXXXX公司（企业）                日期：    年 月  日</w:t>
      </w:r>
    </w:p>
    <w:tbl>
      <w:tblPr>
        <w:tblStyle w:val="30"/>
        <w:tblW w:w="5000" w:type="pct"/>
        <w:tblInd w:w="0" w:type="dxa"/>
        <w:tblLayout w:type="autofit"/>
        <w:tblCellMar>
          <w:top w:w="0" w:type="dxa"/>
          <w:left w:w="108" w:type="dxa"/>
          <w:bottom w:w="0" w:type="dxa"/>
          <w:right w:w="108" w:type="dxa"/>
        </w:tblCellMar>
      </w:tblPr>
      <w:tblGrid>
        <w:gridCol w:w="1749"/>
        <w:gridCol w:w="1373"/>
        <w:gridCol w:w="919"/>
        <w:gridCol w:w="1965"/>
        <w:gridCol w:w="654"/>
        <w:gridCol w:w="656"/>
        <w:gridCol w:w="654"/>
        <w:gridCol w:w="656"/>
        <w:gridCol w:w="661"/>
      </w:tblGrid>
      <w:tr>
        <w:tblPrEx>
          <w:tblCellMar>
            <w:top w:w="0" w:type="dxa"/>
            <w:left w:w="108" w:type="dxa"/>
            <w:bottom w:w="0" w:type="dxa"/>
            <w:right w:w="108" w:type="dxa"/>
          </w:tblCellMar>
        </w:tblPrEx>
        <w:trPr>
          <w:trHeight w:val="733" w:hRule="atLeast"/>
        </w:trPr>
        <w:tc>
          <w:tcPr>
            <w:tcW w:w="94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采购图书单位（盖章）</w:t>
            </w:r>
          </w:p>
        </w:tc>
        <w:tc>
          <w:tcPr>
            <w:tcW w:w="4058" w:type="pct"/>
            <w:gridSpan w:val="8"/>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trHeight w:val="733" w:hRule="atLeast"/>
        </w:trPr>
        <w:tc>
          <w:tcPr>
            <w:tcW w:w="94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联系人</w:t>
            </w:r>
          </w:p>
        </w:tc>
        <w:tc>
          <w:tcPr>
            <w:tcW w:w="739"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495"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电话</w:t>
            </w:r>
          </w:p>
        </w:tc>
        <w:tc>
          <w:tcPr>
            <w:tcW w:w="1058"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705" w:type="pct"/>
            <w:gridSpan w:val="2"/>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传真</w:t>
            </w:r>
          </w:p>
        </w:tc>
        <w:tc>
          <w:tcPr>
            <w:tcW w:w="1061" w:type="pct"/>
            <w:gridSpan w:val="3"/>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458" w:hRule="atLeast"/>
        </w:trPr>
        <w:tc>
          <w:tcPr>
            <w:tcW w:w="942" w:type="pct"/>
            <w:vMerge w:val="restart"/>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对供应商的评价</w:t>
            </w: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项  目</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很好</w:t>
            </w: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较好</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一般</w:t>
            </w: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较差</w:t>
            </w: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很差</w:t>
            </w:r>
          </w:p>
        </w:tc>
      </w:tr>
      <w:tr>
        <w:tblPrEx>
          <w:tblCellMar>
            <w:top w:w="0" w:type="dxa"/>
            <w:left w:w="108" w:type="dxa"/>
            <w:bottom w:w="0" w:type="dxa"/>
            <w:right w:w="108" w:type="dxa"/>
          </w:tblCellMar>
        </w:tblPrEx>
        <w:trPr>
          <w:cantSplit/>
          <w:trHeight w:val="604"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b/>
                <w:color w:val="auto"/>
                <w:szCs w:val="21"/>
                <w:highlight w:val="none"/>
              </w:rPr>
              <w:t>图书质量：</w:t>
            </w:r>
            <w:r>
              <w:rPr>
                <w:rFonts w:hint="eastAsia" w:ascii="宋体" w:hAnsi="宋体"/>
                <w:color w:val="auto"/>
                <w:szCs w:val="21"/>
                <w:highlight w:val="none"/>
              </w:rPr>
              <w:t>全新正版出版物；无破损；附件齐全。</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496"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color w:val="auto"/>
                <w:szCs w:val="21"/>
                <w:highlight w:val="none"/>
              </w:rPr>
              <w:t>采访书目齐全、信息覆盖面；提供的采访书目时效性强。</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564"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color w:val="auto"/>
                <w:szCs w:val="21"/>
                <w:highlight w:val="none"/>
              </w:rPr>
              <w:t>采访数据标准、准确。</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453"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color w:val="auto"/>
                <w:szCs w:val="21"/>
                <w:highlight w:val="none"/>
              </w:rPr>
              <w:t>编目数据的质量符合高校图书馆要求；与到馆图书的匹配程度（不漏发、错发）；是否与到馆图书同时到达。</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505"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color w:val="auto"/>
                <w:szCs w:val="21"/>
                <w:highlight w:val="none"/>
              </w:rPr>
              <w:t>根据供应商承诺的到书率、供书类型、供书数量及各历史实际到书记录情况等。</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599"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color w:val="auto"/>
                <w:szCs w:val="21"/>
                <w:highlight w:val="none"/>
              </w:rPr>
              <w:t>对图书馆自备书目的采购能力；自定较窄主题采购的快速响应能力。</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599"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color w:val="auto"/>
                <w:szCs w:val="21"/>
                <w:highlight w:val="none"/>
              </w:rPr>
              <w:t>对已订书单因情况变化，图书馆要求减少订数或要求取消订购的反应能力。</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599"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color w:val="auto"/>
                <w:szCs w:val="21"/>
                <w:highlight w:val="none"/>
              </w:rPr>
              <w:t>对图书馆已预订，但因到货、出版推迟等不能及时到馆的图书，或取消出版的图书信息反馈能力、服务能力、服务态度。</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599"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color w:val="auto"/>
                <w:szCs w:val="21"/>
                <w:highlight w:val="none"/>
              </w:rPr>
              <w:t>对图书质量问题、与馆藏要求不符、与预订不符等原因退书的处理态度及处理速度。</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599"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color w:val="auto"/>
                <w:szCs w:val="21"/>
                <w:highlight w:val="none"/>
              </w:rPr>
              <w:t>到馆图书的包装是否符合运输和方便装卸的要求，图书运送能力、搬运能力。</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599"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jc w:val="center"/>
              <w:rPr>
                <w:rFonts w:ascii="宋体" w:hAnsi="宋体"/>
                <w:color w:val="auto"/>
                <w:szCs w:val="21"/>
                <w:highlight w:val="none"/>
              </w:rPr>
            </w:pPr>
            <w:r>
              <w:rPr>
                <w:rFonts w:hint="eastAsia" w:ascii="宋体" w:hAnsi="宋体"/>
                <w:color w:val="auto"/>
                <w:szCs w:val="21"/>
                <w:highlight w:val="none"/>
              </w:rPr>
              <w:t>到馆服务相应时间；数据加工有专业人员，保质保量完成；差错率低，出现错误能及时改正。</w:t>
            </w: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cantSplit/>
          <w:trHeight w:val="599" w:hRule="atLeast"/>
        </w:trPr>
        <w:tc>
          <w:tcPr>
            <w:tcW w:w="942" w:type="pct"/>
            <w:vMerge w:val="continue"/>
            <w:tcBorders>
              <w:top w:val="nil"/>
              <w:left w:val="single" w:color="000000" w:sz="4" w:space="0"/>
              <w:bottom w:val="single" w:color="000000" w:sz="4" w:space="0"/>
              <w:right w:val="single" w:color="000000" w:sz="4" w:space="0"/>
            </w:tcBorders>
            <w:shd w:val="clear" w:color="auto" w:fill="auto"/>
            <w:vAlign w:val="center"/>
          </w:tcPr>
          <w:p>
            <w:pPr>
              <w:widowControl/>
              <w:jc w:val="center"/>
              <w:rPr>
                <w:rFonts w:ascii="宋体" w:hAnsi="宋体"/>
                <w:b/>
                <w:color w:val="auto"/>
                <w:kern w:val="0"/>
                <w:szCs w:val="21"/>
                <w:highlight w:val="none"/>
              </w:rPr>
            </w:pPr>
          </w:p>
        </w:tc>
        <w:tc>
          <w:tcPr>
            <w:tcW w:w="2292" w:type="pct"/>
            <w:gridSpan w:val="3"/>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综 合 评 价</w:t>
            </w:r>
          </w:p>
        </w:tc>
        <w:tc>
          <w:tcPr>
            <w:tcW w:w="352" w:type="pct"/>
            <w:tcBorders>
              <w:top w:val="single" w:color="000000" w:sz="4" w:space="0"/>
              <w:left w:val="nil"/>
              <w:bottom w:val="single" w:color="000000" w:sz="4" w:space="0"/>
              <w:right w:val="single" w:color="auto" w:sz="4" w:space="0"/>
            </w:tcBorders>
            <w:vAlign w:val="center"/>
          </w:tcPr>
          <w:p>
            <w:pPr>
              <w:widowControl/>
              <w:jc w:val="center"/>
              <w:rPr>
                <w:rFonts w:ascii="宋体" w:hAnsi="宋体"/>
                <w:b/>
                <w:color w:val="auto"/>
                <w:kern w:val="0"/>
                <w:szCs w:val="21"/>
                <w:highlight w:val="none"/>
              </w:rPr>
            </w:pPr>
          </w:p>
        </w:tc>
        <w:tc>
          <w:tcPr>
            <w:tcW w:w="353" w:type="pct"/>
            <w:tcBorders>
              <w:left w:val="single" w:color="auto" w:sz="4" w:space="0"/>
              <w:bottom w:val="single" w:color="auto" w:sz="4" w:space="0"/>
              <w:right w:val="single" w:color="auto" w:sz="4" w:space="0"/>
            </w:tcBorders>
            <w:vAlign w:val="center"/>
          </w:tcPr>
          <w:p>
            <w:pPr>
              <w:widowControl/>
              <w:jc w:val="center"/>
              <w:rPr>
                <w:rFonts w:ascii="宋体" w:hAnsi="宋体"/>
                <w:b/>
                <w:color w:val="auto"/>
                <w:kern w:val="0"/>
                <w:szCs w:val="21"/>
                <w:highlight w:val="none"/>
              </w:rPr>
            </w:pPr>
          </w:p>
        </w:tc>
        <w:tc>
          <w:tcPr>
            <w:tcW w:w="352" w:type="pct"/>
            <w:tcBorders>
              <w:top w:val="single" w:color="000000" w:sz="4" w:space="0"/>
              <w:left w:val="single" w:color="auto" w:sz="4" w:space="0"/>
              <w:bottom w:val="single" w:color="000000" w:sz="4" w:space="0"/>
              <w:right w:val="single" w:color="auto" w:sz="4" w:space="0"/>
            </w:tcBorders>
            <w:vAlign w:val="center"/>
          </w:tcPr>
          <w:p>
            <w:pPr>
              <w:widowControl/>
              <w:jc w:val="center"/>
              <w:rPr>
                <w:rFonts w:ascii="宋体" w:hAnsi="宋体"/>
                <w:b/>
                <w:color w:val="auto"/>
                <w:kern w:val="0"/>
                <w:szCs w:val="21"/>
                <w:highlight w:val="none"/>
              </w:rPr>
            </w:pPr>
          </w:p>
        </w:tc>
        <w:tc>
          <w:tcPr>
            <w:tcW w:w="353" w:type="pct"/>
            <w:tcBorders>
              <w:top w:val="single" w:color="000000" w:sz="4" w:space="0"/>
              <w:left w:val="single" w:color="auto" w:sz="4" w:space="0"/>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c>
          <w:tcPr>
            <w:tcW w:w="356" w:type="pct"/>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r>
        <w:tblPrEx>
          <w:tblCellMar>
            <w:top w:w="0" w:type="dxa"/>
            <w:left w:w="108" w:type="dxa"/>
            <w:bottom w:w="0" w:type="dxa"/>
            <w:right w:w="108" w:type="dxa"/>
          </w:tblCellMar>
        </w:tblPrEx>
        <w:trPr>
          <w:trHeight w:val="1027" w:hRule="atLeast"/>
        </w:trPr>
        <w:tc>
          <w:tcPr>
            <w:tcW w:w="94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其他评价</w:t>
            </w:r>
          </w:p>
        </w:tc>
        <w:tc>
          <w:tcPr>
            <w:tcW w:w="4058" w:type="pct"/>
            <w:gridSpan w:val="8"/>
            <w:tcBorders>
              <w:top w:val="single" w:color="000000" w:sz="4" w:space="0"/>
              <w:left w:val="nil"/>
              <w:bottom w:val="single" w:color="000000" w:sz="4" w:space="0"/>
              <w:right w:val="single" w:color="000000" w:sz="4" w:space="0"/>
            </w:tcBorders>
            <w:vAlign w:val="center"/>
          </w:tcPr>
          <w:p>
            <w:pPr>
              <w:widowControl/>
              <w:jc w:val="center"/>
              <w:rPr>
                <w:rFonts w:ascii="宋体" w:hAnsi="宋体"/>
                <w:b/>
                <w:color w:val="auto"/>
                <w:kern w:val="0"/>
                <w:szCs w:val="21"/>
                <w:highlight w:val="none"/>
              </w:rPr>
            </w:pPr>
          </w:p>
        </w:tc>
      </w:tr>
    </w:tbl>
    <w:p>
      <w:pPr>
        <w:widowControl/>
        <w:rPr>
          <w:rFonts w:ascii="宋体" w:hAnsi="宋体" w:cs="宋体"/>
          <w:b/>
          <w:color w:val="auto"/>
          <w:sz w:val="32"/>
          <w:highlight w:val="none"/>
        </w:rPr>
      </w:pPr>
      <w:r>
        <w:rPr>
          <w:rFonts w:hint="eastAsia" w:ascii="宋体" w:hAnsi="宋体"/>
          <w:b/>
          <w:color w:val="auto"/>
          <w:kern w:val="0"/>
          <w:szCs w:val="21"/>
          <w:highlight w:val="none"/>
        </w:rPr>
        <w:t>备注：评价内容打√即可。</w:t>
      </w:r>
    </w:p>
    <w:p>
      <w:pPr>
        <w:pStyle w:val="11"/>
        <w:ind w:firstLine="321"/>
        <w:rPr>
          <w:color w:val="auto"/>
          <w:highlight w:val="none"/>
        </w:rPr>
      </w:pPr>
    </w:p>
    <w:p>
      <w:pPr>
        <w:pStyle w:val="25"/>
        <w:ind w:firstLine="360"/>
        <w:rPr>
          <w:color w:val="auto"/>
          <w:highlight w:val="none"/>
        </w:rPr>
      </w:pPr>
    </w:p>
    <w:p>
      <w:pPr>
        <w:pStyle w:val="25"/>
        <w:ind w:firstLine="360"/>
        <w:rPr>
          <w:color w:val="auto"/>
          <w:highlight w:val="none"/>
        </w:rPr>
      </w:pPr>
    </w:p>
    <w:p>
      <w:pPr>
        <w:spacing w:line="400" w:lineRule="exact"/>
        <w:jc w:val="center"/>
        <w:rPr>
          <w:rFonts w:ascii="宋体" w:hAnsi="宋体" w:cs="宋体"/>
          <w:b/>
          <w:color w:val="auto"/>
          <w:sz w:val="32"/>
          <w:highlight w:val="none"/>
        </w:rPr>
      </w:pPr>
    </w:p>
    <w:p>
      <w:pPr>
        <w:spacing w:line="400" w:lineRule="exact"/>
        <w:jc w:val="center"/>
        <w:rPr>
          <w:rFonts w:ascii="宋体" w:hAnsi="宋体" w:cs="宋体"/>
          <w:b/>
          <w:color w:val="auto"/>
          <w:sz w:val="32"/>
          <w:highlight w:val="none"/>
        </w:rPr>
      </w:pPr>
      <w:r>
        <w:rPr>
          <w:rFonts w:hint="eastAsia" w:ascii="宋体" w:hAnsi="宋体" w:cs="宋体"/>
          <w:b/>
          <w:color w:val="auto"/>
          <w:sz w:val="32"/>
          <w:highlight w:val="none"/>
        </w:rPr>
        <w:t>第五部分 采购需求</w:t>
      </w:r>
    </w:p>
    <w:p>
      <w:pPr>
        <w:pStyle w:val="16"/>
        <w:keepNext w:val="0"/>
        <w:keepLines w:val="0"/>
        <w:pageBreakBefore w:val="0"/>
        <w:kinsoku/>
        <w:overflowPunct/>
        <w:topLinePunct w:val="0"/>
        <w:autoSpaceDE/>
        <w:autoSpaceDN/>
        <w:bidi w:val="0"/>
        <w:adjustRightInd/>
        <w:snapToGrid w:val="0"/>
        <w:spacing w:line="350" w:lineRule="exact"/>
        <w:textAlignment w:val="auto"/>
        <w:outlineLvl w:val="0"/>
        <w:rPr>
          <w:rFonts w:hAnsi="宋体" w:cs="宋体"/>
          <w:b/>
          <w:bCs/>
          <w:color w:val="auto"/>
          <w:sz w:val="22"/>
          <w:highlight w:val="none"/>
        </w:rPr>
      </w:pPr>
      <w:r>
        <w:rPr>
          <w:rFonts w:hint="eastAsia" w:hAnsi="宋体" w:cs="宋体"/>
          <w:b/>
          <w:bCs/>
          <w:color w:val="auto"/>
          <w:sz w:val="22"/>
          <w:highlight w:val="none"/>
        </w:rPr>
        <w:t>一.采购内容及数量</w:t>
      </w:r>
    </w:p>
    <w:tbl>
      <w:tblPr>
        <w:tblStyle w:val="30"/>
        <w:tblW w:w="89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946"/>
        <w:gridCol w:w="1005"/>
        <w:gridCol w:w="1875"/>
        <w:gridCol w:w="32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72"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pacing w:val="-6"/>
                <w:sz w:val="22"/>
                <w:highlight w:val="none"/>
              </w:rPr>
            </w:pPr>
            <w:r>
              <w:rPr>
                <w:rFonts w:hint="eastAsia" w:ascii="宋体" w:hAnsi="宋体" w:cs="宋体"/>
                <w:bCs/>
                <w:color w:val="auto"/>
                <w:spacing w:val="-6"/>
                <w:sz w:val="22"/>
                <w:highlight w:val="none"/>
              </w:rPr>
              <w:t>标项</w:t>
            </w:r>
          </w:p>
        </w:tc>
        <w:tc>
          <w:tcPr>
            <w:tcW w:w="1946"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pacing w:val="-6"/>
                <w:sz w:val="22"/>
                <w:highlight w:val="none"/>
              </w:rPr>
            </w:pPr>
            <w:r>
              <w:rPr>
                <w:rFonts w:hint="eastAsia" w:ascii="宋体" w:hAnsi="宋体" w:cs="宋体"/>
                <w:bCs/>
                <w:color w:val="auto"/>
                <w:spacing w:val="-6"/>
                <w:sz w:val="22"/>
                <w:highlight w:val="none"/>
              </w:rPr>
              <w:t>内容</w:t>
            </w:r>
          </w:p>
        </w:tc>
        <w:tc>
          <w:tcPr>
            <w:tcW w:w="1005"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pacing w:val="-6"/>
                <w:sz w:val="22"/>
                <w:highlight w:val="none"/>
              </w:rPr>
            </w:pPr>
            <w:r>
              <w:rPr>
                <w:rFonts w:hint="eastAsia" w:ascii="宋体" w:hAnsi="宋体" w:cs="宋体"/>
                <w:bCs/>
                <w:color w:val="auto"/>
                <w:spacing w:val="-6"/>
                <w:sz w:val="22"/>
                <w:highlight w:val="none"/>
              </w:rPr>
              <w:t>数量</w:t>
            </w:r>
          </w:p>
        </w:tc>
        <w:tc>
          <w:tcPr>
            <w:tcW w:w="1875"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pacing w:val="-6"/>
                <w:sz w:val="22"/>
                <w:highlight w:val="none"/>
              </w:rPr>
            </w:pPr>
            <w:r>
              <w:rPr>
                <w:rFonts w:hint="eastAsia" w:ascii="宋体" w:hAnsi="宋体" w:cs="宋体"/>
                <w:bCs/>
                <w:color w:val="auto"/>
                <w:spacing w:val="-6"/>
                <w:sz w:val="22"/>
                <w:highlight w:val="none"/>
              </w:rPr>
              <w:t>预算金额（元）</w:t>
            </w:r>
          </w:p>
        </w:tc>
        <w:tc>
          <w:tcPr>
            <w:tcW w:w="3262"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pacing w:val="-6"/>
                <w:sz w:val="22"/>
                <w:highlight w:val="none"/>
              </w:rPr>
            </w:pPr>
            <w:r>
              <w:rPr>
                <w:rFonts w:hint="eastAsia" w:ascii="宋体" w:hAnsi="宋体" w:cs="宋体"/>
                <w:bCs/>
                <w:color w:val="auto"/>
                <w:spacing w:val="-6"/>
                <w:sz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72" w:type="dxa"/>
            <w:vAlign w:val="center"/>
          </w:tcPr>
          <w:p>
            <w:pPr>
              <w:keepNext w:val="0"/>
              <w:keepLines w:val="0"/>
              <w:pageBreakBefore w:val="0"/>
              <w:widowControl/>
              <w:kinsoku/>
              <w:wordWrap w:val="0"/>
              <w:overflowPunct/>
              <w:topLinePunct w:val="0"/>
              <w:autoSpaceDE/>
              <w:autoSpaceDN/>
              <w:bidi w:val="0"/>
              <w:adjustRightInd/>
              <w:spacing w:line="350" w:lineRule="exact"/>
              <w:jc w:val="center"/>
              <w:textAlignment w:val="auto"/>
              <w:rPr>
                <w:rFonts w:ascii="宋体" w:hAnsi="宋体" w:cs="宋体"/>
                <w:bCs/>
                <w:color w:val="auto"/>
                <w:kern w:val="0"/>
                <w:sz w:val="22"/>
                <w:highlight w:val="none"/>
              </w:rPr>
            </w:pPr>
            <w:r>
              <w:rPr>
                <w:rFonts w:hint="eastAsia" w:ascii="宋体" w:hAnsi="宋体" w:cs="宋体"/>
                <w:bCs/>
                <w:color w:val="auto"/>
                <w:kern w:val="0"/>
                <w:sz w:val="22"/>
                <w:highlight w:val="none"/>
              </w:rPr>
              <w:t>1</w:t>
            </w:r>
          </w:p>
        </w:tc>
        <w:tc>
          <w:tcPr>
            <w:tcW w:w="1946" w:type="dxa"/>
            <w:vAlign w:val="center"/>
          </w:tcPr>
          <w:p>
            <w:pPr>
              <w:keepNext w:val="0"/>
              <w:keepLines w:val="0"/>
              <w:pageBreakBefore w:val="0"/>
              <w:widowControl/>
              <w:kinsoku/>
              <w:wordWrap w:val="0"/>
              <w:overflowPunct/>
              <w:topLinePunct w:val="0"/>
              <w:autoSpaceDE/>
              <w:autoSpaceDN/>
              <w:bidi w:val="0"/>
              <w:adjustRightInd/>
              <w:spacing w:line="350" w:lineRule="exact"/>
              <w:jc w:val="center"/>
              <w:textAlignment w:val="auto"/>
              <w:rPr>
                <w:rFonts w:ascii="宋体" w:hAnsi="宋体" w:cs="宋体"/>
                <w:bCs/>
                <w:color w:val="auto"/>
                <w:sz w:val="22"/>
                <w:highlight w:val="none"/>
                <w:lang w:val="zh-CN"/>
              </w:rPr>
            </w:pPr>
            <w:r>
              <w:rPr>
                <w:rFonts w:hint="eastAsia" w:ascii="宋体" w:hAnsi="宋体" w:cs="宋体"/>
                <w:color w:val="auto"/>
                <w:sz w:val="22"/>
                <w:highlight w:val="none"/>
              </w:rPr>
              <w:t>中文纸质图书1</w:t>
            </w:r>
          </w:p>
        </w:tc>
        <w:tc>
          <w:tcPr>
            <w:tcW w:w="1005" w:type="dxa"/>
            <w:vAlign w:val="center"/>
          </w:tcPr>
          <w:p>
            <w:pPr>
              <w:keepNext w:val="0"/>
              <w:keepLines w:val="0"/>
              <w:pageBreakBefore w:val="0"/>
              <w:widowControl/>
              <w:kinsoku/>
              <w:wordWrap w:val="0"/>
              <w:overflowPunct/>
              <w:topLinePunct w:val="0"/>
              <w:autoSpaceDE/>
              <w:autoSpaceDN/>
              <w:bidi w:val="0"/>
              <w:adjustRightInd/>
              <w:spacing w:line="350" w:lineRule="exact"/>
              <w:jc w:val="center"/>
              <w:textAlignment w:val="auto"/>
              <w:rPr>
                <w:rFonts w:ascii="宋体" w:hAnsi="宋体" w:cs="宋体"/>
                <w:bCs/>
                <w:color w:val="auto"/>
                <w:kern w:val="0"/>
                <w:sz w:val="22"/>
                <w:highlight w:val="none"/>
              </w:rPr>
            </w:pPr>
            <w:r>
              <w:rPr>
                <w:rFonts w:hint="eastAsia" w:ascii="宋体" w:hAnsi="宋体" w:cs="宋体"/>
                <w:color w:val="auto"/>
                <w:kern w:val="0"/>
                <w:sz w:val="22"/>
                <w:highlight w:val="none"/>
              </w:rPr>
              <w:t>1批</w:t>
            </w:r>
          </w:p>
        </w:tc>
        <w:tc>
          <w:tcPr>
            <w:tcW w:w="1875"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pacing w:val="-6"/>
                <w:sz w:val="22"/>
                <w:highlight w:val="none"/>
              </w:rPr>
            </w:pPr>
            <w:r>
              <w:rPr>
                <w:rFonts w:hint="eastAsia" w:ascii="宋体" w:hAnsi="宋体" w:cs="宋体"/>
                <w:bCs/>
                <w:color w:val="auto"/>
                <w:spacing w:val="-6"/>
                <w:sz w:val="22"/>
                <w:highlight w:val="none"/>
              </w:rPr>
              <w:t>1925000.00</w:t>
            </w:r>
          </w:p>
        </w:tc>
        <w:tc>
          <w:tcPr>
            <w:tcW w:w="3262"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pacing w:val="-6"/>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72" w:type="dxa"/>
            <w:vAlign w:val="center"/>
          </w:tcPr>
          <w:p>
            <w:pPr>
              <w:keepNext w:val="0"/>
              <w:keepLines w:val="0"/>
              <w:pageBreakBefore w:val="0"/>
              <w:widowControl/>
              <w:kinsoku/>
              <w:wordWrap w:val="0"/>
              <w:overflowPunct/>
              <w:topLinePunct w:val="0"/>
              <w:autoSpaceDE/>
              <w:autoSpaceDN/>
              <w:bidi w:val="0"/>
              <w:adjustRightInd/>
              <w:spacing w:line="350" w:lineRule="exact"/>
              <w:jc w:val="center"/>
              <w:textAlignment w:val="auto"/>
              <w:rPr>
                <w:rFonts w:ascii="宋体" w:hAnsi="宋体" w:cs="宋体"/>
                <w:bCs/>
                <w:color w:val="auto"/>
                <w:kern w:val="0"/>
                <w:sz w:val="22"/>
                <w:highlight w:val="none"/>
              </w:rPr>
            </w:pPr>
            <w:r>
              <w:rPr>
                <w:rFonts w:hint="eastAsia" w:ascii="宋体" w:hAnsi="宋体" w:cs="宋体"/>
                <w:bCs/>
                <w:color w:val="auto"/>
                <w:kern w:val="0"/>
                <w:sz w:val="22"/>
                <w:highlight w:val="none"/>
              </w:rPr>
              <w:t>2</w:t>
            </w:r>
          </w:p>
        </w:tc>
        <w:tc>
          <w:tcPr>
            <w:tcW w:w="1946" w:type="dxa"/>
            <w:vAlign w:val="center"/>
          </w:tcPr>
          <w:p>
            <w:pPr>
              <w:keepNext w:val="0"/>
              <w:keepLines w:val="0"/>
              <w:pageBreakBefore w:val="0"/>
              <w:widowControl/>
              <w:kinsoku/>
              <w:wordWrap w:val="0"/>
              <w:overflowPunct/>
              <w:topLinePunct w:val="0"/>
              <w:autoSpaceDE/>
              <w:autoSpaceDN/>
              <w:bidi w:val="0"/>
              <w:adjustRightInd/>
              <w:spacing w:line="350" w:lineRule="exact"/>
              <w:jc w:val="center"/>
              <w:textAlignment w:val="auto"/>
              <w:rPr>
                <w:rFonts w:ascii="宋体" w:hAnsi="宋体" w:cs="宋体"/>
                <w:bCs/>
                <w:color w:val="auto"/>
                <w:sz w:val="22"/>
                <w:highlight w:val="none"/>
                <w:lang w:val="zh-CN"/>
              </w:rPr>
            </w:pPr>
            <w:r>
              <w:rPr>
                <w:rFonts w:hint="eastAsia" w:ascii="宋体" w:hAnsi="宋体" w:cs="宋体"/>
                <w:color w:val="auto"/>
                <w:sz w:val="22"/>
                <w:highlight w:val="none"/>
              </w:rPr>
              <w:t>中文纸质图书2</w:t>
            </w:r>
          </w:p>
        </w:tc>
        <w:tc>
          <w:tcPr>
            <w:tcW w:w="1005" w:type="dxa"/>
            <w:vAlign w:val="center"/>
          </w:tcPr>
          <w:p>
            <w:pPr>
              <w:keepNext w:val="0"/>
              <w:keepLines w:val="0"/>
              <w:pageBreakBefore w:val="0"/>
              <w:widowControl/>
              <w:kinsoku/>
              <w:wordWrap w:val="0"/>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color w:val="auto"/>
                <w:kern w:val="0"/>
                <w:sz w:val="22"/>
                <w:highlight w:val="none"/>
              </w:rPr>
              <w:t>1批</w:t>
            </w:r>
          </w:p>
        </w:tc>
        <w:tc>
          <w:tcPr>
            <w:tcW w:w="1875"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pacing w:val="-6"/>
                <w:sz w:val="22"/>
                <w:highlight w:val="none"/>
              </w:rPr>
            </w:pPr>
            <w:r>
              <w:rPr>
                <w:rFonts w:hint="eastAsia" w:ascii="宋体" w:hAnsi="宋体" w:cs="宋体"/>
                <w:bCs/>
                <w:color w:val="auto"/>
                <w:spacing w:val="-6"/>
                <w:sz w:val="22"/>
                <w:highlight w:val="none"/>
              </w:rPr>
              <w:t>1575000.00</w:t>
            </w:r>
          </w:p>
        </w:tc>
        <w:tc>
          <w:tcPr>
            <w:tcW w:w="3262"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pacing w:val="-6"/>
                <w:sz w:val="22"/>
                <w:highlight w:val="none"/>
              </w:rPr>
            </w:pPr>
          </w:p>
        </w:tc>
      </w:tr>
    </w:tbl>
    <w:p>
      <w:pPr>
        <w:keepNext w:val="0"/>
        <w:keepLines w:val="0"/>
        <w:pageBreakBefore w:val="0"/>
        <w:kinsoku/>
        <w:overflowPunct/>
        <w:topLinePunct w:val="0"/>
        <w:autoSpaceDE/>
        <w:autoSpaceDN/>
        <w:bidi w:val="0"/>
        <w:adjustRightInd/>
        <w:spacing w:line="350" w:lineRule="exact"/>
        <w:textAlignment w:val="auto"/>
        <w:rPr>
          <w:rFonts w:ascii="宋体" w:hAnsi="宋体" w:cs="宋体"/>
          <w:b/>
          <w:bCs/>
          <w:color w:val="auto"/>
          <w:sz w:val="22"/>
          <w:highlight w:val="none"/>
        </w:rPr>
      </w:pPr>
      <w:r>
        <w:rPr>
          <w:rFonts w:hint="eastAsia" w:ascii="宋体" w:hAnsi="宋体" w:cs="宋体"/>
          <w:b/>
          <w:bCs/>
          <w:color w:val="auto"/>
          <w:sz w:val="22"/>
          <w:highlight w:val="none"/>
        </w:rPr>
        <w:t>二.为落实政府采购政策需满足的要求：</w:t>
      </w:r>
      <w:r>
        <w:rPr>
          <w:rFonts w:hint="eastAsia" w:ascii="宋体" w:hAnsi="宋体" w:cs="宋体"/>
          <w:b/>
          <w:bCs/>
          <w:color w:val="auto"/>
          <w:spacing w:val="-6"/>
          <w:sz w:val="22"/>
          <w:highlight w:val="none"/>
        </w:rPr>
        <w:t>（</w:t>
      </w:r>
      <w:r>
        <w:rPr>
          <w:rFonts w:hint="eastAsia" w:ascii="宋体" w:hAnsi="宋体" w:cs="宋体"/>
          <w:b/>
          <w:bCs/>
          <w:color w:val="auto"/>
          <w:szCs w:val="21"/>
          <w:highlight w:val="none"/>
        </w:rPr>
        <w:t>标项1和标项2</w:t>
      </w:r>
      <w:r>
        <w:rPr>
          <w:rFonts w:hint="eastAsia" w:ascii="宋体" w:hAnsi="宋体" w:cs="宋体"/>
          <w:b/>
          <w:bCs/>
          <w:color w:val="auto"/>
          <w:spacing w:val="-6"/>
          <w:sz w:val="22"/>
          <w:highlight w:val="none"/>
        </w:rPr>
        <w:t>）</w:t>
      </w:r>
    </w:p>
    <w:tbl>
      <w:tblPr>
        <w:tblStyle w:val="30"/>
        <w:tblW w:w="90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9"/>
        <w:gridCol w:w="3070"/>
        <w:gridCol w:w="5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79"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序号</w:t>
            </w:r>
          </w:p>
        </w:tc>
        <w:tc>
          <w:tcPr>
            <w:tcW w:w="3070"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政策名称</w:t>
            </w:r>
          </w:p>
        </w:tc>
        <w:tc>
          <w:tcPr>
            <w:tcW w:w="5260"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79"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1</w:t>
            </w:r>
          </w:p>
        </w:tc>
        <w:tc>
          <w:tcPr>
            <w:tcW w:w="3070"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政府采购促进中小企业发展</w:t>
            </w:r>
          </w:p>
        </w:tc>
        <w:tc>
          <w:tcPr>
            <w:tcW w:w="5260" w:type="dxa"/>
            <w:vAlign w:val="center"/>
          </w:tcPr>
          <w:p>
            <w:pPr>
              <w:keepNext w:val="0"/>
              <w:keepLines w:val="0"/>
              <w:pageBreakBefore w:val="0"/>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 xml:space="preserve">提供材料详见招标文件第四部分附件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79"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2</w:t>
            </w:r>
          </w:p>
        </w:tc>
        <w:tc>
          <w:tcPr>
            <w:tcW w:w="3070"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政府采购支持监狱企业发展</w:t>
            </w:r>
          </w:p>
        </w:tc>
        <w:tc>
          <w:tcPr>
            <w:tcW w:w="5260" w:type="dxa"/>
            <w:vAlign w:val="center"/>
          </w:tcPr>
          <w:p>
            <w:pPr>
              <w:keepNext w:val="0"/>
              <w:keepLines w:val="0"/>
              <w:pageBreakBefore w:val="0"/>
              <w:kinsoku/>
              <w:overflowPunct/>
              <w:topLinePunct w:val="0"/>
              <w:autoSpaceDE/>
              <w:autoSpaceDN/>
              <w:bidi w:val="0"/>
              <w:adjustRightInd/>
              <w:spacing w:line="350" w:lineRule="exact"/>
              <w:jc w:val="left"/>
              <w:textAlignment w:val="auto"/>
              <w:rPr>
                <w:rFonts w:ascii="宋体" w:hAnsi="宋体" w:cs="宋体"/>
                <w:color w:val="auto"/>
                <w:sz w:val="22"/>
                <w:highlight w:val="none"/>
              </w:rPr>
            </w:pPr>
            <w:r>
              <w:rPr>
                <w:rFonts w:hint="eastAsia" w:ascii="宋体" w:hAnsi="宋体" w:cs="宋体"/>
                <w:color w:val="auto"/>
                <w:sz w:val="22"/>
                <w:highlight w:val="none"/>
              </w:rPr>
              <w:t>提供材料详见招标文件第四部分附件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679"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3</w:t>
            </w:r>
          </w:p>
        </w:tc>
        <w:tc>
          <w:tcPr>
            <w:tcW w:w="3070"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政府采购促进残疾人就业</w:t>
            </w:r>
          </w:p>
        </w:tc>
        <w:tc>
          <w:tcPr>
            <w:tcW w:w="5260" w:type="dxa"/>
            <w:vAlign w:val="center"/>
          </w:tcPr>
          <w:p>
            <w:pPr>
              <w:keepNext w:val="0"/>
              <w:keepLines w:val="0"/>
              <w:pageBreakBefore w:val="0"/>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提供材料详见招标文件第四部分附件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79"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4</w:t>
            </w:r>
          </w:p>
        </w:tc>
        <w:tc>
          <w:tcPr>
            <w:tcW w:w="3070"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政府采购节能环保产品</w:t>
            </w:r>
          </w:p>
        </w:tc>
        <w:tc>
          <w:tcPr>
            <w:tcW w:w="5260" w:type="dxa"/>
            <w:vAlign w:val="center"/>
          </w:tcPr>
          <w:p>
            <w:pPr>
              <w:keepNext w:val="0"/>
              <w:keepLines w:val="0"/>
              <w:pageBreakBefore w:val="0"/>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79"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5</w:t>
            </w:r>
          </w:p>
        </w:tc>
        <w:tc>
          <w:tcPr>
            <w:tcW w:w="3070" w:type="dxa"/>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color w:val="auto"/>
                <w:sz w:val="22"/>
                <w:highlight w:val="none"/>
              </w:rPr>
            </w:pPr>
            <w:r>
              <w:rPr>
                <w:rFonts w:hint="eastAsia" w:ascii="宋体" w:hAnsi="宋体" w:cs="宋体"/>
                <w:color w:val="auto"/>
                <w:sz w:val="22"/>
                <w:highlight w:val="none"/>
              </w:rPr>
              <w:t>政府采购进口产品</w:t>
            </w:r>
          </w:p>
        </w:tc>
        <w:tc>
          <w:tcPr>
            <w:tcW w:w="5260" w:type="dxa"/>
            <w:vAlign w:val="center"/>
          </w:tcPr>
          <w:p>
            <w:pPr>
              <w:keepNext w:val="0"/>
              <w:keepLines w:val="0"/>
              <w:pageBreakBefore w:val="0"/>
              <w:kinsoku/>
              <w:overflowPunct/>
              <w:topLinePunct w:val="0"/>
              <w:autoSpaceDE/>
              <w:autoSpaceDN/>
              <w:bidi w:val="0"/>
              <w:adjustRightInd/>
              <w:spacing w:line="350" w:lineRule="exact"/>
              <w:jc w:val="left"/>
              <w:textAlignment w:val="auto"/>
              <w:rPr>
                <w:rFonts w:ascii="宋体" w:hAnsi="宋体" w:cs="宋体"/>
                <w:color w:val="auto"/>
                <w:sz w:val="22"/>
                <w:highlight w:val="none"/>
              </w:rPr>
            </w:pPr>
            <w:r>
              <w:rPr>
                <w:rFonts w:hint="eastAsia" w:ascii="宋体" w:hAnsi="宋体" w:cs="宋体"/>
                <w:color w:val="auto"/>
                <w:sz w:val="22"/>
                <w:highlight w:val="none"/>
              </w:rPr>
              <w:t>不允许</w:t>
            </w:r>
          </w:p>
        </w:tc>
      </w:tr>
    </w:tbl>
    <w:p>
      <w:pPr>
        <w:keepNext w:val="0"/>
        <w:keepLines w:val="0"/>
        <w:pageBreakBefore w:val="0"/>
        <w:kinsoku/>
        <w:overflowPunct/>
        <w:topLinePunct w:val="0"/>
        <w:autoSpaceDE/>
        <w:autoSpaceDN/>
        <w:bidi w:val="0"/>
        <w:adjustRightInd/>
        <w:snapToGrid w:val="0"/>
        <w:spacing w:line="350" w:lineRule="exact"/>
        <w:textAlignment w:val="auto"/>
        <w:outlineLvl w:val="0"/>
        <w:rPr>
          <w:rFonts w:ascii="宋体" w:hAnsi="宋体" w:cs="宋体"/>
          <w:b/>
          <w:bCs/>
          <w:color w:val="auto"/>
          <w:spacing w:val="-6"/>
          <w:sz w:val="22"/>
          <w:highlight w:val="none"/>
        </w:rPr>
      </w:pPr>
      <w:r>
        <w:rPr>
          <w:rFonts w:hint="eastAsia" w:ascii="宋体" w:hAnsi="宋体" w:cs="宋体"/>
          <w:b/>
          <w:bCs/>
          <w:color w:val="auto"/>
          <w:kern w:val="0"/>
          <w:sz w:val="22"/>
          <w:highlight w:val="none"/>
        </w:rPr>
        <w:t>三.</w:t>
      </w:r>
      <w:r>
        <w:rPr>
          <w:rFonts w:hint="eastAsia" w:ascii="宋体" w:hAnsi="宋体" w:cs="宋体"/>
          <w:b/>
          <w:bCs/>
          <w:color w:val="auto"/>
          <w:spacing w:val="-6"/>
          <w:sz w:val="22"/>
          <w:highlight w:val="none"/>
        </w:rPr>
        <w:t>商务要求（技术要求里另有注明的以技术要求为准）（</w:t>
      </w:r>
      <w:r>
        <w:rPr>
          <w:rFonts w:hint="eastAsia" w:ascii="宋体" w:hAnsi="宋体" w:cs="宋体"/>
          <w:b/>
          <w:bCs/>
          <w:color w:val="auto"/>
          <w:szCs w:val="21"/>
          <w:highlight w:val="none"/>
        </w:rPr>
        <w:t>标项1和标项2</w:t>
      </w:r>
      <w:r>
        <w:rPr>
          <w:rFonts w:hint="eastAsia" w:ascii="宋体" w:hAnsi="宋体" w:cs="宋体"/>
          <w:b/>
          <w:bCs/>
          <w:color w:val="auto"/>
          <w:spacing w:val="-6"/>
          <w:sz w:val="22"/>
          <w:highlight w:val="none"/>
        </w:rPr>
        <w:t>）</w:t>
      </w:r>
    </w:p>
    <w:tbl>
      <w:tblPr>
        <w:tblStyle w:val="30"/>
        <w:tblW w:w="916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92"/>
        <w:gridCol w:w="767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
                <w:bCs/>
                <w:color w:val="auto"/>
                <w:sz w:val="22"/>
                <w:highlight w:val="none"/>
              </w:rPr>
            </w:pPr>
            <w:r>
              <w:rPr>
                <w:rFonts w:hint="eastAsia" w:ascii="宋体" w:hAnsi="宋体" w:cs="宋体"/>
                <w:b/>
                <w:bCs/>
                <w:color w:val="auto"/>
                <w:sz w:val="22"/>
                <w:highlight w:val="none"/>
              </w:rPr>
              <w:t>支付方式</w:t>
            </w:r>
          </w:p>
        </w:tc>
        <w:tc>
          <w:tcPr>
            <w:tcW w:w="7676" w:type="dxa"/>
            <w:tcBorders>
              <w:top w:val="single" w:color="auto" w:sz="4" w:space="0"/>
              <w:left w:val="single" w:color="auto" w:sz="4" w:space="0"/>
              <w:bottom w:val="single" w:color="auto" w:sz="4" w:space="0"/>
              <w:right w:val="single" w:color="auto" w:sz="4" w:space="0"/>
            </w:tcBorders>
            <w:vAlign w:val="center"/>
          </w:tcPr>
          <w:p>
            <w:pPr>
              <w:pStyle w:val="8"/>
              <w:keepNext w:val="0"/>
              <w:keepLines w:val="0"/>
              <w:pageBreakBefore w:val="0"/>
              <w:kinsoku/>
              <w:overflowPunct/>
              <w:topLinePunct w:val="0"/>
              <w:autoSpaceDE/>
              <w:autoSpaceDN/>
              <w:bidi w:val="0"/>
              <w:adjustRightInd/>
              <w:spacing w:line="350" w:lineRule="exact"/>
              <w:textAlignment w:val="auto"/>
              <w:rPr>
                <w:rFonts w:hint="eastAsia" w:ascii="宋体" w:hAnsi="宋体" w:eastAsia="宋体" w:cs="宋体"/>
                <w:color w:val="auto"/>
                <w:kern w:val="0"/>
                <w:sz w:val="22"/>
                <w:highlight w:val="none"/>
                <w:u w:val="single"/>
              </w:rPr>
            </w:pPr>
            <w:r>
              <w:rPr>
                <w:rFonts w:hint="eastAsia" w:ascii="宋体" w:hAnsi="宋体" w:eastAsia="宋体" w:cs="宋体"/>
                <w:color w:val="auto"/>
                <w:kern w:val="0"/>
                <w:sz w:val="22"/>
                <w:highlight w:val="none"/>
                <w:u w:val="single"/>
              </w:rPr>
              <w:t>▲合同金额结算及支付方式（二选一）：</w:t>
            </w:r>
          </w:p>
          <w:p>
            <w:pPr>
              <w:pStyle w:val="8"/>
              <w:keepNext w:val="0"/>
              <w:keepLines w:val="0"/>
              <w:pageBreakBefore w:val="0"/>
              <w:kinsoku/>
              <w:overflowPunct/>
              <w:topLinePunct w:val="0"/>
              <w:autoSpaceDE/>
              <w:autoSpaceDN/>
              <w:bidi w:val="0"/>
              <w:adjustRightInd/>
              <w:spacing w:line="350" w:lineRule="exact"/>
              <w:textAlignment w:val="auto"/>
              <w:rPr>
                <w:rFonts w:hint="eastAsia" w:ascii="宋体" w:hAnsi="宋体" w:eastAsia="宋体" w:cs="宋体"/>
                <w:color w:val="auto"/>
                <w:kern w:val="0"/>
                <w:sz w:val="22"/>
                <w:highlight w:val="none"/>
                <w:u w:val="single"/>
              </w:rPr>
            </w:pPr>
            <w:r>
              <w:rPr>
                <w:rFonts w:hint="eastAsia" w:ascii="宋体" w:hAnsi="宋体" w:eastAsia="宋体" w:cs="宋体"/>
                <w:color w:val="auto"/>
                <w:kern w:val="0"/>
                <w:sz w:val="22"/>
                <w:highlight w:val="none"/>
                <w:u w:val="single"/>
              </w:rPr>
              <w:t>第一种：合同生效、采购人收到中标人出具的所中标标项预算金额 40 %保函以及具备实施条件后7个工作日内，向中标人支付所中标标项预算总额 40 %的预付款，中标人完成全部供货及安装、调试、培训并通过采购人验收、入库后，采购人验收合格并收到中标人出具全额增值税发票后7个工作日内，采购人按实支付剩余的货款并退还保函。</w:t>
            </w:r>
          </w:p>
          <w:p>
            <w:pPr>
              <w:pStyle w:val="8"/>
              <w:keepNext w:val="0"/>
              <w:keepLines w:val="0"/>
              <w:pageBreakBefore w:val="0"/>
              <w:kinsoku/>
              <w:overflowPunct/>
              <w:topLinePunct w:val="0"/>
              <w:autoSpaceDE/>
              <w:autoSpaceDN/>
              <w:bidi w:val="0"/>
              <w:adjustRightInd/>
              <w:spacing w:line="350" w:lineRule="exact"/>
              <w:textAlignment w:val="auto"/>
              <w:rPr>
                <w:rFonts w:hint="eastAsia" w:ascii="宋体" w:hAnsi="宋体" w:eastAsia="宋体" w:cs="宋体"/>
                <w:color w:val="auto"/>
                <w:kern w:val="0"/>
                <w:sz w:val="22"/>
                <w:highlight w:val="none"/>
                <w:u w:val="single"/>
              </w:rPr>
            </w:pPr>
            <w:r>
              <w:rPr>
                <w:rFonts w:hint="eastAsia" w:ascii="宋体" w:hAnsi="宋体" w:eastAsia="宋体" w:cs="宋体"/>
                <w:color w:val="auto"/>
                <w:kern w:val="0"/>
                <w:sz w:val="22"/>
                <w:highlight w:val="none"/>
                <w:u w:val="single"/>
              </w:rPr>
              <w:t>第二种：中标人无需预付款：按验收批次结算，采购人在该批次验收合格并收到中标人出具全额增值税发票后7个工作日内支付货款，在中标人完成最后一批次图书供货，采购人验收合格后7个工作日内按实支付尾款。</w:t>
            </w:r>
          </w:p>
          <w:p>
            <w:pPr>
              <w:pStyle w:val="8"/>
              <w:keepNext w:val="0"/>
              <w:keepLines w:val="0"/>
              <w:pageBreakBefore w:val="0"/>
              <w:kinsoku/>
              <w:overflowPunct/>
              <w:topLinePunct w:val="0"/>
              <w:autoSpaceDE/>
              <w:autoSpaceDN/>
              <w:bidi w:val="0"/>
              <w:adjustRightInd/>
              <w:spacing w:line="350" w:lineRule="exact"/>
              <w:textAlignment w:val="auto"/>
              <w:rPr>
                <w:rFonts w:hint="eastAsia" w:ascii="宋体" w:hAnsi="宋体" w:eastAsia="宋体" w:cs="宋体"/>
                <w:color w:val="auto"/>
                <w:kern w:val="0"/>
                <w:sz w:val="22"/>
                <w:highlight w:val="none"/>
                <w:u w:val="single"/>
              </w:rPr>
            </w:pPr>
            <w:r>
              <w:rPr>
                <w:rFonts w:hint="eastAsia" w:ascii="宋体" w:hAnsi="宋体" w:eastAsia="宋体" w:cs="宋体"/>
                <w:color w:val="auto"/>
                <w:kern w:val="0"/>
                <w:sz w:val="22"/>
                <w:highlight w:val="none"/>
                <w:u w:val="single"/>
              </w:rPr>
              <w:t>注：在签订合同时，中标人明确表示无需预付款或者主动要求降低预付款比例的，按实际比例计</w:t>
            </w:r>
            <w:r>
              <w:rPr>
                <w:rFonts w:hint="eastAsia" w:ascii="宋体" w:hAnsi="宋体" w:eastAsia="宋体" w:cs="宋体"/>
                <w:color w:val="auto"/>
                <w:kern w:val="0"/>
                <w:sz w:val="22"/>
                <w:highlight w:val="none"/>
                <w:u w:val="single"/>
                <w:lang w:val="zh-CN"/>
              </w:rPr>
              <w:t>。</w:t>
            </w:r>
            <w:r>
              <w:rPr>
                <w:rFonts w:hint="eastAsia" w:ascii="宋体" w:hAnsi="宋体" w:eastAsia="宋体" w:cs="宋体"/>
                <w:color w:val="auto"/>
                <w:kern w:val="0"/>
                <w:sz w:val="22"/>
                <w:highlight w:val="none"/>
                <w:u w:val="single"/>
              </w:rPr>
              <w:t>中标人应为采购人提供符合国家有关法律规定和采购人财务规定的正式图书销售发票。在同一张发票上反映其码洋、销售折扣、实洋，以及图书的种数和册数等内容，采购人收到发票后按实洋付款</w:t>
            </w:r>
            <w:r>
              <w:rPr>
                <w:rFonts w:hint="eastAsia" w:ascii="宋体" w:hAnsi="宋体" w:cs="宋体"/>
                <w:color w:val="auto"/>
                <w:kern w:val="0"/>
                <w:sz w:val="22"/>
                <w:highlight w:val="none"/>
                <w:u w:val="single"/>
                <w:lang w:eastAsia="zh-CN"/>
              </w:rPr>
              <w:t>（</w:t>
            </w:r>
            <w:r>
              <w:rPr>
                <w:rFonts w:hint="eastAsia" w:ascii="宋体" w:hAnsi="宋体" w:eastAsia="宋体" w:cs="宋体"/>
                <w:color w:val="auto"/>
                <w:kern w:val="0"/>
                <w:sz w:val="22"/>
                <w:highlight w:val="none"/>
                <w:u w:val="single"/>
                <w:lang w:val="en-US" w:eastAsia="zh-CN"/>
              </w:rPr>
              <w:t>货款</w:t>
            </w:r>
            <w:r>
              <w:rPr>
                <w:rFonts w:hint="eastAsia" w:ascii="宋体" w:hAnsi="宋体" w:eastAsia="宋体" w:cs="宋体"/>
                <w:color w:val="auto"/>
                <w:kern w:val="0"/>
                <w:sz w:val="22"/>
                <w:highlight w:val="none"/>
                <w:u w:val="single"/>
              </w:rPr>
              <w:t>以图书定价为依据，在合同期内，按中标人提供的图书码洋乘以中标折扣率结算</w:t>
            </w:r>
            <w:r>
              <w:rPr>
                <w:rFonts w:hint="eastAsia" w:ascii="宋体" w:hAnsi="宋体" w:eastAsia="宋体" w:cs="宋体"/>
                <w:color w:val="auto"/>
                <w:kern w:val="0"/>
                <w:sz w:val="22"/>
                <w:highlight w:val="none"/>
                <w:u w:val="single"/>
                <w:lang w:eastAsia="zh-CN"/>
              </w:rPr>
              <w:t>）</w:t>
            </w:r>
            <w:r>
              <w:rPr>
                <w:rFonts w:hint="eastAsia" w:ascii="宋体" w:hAnsi="宋体" w:eastAsia="宋体" w:cs="宋体"/>
                <w:color w:val="auto"/>
                <w:kern w:val="0"/>
                <w:sz w:val="22"/>
                <w:highlight w:val="none"/>
                <w:u w:val="singl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
                <w:bCs/>
                <w:color w:val="auto"/>
                <w:sz w:val="22"/>
                <w:highlight w:val="none"/>
              </w:rPr>
            </w:pPr>
            <w:r>
              <w:rPr>
                <w:rFonts w:hint="eastAsia" w:ascii="宋体" w:hAnsi="宋体" w:cs="宋体"/>
                <w:b/>
                <w:bCs/>
                <w:color w:val="auto"/>
                <w:sz w:val="22"/>
                <w:highlight w:val="none"/>
              </w:rPr>
              <w:t>履约保证金</w:t>
            </w:r>
          </w:p>
        </w:tc>
        <w:tc>
          <w:tcPr>
            <w:tcW w:w="7676" w:type="dxa"/>
            <w:tcBorders>
              <w:top w:val="single" w:color="auto" w:sz="4" w:space="0"/>
              <w:left w:val="single" w:color="auto" w:sz="4" w:space="0"/>
              <w:bottom w:val="single" w:color="auto" w:sz="4" w:space="0"/>
              <w:right w:val="single" w:color="auto" w:sz="4" w:space="0"/>
            </w:tcBorders>
            <w:vAlign w:val="center"/>
          </w:tcPr>
          <w:p>
            <w:pPr>
              <w:pStyle w:val="8"/>
              <w:keepNext w:val="0"/>
              <w:keepLines w:val="0"/>
              <w:pageBreakBefore w:val="0"/>
              <w:kinsoku/>
              <w:overflowPunct/>
              <w:topLinePunct w:val="0"/>
              <w:autoSpaceDE/>
              <w:autoSpaceDN/>
              <w:bidi w:val="0"/>
              <w:adjustRightInd/>
              <w:spacing w:line="350" w:lineRule="exact"/>
              <w:textAlignment w:val="auto"/>
              <w:rPr>
                <w:rFonts w:hint="eastAsia" w:ascii="宋体" w:hAnsi="宋体" w:eastAsia="宋体" w:cs="宋体"/>
                <w:color w:val="auto"/>
                <w:kern w:val="0"/>
                <w:sz w:val="22"/>
                <w:highlight w:val="none"/>
                <w:u w:val="single"/>
              </w:rPr>
            </w:pPr>
            <w:r>
              <w:rPr>
                <w:rFonts w:hint="eastAsia" w:ascii="宋体" w:hAnsi="宋体" w:eastAsia="宋体" w:cs="宋体"/>
                <w:color w:val="auto"/>
                <w:kern w:val="0"/>
                <w:sz w:val="22"/>
                <w:highlight w:val="none"/>
                <w:u w:val="single"/>
              </w:rPr>
              <w:t>▲</w:t>
            </w:r>
            <w:r>
              <w:rPr>
                <w:rFonts w:hint="eastAsia" w:ascii="宋体" w:hAnsi="宋体" w:eastAsia="宋体" w:cs="宋体"/>
                <w:color w:val="auto"/>
                <w:kern w:val="0"/>
                <w:sz w:val="22"/>
                <w:highlight w:val="none"/>
                <w:u w:val="single"/>
                <w:lang w:val="en-US" w:eastAsia="zh-CN"/>
              </w:rPr>
              <w:t>合同签订后，中标人5个工作日内支付</w:t>
            </w:r>
            <w:r>
              <w:rPr>
                <w:rFonts w:hint="eastAsia" w:ascii="宋体" w:hAnsi="宋体" w:eastAsia="宋体" w:cs="宋体"/>
                <w:color w:val="auto"/>
                <w:kern w:val="0"/>
                <w:sz w:val="22"/>
                <w:highlight w:val="none"/>
                <w:u w:val="single"/>
              </w:rPr>
              <w:t>所中标标项预算</w:t>
            </w:r>
            <w:r>
              <w:rPr>
                <w:rFonts w:hint="eastAsia" w:ascii="宋体" w:hAnsi="宋体" w:eastAsia="宋体" w:cs="宋体"/>
                <w:color w:val="auto"/>
                <w:kern w:val="0"/>
                <w:sz w:val="22"/>
                <w:highlight w:val="none"/>
                <w:u w:val="single"/>
                <w:lang w:val="en-US" w:eastAsia="zh-CN"/>
              </w:rPr>
              <w:t>金额的1%或保函作为履约保证金，履约保证金自项目验收合格之日起无质量问题，采购人按程序在7个工作日内无息退还或退还保函。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2"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
                <w:bCs/>
                <w:color w:val="auto"/>
                <w:sz w:val="22"/>
                <w:highlight w:val="none"/>
              </w:rPr>
            </w:pPr>
            <w:r>
              <w:rPr>
                <w:rFonts w:hint="eastAsia" w:ascii="宋体" w:hAnsi="宋体" w:cs="宋体"/>
                <w:b/>
                <w:bCs/>
                <w:color w:val="auto"/>
                <w:sz w:val="22"/>
                <w:highlight w:val="none"/>
              </w:rPr>
              <w:t>交付时间</w:t>
            </w:r>
          </w:p>
        </w:tc>
        <w:tc>
          <w:tcPr>
            <w:tcW w:w="767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left"/>
              <w:textAlignment w:val="auto"/>
              <w:rPr>
                <w:rFonts w:ascii="宋体" w:hAnsi="宋体" w:cs="宋体"/>
                <w:color w:val="auto"/>
                <w:sz w:val="22"/>
                <w:highlight w:val="none"/>
                <w:u w:val="single"/>
              </w:rPr>
            </w:pPr>
            <w:r>
              <w:rPr>
                <w:rFonts w:hint="eastAsia" w:ascii="宋体" w:hAnsi="宋体" w:cs="宋体"/>
                <w:color w:val="auto"/>
                <w:kern w:val="0"/>
                <w:sz w:val="22"/>
                <w:highlight w:val="none"/>
              </w:rPr>
              <w:t>收到采购人订单后30天内。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2"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
                <w:bCs/>
                <w:color w:val="auto"/>
                <w:sz w:val="22"/>
                <w:highlight w:val="none"/>
              </w:rPr>
            </w:pPr>
            <w:r>
              <w:rPr>
                <w:rFonts w:hint="eastAsia" w:ascii="宋体" w:hAnsi="宋体" w:cs="宋体"/>
                <w:b/>
                <w:bCs/>
                <w:color w:val="auto"/>
                <w:sz w:val="22"/>
                <w:highlight w:val="none"/>
              </w:rPr>
              <w:t>供书期限</w:t>
            </w:r>
          </w:p>
        </w:tc>
        <w:tc>
          <w:tcPr>
            <w:tcW w:w="767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left"/>
              <w:textAlignment w:val="auto"/>
              <w:rPr>
                <w:rFonts w:ascii="宋体" w:hAnsi="宋体" w:cs="宋体"/>
                <w:color w:val="auto"/>
                <w:kern w:val="0"/>
                <w:sz w:val="22"/>
                <w:highlight w:val="none"/>
              </w:rPr>
            </w:pPr>
            <w:r>
              <w:rPr>
                <w:rFonts w:hint="eastAsia" w:ascii="宋体" w:hAnsi="宋体" w:cs="宋体"/>
                <w:color w:val="auto"/>
                <w:kern w:val="0"/>
                <w:sz w:val="22"/>
                <w:highlight w:val="none"/>
              </w:rPr>
              <w:t>合同签订之日至2023年12月31日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
                <w:bCs/>
                <w:color w:val="auto"/>
                <w:sz w:val="22"/>
                <w:highlight w:val="none"/>
              </w:rPr>
            </w:pPr>
            <w:r>
              <w:rPr>
                <w:rFonts w:hint="eastAsia" w:ascii="宋体" w:hAnsi="宋体" w:cs="宋体"/>
                <w:b/>
                <w:bCs/>
                <w:color w:val="auto"/>
                <w:sz w:val="22"/>
                <w:highlight w:val="none"/>
              </w:rPr>
              <w:t>交付地点</w:t>
            </w:r>
          </w:p>
        </w:tc>
        <w:tc>
          <w:tcPr>
            <w:tcW w:w="7676" w:type="dxa"/>
            <w:tcBorders>
              <w:top w:val="single" w:color="auto" w:sz="4" w:space="0"/>
              <w:left w:val="single" w:color="auto" w:sz="4" w:space="0"/>
              <w:bottom w:val="single" w:color="auto" w:sz="4" w:space="0"/>
              <w:right w:val="single" w:color="auto" w:sz="4" w:space="0"/>
            </w:tcBorders>
            <w:vAlign w:val="center"/>
          </w:tcPr>
          <w:p>
            <w:pPr>
              <w:pStyle w:val="8"/>
              <w:keepNext w:val="0"/>
              <w:keepLines w:val="0"/>
              <w:pageBreakBefore w:val="0"/>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
                <w:bCs/>
                <w:color w:val="auto"/>
                <w:sz w:val="22"/>
                <w:highlight w:val="none"/>
              </w:rPr>
            </w:pPr>
            <w:r>
              <w:rPr>
                <w:rFonts w:hint="eastAsia" w:ascii="宋体" w:hAnsi="宋体" w:cs="宋体"/>
                <w:b/>
                <w:bCs/>
                <w:color w:val="auto"/>
                <w:sz w:val="22"/>
                <w:highlight w:val="none"/>
              </w:rPr>
              <w:t>质保期</w:t>
            </w:r>
          </w:p>
        </w:tc>
        <w:tc>
          <w:tcPr>
            <w:tcW w:w="7676" w:type="dxa"/>
            <w:tcBorders>
              <w:top w:val="single" w:color="auto" w:sz="4" w:space="0"/>
              <w:left w:val="single" w:color="auto" w:sz="4" w:space="0"/>
              <w:bottom w:val="single" w:color="auto" w:sz="4" w:space="0"/>
              <w:right w:val="single" w:color="auto" w:sz="4" w:space="0"/>
            </w:tcBorders>
            <w:vAlign w:val="center"/>
          </w:tcPr>
          <w:p>
            <w:pPr>
              <w:pStyle w:val="8"/>
              <w:keepNext w:val="0"/>
              <w:keepLines w:val="0"/>
              <w:pageBreakBefore w:val="0"/>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kern w:val="0"/>
                <w:sz w:val="22"/>
                <w:highlight w:val="none"/>
              </w:rPr>
              <w:t>质保期为自验收合格之日起1年，质保期内图书质量发生问题免费予以调换。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
                <w:bCs/>
                <w:color w:val="auto"/>
                <w:sz w:val="22"/>
                <w:highlight w:val="none"/>
              </w:rPr>
            </w:pPr>
            <w:r>
              <w:rPr>
                <w:rFonts w:hint="eastAsia" w:ascii="宋体" w:hAnsi="宋体" w:cs="宋体"/>
                <w:b/>
                <w:bCs/>
                <w:color w:val="auto"/>
                <w:sz w:val="22"/>
                <w:highlight w:val="none"/>
              </w:rPr>
              <w:t>服务标准和效率</w:t>
            </w:r>
          </w:p>
        </w:tc>
        <w:tc>
          <w:tcPr>
            <w:tcW w:w="7676" w:type="dxa"/>
            <w:tcBorders>
              <w:top w:val="single" w:color="auto" w:sz="4" w:space="0"/>
              <w:left w:val="single" w:color="auto" w:sz="4" w:space="0"/>
              <w:bottom w:val="single" w:color="auto" w:sz="4" w:space="0"/>
              <w:right w:val="single" w:color="auto" w:sz="4" w:space="0"/>
            </w:tcBorders>
            <w:vAlign w:val="center"/>
          </w:tcPr>
          <w:p>
            <w:pPr>
              <w:pStyle w:val="8"/>
              <w:keepNext w:val="0"/>
              <w:keepLines w:val="0"/>
              <w:pageBreakBefore w:val="0"/>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kern w:val="0"/>
                <w:sz w:val="22"/>
                <w:highlight w:val="none"/>
              </w:rPr>
              <w:t>合同货物出现问题后，中标人接到采购人通知应在不超过2小时内做出响应，不超过2个工作日内解决问题。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
                <w:bCs/>
                <w:color w:val="auto"/>
                <w:sz w:val="22"/>
                <w:highlight w:val="none"/>
              </w:rPr>
            </w:pPr>
            <w:r>
              <w:rPr>
                <w:rFonts w:hint="eastAsia" w:ascii="宋体" w:hAnsi="宋体" w:cs="宋体"/>
                <w:b/>
                <w:bCs/>
                <w:color w:val="auto"/>
                <w:sz w:val="22"/>
                <w:highlight w:val="none"/>
              </w:rPr>
              <w:t>验收标准</w:t>
            </w:r>
          </w:p>
        </w:tc>
        <w:tc>
          <w:tcPr>
            <w:tcW w:w="767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pacing w:line="350" w:lineRule="exact"/>
              <w:jc w:val="left"/>
              <w:textAlignment w:val="auto"/>
              <w:rPr>
                <w:rFonts w:ascii="宋体" w:hAnsi="宋体" w:cs="宋体"/>
                <w:color w:val="auto"/>
                <w:kern w:val="0"/>
                <w:sz w:val="22"/>
                <w:highlight w:val="none"/>
              </w:rPr>
            </w:pPr>
            <w:r>
              <w:rPr>
                <w:rFonts w:hint="eastAsia" w:ascii="宋体" w:hAnsi="宋体" w:cs="宋体"/>
                <w:color w:val="auto"/>
                <w:kern w:val="0"/>
                <w:sz w:val="22"/>
                <w:highlight w:val="none"/>
              </w:rPr>
              <w:t>1.中标人应提供有效检验文件，经采购人认可后，与合同的指标一起作为验收标准。验收合格后，双方共同签署验收合格证书，验收中发现货物达不到验收标准或合同规定的性能指标，中标人必须更换，并负担由此给采购人造成的损失，直到验收合格为止。1）按照要求进行现场验收。2）采购人对图书将以图书定价作为计算书款的依据，如有不符，采购人应及时通知中标人到现场复核。</w:t>
            </w:r>
          </w:p>
          <w:p>
            <w:pPr>
              <w:keepNext w:val="0"/>
              <w:keepLines w:val="0"/>
              <w:pageBreakBefore w:val="0"/>
              <w:widowControl/>
              <w:kinsoku/>
              <w:overflowPunct/>
              <w:topLinePunct w:val="0"/>
              <w:autoSpaceDE/>
              <w:autoSpaceDN/>
              <w:bidi w:val="0"/>
              <w:adjustRightInd/>
              <w:spacing w:line="350" w:lineRule="exact"/>
              <w:jc w:val="left"/>
              <w:textAlignment w:val="auto"/>
              <w:rPr>
                <w:rFonts w:ascii="宋体" w:hAnsi="宋体" w:cs="宋体"/>
                <w:color w:val="auto"/>
                <w:kern w:val="0"/>
                <w:sz w:val="22"/>
                <w:highlight w:val="none"/>
              </w:rPr>
            </w:pPr>
            <w:r>
              <w:rPr>
                <w:rFonts w:hint="eastAsia" w:ascii="宋体" w:hAnsi="宋体" w:cs="宋体"/>
                <w:color w:val="auto"/>
                <w:kern w:val="0"/>
                <w:sz w:val="22"/>
                <w:highlight w:val="none"/>
              </w:rPr>
              <w:t>2.投标人应于投标文件中提供货物的验收标准和检测办法，并在验收中提供采购人认可的相应检测手段，验收标准应符合中国有关的国家、地方、行业的标准，如若中标，经采购人确认后作为验收的依据。</w:t>
            </w:r>
          </w:p>
          <w:p>
            <w:pPr>
              <w:pStyle w:val="8"/>
              <w:keepNext w:val="0"/>
              <w:keepLines w:val="0"/>
              <w:pageBreakBefore w:val="0"/>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kern w:val="0"/>
                <w:sz w:val="22"/>
                <w:highlight w:val="none"/>
              </w:rPr>
              <w:t>3.如验收产生费用由中标人承担。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
                <w:bCs/>
                <w:color w:val="auto"/>
                <w:sz w:val="22"/>
                <w:highlight w:val="none"/>
              </w:rPr>
            </w:pPr>
            <w:r>
              <w:rPr>
                <w:rFonts w:hint="eastAsia" w:ascii="宋体" w:hAnsi="宋体" w:cs="宋体"/>
                <w:color w:val="auto"/>
                <w:kern w:val="0"/>
                <w:sz w:val="22"/>
                <w:highlight w:val="none"/>
              </w:rPr>
              <w:t>售后服务保障要求</w:t>
            </w:r>
          </w:p>
        </w:tc>
        <w:tc>
          <w:tcPr>
            <w:tcW w:w="767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pacing w:line="350" w:lineRule="exact"/>
              <w:jc w:val="left"/>
              <w:textAlignment w:val="auto"/>
              <w:rPr>
                <w:rFonts w:ascii="宋体" w:hAnsi="宋体" w:cs="宋体"/>
                <w:color w:val="auto"/>
                <w:sz w:val="22"/>
                <w:highlight w:val="none"/>
              </w:rPr>
            </w:pPr>
            <w:r>
              <w:rPr>
                <w:rFonts w:hint="eastAsia" w:ascii="宋体" w:hAnsi="宋体" w:cs="宋体"/>
                <w:color w:val="auto"/>
                <w:sz w:val="22"/>
                <w:highlight w:val="none"/>
              </w:rPr>
              <w:t>1.</w:t>
            </w:r>
            <w:r>
              <w:rPr>
                <w:rFonts w:hint="eastAsia" w:ascii="宋体" w:hAnsi="宋体" w:cs="宋体"/>
                <w:color w:val="auto"/>
                <w:kern w:val="0"/>
                <w:sz w:val="22"/>
                <w:highlight w:val="none"/>
              </w:rPr>
              <w:t>采访书目信息的准确、覆盖程度和时效性：投标人能提供的采访书目完整、准确，并符合本科及以上读者要求；书目信息的覆盖面达90%以上；提供的书目时效性强。</w:t>
            </w:r>
          </w:p>
          <w:p>
            <w:pPr>
              <w:keepNext w:val="0"/>
              <w:keepLines w:val="0"/>
              <w:pageBreakBefore w:val="0"/>
              <w:widowControl/>
              <w:kinsoku/>
              <w:overflowPunct/>
              <w:topLinePunct w:val="0"/>
              <w:autoSpaceDE/>
              <w:autoSpaceDN/>
              <w:bidi w:val="0"/>
              <w:adjustRightInd/>
              <w:spacing w:line="350" w:lineRule="exact"/>
              <w:jc w:val="left"/>
              <w:textAlignment w:val="auto"/>
              <w:rPr>
                <w:rFonts w:ascii="宋体" w:hAnsi="宋体" w:cs="宋体"/>
                <w:color w:val="auto"/>
                <w:sz w:val="22"/>
                <w:highlight w:val="none"/>
              </w:rPr>
            </w:pPr>
            <w:r>
              <w:rPr>
                <w:rFonts w:hint="eastAsia" w:ascii="宋体" w:hAnsi="宋体" w:cs="宋体"/>
                <w:color w:val="auto"/>
                <w:sz w:val="22"/>
                <w:highlight w:val="none"/>
              </w:rPr>
              <w:t>2.</w:t>
            </w:r>
            <w:r>
              <w:rPr>
                <w:rFonts w:hint="eastAsia" w:ascii="宋体" w:hAnsi="宋体" w:cs="宋体"/>
                <w:color w:val="auto"/>
                <w:kern w:val="0"/>
                <w:sz w:val="22"/>
                <w:highlight w:val="none"/>
              </w:rPr>
              <w:t>对图书馆自备书目采购及自定较窄主题采购的响应速度：对图书馆自备书目采购及自定较窄主题采购能在2天内响应，并提供相应采访书目。</w:t>
            </w:r>
          </w:p>
          <w:p>
            <w:pPr>
              <w:keepNext w:val="0"/>
              <w:keepLines w:val="0"/>
              <w:pageBreakBefore w:val="0"/>
              <w:widowControl/>
              <w:kinsoku/>
              <w:overflowPunct/>
              <w:topLinePunct w:val="0"/>
              <w:autoSpaceDE/>
              <w:autoSpaceDN/>
              <w:bidi w:val="0"/>
              <w:adjustRightInd/>
              <w:spacing w:line="350" w:lineRule="exact"/>
              <w:jc w:val="left"/>
              <w:textAlignment w:val="auto"/>
              <w:rPr>
                <w:rFonts w:ascii="宋体" w:hAnsi="宋体" w:cs="宋体"/>
                <w:color w:val="auto"/>
                <w:sz w:val="22"/>
                <w:highlight w:val="none"/>
              </w:rPr>
            </w:pPr>
            <w:r>
              <w:rPr>
                <w:rFonts w:hint="eastAsia" w:ascii="宋体" w:hAnsi="宋体" w:cs="宋体"/>
                <w:color w:val="auto"/>
                <w:sz w:val="22"/>
                <w:highlight w:val="none"/>
              </w:rPr>
              <w:t>3.</w:t>
            </w:r>
            <w:r>
              <w:rPr>
                <w:rFonts w:hint="eastAsia" w:ascii="宋体" w:hAnsi="宋体" w:cs="宋体"/>
                <w:color w:val="auto"/>
                <w:kern w:val="0"/>
                <w:sz w:val="22"/>
                <w:highlight w:val="none"/>
              </w:rPr>
              <w:t>对订单调整要求的反应能力：采购人订单调整要求（退订、减少或增加品种及订数）能在24小时内响应，并根据用户要求及时供货。</w:t>
            </w:r>
          </w:p>
          <w:p>
            <w:pPr>
              <w:keepNext w:val="0"/>
              <w:keepLines w:val="0"/>
              <w:pageBreakBefore w:val="0"/>
              <w:widowControl/>
              <w:kinsoku/>
              <w:overflowPunct/>
              <w:topLinePunct w:val="0"/>
              <w:autoSpaceDE/>
              <w:autoSpaceDN/>
              <w:bidi w:val="0"/>
              <w:adjustRightInd/>
              <w:spacing w:line="350" w:lineRule="exact"/>
              <w:jc w:val="left"/>
              <w:textAlignment w:val="auto"/>
              <w:rPr>
                <w:rFonts w:ascii="宋体" w:hAnsi="宋体" w:cs="宋体"/>
                <w:color w:val="auto"/>
                <w:sz w:val="22"/>
                <w:highlight w:val="none"/>
              </w:rPr>
            </w:pPr>
            <w:r>
              <w:rPr>
                <w:rFonts w:hint="eastAsia" w:ascii="宋体" w:hAnsi="宋体" w:cs="宋体"/>
                <w:color w:val="auto"/>
                <w:sz w:val="22"/>
                <w:highlight w:val="none"/>
              </w:rPr>
              <w:t>4.</w:t>
            </w:r>
            <w:r>
              <w:rPr>
                <w:rFonts w:hint="eastAsia" w:ascii="宋体" w:hAnsi="宋体" w:cs="宋体"/>
                <w:color w:val="auto"/>
                <w:kern w:val="0"/>
                <w:sz w:val="22"/>
                <w:highlight w:val="none"/>
              </w:rPr>
              <w:t>图书包装质量、运送及时性和搬运的到位程度：根据采购人提出的书目订单，物流标识清楚、避免混发不同报价、不同单位的图书以及漏发，将加工好的图书进行满足远距离运输、防湿和防破、装卸要求的包装后，及时送交采购人，并按指定位置摆放整齐，为此所发生的费用全部由投标人承担。在到达采购人指定地点前发生的不可预见的风险均由投标人负责。</w:t>
            </w:r>
          </w:p>
          <w:p>
            <w:pPr>
              <w:pStyle w:val="15"/>
              <w:keepNext w:val="0"/>
              <w:keepLines w:val="0"/>
              <w:pageBreakBefore w:val="0"/>
              <w:kinsoku/>
              <w:overflowPunct/>
              <w:topLinePunct w:val="0"/>
              <w:autoSpaceDE/>
              <w:autoSpaceDN/>
              <w:bidi w:val="0"/>
              <w:adjustRightInd/>
              <w:spacing w:after="0" w:line="350" w:lineRule="exact"/>
              <w:ind w:left="0" w:leftChars="0" w:right="0" w:rightChars="0"/>
              <w:textAlignment w:val="auto"/>
              <w:rPr>
                <w:rFonts w:ascii="宋体" w:hAnsi="宋体" w:cs="宋体"/>
                <w:color w:val="auto"/>
                <w:sz w:val="22"/>
                <w:highlight w:val="none"/>
              </w:rPr>
            </w:pPr>
            <w:r>
              <w:rPr>
                <w:rFonts w:hint="eastAsia" w:ascii="宋体" w:hAnsi="宋体" w:cs="宋体"/>
                <w:color w:val="auto"/>
                <w:kern w:val="0"/>
                <w:sz w:val="22"/>
                <w:highlight w:val="none"/>
              </w:rPr>
              <w:t>5.其他服务：为采购人的馆藏建设提供其它特色服务，且有实际意义。</w:t>
            </w:r>
          </w:p>
        </w:tc>
      </w:tr>
    </w:tbl>
    <w:p>
      <w:pPr>
        <w:keepNext w:val="0"/>
        <w:keepLines w:val="0"/>
        <w:pageBreakBefore w:val="0"/>
        <w:numPr>
          <w:ilvl w:val="0"/>
          <w:numId w:val="23"/>
        </w:numPr>
        <w:kinsoku/>
        <w:overflowPunct/>
        <w:topLinePunct w:val="0"/>
        <w:autoSpaceDE/>
        <w:autoSpaceDN/>
        <w:bidi w:val="0"/>
        <w:adjustRightInd/>
        <w:snapToGrid w:val="0"/>
        <w:spacing w:line="350" w:lineRule="exact"/>
        <w:textAlignment w:val="auto"/>
        <w:rPr>
          <w:rFonts w:ascii="宋体" w:hAnsi="宋体" w:cs="宋体"/>
          <w:b/>
          <w:color w:val="auto"/>
          <w:sz w:val="22"/>
          <w:highlight w:val="none"/>
        </w:rPr>
      </w:pPr>
      <w:r>
        <w:rPr>
          <w:rFonts w:hint="eastAsia" w:ascii="宋体" w:hAnsi="宋体" w:cs="宋体"/>
          <w:b/>
          <w:bCs/>
          <w:color w:val="auto"/>
          <w:spacing w:val="-6"/>
          <w:sz w:val="22"/>
          <w:highlight w:val="none"/>
        </w:rPr>
        <w:t>技术要求</w:t>
      </w:r>
    </w:p>
    <w:p>
      <w:pPr>
        <w:keepNext w:val="0"/>
        <w:keepLines w:val="0"/>
        <w:pageBreakBefore w:val="0"/>
        <w:kinsoku/>
        <w:overflowPunct/>
        <w:topLinePunct w:val="0"/>
        <w:autoSpaceDE/>
        <w:autoSpaceDN/>
        <w:bidi w:val="0"/>
        <w:adjustRightInd/>
        <w:spacing w:line="350" w:lineRule="exact"/>
        <w:ind w:left="400"/>
        <w:textAlignment w:val="auto"/>
        <w:rPr>
          <w:rFonts w:ascii="宋体" w:hAnsi="宋体" w:cs="宋体"/>
          <w:color w:val="auto"/>
          <w:sz w:val="22"/>
          <w:highlight w:val="none"/>
        </w:rPr>
      </w:pPr>
      <w:r>
        <w:rPr>
          <w:rFonts w:hint="eastAsia" w:ascii="宋体" w:hAnsi="宋体" w:cs="宋体"/>
          <w:color w:val="auto"/>
          <w:sz w:val="22"/>
          <w:highlight w:val="none"/>
        </w:rPr>
        <w:t>（一）标项明细：</w:t>
      </w:r>
    </w:p>
    <w:p>
      <w:pPr>
        <w:keepNext w:val="0"/>
        <w:keepLines w:val="0"/>
        <w:pageBreakBefore w:val="0"/>
        <w:kinsoku/>
        <w:overflowPunct/>
        <w:topLinePunct w:val="0"/>
        <w:autoSpaceDE/>
        <w:autoSpaceDN/>
        <w:bidi w:val="0"/>
        <w:adjustRightInd/>
        <w:spacing w:line="350" w:lineRule="exact"/>
        <w:ind w:firstLine="440" w:firstLineChars="200"/>
        <w:textAlignment w:val="auto"/>
        <w:rPr>
          <w:rFonts w:ascii="宋体" w:hAnsi="宋体" w:cs="宋体"/>
          <w:color w:val="auto"/>
          <w:sz w:val="22"/>
          <w:highlight w:val="none"/>
        </w:rPr>
      </w:pPr>
      <w:r>
        <w:rPr>
          <w:rFonts w:hint="eastAsia" w:ascii="宋体" w:hAnsi="宋体" w:cs="宋体"/>
          <w:color w:val="auto"/>
          <w:sz w:val="22"/>
          <w:highlight w:val="none"/>
        </w:rPr>
        <w:t>标项1：《中国图书馆分类法》（第五版）中的类号为A、B、C、D、E、F、G、H、I及其他读者急用与交叉学科的图书。</w:t>
      </w:r>
      <w:r>
        <w:rPr>
          <w:rFonts w:hint="eastAsia" w:ascii="宋体" w:hAnsi="宋体" w:cs="宋体"/>
          <w:color w:val="auto"/>
          <w:sz w:val="22"/>
          <w:highlight w:val="none"/>
        </w:rPr>
        <w:br w:type="textWrapping"/>
      </w:r>
      <w:r>
        <w:rPr>
          <w:rFonts w:hint="eastAsia" w:ascii="宋体" w:hAnsi="宋体" w:cs="宋体"/>
          <w:color w:val="auto"/>
          <w:sz w:val="22"/>
          <w:highlight w:val="none"/>
        </w:rPr>
        <w:t xml:space="preserve">    标项2：《中国图书馆分类法》（第五版）中的类号为J、K、N、O、P、Q、R、S、T、U、V、X、Z及其他读者急用与交叉学科的图书。</w:t>
      </w:r>
    </w:p>
    <w:p>
      <w:pPr>
        <w:keepNext w:val="0"/>
        <w:keepLines w:val="0"/>
        <w:pageBreakBefore w:val="0"/>
        <w:kinsoku/>
        <w:overflowPunct/>
        <w:topLinePunct w:val="0"/>
        <w:autoSpaceDE/>
        <w:autoSpaceDN/>
        <w:bidi w:val="0"/>
        <w:adjustRightInd/>
        <w:spacing w:line="350" w:lineRule="exact"/>
        <w:ind w:left="400"/>
        <w:textAlignment w:val="auto"/>
        <w:rPr>
          <w:rFonts w:ascii="宋体" w:hAnsi="宋体" w:cs="宋体"/>
          <w:color w:val="auto"/>
          <w:sz w:val="22"/>
          <w:highlight w:val="none"/>
        </w:rPr>
      </w:pPr>
      <w:r>
        <w:rPr>
          <w:rFonts w:hint="eastAsia" w:ascii="宋体" w:hAnsi="宋体" w:cs="宋体"/>
          <w:color w:val="auto"/>
          <w:sz w:val="22"/>
          <w:highlight w:val="none"/>
        </w:rPr>
        <w:t>（二）供书要求</w:t>
      </w:r>
      <w:r>
        <w:rPr>
          <w:rFonts w:hint="eastAsia" w:ascii="宋体" w:hAnsi="宋体" w:cs="宋体"/>
          <w:b/>
          <w:bCs/>
          <w:color w:val="auto"/>
          <w:spacing w:val="-6"/>
          <w:sz w:val="22"/>
          <w:highlight w:val="none"/>
        </w:rPr>
        <w:t>（</w:t>
      </w:r>
      <w:r>
        <w:rPr>
          <w:rFonts w:hint="eastAsia" w:ascii="宋体" w:hAnsi="宋体" w:cs="宋体"/>
          <w:b/>
          <w:bCs/>
          <w:color w:val="auto"/>
          <w:sz w:val="22"/>
          <w:highlight w:val="none"/>
        </w:rPr>
        <w:t>标项1和标项2</w:t>
      </w:r>
      <w:r>
        <w:rPr>
          <w:rFonts w:hint="eastAsia" w:ascii="宋体" w:hAnsi="宋体" w:cs="宋体"/>
          <w:b/>
          <w:bCs/>
          <w:color w:val="auto"/>
          <w:spacing w:val="-6"/>
          <w:sz w:val="22"/>
          <w:highlight w:val="none"/>
        </w:rPr>
        <w:t>）</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本项目中涉及采购物品为国内版中文纸质图书，采购范围应为近几年出版的正版优质图书，不包括调剂图书及特价图书。</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投标人必须完全按采购人指定的出版机构提供2019年以来出版的普通图书可供书目，投标人提供的可供图书品种的覆盖率占指定出版机构当年出版图书总量的90％，其中重点出版机构为95％。</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投标人保证提供满足采购人需求的核心出版社、专业出版社、重点出版社图书，不得以折扣高为借口而拒绝提供。</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投标人保证所供图书品种应当符合中华人民共和国相关的出版发行法律法规的规定，杜绝任何盗版及非法出版物或以次充好（注：用特价图书充当新书）。</w:t>
      </w:r>
      <w:r>
        <w:rPr>
          <w:rFonts w:hint="eastAsia" w:ascii="宋体" w:hAnsi="宋体" w:cs="宋体"/>
          <w:bCs/>
          <w:color w:val="auto"/>
          <w:sz w:val="22"/>
          <w:highlight w:val="none"/>
        </w:rPr>
        <w:t>一旦发现盗</w:t>
      </w:r>
      <w:r>
        <w:rPr>
          <w:rFonts w:hint="eastAsia" w:ascii="宋体" w:hAnsi="宋体" w:cs="宋体"/>
          <w:bCs/>
          <w:color w:val="auto"/>
          <w:sz w:val="22"/>
          <w:highlight w:val="none"/>
        </w:rPr>
        <w:t>版书，</w:t>
      </w:r>
      <w:r>
        <w:rPr>
          <w:rFonts w:hint="eastAsia" w:ascii="宋体" w:hAnsi="宋体" w:cs="宋体"/>
          <w:color w:val="auto"/>
          <w:sz w:val="22"/>
          <w:highlight w:val="none"/>
        </w:rPr>
        <w:t>经查实，投标人除该负社会和法律责任外，</w:t>
      </w:r>
      <w:r>
        <w:rPr>
          <w:rFonts w:hint="eastAsia" w:ascii="宋体" w:hAnsi="宋体" w:cs="宋体"/>
          <w:bCs/>
          <w:color w:val="auto"/>
          <w:sz w:val="22"/>
          <w:highlight w:val="none"/>
        </w:rPr>
        <w:t>将按图书码洋的十倍予以赔付，采购人有权立即终止合同；</w:t>
      </w:r>
      <w:r>
        <w:rPr>
          <w:rFonts w:hint="eastAsia" w:ascii="宋体" w:hAnsi="宋体" w:cs="宋体"/>
          <w:color w:val="auto"/>
          <w:sz w:val="22"/>
          <w:highlight w:val="none"/>
        </w:rPr>
        <w:t>由此而引起的一切法律责任和经济纠纷完全由投标人负责。</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kern w:val="0"/>
          <w:sz w:val="22"/>
          <w:highlight w:val="none"/>
        </w:rPr>
        <w:t>投标人</w:t>
      </w:r>
      <w:r>
        <w:rPr>
          <w:rFonts w:hint="eastAsia" w:ascii="宋体" w:hAnsi="宋体" w:cs="宋体"/>
          <w:color w:val="auto"/>
          <w:sz w:val="22"/>
          <w:highlight w:val="none"/>
        </w:rPr>
        <w:t>能按采购人的订购书目提供未经使用的正版图书。图书来源渠道较广，与全国大多数出版单位有供货关系，经营图书品种丰富（须提供全部出版单位的供货合同或授权书复印件）</w:t>
      </w:r>
      <w:r>
        <w:rPr>
          <w:rFonts w:hint="eastAsia" w:ascii="宋体" w:hAnsi="宋体" w:cs="宋体"/>
          <w:color w:val="auto"/>
          <w:sz w:val="22"/>
          <w:highlight w:val="none"/>
          <w:lang w:eastAsia="zh-CN"/>
        </w:rPr>
        <w:t>，</w:t>
      </w:r>
      <w:r>
        <w:rPr>
          <w:rFonts w:hint="eastAsia" w:ascii="宋体" w:hAnsi="宋体" w:cs="宋体"/>
          <w:color w:val="auto"/>
          <w:kern w:val="0"/>
          <w:sz w:val="22"/>
          <w:highlight w:val="none"/>
        </w:rPr>
        <w:t>投标人</w:t>
      </w:r>
      <w:r>
        <w:rPr>
          <w:rFonts w:hint="eastAsia" w:ascii="宋体" w:hAnsi="宋体" w:cs="宋体"/>
          <w:color w:val="auto"/>
          <w:sz w:val="22"/>
          <w:highlight w:val="none"/>
        </w:rPr>
        <w:t>能提供连续的新书订购服务。定期提供新书书目录，</w:t>
      </w:r>
      <w:r>
        <w:rPr>
          <w:rFonts w:hint="eastAsia" w:ascii="宋体" w:hAnsi="宋体" w:cs="宋体"/>
          <w:color w:val="auto"/>
          <w:kern w:val="0"/>
          <w:sz w:val="22"/>
          <w:highlight w:val="none"/>
        </w:rPr>
        <w:t>投标人</w:t>
      </w:r>
      <w:r>
        <w:rPr>
          <w:rFonts w:hint="eastAsia" w:ascii="宋体" w:hAnsi="宋体" w:cs="宋体"/>
          <w:color w:val="auto"/>
          <w:sz w:val="22"/>
          <w:highlight w:val="none"/>
        </w:rPr>
        <w:t>须严格按照采购人要求的格式（详见附表）提供目录。纸质图书每周一提供不少于500-2000条的新书目录数据。应完整收录核心出版社书目，每月信息量在5000以上。</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投标人应保证的图书到书率达到95%以上</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投标人应具有协助查重能力，避免出现重复配送。</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kern w:val="0"/>
          <w:sz w:val="22"/>
          <w:highlight w:val="none"/>
        </w:rPr>
      </w:pPr>
      <w:r>
        <w:rPr>
          <w:rFonts w:hint="eastAsia" w:ascii="宋体" w:hAnsi="宋体" w:cs="宋体"/>
          <w:color w:val="auto"/>
          <w:sz w:val="22"/>
          <w:highlight w:val="none"/>
        </w:rPr>
        <w:t>投标人应定期提供订不到图书订单反馈，反馈信息包括：书名、ISBN、价格、复本和出版社、以及采购人的批次号和订单号（必须）等信息，并以书面形式分析、说明原因。半年内无法配到的图书，采购人有权撤销订单</w:t>
      </w:r>
      <w:r>
        <w:rPr>
          <w:rFonts w:hint="eastAsia" w:ascii="宋体" w:hAnsi="宋体" w:cs="宋体"/>
          <w:color w:val="auto"/>
          <w:kern w:val="0"/>
          <w:sz w:val="22"/>
          <w:highlight w:val="none"/>
        </w:rPr>
        <w:t>，由此给采购人造成的各项损失或增加的各项费用（如折扣损失、邮费、数据费、加工费）等均由违约的供货商承担。</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配送到采购人的图书与订单不符、有污损、图文不清、缺页、缺附件等质量不合格的图书，一律予以退还，由此造成的损失由</w:t>
      </w:r>
      <w:r>
        <w:rPr>
          <w:rFonts w:hint="eastAsia" w:ascii="宋体" w:hAnsi="宋体" w:cs="宋体"/>
          <w:color w:val="auto"/>
          <w:kern w:val="0"/>
          <w:sz w:val="22"/>
          <w:highlight w:val="none"/>
        </w:rPr>
        <w:t>投标人</w:t>
      </w:r>
      <w:r>
        <w:rPr>
          <w:rFonts w:hint="eastAsia" w:ascii="宋体" w:hAnsi="宋体" w:cs="宋体"/>
          <w:color w:val="auto"/>
          <w:sz w:val="22"/>
          <w:highlight w:val="none"/>
        </w:rPr>
        <w:t>承担。</w:t>
      </w:r>
      <w:r>
        <w:rPr>
          <w:rFonts w:hint="eastAsia" w:ascii="宋体" w:hAnsi="宋体" w:cs="宋体"/>
          <w:color w:val="auto"/>
          <w:kern w:val="0"/>
          <w:sz w:val="22"/>
          <w:highlight w:val="none"/>
        </w:rPr>
        <w:t>若发现明显不适宜采购人收藏的图书，投标人应允许采购人无条件退还。</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投标人应承担投标及合约中应承担的全部责任与义务，不允许中标后将本次招标合同分包或转包。</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按同样报价批次配送图书，按批码放到指定地点，图书纸质清单要随书送到，每包图书要有编号，包内附一式二分清单。每批图书要有一式二分总清单，总清单内标明每种图书所在的包号。电子清单邮件即时发送，清单内容需规范，包含书名、ISBN、价格、复本和出版社、采购人的批次号和订单号（必须）等信息。包外单需标识总包数、包数、发货批次、折扣率、种数、册数、金额。</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投标人须提供符合国家财税法要求的售书发票，以实洋开票，并提供批次、种册数、折扣、码洋和实洋的盖章证明。</w:t>
      </w:r>
    </w:p>
    <w:p>
      <w:pPr>
        <w:keepNext w:val="0"/>
        <w:keepLines w:val="0"/>
        <w:pageBreakBefore w:val="0"/>
        <w:numPr>
          <w:ilvl w:val="0"/>
          <w:numId w:val="24"/>
        </w:numPr>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每半年对投标人按投标人服务承诺进行评估，并将评估结果通知投标人，若二个月内投标人对提出问题无相应的明显改进措施，取消投标人供书资格。</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应建有功能完善的专业化图书商务网站，提供用户名和密码，能通过ISBN（ISSN）、书名（刊名）、作者、出版社等多途径检索书目，辅助选书，在线订购，在线输出MARC记录，查重，可以通过采购人的批次号和订购号查找订单处理情况。</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临时补配：投标人应根据采购人的馆藏要求，提供图书临时补缺，补缺要求视具体情况另行约定。</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对于连续出版、多卷（集）的图书，投标人应负责为采购人提供后续出版的信息。</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配送时，投标人应匀速送货，在送货前与采购人协商确定具体的送货时间、批数，并提供免费送货与卸货服务，并按要求将图书放到指定地点。</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kern w:val="0"/>
          <w:sz w:val="22"/>
          <w:highlight w:val="none"/>
        </w:rPr>
        <w:t>投标人应根据采购人的订购情况建立“温州大学图书馆预订图书数据库”，有对采购人预订的图书进行查重的能力。采购人可以退回由于采访数据不完整而造成错订的图书。</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kern w:val="0"/>
          <w:sz w:val="22"/>
          <w:highlight w:val="none"/>
        </w:rPr>
        <w:t>投标人商务和技术文件中须提供《投标单位近二年内主要用户情况表》，格式如下：</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1614"/>
        <w:gridCol w:w="1790"/>
        <w:gridCol w:w="1440"/>
        <w:gridCol w:w="1620"/>
        <w:gridCol w:w="13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 w:type="dxa"/>
            <w:noWrap/>
          </w:tcPr>
          <w:p>
            <w:pPr>
              <w:keepNext w:val="0"/>
              <w:keepLines w:val="0"/>
              <w:pageBreakBefore w:val="0"/>
              <w:widowControl/>
              <w:kinsoku/>
              <w:overflowPunct/>
              <w:topLinePunct w:val="0"/>
              <w:autoSpaceDE/>
              <w:autoSpaceDN/>
              <w:bidi w:val="0"/>
              <w:adjustRightInd/>
              <w:spacing w:line="350" w:lineRule="exact"/>
              <w:jc w:val="center"/>
              <w:textAlignment w:val="auto"/>
              <w:rPr>
                <w:rFonts w:ascii="宋体" w:hAnsi="宋体" w:cs="宋体"/>
                <w:color w:val="auto"/>
                <w:kern w:val="0"/>
                <w:sz w:val="22"/>
                <w:highlight w:val="none"/>
              </w:rPr>
            </w:pPr>
            <w:r>
              <w:rPr>
                <w:rFonts w:hint="eastAsia" w:ascii="宋体" w:hAnsi="宋体" w:cs="宋体"/>
                <w:color w:val="auto"/>
                <w:kern w:val="0"/>
                <w:sz w:val="22"/>
                <w:highlight w:val="none"/>
              </w:rPr>
              <w:t>序号</w:t>
            </w:r>
          </w:p>
        </w:tc>
        <w:tc>
          <w:tcPr>
            <w:tcW w:w="1614" w:type="dxa"/>
            <w:noWrap/>
          </w:tcPr>
          <w:p>
            <w:pPr>
              <w:keepNext w:val="0"/>
              <w:keepLines w:val="0"/>
              <w:pageBreakBefore w:val="0"/>
              <w:widowControl/>
              <w:kinsoku/>
              <w:overflowPunct/>
              <w:topLinePunct w:val="0"/>
              <w:autoSpaceDE/>
              <w:autoSpaceDN/>
              <w:bidi w:val="0"/>
              <w:adjustRightInd/>
              <w:spacing w:line="350" w:lineRule="exact"/>
              <w:jc w:val="center"/>
              <w:textAlignment w:val="auto"/>
              <w:rPr>
                <w:rFonts w:ascii="宋体" w:hAnsi="宋体" w:cs="宋体"/>
                <w:color w:val="auto"/>
                <w:kern w:val="0"/>
                <w:sz w:val="22"/>
                <w:highlight w:val="none"/>
              </w:rPr>
            </w:pPr>
            <w:r>
              <w:rPr>
                <w:rFonts w:hint="eastAsia" w:ascii="宋体" w:hAnsi="宋体" w:cs="宋体"/>
                <w:color w:val="auto"/>
                <w:kern w:val="0"/>
                <w:sz w:val="22"/>
                <w:highlight w:val="none"/>
              </w:rPr>
              <w:t>单位名称</w:t>
            </w:r>
          </w:p>
        </w:tc>
        <w:tc>
          <w:tcPr>
            <w:tcW w:w="1790" w:type="dxa"/>
            <w:noWrap/>
          </w:tcPr>
          <w:p>
            <w:pPr>
              <w:keepNext w:val="0"/>
              <w:keepLines w:val="0"/>
              <w:pageBreakBefore w:val="0"/>
              <w:widowControl/>
              <w:kinsoku/>
              <w:overflowPunct/>
              <w:topLinePunct w:val="0"/>
              <w:autoSpaceDE/>
              <w:autoSpaceDN/>
              <w:bidi w:val="0"/>
              <w:adjustRightInd/>
              <w:spacing w:line="350" w:lineRule="exact"/>
              <w:jc w:val="center"/>
              <w:textAlignment w:val="auto"/>
              <w:rPr>
                <w:rFonts w:ascii="宋体" w:hAnsi="宋体" w:cs="宋体"/>
                <w:color w:val="auto"/>
                <w:kern w:val="0"/>
                <w:sz w:val="22"/>
                <w:highlight w:val="none"/>
              </w:rPr>
            </w:pPr>
            <w:r>
              <w:rPr>
                <w:rFonts w:hint="eastAsia" w:ascii="宋体" w:hAnsi="宋体" w:cs="宋体"/>
                <w:color w:val="auto"/>
                <w:kern w:val="0"/>
                <w:sz w:val="22"/>
                <w:highlight w:val="none"/>
              </w:rPr>
              <w:t>供应数量（册）</w:t>
            </w:r>
          </w:p>
        </w:tc>
        <w:tc>
          <w:tcPr>
            <w:tcW w:w="1440" w:type="dxa"/>
            <w:noWrap/>
          </w:tcPr>
          <w:p>
            <w:pPr>
              <w:keepNext w:val="0"/>
              <w:keepLines w:val="0"/>
              <w:pageBreakBefore w:val="0"/>
              <w:widowControl/>
              <w:kinsoku/>
              <w:overflowPunct/>
              <w:topLinePunct w:val="0"/>
              <w:autoSpaceDE/>
              <w:autoSpaceDN/>
              <w:bidi w:val="0"/>
              <w:adjustRightInd/>
              <w:spacing w:line="350" w:lineRule="exact"/>
              <w:jc w:val="center"/>
              <w:textAlignment w:val="auto"/>
              <w:rPr>
                <w:rFonts w:ascii="宋体" w:hAnsi="宋体" w:cs="宋体"/>
                <w:color w:val="auto"/>
                <w:kern w:val="0"/>
                <w:sz w:val="22"/>
                <w:highlight w:val="none"/>
              </w:rPr>
            </w:pPr>
            <w:r>
              <w:rPr>
                <w:rFonts w:hint="eastAsia" w:ascii="宋体" w:hAnsi="宋体" w:cs="宋体"/>
                <w:color w:val="auto"/>
                <w:kern w:val="0"/>
                <w:sz w:val="22"/>
                <w:highlight w:val="none"/>
              </w:rPr>
              <w:t>联系人</w:t>
            </w:r>
          </w:p>
        </w:tc>
        <w:tc>
          <w:tcPr>
            <w:tcW w:w="1620" w:type="dxa"/>
            <w:noWrap/>
          </w:tcPr>
          <w:p>
            <w:pPr>
              <w:keepNext w:val="0"/>
              <w:keepLines w:val="0"/>
              <w:pageBreakBefore w:val="0"/>
              <w:widowControl/>
              <w:kinsoku/>
              <w:overflowPunct/>
              <w:topLinePunct w:val="0"/>
              <w:autoSpaceDE/>
              <w:autoSpaceDN/>
              <w:bidi w:val="0"/>
              <w:adjustRightInd/>
              <w:spacing w:line="350" w:lineRule="exact"/>
              <w:jc w:val="center"/>
              <w:textAlignment w:val="auto"/>
              <w:rPr>
                <w:rFonts w:ascii="宋体" w:hAnsi="宋体" w:cs="宋体"/>
                <w:color w:val="auto"/>
                <w:kern w:val="0"/>
                <w:sz w:val="22"/>
                <w:highlight w:val="none"/>
              </w:rPr>
            </w:pPr>
            <w:r>
              <w:rPr>
                <w:rFonts w:hint="eastAsia" w:ascii="宋体" w:hAnsi="宋体" w:cs="宋体"/>
                <w:color w:val="auto"/>
                <w:kern w:val="0"/>
                <w:sz w:val="22"/>
                <w:highlight w:val="none"/>
              </w:rPr>
              <w:t>联系电话</w:t>
            </w:r>
          </w:p>
        </w:tc>
        <w:tc>
          <w:tcPr>
            <w:tcW w:w="1338" w:type="dxa"/>
            <w:noWrap/>
          </w:tcPr>
          <w:p>
            <w:pPr>
              <w:keepNext w:val="0"/>
              <w:keepLines w:val="0"/>
              <w:pageBreakBefore w:val="0"/>
              <w:widowControl/>
              <w:kinsoku/>
              <w:overflowPunct/>
              <w:topLinePunct w:val="0"/>
              <w:autoSpaceDE/>
              <w:autoSpaceDN/>
              <w:bidi w:val="0"/>
              <w:adjustRightInd/>
              <w:spacing w:line="350" w:lineRule="exact"/>
              <w:jc w:val="center"/>
              <w:textAlignment w:val="auto"/>
              <w:rPr>
                <w:rFonts w:ascii="宋体" w:hAnsi="宋体" w:cs="宋体"/>
                <w:color w:val="auto"/>
                <w:kern w:val="0"/>
                <w:sz w:val="22"/>
                <w:highlight w:val="none"/>
              </w:rPr>
            </w:pPr>
            <w:r>
              <w:rPr>
                <w:rFonts w:hint="eastAsia" w:ascii="宋体" w:hAnsi="宋体" w:cs="宋体"/>
                <w:color w:val="auto"/>
                <w:kern w:val="0"/>
                <w:sz w:val="22"/>
                <w:highlight w:val="none"/>
              </w:rPr>
              <w:t>供应时间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c>
          <w:tcPr>
            <w:tcW w:w="1614"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c>
          <w:tcPr>
            <w:tcW w:w="1790"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c>
          <w:tcPr>
            <w:tcW w:w="1440"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c>
          <w:tcPr>
            <w:tcW w:w="1620"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c>
          <w:tcPr>
            <w:tcW w:w="1338"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c>
          <w:tcPr>
            <w:tcW w:w="1614"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c>
          <w:tcPr>
            <w:tcW w:w="1790"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c>
          <w:tcPr>
            <w:tcW w:w="1440"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c>
          <w:tcPr>
            <w:tcW w:w="1620"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c>
          <w:tcPr>
            <w:tcW w:w="1338" w:type="dxa"/>
            <w:noWrap/>
          </w:tcPr>
          <w:p>
            <w:pPr>
              <w:keepNext w:val="0"/>
              <w:keepLines w:val="0"/>
              <w:pageBreakBefore w:val="0"/>
              <w:widowControl/>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p>
        </w:tc>
      </w:tr>
    </w:tbl>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投标人能提供符合国家财税法律规定要求的售书发票。</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投标人在收到图书订单后应及时回复，确认是否收到订单，并按采购人提出的书目及包装要求，将加工好的图书及时送交到采购人指定地点，为此所发生的费用全部由投标人承担。</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必须按采购人订购的图书品种、数量及时供货，除取消出版、出版变更或发生影响协议履行的不可抗力事情外，若不能按时供货的图书种数或册数超过订单订购数的20%即可认定该投标人不具备供货条件。一旦采购人提出终止供货的要求，该投标人必须接受，终止供货造成的损失由投标人承担。为尽可能消除因投标人不能按协议规定要求供货所造成的影响，采购人有权采取相应的补救措施（如直接向出版商邮购图书或向其他供货商补订图书），由此给采购人造成的各项损失或增加的各项费用（如折扣损失、邮费、数据费、加工费）等均由违约的供货商承担。</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投标人不得更换图书订单，不得搭配非采购人订购的图书。</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若到书与订单不符，应予以退货；经确认，若因投标人提供的信息有误造成错订、重订，需无条件予以退货，不能以已加工为理由拒绝，由此造成的损失及费用全部由投标人承担；若发现有与订单不符、污损、图文不清、缺页、倒页、缺附件、装订、排版等质量问题，一律无条件予以退还，不能以已加工为理由拒绝，由此造成的损失及费用全部由投标人承担。</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定购价格与实际价格有较大出入的；订单层次与规定不符的；单册价格昂贵（纸质图书&gt;人民币200元）且复本大于2册的；复本量过大的；特殊版本（活页、64及以下开本、随书配送磁带另外收费的）以及其他特殊情况，须经采购人确认后安排采购。</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按图书40册左右打包，图书打包时外包装应采用防水材料，按“井”字形打包。</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发往采购人的图书，每包图书重量一般不得超过20kg；图书清单一式二份，用碳素复写纸打印，一份封装于图书包内，一份交送纸质图书采访人员；每册图书在包中的封装顺序应与图书清单顺序一致，即开包后清单中的第一本图书应该处于封面朝上的第一位置，其他类推；授权影印版西文图书，按西文图书加工配送USMARC，具体见外文图书加工要求，并独立包装、独立设批次。其它具体包装与运输要求见附件中图书配送要求。</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图书纸质清单、电子清单及编目数据要随书送到（清单格式详见附表），每包图书要有编号，包内附一式2份总清单（随该批图书同时到达），总清单内标明每种图书所在的包号。同种图书必须同一批到馆，并放在同一个包内。电子清单应在配货时同时发送（电子清单的格式除包含纸质清单的内容，还需增加“折扣”和“实洋”）。编目数据根据calis标准制作，并于图书批次相对应。包外单需标识总包数、包数、发货批次、折扣率、种数、册数、金额。</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投标人应设立专职岗位，保证售后服务有序进行。不论图书本身及加工质量等方面的问题，投标人应在收到信息2小时内响应，</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凡交到采购人的图书，以图书定价作为计算书款的依据，经验收发现书款与发货单不符的，采购人及时通知投标人派员到验收地核算，投标人接到通知之日起10个工作日内不能派员核算的，以采购人验收的实际数额计算书款金额。</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到馆加工的要求</w:t>
      </w:r>
    </w:p>
    <w:p>
      <w:pPr>
        <w:keepNext w:val="0"/>
        <w:keepLines w:val="0"/>
        <w:pageBreakBefore w:val="0"/>
        <w:numPr>
          <w:ilvl w:val="0"/>
          <w:numId w:val="25"/>
        </w:numPr>
        <w:tabs>
          <w:tab w:val="left" w:pos="540"/>
        </w:tabs>
        <w:kinsoku/>
        <w:overflowPunct/>
        <w:topLinePunct w:val="0"/>
        <w:autoSpaceDE/>
        <w:autoSpaceDN/>
        <w:bidi w:val="0"/>
        <w:adjustRightInd/>
        <w:spacing w:line="350" w:lineRule="exact"/>
        <w:ind w:firstLine="440" w:firstLineChars="200"/>
        <w:textAlignment w:val="auto"/>
        <w:rPr>
          <w:rFonts w:ascii="宋体" w:hAnsi="宋体" w:cs="宋体"/>
          <w:color w:val="auto"/>
          <w:sz w:val="22"/>
          <w:highlight w:val="none"/>
          <w:lang w:val="zh-CN"/>
        </w:rPr>
      </w:pPr>
      <w:r>
        <w:rPr>
          <w:rFonts w:hint="eastAsia" w:ascii="宋体" w:hAnsi="宋体" w:cs="宋体"/>
          <w:color w:val="auto"/>
          <w:kern w:val="0"/>
          <w:sz w:val="22"/>
          <w:highlight w:val="none"/>
        </w:rPr>
        <w:t>每本书</w:t>
      </w:r>
      <w:r>
        <w:rPr>
          <w:rFonts w:hint="eastAsia" w:ascii="宋体" w:hAnsi="宋体" w:cs="宋体"/>
          <w:color w:val="auto"/>
          <w:sz w:val="22"/>
          <w:highlight w:val="none"/>
          <w:lang w:val="zh-CN"/>
        </w:rPr>
        <w:t>加盖馆藏章2个。颜色：蓝色。位置：书口中间位置一个，书名页中间空白处一个。要求字迹清晰。</w:t>
      </w:r>
      <w:r>
        <w:rPr>
          <w:rFonts w:hint="eastAsia" w:ascii="宋体" w:hAnsi="宋体" w:cs="宋体"/>
          <w:color w:val="auto"/>
          <w:kern w:val="0"/>
          <w:sz w:val="22"/>
          <w:highlight w:val="none"/>
        </w:rPr>
        <w:t>材料由中标人提供，</w:t>
      </w:r>
      <w:r>
        <w:rPr>
          <w:rFonts w:hint="eastAsia" w:ascii="宋体" w:hAnsi="宋体" w:cs="宋体"/>
          <w:color w:val="auto"/>
          <w:sz w:val="22"/>
          <w:highlight w:val="none"/>
          <w:lang w:val="zh-CN"/>
        </w:rPr>
        <w:t>馆藏章样式由采购人提供。含光盘的图书，须在图书的指定位置（即条码边上）盖上红色的“含光盘”字样，字样由采购人提供。</w:t>
      </w:r>
    </w:p>
    <w:p>
      <w:pPr>
        <w:keepNext w:val="0"/>
        <w:keepLines w:val="0"/>
        <w:pageBreakBefore w:val="0"/>
        <w:numPr>
          <w:ilvl w:val="0"/>
          <w:numId w:val="25"/>
        </w:numPr>
        <w:tabs>
          <w:tab w:val="left" w:pos="540"/>
        </w:tabs>
        <w:kinsoku/>
        <w:overflowPunct/>
        <w:topLinePunct w:val="0"/>
        <w:autoSpaceDE/>
        <w:autoSpaceDN/>
        <w:bidi w:val="0"/>
        <w:adjustRightInd/>
        <w:spacing w:line="350" w:lineRule="exact"/>
        <w:ind w:firstLine="440" w:firstLineChars="200"/>
        <w:textAlignment w:val="auto"/>
        <w:rPr>
          <w:rFonts w:ascii="宋体" w:hAnsi="宋体" w:cs="宋体"/>
          <w:color w:val="auto"/>
          <w:sz w:val="22"/>
          <w:highlight w:val="none"/>
          <w:lang w:val="zh-CN"/>
        </w:rPr>
      </w:pPr>
      <w:r>
        <w:rPr>
          <w:rFonts w:hint="eastAsia" w:ascii="宋体" w:hAnsi="宋体" w:cs="宋体"/>
          <w:color w:val="auto"/>
          <w:sz w:val="22"/>
          <w:highlight w:val="none"/>
          <w:lang w:val="zh-CN"/>
        </w:rPr>
        <w:t>进口的3M磁条，规格：B2，钴基16cm复合磁条（优等品）。磁条由中标人提供，一般1本书只加1根磁条，但超过500页的图书，要加2根磁条。磁条紧贴书缝装订线安放，最大间隙不超过0.5毫米，要求隐蔽性好，不易发现。如能翻检到磁条，则要求再加涂一细条白乳胶。</w:t>
      </w:r>
    </w:p>
    <w:p>
      <w:pPr>
        <w:keepNext w:val="0"/>
        <w:keepLines w:val="0"/>
        <w:pageBreakBefore w:val="0"/>
        <w:numPr>
          <w:ilvl w:val="0"/>
          <w:numId w:val="25"/>
        </w:numPr>
        <w:tabs>
          <w:tab w:val="left" w:pos="540"/>
        </w:tabs>
        <w:kinsoku/>
        <w:overflowPunct/>
        <w:topLinePunct w:val="0"/>
        <w:autoSpaceDE/>
        <w:autoSpaceDN/>
        <w:bidi w:val="0"/>
        <w:adjustRightInd/>
        <w:spacing w:line="350" w:lineRule="exact"/>
        <w:ind w:firstLine="440" w:firstLineChars="200"/>
        <w:textAlignment w:val="auto"/>
        <w:rPr>
          <w:rFonts w:ascii="宋体" w:hAnsi="宋体" w:cs="宋体"/>
          <w:color w:val="auto"/>
          <w:sz w:val="22"/>
          <w:highlight w:val="none"/>
          <w:lang w:val="zh-CN"/>
        </w:rPr>
      </w:pPr>
      <w:r>
        <w:rPr>
          <w:rFonts w:hint="eastAsia" w:ascii="宋体" w:hAnsi="宋体" w:cs="宋体"/>
          <w:color w:val="auto"/>
          <w:sz w:val="22"/>
          <w:highlight w:val="none"/>
          <w:lang w:val="zh-CN"/>
        </w:rPr>
        <w:t>按采购人要求，每本书中贴2个条形码，贴于书名页的书名右上方空白处及封底前一页，条码的起始范围由采购人指定，</w:t>
      </w:r>
      <w:r>
        <w:rPr>
          <w:rFonts w:hint="eastAsia" w:ascii="宋体" w:hAnsi="宋体" w:cs="宋体"/>
          <w:color w:val="auto"/>
          <w:kern w:val="0"/>
          <w:sz w:val="22"/>
          <w:highlight w:val="none"/>
        </w:rPr>
        <w:t>材料由中标人提供</w:t>
      </w:r>
      <w:r>
        <w:rPr>
          <w:rFonts w:hint="eastAsia" w:ascii="宋体" w:hAnsi="宋体" w:cs="宋体"/>
          <w:color w:val="auto"/>
          <w:sz w:val="22"/>
          <w:highlight w:val="none"/>
          <w:lang w:val="zh-CN"/>
        </w:rPr>
        <w:t>。</w:t>
      </w:r>
    </w:p>
    <w:p>
      <w:pPr>
        <w:keepNext w:val="0"/>
        <w:keepLines w:val="0"/>
        <w:pageBreakBefore w:val="0"/>
        <w:numPr>
          <w:ilvl w:val="0"/>
          <w:numId w:val="25"/>
        </w:numPr>
        <w:tabs>
          <w:tab w:val="left" w:pos="540"/>
        </w:tabs>
        <w:kinsoku/>
        <w:overflowPunct/>
        <w:topLinePunct w:val="0"/>
        <w:autoSpaceDE/>
        <w:autoSpaceDN/>
        <w:bidi w:val="0"/>
        <w:adjustRightInd/>
        <w:spacing w:line="350" w:lineRule="exact"/>
        <w:ind w:firstLine="440" w:firstLineChars="200"/>
        <w:textAlignment w:val="auto"/>
        <w:rPr>
          <w:rFonts w:ascii="宋体" w:hAnsi="宋体" w:cs="宋体"/>
          <w:color w:val="auto"/>
          <w:sz w:val="22"/>
          <w:highlight w:val="none"/>
          <w:lang w:val="zh-CN"/>
        </w:rPr>
      </w:pPr>
      <w:r>
        <w:rPr>
          <w:rFonts w:hint="eastAsia" w:ascii="宋体" w:hAnsi="宋体" w:cs="宋体"/>
          <w:color w:val="auto"/>
          <w:kern w:val="0"/>
          <w:sz w:val="22"/>
          <w:highlight w:val="none"/>
        </w:rPr>
        <w:t>划书标线、打印、张贴书标、书标膜、图书类型标识：按采购人要求，材料由中标人提供，</w:t>
      </w:r>
      <w:r>
        <w:rPr>
          <w:rFonts w:hint="eastAsia" w:ascii="宋体" w:hAnsi="宋体" w:cs="宋体"/>
          <w:color w:val="auto"/>
          <w:sz w:val="22"/>
          <w:highlight w:val="none"/>
          <w:lang w:val="zh-CN"/>
        </w:rPr>
        <w:t>每本书只贴1个书标，书标贴在书脊上，高度为距书的底边约3.6CM，并覆盖透明书标膜。</w:t>
      </w:r>
    </w:p>
    <w:p>
      <w:pPr>
        <w:keepNext w:val="0"/>
        <w:keepLines w:val="0"/>
        <w:pageBreakBefore w:val="0"/>
        <w:numPr>
          <w:ilvl w:val="0"/>
          <w:numId w:val="25"/>
        </w:numPr>
        <w:tabs>
          <w:tab w:val="left" w:pos="540"/>
        </w:tabs>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r>
        <w:rPr>
          <w:rFonts w:hint="eastAsia" w:ascii="宋体" w:hAnsi="宋体" w:cs="宋体"/>
          <w:color w:val="auto"/>
          <w:kern w:val="0"/>
          <w:sz w:val="22"/>
          <w:highlight w:val="none"/>
        </w:rPr>
        <w:t>对价格：拆包、核对清单、逐册核对价格、按批核对总帐。</w:t>
      </w:r>
    </w:p>
    <w:p>
      <w:pPr>
        <w:keepNext w:val="0"/>
        <w:keepLines w:val="0"/>
        <w:pageBreakBefore w:val="0"/>
        <w:numPr>
          <w:ilvl w:val="0"/>
          <w:numId w:val="25"/>
        </w:numPr>
        <w:tabs>
          <w:tab w:val="left" w:pos="540"/>
        </w:tabs>
        <w:kinsoku/>
        <w:overflowPunct/>
        <w:topLinePunct w:val="0"/>
        <w:autoSpaceDE/>
        <w:autoSpaceDN/>
        <w:bidi w:val="0"/>
        <w:adjustRightInd/>
        <w:spacing w:line="350" w:lineRule="exact"/>
        <w:ind w:firstLine="440" w:firstLineChars="200"/>
        <w:textAlignment w:val="auto"/>
        <w:rPr>
          <w:rFonts w:ascii="宋体" w:hAnsi="宋体" w:cs="宋体"/>
          <w:color w:val="auto"/>
          <w:kern w:val="0"/>
          <w:sz w:val="22"/>
          <w:highlight w:val="none"/>
        </w:rPr>
      </w:pPr>
      <w:r>
        <w:rPr>
          <w:rFonts w:hint="eastAsia" w:ascii="宋体" w:hAnsi="宋体" w:cs="宋体"/>
          <w:color w:val="auto"/>
          <w:kern w:val="0"/>
          <w:sz w:val="22"/>
          <w:highlight w:val="none"/>
        </w:rPr>
        <w:t>数据加工：分类（标识索取号）、编目、典藏、馆藏分流（多个馆藏地）：按采购人要求，包括图书分类审验、编目套录、典藏入库。</w:t>
      </w:r>
    </w:p>
    <w:p>
      <w:pPr>
        <w:keepNext w:val="0"/>
        <w:keepLines w:val="0"/>
        <w:pageBreakBefore w:val="0"/>
        <w:numPr>
          <w:ilvl w:val="0"/>
          <w:numId w:val="25"/>
        </w:numPr>
        <w:tabs>
          <w:tab w:val="left" w:pos="540"/>
        </w:tabs>
        <w:kinsoku/>
        <w:overflowPunct/>
        <w:topLinePunct w:val="0"/>
        <w:autoSpaceDE/>
        <w:autoSpaceDN/>
        <w:bidi w:val="0"/>
        <w:adjustRightInd/>
        <w:spacing w:line="350" w:lineRule="exact"/>
        <w:ind w:firstLine="440" w:firstLineChars="200"/>
        <w:textAlignment w:val="auto"/>
        <w:rPr>
          <w:rFonts w:ascii="宋体" w:hAnsi="宋体" w:cs="宋体"/>
          <w:color w:val="auto"/>
          <w:highlight w:val="none"/>
          <w:lang w:val="zh-CN"/>
        </w:rPr>
      </w:pPr>
      <w:r>
        <w:rPr>
          <w:rFonts w:hint="eastAsia" w:ascii="宋体" w:hAnsi="宋体" w:cs="宋体"/>
          <w:color w:val="auto"/>
          <w:kern w:val="0"/>
          <w:sz w:val="22"/>
          <w:highlight w:val="none"/>
        </w:rPr>
        <w:t>上架，核对数量，部份打包：按采购人要求。</w:t>
      </w:r>
    </w:p>
    <w:p>
      <w:pPr>
        <w:keepNext w:val="0"/>
        <w:keepLines w:val="0"/>
        <w:pageBreakBefore w:val="0"/>
        <w:tabs>
          <w:tab w:val="left" w:pos="540"/>
        </w:tabs>
        <w:kinsoku/>
        <w:overflowPunct/>
        <w:topLinePunct w:val="0"/>
        <w:autoSpaceDE/>
        <w:autoSpaceDN/>
        <w:bidi w:val="0"/>
        <w:adjustRightInd/>
        <w:spacing w:line="350" w:lineRule="exact"/>
        <w:ind w:firstLine="440" w:firstLineChars="200"/>
        <w:textAlignment w:val="auto"/>
        <w:rPr>
          <w:rFonts w:ascii="宋体" w:hAnsi="宋体" w:cs="宋体"/>
          <w:color w:val="auto"/>
          <w:highlight w:val="none"/>
          <w:lang w:val="zh-CN"/>
        </w:rPr>
      </w:pPr>
      <w:r>
        <w:rPr>
          <w:rFonts w:hint="eastAsia" w:ascii="宋体" w:hAnsi="宋体" w:cs="宋体"/>
          <w:color w:val="auto"/>
          <w:kern w:val="0"/>
          <w:sz w:val="22"/>
          <w:highlight w:val="none"/>
        </w:rPr>
        <w:t>注：</w:t>
      </w:r>
      <w:r>
        <w:rPr>
          <w:rFonts w:hint="eastAsia" w:ascii="宋体" w:hAnsi="宋体" w:cs="宋体"/>
          <w:b/>
          <w:bCs/>
          <w:color w:val="auto"/>
          <w:sz w:val="22"/>
          <w:highlight w:val="none"/>
        </w:rPr>
        <w:t>到馆全加工服务及费用：为了确保MACR数据的准确性、系统性，到馆全加工服务实行委托一家投标人承接的方式进行（本项目由标项一的中标人承接，如标项一的中标人放弃且经采购人同意的，则由标项二的中标人承接。</w:t>
      </w:r>
      <w:r>
        <w:rPr>
          <w:rFonts w:hint="eastAsia" w:ascii="宋体" w:hAnsi="宋体" w:cs="宋体"/>
          <w:b/>
          <w:bCs/>
          <w:color w:val="auto"/>
          <w:sz w:val="22"/>
          <w:highlight w:val="none"/>
        </w:rPr>
        <w:t>中标人在合同签订前必须与承接到管加工服务的公司签订委托加工协议。）。加工价格为每册</w:t>
      </w:r>
      <w:r>
        <w:rPr>
          <w:rFonts w:hint="eastAsia" w:ascii="宋体" w:hAnsi="宋体" w:cs="宋体"/>
          <w:b/>
          <w:bCs/>
          <w:color w:val="auto"/>
          <w:sz w:val="22"/>
          <w:highlight w:val="none"/>
          <w:u w:val="single"/>
        </w:rPr>
        <w:t xml:space="preserve">2.95 </w:t>
      </w:r>
      <w:r>
        <w:rPr>
          <w:rFonts w:hint="eastAsia" w:ascii="宋体" w:hAnsi="宋体" w:cs="宋体"/>
          <w:b/>
          <w:bCs/>
          <w:color w:val="auto"/>
          <w:sz w:val="22"/>
          <w:highlight w:val="none"/>
        </w:rPr>
        <w:t>元（承担所有材料成本，按册结算）</w:t>
      </w:r>
      <w:r>
        <w:rPr>
          <w:rFonts w:hint="eastAsia" w:ascii="宋体" w:hAnsi="宋体" w:cs="宋体"/>
          <w:b/>
          <w:bCs/>
          <w:color w:val="auto"/>
          <w:sz w:val="22"/>
          <w:highlight w:val="none"/>
        </w:rPr>
        <w:t>，到馆全加工服务费用包含在投标报价内，投标人报价时综合考虑。</w:t>
      </w:r>
    </w:p>
    <w:p>
      <w:pPr>
        <w:keepNext w:val="0"/>
        <w:keepLines w:val="0"/>
        <w:pageBreakBefore w:val="0"/>
        <w:tabs>
          <w:tab w:val="left" w:pos="360"/>
        </w:tabs>
        <w:kinsoku/>
        <w:overflowPunct/>
        <w:topLinePunct w:val="0"/>
        <w:autoSpaceDE/>
        <w:autoSpaceDN/>
        <w:bidi w:val="0"/>
        <w:adjustRightInd/>
        <w:spacing w:line="350" w:lineRule="exact"/>
        <w:ind w:left="400"/>
        <w:textAlignment w:val="auto"/>
        <w:rPr>
          <w:rFonts w:ascii="宋体" w:hAnsi="宋体" w:cs="宋体"/>
          <w:color w:val="auto"/>
          <w:sz w:val="22"/>
          <w:highlight w:val="none"/>
        </w:rPr>
      </w:pPr>
      <w:r>
        <w:rPr>
          <w:rFonts w:hint="eastAsia" w:ascii="宋体" w:hAnsi="宋体" w:cs="宋体"/>
          <w:color w:val="auto"/>
          <w:sz w:val="22"/>
          <w:highlight w:val="none"/>
        </w:rPr>
        <w:t>33.订单发放及其他要求：</w:t>
      </w:r>
    </w:p>
    <w:p>
      <w:pPr>
        <w:keepNext w:val="0"/>
        <w:keepLines w:val="0"/>
        <w:pageBreakBefore w:val="0"/>
        <w:kinsoku/>
        <w:overflowPunct/>
        <w:topLinePunct w:val="0"/>
        <w:autoSpaceDE/>
        <w:autoSpaceDN/>
        <w:bidi w:val="0"/>
        <w:adjustRightInd/>
        <w:spacing w:line="350" w:lineRule="exact"/>
        <w:ind w:firstLine="440" w:firstLineChars="200"/>
        <w:textAlignment w:val="auto"/>
        <w:rPr>
          <w:rFonts w:ascii="宋体" w:hAnsi="宋体" w:cs="宋体"/>
          <w:color w:val="auto"/>
          <w:sz w:val="22"/>
          <w:highlight w:val="none"/>
          <w:u w:val="single"/>
        </w:rPr>
      </w:pPr>
      <w:r>
        <w:rPr>
          <w:rFonts w:hint="eastAsia" w:ascii="宋体" w:hAnsi="宋体" w:cs="宋体"/>
          <w:color w:val="auto"/>
          <w:sz w:val="22"/>
          <w:highlight w:val="none"/>
          <w:u w:val="single"/>
        </w:rPr>
        <w:t>▲本项目分2个标项。每个标项确定1家中标人发放订单</w:t>
      </w:r>
      <w:r>
        <w:rPr>
          <w:rFonts w:hint="eastAsia" w:ascii="宋体" w:hAnsi="宋体" w:cs="宋体"/>
          <w:color w:val="auto"/>
          <w:sz w:val="22"/>
          <w:highlight w:val="none"/>
          <w:u w:val="single"/>
          <w:lang w:val="zh-CN"/>
        </w:rPr>
        <w:t>（</w:t>
      </w:r>
      <w:r>
        <w:rPr>
          <w:rFonts w:hint="eastAsia" w:ascii="宋体" w:hAnsi="宋体" w:cs="宋体"/>
          <w:color w:val="auto"/>
          <w:sz w:val="22"/>
          <w:highlight w:val="none"/>
          <w:u w:val="single"/>
        </w:rPr>
        <w:t>投标人可对以上2个标项同时提出投标申请，也可仅选择参与1个标项的投标，但只可中标一个标项</w:t>
      </w:r>
      <w:r>
        <w:rPr>
          <w:rFonts w:hint="eastAsia" w:ascii="宋体" w:hAnsi="宋体" w:cs="宋体"/>
          <w:color w:val="auto"/>
          <w:sz w:val="22"/>
          <w:highlight w:val="none"/>
          <w:u w:val="single"/>
          <w:lang w:val="zh-CN"/>
        </w:rPr>
        <w:t>）。</w:t>
      </w:r>
    </w:p>
    <w:p>
      <w:pPr>
        <w:keepNext w:val="0"/>
        <w:keepLines w:val="0"/>
        <w:pageBreakBefore w:val="0"/>
        <w:numPr>
          <w:ilvl w:val="0"/>
          <w:numId w:val="24"/>
        </w:numPr>
        <w:tabs>
          <w:tab w:val="left" w:pos="360"/>
        </w:tabs>
        <w:kinsoku/>
        <w:overflowPunct/>
        <w:topLinePunct w:val="0"/>
        <w:autoSpaceDE/>
        <w:autoSpaceDN/>
        <w:bidi w:val="0"/>
        <w:adjustRightInd/>
        <w:spacing w:line="350" w:lineRule="exact"/>
        <w:textAlignment w:val="auto"/>
        <w:rPr>
          <w:rFonts w:ascii="宋体" w:hAnsi="宋体" w:cs="宋体"/>
          <w:color w:val="auto"/>
          <w:sz w:val="22"/>
          <w:highlight w:val="none"/>
        </w:rPr>
      </w:pPr>
      <w:r>
        <w:rPr>
          <w:rFonts w:hint="eastAsia" w:ascii="宋体" w:hAnsi="宋体" w:cs="宋体"/>
          <w:color w:val="auto"/>
          <w:sz w:val="22"/>
          <w:highlight w:val="none"/>
        </w:rPr>
        <w:t>订单发放及其他要求：</w:t>
      </w:r>
    </w:p>
    <w:p>
      <w:pPr>
        <w:keepNext w:val="0"/>
        <w:keepLines w:val="0"/>
        <w:pageBreakBefore w:val="0"/>
        <w:tabs>
          <w:tab w:val="left" w:pos="360"/>
        </w:tabs>
        <w:kinsoku/>
        <w:overflowPunct/>
        <w:topLinePunct w:val="0"/>
        <w:autoSpaceDE/>
        <w:autoSpaceDN/>
        <w:bidi w:val="0"/>
        <w:adjustRightInd/>
        <w:spacing w:line="350" w:lineRule="exact"/>
        <w:ind w:firstLine="440" w:firstLineChars="200"/>
        <w:textAlignment w:val="auto"/>
        <w:rPr>
          <w:rFonts w:ascii="宋体" w:hAnsi="宋体" w:cs="宋体"/>
          <w:color w:val="auto"/>
          <w:sz w:val="22"/>
          <w:highlight w:val="none"/>
        </w:rPr>
      </w:pPr>
      <w:r>
        <w:rPr>
          <w:rFonts w:hint="eastAsia" w:ascii="宋体" w:hAnsi="宋体" w:cs="宋体"/>
          <w:color w:val="auto"/>
          <w:sz w:val="22"/>
          <w:highlight w:val="none"/>
        </w:rPr>
        <w:t>①能提供采购人需要的准确采购统计数据。</w:t>
      </w:r>
    </w:p>
    <w:p>
      <w:pPr>
        <w:pStyle w:val="9"/>
        <w:keepNext w:val="0"/>
        <w:keepLines w:val="0"/>
        <w:pageBreakBefore w:val="0"/>
        <w:kinsoku/>
        <w:overflowPunct/>
        <w:topLinePunct w:val="0"/>
        <w:autoSpaceDE/>
        <w:autoSpaceDN/>
        <w:bidi w:val="0"/>
        <w:adjustRightInd/>
        <w:snapToGrid w:val="0"/>
        <w:spacing w:line="350" w:lineRule="exact"/>
        <w:ind w:firstLine="440" w:firstLineChars="200"/>
        <w:textAlignment w:val="auto"/>
        <w:rPr>
          <w:rFonts w:ascii="宋体" w:hAnsi="宋体" w:cs="宋体"/>
          <w:b/>
          <w:color w:val="auto"/>
          <w:spacing w:val="-6"/>
          <w:sz w:val="22"/>
          <w:szCs w:val="22"/>
          <w:highlight w:val="none"/>
        </w:rPr>
      </w:pPr>
      <w:r>
        <w:rPr>
          <w:rFonts w:hint="eastAsia" w:ascii="宋体" w:hAnsi="宋体" w:cs="宋体"/>
          <w:color w:val="auto"/>
          <w:sz w:val="22"/>
          <w:szCs w:val="22"/>
          <w:highlight w:val="none"/>
        </w:rPr>
        <w:t>②中标人应承诺采购人在浙江省内享受最优惠图书馆待遇，即在合同有效期内，如给予浙江省内其他图书馆更优惠的待遇，应立即通知采购人同时享有。</w:t>
      </w:r>
    </w:p>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r>
        <w:rPr>
          <w:rFonts w:hint="eastAsia" w:ascii="宋体" w:hAnsi="宋体" w:cs="宋体"/>
          <w:bCs/>
          <w:color w:val="auto"/>
          <w:sz w:val="22"/>
          <w:highlight w:val="none"/>
        </w:rPr>
        <w:t>附表</w:t>
      </w:r>
    </w:p>
    <w:p>
      <w:pPr>
        <w:pStyle w:val="15"/>
        <w:keepNext w:val="0"/>
        <w:keepLines w:val="0"/>
        <w:pageBreakBefore w:val="0"/>
        <w:kinsoku/>
        <w:overflowPunct/>
        <w:topLinePunct w:val="0"/>
        <w:autoSpaceDE/>
        <w:autoSpaceDN/>
        <w:bidi w:val="0"/>
        <w:adjustRightInd/>
        <w:spacing w:after="0" w:line="350" w:lineRule="exact"/>
        <w:ind w:left="0" w:leftChars="0" w:right="0" w:rightChars="0"/>
        <w:textAlignment w:val="auto"/>
        <w:rPr>
          <w:rFonts w:ascii="宋体" w:hAnsi="宋体" w:cs="宋体"/>
          <w:bCs/>
          <w:color w:val="auto"/>
          <w:sz w:val="22"/>
          <w:highlight w:val="none"/>
        </w:rPr>
      </w:pPr>
      <w:r>
        <w:rPr>
          <w:rFonts w:hint="eastAsia" w:ascii="宋体" w:hAnsi="宋体" w:cs="宋体"/>
          <w:bCs/>
          <w:color w:val="auto"/>
          <w:sz w:val="22"/>
          <w:highlight w:val="none"/>
        </w:rPr>
        <w:t>附表-1</w:t>
      </w:r>
    </w:p>
    <w:tbl>
      <w:tblPr>
        <w:tblStyle w:val="30"/>
        <w:tblpPr w:leftFromText="180" w:rightFromText="180" w:vertAnchor="text" w:horzAnchor="margin" w:tblpXSpec="center" w:tblpY="41"/>
        <w:tblW w:w="96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735"/>
        <w:gridCol w:w="729"/>
        <w:gridCol w:w="1023"/>
        <w:gridCol w:w="1144"/>
        <w:gridCol w:w="712"/>
        <w:gridCol w:w="732"/>
        <w:gridCol w:w="779"/>
        <w:gridCol w:w="777"/>
        <w:gridCol w:w="881"/>
        <w:gridCol w:w="11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93"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订单号</w:t>
            </w:r>
          </w:p>
        </w:tc>
        <w:tc>
          <w:tcPr>
            <w:tcW w:w="735"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书号</w:t>
            </w:r>
          </w:p>
        </w:tc>
        <w:tc>
          <w:tcPr>
            <w:tcW w:w="729"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书名</w:t>
            </w:r>
          </w:p>
        </w:tc>
        <w:tc>
          <w:tcPr>
            <w:tcW w:w="1023"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出版社</w:t>
            </w:r>
          </w:p>
        </w:tc>
        <w:tc>
          <w:tcPr>
            <w:tcW w:w="1144"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出版时间</w:t>
            </w:r>
          </w:p>
        </w:tc>
        <w:tc>
          <w:tcPr>
            <w:tcW w:w="712"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分类</w:t>
            </w:r>
          </w:p>
        </w:tc>
        <w:tc>
          <w:tcPr>
            <w:tcW w:w="732"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定价</w:t>
            </w:r>
          </w:p>
        </w:tc>
        <w:tc>
          <w:tcPr>
            <w:tcW w:w="779"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码洋</w:t>
            </w:r>
          </w:p>
        </w:tc>
        <w:tc>
          <w:tcPr>
            <w:tcW w:w="777"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数量</w:t>
            </w:r>
          </w:p>
        </w:tc>
        <w:tc>
          <w:tcPr>
            <w:tcW w:w="881"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清单号</w:t>
            </w:r>
          </w:p>
        </w:tc>
        <w:tc>
          <w:tcPr>
            <w:tcW w:w="1198"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发货日期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93"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35"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29"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023"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144"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12"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32"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79"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77"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881"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198"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93"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35"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29"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023"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144"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12"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32"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79"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777"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881"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198"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r>
    </w:tbl>
    <w:p>
      <w:pPr>
        <w:keepNext w:val="0"/>
        <w:keepLines w:val="0"/>
        <w:pageBreakBefore w:val="0"/>
        <w:kinsoku/>
        <w:overflowPunct/>
        <w:topLinePunct w:val="0"/>
        <w:autoSpaceDE/>
        <w:autoSpaceDN/>
        <w:bidi w:val="0"/>
        <w:adjustRightInd/>
        <w:spacing w:line="350" w:lineRule="exact"/>
        <w:textAlignment w:val="auto"/>
        <w:rPr>
          <w:rFonts w:ascii="宋体" w:hAnsi="宋体" w:cs="宋体"/>
          <w:bCs/>
          <w:color w:val="auto"/>
          <w:sz w:val="22"/>
          <w:highlight w:val="none"/>
        </w:rPr>
      </w:pPr>
      <w:r>
        <w:rPr>
          <w:rFonts w:hint="eastAsia" w:ascii="宋体" w:hAnsi="宋体" w:cs="宋体"/>
          <w:bCs/>
          <w:color w:val="auto"/>
          <w:sz w:val="22"/>
          <w:highlight w:val="none"/>
        </w:rPr>
        <w:t>附表-2</w:t>
      </w:r>
    </w:p>
    <w:tbl>
      <w:tblPr>
        <w:tblStyle w:val="30"/>
        <w:tblpPr w:leftFromText="180" w:rightFromText="180" w:vertAnchor="text" w:horzAnchor="margin" w:tblpXSpec="center" w:tblpY="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1"/>
        <w:gridCol w:w="1791"/>
        <w:gridCol w:w="1791"/>
        <w:gridCol w:w="1793"/>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91"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订单号</w:t>
            </w:r>
          </w:p>
        </w:tc>
        <w:tc>
          <w:tcPr>
            <w:tcW w:w="1791"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码洋</w:t>
            </w:r>
          </w:p>
        </w:tc>
        <w:tc>
          <w:tcPr>
            <w:tcW w:w="1791"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数量</w:t>
            </w:r>
          </w:p>
        </w:tc>
        <w:tc>
          <w:tcPr>
            <w:tcW w:w="1793"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清单号</w:t>
            </w:r>
          </w:p>
        </w:tc>
        <w:tc>
          <w:tcPr>
            <w:tcW w:w="2131" w:type="dxa"/>
            <w:noWrap/>
            <w:vAlign w:val="center"/>
          </w:tcPr>
          <w:p>
            <w:pPr>
              <w:keepNext w:val="0"/>
              <w:keepLines w:val="0"/>
              <w:pageBreakBefore w:val="0"/>
              <w:kinsoku/>
              <w:overflowPunct/>
              <w:topLinePunct w:val="0"/>
              <w:autoSpaceDE/>
              <w:autoSpaceDN/>
              <w:bidi w:val="0"/>
              <w:adjustRightInd/>
              <w:spacing w:line="350" w:lineRule="exact"/>
              <w:jc w:val="center"/>
              <w:textAlignment w:val="auto"/>
              <w:rPr>
                <w:rFonts w:ascii="宋体" w:hAnsi="宋体" w:cs="宋体"/>
                <w:bCs/>
                <w:color w:val="auto"/>
                <w:sz w:val="22"/>
                <w:highlight w:val="none"/>
              </w:rPr>
            </w:pPr>
            <w:r>
              <w:rPr>
                <w:rFonts w:hint="eastAsia" w:ascii="宋体" w:hAnsi="宋体" w:cs="宋体"/>
                <w:bCs/>
                <w:color w:val="auto"/>
                <w:sz w:val="22"/>
                <w:highlight w:val="none"/>
              </w:rPr>
              <w:t>发货日期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91"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791"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791"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793"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2131"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91"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791"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791"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1793"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c>
          <w:tcPr>
            <w:tcW w:w="2131" w:type="dxa"/>
            <w:noWrap/>
            <w:vAlign w:val="center"/>
          </w:tcPr>
          <w:p>
            <w:pPr>
              <w:keepNext w:val="0"/>
              <w:keepLines w:val="0"/>
              <w:pageBreakBefore w:val="0"/>
              <w:kinsoku/>
              <w:overflowPunct/>
              <w:topLinePunct w:val="0"/>
              <w:autoSpaceDE/>
              <w:autoSpaceDN/>
              <w:bidi w:val="0"/>
              <w:adjustRightInd/>
              <w:spacing w:line="350" w:lineRule="exact"/>
              <w:ind w:firstLine="440" w:firstLineChars="200"/>
              <w:jc w:val="center"/>
              <w:textAlignment w:val="auto"/>
              <w:rPr>
                <w:rFonts w:ascii="宋体" w:hAnsi="宋体" w:cs="宋体"/>
                <w:bCs/>
                <w:color w:val="auto"/>
                <w:sz w:val="22"/>
                <w:highlight w:val="none"/>
              </w:rPr>
            </w:pPr>
          </w:p>
        </w:tc>
      </w:tr>
    </w:tbl>
    <w:p>
      <w:pPr>
        <w:keepNext w:val="0"/>
        <w:keepLines w:val="0"/>
        <w:pageBreakBefore w:val="0"/>
        <w:kinsoku/>
        <w:overflowPunct/>
        <w:topLinePunct w:val="0"/>
        <w:autoSpaceDE/>
        <w:autoSpaceDN/>
        <w:bidi w:val="0"/>
        <w:adjustRightInd/>
        <w:spacing w:line="350" w:lineRule="exact"/>
        <w:ind w:firstLine="440" w:firstLineChars="200"/>
        <w:textAlignment w:val="auto"/>
        <w:rPr>
          <w:rFonts w:ascii="宋体" w:hAnsi="宋体" w:cs="宋体"/>
          <w:bCs/>
          <w:color w:val="auto"/>
          <w:sz w:val="22"/>
          <w:highlight w:val="none"/>
        </w:rPr>
      </w:pPr>
      <w:r>
        <w:rPr>
          <w:rFonts w:hint="eastAsia" w:ascii="宋体" w:hAnsi="宋体" w:cs="宋体"/>
          <w:bCs/>
          <w:color w:val="auto"/>
          <w:sz w:val="22"/>
          <w:highlight w:val="none"/>
        </w:rPr>
        <w:t>注1：每一批到货有总件（包、箱）数，每1张清单邮件（包、箱）数标号，有种数、册数、金额汇总，每包外张贴清单，并标识总包数、包数、发货批次、折扣率、种数、册数、金额。</w:t>
      </w:r>
    </w:p>
    <w:p>
      <w:pPr>
        <w:keepNext w:val="0"/>
        <w:keepLines w:val="0"/>
        <w:pageBreakBefore w:val="0"/>
        <w:kinsoku/>
        <w:overflowPunct/>
        <w:topLinePunct w:val="0"/>
        <w:autoSpaceDE/>
        <w:autoSpaceDN/>
        <w:bidi w:val="0"/>
        <w:adjustRightInd/>
        <w:spacing w:line="350" w:lineRule="exact"/>
        <w:ind w:firstLine="440" w:firstLineChars="200"/>
        <w:textAlignment w:val="auto"/>
        <w:rPr>
          <w:rFonts w:ascii="宋体" w:hAnsi="宋体" w:cs="宋体"/>
          <w:bCs/>
          <w:color w:val="auto"/>
          <w:sz w:val="22"/>
          <w:highlight w:val="none"/>
        </w:rPr>
      </w:pPr>
      <w:r>
        <w:rPr>
          <w:rFonts w:hint="eastAsia" w:ascii="宋体" w:hAnsi="宋体" w:cs="宋体"/>
          <w:bCs/>
          <w:color w:val="auto"/>
          <w:sz w:val="22"/>
          <w:highlight w:val="none"/>
        </w:rPr>
        <w:t>注2</w:t>
      </w:r>
      <w:r>
        <w:rPr>
          <w:rFonts w:hint="eastAsia" w:ascii="宋体" w:hAnsi="宋体" w:cs="宋体"/>
          <w:bCs/>
          <w:color w:val="auto"/>
          <w:sz w:val="22"/>
          <w:highlight w:val="none"/>
        </w:rPr>
        <w:t>：订单号为分配订单时所附唯一的订单编号，不得更改。</w:t>
      </w:r>
    </w:p>
    <w:p>
      <w:pPr>
        <w:keepNext w:val="0"/>
        <w:keepLines w:val="0"/>
        <w:pageBreakBefore w:val="0"/>
        <w:kinsoku/>
        <w:overflowPunct/>
        <w:topLinePunct w:val="0"/>
        <w:autoSpaceDE/>
        <w:autoSpaceDN/>
        <w:bidi w:val="0"/>
        <w:adjustRightInd/>
        <w:spacing w:line="350" w:lineRule="exact"/>
        <w:ind w:firstLine="440" w:firstLineChars="200"/>
        <w:textAlignment w:val="auto"/>
        <w:rPr>
          <w:rFonts w:ascii="宋体" w:hAnsi="宋体" w:cs="宋体"/>
          <w:bCs/>
          <w:color w:val="auto"/>
          <w:sz w:val="22"/>
          <w:highlight w:val="none"/>
        </w:rPr>
      </w:pPr>
      <w:r>
        <w:rPr>
          <w:rFonts w:hint="eastAsia" w:ascii="宋体" w:hAnsi="宋体" w:cs="宋体"/>
          <w:bCs/>
          <w:color w:val="auto"/>
          <w:sz w:val="22"/>
          <w:highlight w:val="none"/>
        </w:rPr>
        <w:t>注3：到货清单除字段不可缺漏外，还须与采访目录中相应的内容相符。</w:t>
      </w:r>
    </w:p>
    <w:p>
      <w:pPr>
        <w:keepNext w:val="0"/>
        <w:keepLines w:val="0"/>
        <w:pageBreakBefore w:val="0"/>
        <w:kinsoku/>
        <w:overflowPunct/>
        <w:topLinePunct w:val="0"/>
        <w:autoSpaceDE/>
        <w:autoSpaceDN/>
        <w:bidi w:val="0"/>
        <w:adjustRightInd/>
        <w:spacing w:line="350" w:lineRule="exact"/>
        <w:ind w:firstLine="440" w:firstLineChars="200"/>
        <w:textAlignment w:val="auto"/>
        <w:rPr>
          <w:rFonts w:ascii="宋体" w:hAnsi="宋体" w:cs="宋体"/>
          <w:bCs/>
          <w:color w:val="auto"/>
          <w:sz w:val="22"/>
          <w:highlight w:val="none"/>
        </w:rPr>
      </w:pPr>
      <w:r>
        <w:rPr>
          <w:rFonts w:hint="eastAsia" w:ascii="宋体" w:hAnsi="宋体" w:cs="宋体"/>
          <w:bCs/>
          <w:color w:val="auto"/>
          <w:sz w:val="22"/>
          <w:highlight w:val="none"/>
        </w:rPr>
        <w:t>注4：中标人在处理订单时，若实际书价超出订单报价15%，应及时与采购人沟通，若实际订书价格低于目录价格，则到书价按实际书价计算。</w:t>
      </w:r>
    </w:p>
    <w:p>
      <w:pPr>
        <w:keepNext w:val="0"/>
        <w:keepLines w:val="0"/>
        <w:pageBreakBefore w:val="0"/>
        <w:kinsoku/>
        <w:overflowPunct/>
        <w:topLinePunct w:val="0"/>
        <w:autoSpaceDE/>
        <w:autoSpaceDN/>
        <w:bidi w:val="0"/>
        <w:adjustRightInd/>
        <w:snapToGrid w:val="0"/>
        <w:spacing w:line="350" w:lineRule="exact"/>
        <w:jc w:val="left"/>
        <w:textAlignment w:val="auto"/>
        <w:rPr>
          <w:rFonts w:ascii="宋体" w:hAnsi="宋体" w:cs="宋体"/>
          <w:b/>
          <w:bCs/>
          <w:color w:val="auto"/>
          <w:spacing w:val="-6"/>
          <w:sz w:val="22"/>
          <w:highlight w:val="none"/>
        </w:rPr>
      </w:pPr>
      <w:r>
        <w:rPr>
          <w:rFonts w:hint="eastAsia" w:ascii="宋体" w:hAnsi="宋体" w:cs="宋体"/>
          <w:b/>
          <w:bCs/>
          <w:color w:val="auto"/>
          <w:spacing w:val="-6"/>
          <w:sz w:val="22"/>
          <w:highlight w:val="none"/>
        </w:rPr>
        <w:t>五．其他（</w:t>
      </w:r>
      <w:r>
        <w:rPr>
          <w:rFonts w:hint="eastAsia" w:ascii="宋体" w:hAnsi="宋体" w:cs="宋体"/>
          <w:b/>
          <w:bCs/>
          <w:color w:val="auto"/>
          <w:sz w:val="22"/>
          <w:highlight w:val="none"/>
        </w:rPr>
        <w:t>标项1和标项2</w:t>
      </w:r>
      <w:r>
        <w:rPr>
          <w:rFonts w:hint="eastAsia" w:ascii="宋体" w:hAnsi="宋体" w:cs="宋体"/>
          <w:b/>
          <w:bCs/>
          <w:color w:val="auto"/>
          <w:spacing w:val="-6"/>
          <w:sz w:val="22"/>
          <w:highlight w:val="none"/>
        </w:rPr>
        <w:t>）</w:t>
      </w:r>
    </w:p>
    <w:p>
      <w:pPr>
        <w:keepNext w:val="0"/>
        <w:keepLines w:val="0"/>
        <w:pageBreakBefore w:val="0"/>
        <w:kinsoku/>
        <w:overflowPunct/>
        <w:topLinePunct w:val="0"/>
        <w:autoSpaceDE/>
        <w:autoSpaceDN/>
        <w:bidi w:val="0"/>
        <w:adjustRightInd/>
        <w:snapToGrid w:val="0"/>
        <w:spacing w:line="350" w:lineRule="exact"/>
        <w:ind w:firstLine="418" w:firstLineChars="200"/>
        <w:jc w:val="left"/>
        <w:textAlignment w:val="auto"/>
        <w:rPr>
          <w:rFonts w:ascii="宋体" w:hAnsi="宋体" w:cs="宋体"/>
          <w:b/>
          <w:bCs/>
          <w:color w:val="auto"/>
          <w:spacing w:val="-6"/>
          <w:sz w:val="22"/>
          <w:highlight w:val="none"/>
        </w:rPr>
      </w:pPr>
      <w:r>
        <w:rPr>
          <w:rFonts w:hint="eastAsia" w:ascii="宋体" w:hAnsi="宋体" w:cs="宋体"/>
          <w:b/>
          <w:bCs/>
          <w:color w:val="auto"/>
          <w:spacing w:val="-6"/>
          <w:sz w:val="22"/>
          <w:highlight w:val="none"/>
        </w:rPr>
        <w:t>1.除招标文件中所明确的采购需求外，欢迎其他能满足本项目采购需求且性能相当于或高于所明确采购需求的产品参加投标报价。同时在采购需求偏离表中作出详细对比说明。</w:t>
      </w:r>
    </w:p>
    <w:p>
      <w:pPr>
        <w:keepNext w:val="0"/>
        <w:keepLines w:val="0"/>
        <w:pageBreakBefore w:val="0"/>
        <w:kinsoku/>
        <w:overflowPunct/>
        <w:topLinePunct w:val="0"/>
        <w:autoSpaceDE/>
        <w:autoSpaceDN/>
        <w:bidi w:val="0"/>
        <w:adjustRightInd/>
        <w:snapToGrid w:val="0"/>
        <w:spacing w:line="350" w:lineRule="exact"/>
        <w:ind w:firstLine="418" w:firstLineChars="200"/>
        <w:jc w:val="left"/>
        <w:textAlignment w:val="auto"/>
        <w:rPr>
          <w:rFonts w:ascii="宋体" w:hAnsi="宋体" w:cs="宋体"/>
          <w:b/>
          <w:bCs/>
          <w:color w:val="auto"/>
          <w:spacing w:val="-6"/>
          <w:sz w:val="22"/>
          <w:highlight w:val="none"/>
        </w:rPr>
      </w:pPr>
      <w:r>
        <w:rPr>
          <w:rFonts w:hint="eastAsia" w:ascii="宋体" w:hAnsi="宋体" w:cs="宋体"/>
          <w:b/>
          <w:bCs/>
          <w:color w:val="auto"/>
          <w:spacing w:val="-6"/>
          <w:sz w:val="22"/>
          <w:highlight w:val="none"/>
        </w:rPr>
        <w:t>2.带“▲且加下划线”的有关技术和商务条款为实质性条款，投标人方必须做出实质性响应，否则视为投标无效。</w:t>
      </w:r>
    </w:p>
    <w:p>
      <w:pPr>
        <w:keepNext w:val="0"/>
        <w:keepLines w:val="0"/>
        <w:pageBreakBefore w:val="0"/>
        <w:kinsoku/>
        <w:overflowPunct/>
        <w:topLinePunct w:val="0"/>
        <w:autoSpaceDE/>
        <w:autoSpaceDN/>
        <w:bidi w:val="0"/>
        <w:adjustRightInd/>
        <w:snapToGrid w:val="0"/>
        <w:spacing w:line="350" w:lineRule="exact"/>
        <w:ind w:firstLine="418" w:firstLineChars="200"/>
        <w:jc w:val="left"/>
        <w:textAlignment w:val="auto"/>
        <w:rPr>
          <w:rFonts w:hint="eastAsia" w:ascii="宋体" w:hAnsi="宋体" w:eastAsia="宋体" w:cs="宋体"/>
          <w:b/>
          <w:bCs/>
          <w:color w:val="auto"/>
          <w:spacing w:val="-6"/>
          <w:sz w:val="22"/>
          <w:highlight w:val="none"/>
          <w:lang w:eastAsia="zh-CN"/>
        </w:rPr>
      </w:pPr>
      <w:r>
        <w:rPr>
          <w:rFonts w:hint="eastAsia" w:ascii="宋体" w:hAnsi="宋体" w:cs="宋体"/>
          <w:b/>
          <w:bCs/>
          <w:color w:val="auto"/>
          <w:spacing w:val="-6"/>
          <w:sz w:val="22"/>
          <w:highlight w:val="none"/>
        </w:rPr>
        <w:t>3.如技术要求中未特别注明需执行的国家相关标准、行业标准、地方标准或者其他标准、规范，则统一执行最新标准、规范</w:t>
      </w:r>
      <w:r>
        <w:rPr>
          <w:rFonts w:hint="eastAsia" w:ascii="宋体" w:hAnsi="宋体" w:cs="宋体"/>
          <w:b/>
          <w:bCs/>
          <w:color w:val="auto"/>
          <w:spacing w:val="-6"/>
          <w:sz w:val="22"/>
          <w:highlight w:val="none"/>
          <w:lang w:eastAsia="zh-CN"/>
        </w:rPr>
        <w:t>。</w:t>
      </w:r>
    </w:p>
    <w:p>
      <w:pPr>
        <w:snapToGrid w:val="0"/>
        <w:spacing w:line="400" w:lineRule="exact"/>
        <w:jc w:val="center"/>
        <w:rPr>
          <w:rFonts w:ascii="宋体" w:hAnsi="宋体" w:cs="宋体"/>
          <w:b/>
          <w:color w:val="auto"/>
          <w:sz w:val="32"/>
          <w:highlight w:val="none"/>
        </w:rPr>
      </w:pPr>
      <w:r>
        <w:rPr>
          <w:rFonts w:hint="eastAsia" w:ascii="宋体" w:hAnsi="宋体" w:cs="宋体"/>
          <w:b/>
          <w:color w:val="auto"/>
          <w:sz w:val="32"/>
          <w:highlight w:val="none"/>
        </w:rPr>
        <w:t>第六部分   评标原则及方法</w:t>
      </w:r>
    </w:p>
    <w:p>
      <w:pPr>
        <w:pStyle w:val="10"/>
        <w:adjustRightInd w:val="0"/>
        <w:snapToGrid w:val="0"/>
        <w:spacing w:after="0" w:line="360" w:lineRule="exact"/>
        <w:ind w:firstLine="442" w:firstLineChars="200"/>
        <w:rPr>
          <w:rFonts w:ascii="宋体" w:hAnsi="宋体" w:cs="宋体"/>
          <w:b/>
          <w:color w:val="auto"/>
          <w:sz w:val="22"/>
          <w:highlight w:val="none"/>
        </w:rPr>
      </w:pPr>
      <w:r>
        <w:rPr>
          <w:rFonts w:hint="eastAsia" w:ascii="宋体" w:hAnsi="宋体" w:cs="宋体"/>
          <w:b/>
          <w:color w:val="auto"/>
          <w:sz w:val="22"/>
          <w:highlight w:val="none"/>
        </w:rPr>
        <w:t>根据《中华人民共和国政府采购法》等相关法规特制定以下评标办法。</w:t>
      </w:r>
    </w:p>
    <w:p>
      <w:pPr>
        <w:numPr>
          <w:ilvl w:val="0"/>
          <w:numId w:val="26"/>
        </w:num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总  则</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评标工作遵循公平、公正、科学、择优原则和诚实、信誉、效率的服务原则。本着科学、严谨的态度，认真进行评标。择优选用，推进技术进步，确保工程质量、交货期，节约投资，最大限度的保护当事人权益，严格按照招标文件的商务、技术部分，对投标文件进行综合评定，提出优选方案，编写评标报告。对落标单位，评委会不作任何落标解释。</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二.评标组织</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评标工作由采购人依法组建的评审小组负责，评标全过程由有关部门指导监督。</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三.评标程序</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采购人或者采购代理机构对各投标人的投标资格进行审查；然后评审小组对合格投标人进行符合性审查，对审查通过的商务和技术文件进行评审；商务和技术文件评审结束之后对报价文件评审，综合评审结果，提交评审报告。</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四.评标办法</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本评标办法采用百分制综合评分法，商务和技术70分（商务和技术权值70%），报价30分（价格权值30%）。最大限度地满足招标文件中规定的各项综合评价标准且综合得分最高的投标人，将被推荐为中标候选人。</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评分细则</w:t>
      </w:r>
    </w:p>
    <w:p>
      <w:pPr>
        <w:spacing w:line="360" w:lineRule="exact"/>
        <w:rPr>
          <w:rFonts w:ascii="宋体" w:hAnsi="宋体" w:cs="宋体"/>
          <w:color w:val="auto"/>
          <w:sz w:val="22"/>
          <w:highlight w:val="none"/>
        </w:rPr>
      </w:pPr>
      <w:r>
        <w:rPr>
          <w:rFonts w:hint="eastAsia" w:ascii="宋体" w:hAnsi="宋体" w:cs="宋体"/>
          <w:color w:val="auto"/>
          <w:sz w:val="22"/>
          <w:highlight w:val="none"/>
        </w:rPr>
        <w:t>1.商务和技术分的评定（70分）</w:t>
      </w:r>
    </w:p>
    <w:p>
      <w:pPr>
        <w:pStyle w:val="60"/>
        <w:spacing w:line="360" w:lineRule="exact"/>
        <w:ind w:firstLine="0" w:firstLineChars="0"/>
        <w:rPr>
          <w:rFonts w:ascii="宋体" w:hAnsi="宋体" w:cs="宋体"/>
          <w:color w:val="auto"/>
          <w:sz w:val="22"/>
          <w:highlight w:val="none"/>
        </w:rPr>
      </w:pPr>
      <w:r>
        <w:rPr>
          <w:rFonts w:hint="eastAsia" w:ascii="宋体" w:hAnsi="宋体" w:cs="宋体"/>
          <w:color w:val="auto"/>
          <w:sz w:val="22"/>
          <w:highlight w:val="none"/>
        </w:rPr>
        <w:t>各评委成员按下列评分项目进行评判，每人一张评分计算票，并记名。投标文件各项评分内容由评审小组成员各自评分，如某张票的一个因素项目超过规定的范围，则该张票无效。各评审小组成员对各投标人的各项评分内容评分的合计算术平均值为各投标人商务和技术分得分（小数点后按四舍五入保留2位）。</w:t>
      </w:r>
    </w:p>
    <w:tbl>
      <w:tblPr>
        <w:tblStyle w:val="30"/>
        <w:tblW w:w="95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308"/>
        <w:gridCol w:w="957"/>
        <w:gridCol w:w="5640"/>
        <w:gridCol w:w="9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ascii="宋体" w:hAnsi="宋体" w:cs="宋体"/>
                <w:b/>
                <w:color w:val="auto"/>
                <w:spacing w:val="-6"/>
                <w:sz w:val="22"/>
                <w:highlight w:val="none"/>
              </w:rPr>
            </w:pPr>
            <w:r>
              <w:rPr>
                <w:rFonts w:hint="eastAsia" w:ascii="宋体" w:hAnsi="宋体" w:cs="宋体"/>
                <w:b/>
                <w:color w:val="auto"/>
                <w:spacing w:val="-6"/>
                <w:sz w:val="22"/>
                <w:highlight w:val="none"/>
              </w:rPr>
              <w:t>序号</w:t>
            </w:r>
          </w:p>
        </w:tc>
        <w:tc>
          <w:tcPr>
            <w:tcW w:w="1308" w:type="dxa"/>
            <w:vAlign w:val="center"/>
          </w:tcPr>
          <w:p>
            <w:pPr>
              <w:spacing w:line="360" w:lineRule="exact"/>
              <w:jc w:val="center"/>
              <w:rPr>
                <w:rFonts w:ascii="宋体" w:hAnsi="宋体" w:cs="宋体"/>
                <w:b/>
                <w:color w:val="auto"/>
                <w:spacing w:val="-6"/>
                <w:sz w:val="22"/>
                <w:highlight w:val="none"/>
              </w:rPr>
            </w:pPr>
            <w:r>
              <w:rPr>
                <w:rFonts w:hint="eastAsia" w:ascii="宋体" w:hAnsi="宋体" w:cs="宋体"/>
                <w:b/>
                <w:color w:val="auto"/>
                <w:spacing w:val="-6"/>
                <w:sz w:val="22"/>
                <w:highlight w:val="none"/>
              </w:rPr>
              <w:t>评审因素</w:t>
            </w:r>
          </w:p>
        </w:tc>
        <w:tc>
          <w:tcPr>
            <w:tcW w:w="957" w:type="dxa"/>
            <w:vAlign w:val="center"/>
          </w:tcPr>
          <w:p>
            <w:pPr>
              <w:spacing w:line="360" w:lineRule="exact"/>
              <w:jc w:val="center"/>
              <w:rPr>
                <w:rFonts w:ascii="宋体" w:hAnsi="宋体" w:cs="宋体"/>
                <w:b/>
                <w:color w:val="auto"/>
                <w:spacing w:val="-6"/>
                <w:sz w:val="22"/>
                <w:highlight w:val="none"/>
              </w:rPr>
            </w:pPr>
            <w:r>
              <w:rPr>
                <w:rFonts w:hint="eastAsia" w:ascii="宋体" w:hAnsi="宋体" w:cs="宋体"/>
                <w:b/>
                <w:color w:val="auto"/>
                <w:spacing w:val="-6"/>
                <w:sz w:val="22"/>
                <w:highlight w:val="none"/>
              </w:rPr>
              <w:t>分值</w:t>
            </w:r>
          </w:p>
        </w:tc>
        <w:tc>
          <w:tcPr>
            <w:tcW w:w="5640" w:type="dxa"/>
            <w:vAlign w:val="center"/>
          </w:tcPr>
          <w:p>
            <w:pPr>
              <w:pStyle w:val="58"/>
              <w:spacing w:line="360" w:lineRule="exact"/>
              <w:rPr>
                <w:rFonts w:hint="default" w:ascii="宋体" w:hAnsi="宋体" w:eastAsia="宋体" w:cs="宋体"/>
                <w:b/>
                <w:color w:val="auto"/>
                <w:spacing w:val="-6"/>
                <w:sz w:val="22"/>
                <w:highlight w:val="none"/>
              </w:rPr>
            </w:pPr>
            <w:r>
              <w:rPr>
                <w:rFonts w:ascii="宋体" w:hAnsi="宋体" w:eastAsia="宋体" w:cs="宋体"/>
                <w:b/>
                <w:color w:val="auto"/>
                <w:spacing w:val="-6"/>
                <w:sz w:val="22"/>
                <w:highlight w:val="none"/>
              </w:rPr>
              <w:t>评分细则</w:t>
            </w:r>
          </w:p>
        </w:tc>
        <w:tc>
          <w:tcPr>
            <w:tcW w:w="921" w:type="dxa"/>
            <w:vAlign w:val="center"/>
          </w:tcPr>
          <w:p>
            <w:pPr>
              <w:pStyle w:val="58"/>
              <w:spacing w:line="360" w:lineRule="exact"/>
              <w:rPr>
                <w:rFonts w:hint="default" w:ascii="宋体" w:hAnsi="宋体" w:eastAsia="宋体" w:cs="宋体"/>
                <w:b/>
                <w:color w:val="auto"/>
                <w:spacing w:val="-6"/>
                <w:sz w:val="22"/>
                <w:highlight w:val="none"/>
              </w:rPr>
            </w:pPr>
            <w:r>
              <w:rPr>
                <w:rFonts w:ascii="宋体" w:hAnsi="宋体" w:eastAsia="宋体" w:cs="宋体"/>
                <w:b/>
                <w:color w:val="auto"/>
                <w:spacing w:val="-6"/>
                <w:sz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rPr>
              <w:t>1</w:t>
            </w:r>
          </w:p>
        </w:tc>
        <w:tc>
          <w:tcPr>
            <w:tcW w:w="1308" w:type="dxa"/>
            <w:vAlign w:val="center"/>
          </w:tcPr>
          <w:p>
            <w:pPr>
              <w:tabs>
                <w:tab w:val="left" w:pos="2150"/>
              </w:tabs>
              <w:spacing w:line="360" w:lineRule="exact"/>
              <w:jc w:val="center"/>
              <w:rPr>
                <w:rFonts w:ascii="宋体" w:hAnsi="宋体" w:cs="宋体"/>
                <w:color w:val="auto"/>
                <w:spacing w:val="-6"/>
                <w:sz w:val="22"/>
                <w:highlight w:val="none"/>
              </w:rPr>
            </w:pPr>
            <w:r>
              <w:rPr>
                <w:rFonts w:hint="eastAsia" w:ascii="宋体" w:hAnsi="宋体" w:cs="宋体"/>
                <w:bCs/>
                <w:color w:val="auto"/>
                <w:sz w:val="22"/>
                <w:highlight w:val="none"/>
              </w:rPr>
              <w:t>投标人业绩</w:t>
            </w:r>
          </w:p>
        </w:tc>
        <w:tc>
          <w:tcPr>
            <w:tcW w:w="957" w:type="dxa"/>
            <w:vAlign w:val="center"/>
          </w:tcPr>
          <w:p>
            <w:pPr>
              <w:spacing w:line="360" w:lineRule="exact"/>
              <w:jc w:val="center"/>
              <w:rPr>
                <w:rFonts w:ascii="宋体" w:hAnsi="宋体" w:cs="宋体"/>
                <w:color w:val="auto"/>
                <w:spacing w:val="-6"/>
                <w:sz w:val="22"/>
                <w:highlight w:val="none"/>
              </w:rPr>
            </w:pPr>
            <w:r>
              <w:rPr>
                <w:rFonts w:hint="eastAsia" w:ascii="宋体" w:hAnsi="宋体" w:cs="宋体"/>
                <w:bCs/>
                <w:color w:val="auto"/>
                <w:sz w:val="22"/>
                <w:highlight w:val="none"/>
              </w:rPr>
              <w:t>0-3</w:t>
            </w:r>
          </w:p>
        </w:tc>
        <w:tc>
          <w:tcPr>
            <w:tcW w:w="5640" w:type="dxa"/>
            <w:vAlign w:val="center"/>
          </w:tcPr>
          <w:p>
            <w:pPr>
              <w:spacing w:line="360" w:lineRule="exact"/>
              <w:jc w:val="left"/>
              <w:rPr>
                <w:rFonts w:ascii="宋体" w:hAnsi="宋体" w:cs="宋体"/>
                <w:bCs/>
                <w:color w:val="auto"/>
                <w:sz w:val="22"/>
                <w:highlight w:val="none"/>
              </w:rPr>
            </w:pPr>
            <w:r>
              <w:rPr>
                <w:rFonts w:ascii="宋体" w:hAnsi="宋体" w:cs="仿宋_GB2312"/>
                <w:color w:val="auto"/>
                <w:sz w:val="22"/>
                <w:highlight w:val="none"/>
              </w:rPr>
              <w:t>投标人自2020年1月1日</w:t>
            </w:r>
            <w:r>
              <w:rPr>
                <w:rFonts w:hint="eastAsia" w:ascii="宋体" w:hAnsi="宋体" w:cs="仿宋_GB2312"/>
                <w:color w:val="auto"/>
                <w:sz w:val="22"/>
                <w:highlight w:val="none"/>
              </w:rPr>
              <w:t>至本项目投标截止时间止</w:t>
            </w:r>
            <w:r>
              <w:rPr>
                <w:rFonts w:ascii="宋体" w:hAnsi="宋体" w:cs="仿宋_GB2312"/>
                <w:color w:val="auto"/>
                <w:sz w:val="22"/>
                <w:highlight w:val="none"/>
              </w:rPr>
              <w:t>（以合同签订时间为准）中文纸质图书供货项目业绩（以提供的合同扫描件为准）</w:t>
            </w:r>
            <w:r>
              <w:rPr>
                <w:rFonts w:hint="eastAsia" w:ascii="宋体" w:hAnsi="宋体" w:cs="仿宋_GB2312"/>
                <w:color w:val="auto"/>
                <w:sz w:val="22"/>
                <w:highlight w:val="none"/>
              </w:rPr>
              <w:t>和</w:t>
            </w:r>
            <w:r>
              <w:rPr>
                <w:rFonts w:ascii="宋体" w:hAnsi="宋体" w:cs="仿宋_GB2312"/>
                <w:color w:val="auto"/>
                <w:sz w:val="22"/>
                <w:highlight w:val="none"/>
              </w:rPr>
              <w:t>该合同甲方单位</w:t>
            </w:r>
            <w:r>
              <w:rPr>
                <w:rFonts w:hint="eastAsia" w:ascii="宋体" w:hAnsi="宋体" w:cs="仿宋_GB2312"/>
                <w:color w:val="auto"/>
                <w:sz w:val="22"/>
                <w:highlight w:val="none"/>
              </w:rPr>
              <w:t>（或甲方使用部门）</w:t>
            </w:r>
            <w:r>
              <w:rPr>
                <w:rFonts w:ascii="宋体" w:hAnsi="宋体" w:cs="仿宋_GB2312"/>
                <w:color w:val="auto"/>
                <w:sz w:val="22"/>
                <w:highlight w:val="none"/>
              </w:rPr>
              <w:t>填写的《</w:t>
            </w:r>
            <w:r>
              <w:rPr>
                <w:rFonts w:hint="eastAsia" w:ascii="宋体" w:hAnsi="宋体" w:cs="仿宋_GB2312"/>
                <w:color w:val="auto"/>
                <w:sz w:val="22"/>
                <w:highlight w:val="none"/>
              </w:rPr>
              <w:t>投标人</w:t>
            </w:r>
            <w:r>
              <w:rPr>
                <w:rFonts w:ascii="宋体" w:hAnsi="宋体" w:cs="仿宋_GB2312"/>
                <w:color w:val="auto"/>
                <w:sz w:val="22"/>
                <w:highlight w:val="none"/>
              </w:rPr>
              <w:t>图书服务质量评价表》（要求评价表综合评价（扫描件）为全部较好以上（包括较好）</w:t>
            </w:r>
            <w:r>
              <w:rPr>
                <w:rFonts w:hint="eastAsia" w:ascii="宋体" w:hAnsi="宋体" w:cs="仿宋_GB2312"/>
                <w:color w:val="auto"/>
                <w:sz w:val="22"/>
                <w:highlight w:val="none"/>
              </w:rPr>
              <w:t>等正面</w:t>
            </w:r>
            <w:r>
              <w:rPr>
                <w:rFonts w:ascii="宋体" w:hAnsi="宋体" w:cs="仿宋_GB2312"/>
                <w:color w:val="auto"/>
                <w:sz w:val="22"/>
                <w:highlight w:val="none"/>
              </w:rPr>
              <w:t>评价），每提供1份得0.5分，最高得3分</w:t>
            </w:r>
            <w:r>
              <w:rPr>
                <w:rFonts w:hint="eastAsia" w:ascii="宋体" w:hAnsi="宋体" w:cs="宋体"/>
                <w:bCs/>
                <w:color w:val="auto"/>
                <w:sz w:val="22"/>
                <w:highlight w:val="none"/>
              </w:rPr>
              <w:t>。</w:t>
            </w:r>
          </w:p>
          <w:p>
            <w:pPr>
              <w:spacing w:line="360" w:lineRule="exact"/>
              <w:jc w:val="left"/>
              <w:rPr>
                <w:rFonts w:ascii="宋体" w:hAnsi="宋体" w:cs="宋体"/>
                <w:color w:val="auto"/>
                <w:sz w:val="22"/>
                <w:highlight w:val="none"/>
              </w:rPr>
            </w:pPr>
            <w:r>
              <w:rPr>
                <w:rFonts w:hint="eastAsia" w:ascii="宋体" w:hAnsi="宋体" w:cs="宋体"/>
                <w:bCs/>
                <w:color w:val="auto"/>
                <w:sz w:val="22"/>
                <w:highlight w:val="none"/>
              </w:rPr>
              <w:t>注：提供合同和</w:t>
            </w:r>
            <w:r>
              <w:rPr>
                <w:rFonts w:ascii="宋体" w:hAnsi="宋体" w:cs="仿宋_GB2312"/>
                <w:color w:val="auto"/>
                <w:sz w:val="22"/>
                <w:highlight w:val="none"/>
              </w:rPr>
              <w:t>评价表</w:t>
            </w:r>
            <w:r>
              <w:rPr>
                <w:rFonts w:hint="eastAsia" w:ascii="宋体" w:hAnsi="宋体" w:cs="宋体"/>
                <w:bCs/>
                <w:color w:val="auto"/>
                <w:sz w:val="22"/>
                <w:highlight w:val="none"/>
              </w:rPr>
              <w:t>扫描件</w:t>
            </w:r>
            <w:r>
              <w:rPr>
                <w:rFonts w:hint="eastAsia" w:ascii="宋体" w:hAnsi="宋体" w:cs="仿宋_GB2312"/>
                <w:color w:val="auto"/>
                <w:sz w:val="22"/>
                <w:highlight w:val="none"/>
              </w:rPr>
              <w:t>，二者缺一不可，评价表格式见附件16</w:t>
            </w:r>
            <w:r>
              <w:rPr>
                <w:rFonts w:hint="eastAsia" w:ascii="宋体" w:hAnsi="宋体" w:cs="宋体"/>
                <w:bCs/>
                <w:color w:val="auto"/>
                <w:sz w:val="22"/>
                <w:highlight w:val="none"/>
              </w:rPr>
              <w:t>，评分中出现无证明资料或专家无法凭所提供资料判断是否得分的情况，一律作不得分处理。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rPr>
              <w:t>2</w:t>
            </w:r>
          </w:p>
        </w:tc>
        <w:tc>
          <w:tcPr>
            <w:tcW w:w="1308" w:type="dxa"/>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z w:val="22"/>
                <w:highlight w:val="none"/>
              </w:rPr>
              <w:t>进书渠道</w:t>
            </w:r>
          </w:p>
        </w:tc>
        <w:tc>
          <w:tcPr>
            <w:tcW w:w="957" w:type="dxa"/>
            <w:vAlign w:val="center"/>
          </w:tcPr>
          <w:p>
            <w:pPr>
              <w:widowControl/>
              <w:tabs>
                <w:tab w:val="left" w:pos="2150"/>
              </w:tabs>
              <w:spacing w:line="360" w:lineRule="exact"/>
              <w:jc w:val="center"/>
              <w:rPr>
                <w:rFonts w:hint="eastAsia" w:ascii="宋体" w:hAnsi="宋体" w:eastAsia="宋体" w:cs="宋体"/>
                <w:color w:val="auto"/>
                <w:spacing w:val="-6"/>
                <w:sz w:val="22"/>
                <w:highlight w:val="none"/>
                <w:lang w:eastAsia="zh-CN"/>
              </w:rPr>
            </w:pPr>
            <w:r>
              <w:rPr>
                <w:rFonts w:hint="eastAsia" w:ascii="宋体" w:hAnsi="宋体" w:cs="宋体"/>
                <w:color w:val="auto"/>
                <w:spacing w:val="-6"/>
                <w:sz w:val="22"/>
                <w:highlight w:val="none"/>
              </w:rPr>
              <w:t>0-</w:t>
            </w:r>
            <w:r>
              <w:rPr>
                <w:rFonts w:hint="eastAsia" w:ascii="宋体" w:hAnsi="宋体" w:cs="宋体"/>
                <w:color w:val="auto"/>
                <w:spacing w:val="-6"/>
                <w:sz w:val="22"/>
                <w:highlight w:val="none"/>
                <w:lang w:val="en-US" w:eastAsia="zh-CN"/>
              </w:rPr>
              <w:t>6</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bCs/>
                <w:color w:val="auto"/>
                <w:kern w:val="28"/>
                <w:sz w:val="22"/>
                <w:highlight w:val="none"/>
              </w:rPr>
              <w:t>根据投</w:t>
            </w:r>
            <w:r>
              <w:rPr>
                <w:rFonts w:hint="eastAsia" w:ascii="宋体" w:hAnsi="宋体" w:cs="宋体"/>
                <w:bCs/>
                <w:color w:val="auto"/>
                <w:sz w:val="22"/>
                <w:highlight w:val="none"/>
              </w:rPr>
              <w:t>标人与各类国家级出版社、地方出版社的供货合同或授权书，少于200家的不得分</w:t>
            </w:r>
            <w:r>
              <w:rPr>
                <w:rFonts w:hint="eastAsia" w:ascii="宋体" w:hAnsi="宋体" w:cs="宋体"/>
                <w:bCs/>
                <w:color w:val="auto"/>
                <w:sz w:val="22"/>
                <w:highlight w:val="none"/>
                <w:lang w:eastAsia="zh-CN"/>
              </w:rPr>
              <w:t>，</w:t>
            </w:r>
            <w:r>
              <w:rPr>
                <w:rFonts w:hint="eastAsia" w:ascii="宋体" w:hAnsi="宋体" w:cs="宋体"/>
                <w:bCs/>
                <w:color w:val="auto"/>
                <w:sz w:val="22"/>
                <w:highlight w:val="none"/>
              </w:rPr>
              <w:t>超过200家（含）的每多100家（含）的加</w:t>
            </w:r>
            <w:r>
              <w:rPr>
                <w:rFonts w:hint="eastAsia" w:ascii="宋体" w:hAnsi="宋体" w:cs="宋体"/>
                <w:bCs/>
                <w:color w:val="auto"/>
                <w:sz w:val="22"/>
                <w:highlight w:val="none"/>
                <w:lang w:val="en-US" w:eastAsia="zh-CN"/>
              </w:rPr>
              <w:t>2</w:t>
            </w:r>
            <w:r>
              <w:rPr>
                <w:rFonts w:hint="eastAsia" w:ascii="宋体" w:hAnsi="宋体" w:cs="宋体"/>
                <w:bCs/>
                <w:color w:val="auto"/>
                <w:sz w:val="22"/>
                <w:highlight w:val="none"/>
              </w:rPr>
              <w:t>分</w:t>
            </w:r>
            <w:r>
              <w:rPr>
                <w:rFonts w:hint="eastAsia" w:ascii="宋体" w:hAnsi="宋体" w:cs="宋体"/>
                <w:bCs/>
                <w:color w:val="auto"/>
                <w:sz w:val="22"/>
                <w:highlight w:val="none"/>
                <w:lang w:val="en-US" w:eastAsia="zh-CN"/>
              </w:rPr>
              <w:t>，</w:t>
            </w:r>
            <w:r>
              <w:rPr>
                <w:rFonts w:hint="eastAsia" w:ascii="宋体" w:hAnsi="宋体" w:cs="宋体"/>
                <w:bCs/>
                <w:color w:val="auto"/>
                <w:sz w:val="22"/>
                <w:highlight w:val="none"/>
              </w:rPr>
              <w:t>最高</w:t>
            </w:r>
            <w:r>
              <w:rPr>
                <w:rFonts w:hint="eastAsia" w:ascii="宋体" w:hAnsi="宋体" w:cs="宋体"/>
                <w:bCs/>
                <w:color w:val="auto"/>
                <w:sz w:val="22"/>
                <w:highlight w:val="none"/>
              </w:rPr>
              <w:t>加</w:t>
            </w:r>
            <w:r>
              <w:rPr>
                <w:rFonts w:hint="eastAsia" w:ascii="宋体" w:hAnsi="宋体" w:cs="宋体"/>
                <w:bCs/>
                <w:color w:val="auto"/>
                <w:sz w:val="22"/>
                <w:highlight w:val="none"/>
                <w:lang w:val="en-US" w:eastAsia="zh-CN"/>
              </w:rPr>
              <w:t>6</w:t>
            </w:r>
            <w:r>
              <w:rPr>
                <w:rFonts w:hint="eastAsia" w:ascii="宋体" w:hAnsi="宋体" w:cs="宋体"/>
                <w:bCs/>
                <w:color w:val="auto"/>
                <w:sz w:val="22"/>
                <w:highlight w:val="none"/>
              </w:rPr>
              <w:t>分</w:t>
            </w:r>
            <w:r>
              <w:rPr>
                <w:rFonts w:hint="eastAsia" w:ascii="宋体" w:hAnsi="宋体" w:cs="宋体"/>
                <w:bCs/>
                <w:color w:val="auto"/>
                <w:sz w:val="22"/>
                <w:highlight w:val="none"/>
              </w:rPr>
              <w:t>。</w:t>
            </w:r>
            <w:r>
              <w:rPr>
                <w:rFonts w:hint="eastAsia" w:ascii="宋体" w:hAnsi="宋体" w:cs="宋体"/>
                <w:bCs/>
                <w:color w:val="auto"/>
                <w:kern w:val="28"/>
                <w:sz w:val="22"/>
                <w:highlight w:val="none"/>
              </w:rPr>
              <w:t>（</w:t>
            </w:r>
            <w:r>
              <w:rPr>
                <w:rFonts w:hint="eastAsia" w:ascii="宋体" w:hAnsi="宋体" w:cs="宋体"/>
                <w:b/>
                <w:color w:val="auto"/>
                <w:kern w:val="28"/>
                <w:sz w:val="22"/>
                <w:highlight w:val="none"/>
              </w:rPr>
              <w:t>以提供的出版社签署的供货合同或授权书为统计依据</w:t>
            </w:r>
            <w:r>
              <w:rPr>
                <w:rFonts w:hint="eastAsia" w:ascii="宋体" w:hAnsi="宋体" w:cs="宋体"/>
                <w:bCs/>
                <w:color w:val="auto"/>
                <w:kern w:val="28"/>
                <w:sz w:val="22"/>
                <w:highlight w:val="none"/>
              </w:rPr>
              <w:t>）</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rPr>
              <w:t>3</w:t>
            </w:r>
          </w:p>
        </w:tc>
        <w:tc>
          <w:tcPr>
            <w:tcW w:w="1308"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定期提供新书目录</w:t>
            </w:r>
          </w:p>
        </w:tc>
        <w:tc>
          <w:tcPr>
            <w:tcW w:w="957" w:type="dxa"/>
            <w:vAlign w:val="center"/>
          </w:tcPr>
          <w:p>
            <w:pPr>
              <w:snapToGrid w:val="0"/>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rPr>
              <w:t>0-5</w:t>
            </w:r>
          </w:p>
        </w:tc>
        <w:tc>
          <w:tcPr>
            <w:tcW w:w="5640" w:type="dxa"/>
            <w:vAlign w:val="center"/>
          </w:tcPr>
          <w:p>
            <w:pPr>
              <w:spacing w:line="360" w:lineRule="exact"/>
              <w:rPr>
                <w:rFonts w:ascii="宋体" w:hAnsi="宋体" w:cs="宋体"/>
                <w:color w:val="auto"/>
                <w:sz w:val="22"/>
                <w:highlight w:val="none"/>
                <w:lang w:val="zh-CN"/>
              </w:rPr>
            </w:pPr>
            <w:r>
              <w:rPr>
                <w:rFonts w:hint="eastAsia" w:ascii="宋体" w:hAnsi="宋体" w:cs="宋体"/>
                <w:color w:val="auto"/>
                <w:sz w:val="22"/>
                <w:highlight w:val="none"/>
              </w:rPr>
              <w:t>承诺每周一提供的新书目录2000条以上（含本数）的得</w:t>
            </w:r>
            <w:r>
              <w:rPr>
                <w:rFonts w:hint="eastAsia" w:ascii="宋体" w:hAnsi="宋体" w:cs="宋体"/>
                <w:color w:val="auto"/>
                <w:sz w:val="22"/>
                <w:highlight w:val="none"/>
                <w:lang w:val="en-US" w:eastAsia="zh-CN"/>
              </w:rPr>
              <w:t>5</w:t>
            </w:r>
            <w:r>
              <w:rPr>
                <w:rFonts w:hint="eastAsia" w:ascii="宋体" w:hAnsi="宋体" w:cs="宋体"/>
                <w:color w:val="auto"/>
                <w:sz w:val="22"/>
                <w:highlight w:val="none"/>
              </w:rPr>
              <w:t>分</w:t>
            </w:r>
            <w:r>
              <w:rPr>
                <w:rFonts w:hint="eastAsia" w:ascii="宋体" w:hAnsi="宋体" w:cs="宋体"/>
                <w:color w:val="auto"/>
                <w:sz w:val="22"/>
                <w:highlight w:val="none"/>
              </w:rPr>
              <w:t>；1000-2000条（不含本数）的</w:t>
            </w:r>
            <w:r>
              <w:rPr>
                <w:rFonts w:hint="eastAsia" w:ascii="宋体" w:hAnsi="宋体" w:cs="宋体"/>
                <w:color w:val="auto"/>
                <w:sz w:val="22"/>
                <w:highlight w:val="none"/>
              </w:rPr>
              <w:t>得</w:t>
            </w:r>
            <w:r>
              <w:rPr>
                <w:rFonts w:hint="eastAsia" w:ascii="宋体" w:hAnsi="宋体" w:cs="宋体"/>
                <w:color w:val="auto"/>
                <w:sz w:val="22"/>
                <w:highlight w:val="none"/>
                <w:lang w:val="en-US" w:eastAsia="zh-CN"/>
              </w:rPr>
              <w:t>3</w:t>
            </w:r>
            <w:r>
              <w:rPr>
                <w:rFonts w:hint="eastAsia" w:ascii="宋体" w:hAnsi="宋体" w:cs="宋体"/>
                <w:color w:val="auto"/>
                <w:sz w:val="22"/>
                <w:highlight w:val="none"/>
              </w:rPr>
              <w:t>分</w:t>
            </w:r>
            <w:r>
              <w:rPr>
                <w:rFonts w:hint="eastAsia" w:ascii="宋体" w:hAnsi="宋体" w:cs="宋体"/>
                <w:color w:val="auto"/>
                <w:sz w:val="22"/>
                <w:highlight w:val="none"/>
              </w:rPr>
              <w:t>；500-1000条（含本数）的得1分；低于500条（不含本数）不得分。提供承诺函，承诺函格式详见附件15，否则不得分。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Merge w:val="restart"/>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rPr>
              <w:t>4</w:t>
            </w:r>
          </w:p>
        </w:tc>
        <w:tc>
          <w:tcPr>
            <w:tcW w:w="1308" w:type="dxa"/>
            <w:vMerge w:val="restart"/>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采访书目</w:t>
            </w:r>
          </w:p>
        </w:tc>
        <w:tc>
          <w:tcPr>
            <w:tcW w:w="957" w:type="dxa"/>
            <w:vAlign w:val="center"/>
          </w:tcPr>
          <w:p>
            <w:pPr>
              <w:snapToGrid w:val="0"/>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0-5</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color w:val="auto"/>
                <w:sz w:val="22"/>
                <w:highlight w:val="none"/>
              </w:rPr>
              <w:t>采访书目完整、准确；根据书目信息的覆盖情况打分。</w:t>
            </w:r>
          </w:p>
          <w:p>
            <w:pPr>
              <w:spacing w:line="360" w:lineRule="exact"/>
              <w:rPr>
                <w:rFonts w:ascii="宋体" w:hAnsi="宋体" w:cs="宋体"/>
                <w:color w:val="auto"/>
                <w:sz w:val="22"/>
                <w:highlight w:val="none"/>
                <w:lang w:val="zh-CN"/>
              </w:rPr>
            </w:pPr>
            <w:r>
              <w:rPr>
                <w:rFonts w:hint="eastAsia" w:ascii="宋体" w:hAnsi="宋体" w:cs="宋体"/>
                <w:color w:val="auto"/>
                <w:sz w:val="22"/>
                <w:highlight w:val="none"/>
              </w:rPr>
              <w:t>书目信息的覆盖面达98%以上（含本数）的得</w:t>
            </w:r>
            <w:r>
              <w:rPr>
                <w:rFonts w:hint="eastAsia" w:ascii="宋体" w:hAnsi="宋体" w:cs="宋体"/>
                <w:color w:val="auto"/>
                <w:sz w:val="22"/>
                <w:highlight w:val="none"/>
                <w:lang w:val="en-US" w:eastAsia="zh-CN"/>
              </w:rPr>
              <w:t>5</w:t>
            </w:r>
            <w:r>
              <w:rPr>
                <w:rFonts w:hint="eastAsia" w:ascii="宋体" w:hAnsi="宋体" w:cs="宋体"/>
                <w:color w:val="auto"/>
                <w:sz w:val="22"/>
                <w:highlight w:val="none"/>
              </w:rPr>
              <w:t>分；</w:t>
            </w:r>
            <w:r>
              <w:rPr>
                <w:rFonts w:hint="eastAsia" w:ascii="宋体" w:hAnsi="宋体" w:cs="宋体"/>
                <w:color w:val="auto"/>
                <w:sz w:val="22"/>
                <w:highlight w:val="none"/>
              </w:rPr>
              <w:t>书目信息的覆盖面达在95%-98%之间（不含本数）的得</w:t>
            </w:r>
            <w:r>
              <w:rPr>
                <w:rFonts w:hint="eastAsia" w:ascii="宋体" w:hAnsi="宋体" w:cs="宋体"/>
                <w:color w:val="auto"/>
                <w:sz w:val="22"/>
                <w:highlight w:val="none"/>
                <w:lang w:val="en-US" w:eastAsia="zh-CN"/>
              </w:rPr>
              <w:t>3</w:t>
            </w:r>
            <w:r>
              <w:rPr>
                <w:rFonts w:hint="eastAsia" w:ascii="宋体" w:hAnsi="宋体" w:cs="宋体"/>
                <w:color w:val="auto"/>
                <w:sz w:val="22"/>
                <w:highlight w:val="none"/>
              </w:rPr>
              <w:t>分</w:t>
            </w:r>
            <w:r>
              <w:rPr>
                <w:rFonts w:hint="eastAsia" w:ascii="宋体" w:hAnsi="宋体" w:cs="宋体"/>
                <w:color w:val="auto"/>
                <w:sz w:val="22"/>
                <w:highlight w:val="none"/>
              </w:rPr>
              <w:t>；书目信息的覆盖面达在90%-95%之间（含本数）的得1分；书目信息的覆盖面低于90%（不含本数）不得分。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Merge w:val="continue"/>
            <w:vAlign w:val="center"/>
          </w:tcPr>
          <w:p>
            <w:pPr>
              <w:spacing w:line="360" w:lineRule="exact"/>
              <w:jc w:val="center"/>
              <w:rPr>
                <w:rFonts w:ascii="宋体" w:hAnsi="宋体" w:cs="宋体"/>
                <w:color w:val="auto"/>
                <w:spacing w:val="-6"/>
                <w:sz w:val="22"/>
                <w:highlight w:val="none"/>
              </w:rPr>
            </w:pPr>
          </w:p>
        </w:tc>
        <w:tc>
          <w:tcPr>
            <w:tcW w:w="1308" w:type="dxa"/>
            <w:vMerge w:val="continue"/>
            <w:vAlign w:val="center"/>
          </w:tcPr>
          <w:p>
            <w:pPr>
              <w:spacing w:line="360" w:lineRule="exact"/>
              <w:jc w:val="center"/>
              <w:rPr>
                <w:rFonts w:ascii="宋体" w:hAnsi="宋体" w:cs="宋体"/>
                <w:color w:val="auto"/>
                <w:sz w:val="22"/>
                <w:highlight w:val="none"/>
              </w:rPr>
            </w:pPr>
          </w:p>
        </w:tc>
        <w:tc>
          <w:tcPr>
            <w:tcW w:w="957" w:type="dxa"/>
            <w:vAlign w:val="center"/>
          </w:tcPr>
          <w:p>
            <w:pPr>
              <w:snapToGrid w:val="0"/>
              <w:spacing w:line="360" w:lineRule="exact"/>
              <w:jc w:val="center"/>
              <w:rPr>
                <w:rFonts w:hint="eastAsia" w:ascii="宋体" w:hAnsi="宋体" w:eastAsia="宋体" w:cs="宋体"/>
                <w:color w:val="auto"/>
                <w:kern w:val="0"/>
                <w:sz w:val="22"/>
                <w:highlight w:val="none"/>
                <w:lang w:eastAsia="zh-CN"/>
              </w:rPr>
            </w:pPr>
            <w:r>
              <w:rPr>
                <w:rFonts w:hint="eastAsia" w:ascii="宋体" w:hAnsi="宋体" w:cs="宋体"/>
                <w:color w:val="auto"/>
                <w:kern w:val="0"/>
                <w:sz w:val="22"/>
                <w:highlight w:val="none"/>
              </w:rPr>
              <w:t>0-</w:t>
            </w:r>
            <w:r>
              <w:rPr>
                <w:rFonts w:hint="eastAsia" w:ascii="宋体" w:hAnsi="宋体" w:cs="宋体"/>
                <w:color w:val="auto"/>
                <w:kern w:val="0"/>
                <w:sz w:val="22"/>
                <w:highlight w:val="none"/>
                <w:lang w:val="en-US" w:eastAsia="zh-CN"/>
              </w:rPr>
              <w:t>2</w:t>
            </w:r>
          </w:p>
        </w:tc>
        <w:tc>
          <w:tcPr>
            <w:tcW w:w="5640" w:type="dxa"/>
            <w:vAlign w:val="center"/>
          </w:tcPr>
          <w:p>
            <w:pPr>
              <w:spacing w:line="360" w:lineRule="exact"/>
              <w:rPr>
                <w:rFonts w:ascii="宋体" w:hAnsi="宋体" w:cs="宋体"/>
                <w:color w:val="auto"/>
                <w:sz w:val="22"/>
                <w:highlight w:val="none"/>
              </w:rPr>
            </w:pPr>
            <w:r>
              <w:rPr>
                <w:rFonts w:hint="eastAsia" w:ascii="宋体" w:hAnsi="宋体" w:cs="仿宋_GB2312"/>
                <w:color w:val="auto"/>
                <w:sz w:val="22"/>
                <w:highlight w:val="none"/>
              </w:rPr>
              <w:t>投标人对图书采访数据的操作方案及质量控制：方案及质量控制</w:t>
            </w:r>
            <w:r>
              <w:rPr>
                <w:rFonts w:hint="eastAsia" w:ascii="宋体" w:hAnsi="宋体" w:cs="宋体"/>
                <w:color w:val="auto"/>
                <w:sz w:val="22"/>
                <w:highlight w:val="none"/>
              </w:rPr>
              <w:t>针对性强的得</w:t>
            </w:r>
            <w:r>
              <w:rPr>
                <w:rFonts w:hint="eastAsia" w:ascii="宋体" w:hAnsi="宋体" w:cs="宋体"/>
                <w:color w:val="auto"/>
                <w:sz w:val="22"/>
                <w:highlight w:val="none"/>
                <w:lang w:val="en-US" w:eastAsia="zh-CN"/>
              </w:rPr>
              <w:t>2</w:t>
            </w:r>
            <w:r>
              <w:rPr>
                <w:rFonts w:hint="eastAsia" w:ascii="宋体" w:hAnsi="宋体" w:cs="宋体"/>
                <w:color w:val="auto"/>
                <w:sz w:val="22"/>
                <w:highlight w:val="none"/>
              </w:rPr>
              <w:t>分；</w:t>
            </w:r>
            <w:r>
              <w:rPr>
                <w:rFonts w:hint="eastAsia" w:ascii="宋体" w:hAnsi="宋体" w:cs="仿宋_GB2312"/>
                <w:color w:val="auto"/>
                <w:sz w:val="22"/>
                <w:highlight w:val="none"/>
              </w:rPr>
              <w:t>方案及质量控制</w:t>
            </w:r>
            <w:r>
              <w:rPr>
                <w:rFonts w:hint="eastAsia" w:ascii="宋体" w:hAnsi="宋体" w:cs="宋体"/>
                <w:color w:val="auto"/>
                <w:sz w:val="22"/>
                <w:highlight w:val="none"/>
              </w:rPr>
              <w:t>针对性较强的得</w:t>
            </w:r>
            <w:r>
              <w:rPr>
                <w:rFonts w:hint="eastAsia" w:ascii="宋体" w:hAnsi="宋体" w:cs="宋体"/>
                <w:color w:val="auto"/>
                <w:sz w:val="22"/>
                <w:highlight w:val="none"/>
                <w:lang w:val="en-US" w:eastAsia="zh-CN"/>
              </w:rPr>
              <w:t>1.5</w:t>
            </w:r>
            <w:r>
              <w:rPr>
                <w:rFonts w:hint="eastAsia" w:ascii="宋体" w:hAnsi="宋体" w:cs="宋体"/>
                <w:color w:val="auto"/>
                <w:sz w:val="22"/>
                <w:highlight w:val="none"/>
              </w:rPr>
              <w:t>分；</w:t>
            </w:r>
            <w:r>
              <w:rPr>
                <w:rFonts w:hint="eastAsia" w:ascii="宋体" w:hAnsi="宋体" w:cs="仿宋_GB2312"/>
                <w:color w:val="auto"/>
                <w:sz w:val="22"/>
                <w:highlight w:val="none"/>
              </w:rPr>
              <w:t>方案及质量控制</w:t>
            </w:r>
            <w:r>
              <w:rPr>
                <w:rFonts w:hint="eastAsia" w:ascii="宋体" w:hAnsi="宋体" w:cs="宋体"/>
                <w:color w:val="auto"/>
                <w:sz w:val="22"/>
                <w:highlight w:val="none"/>
              </w:rPr>
              <w:t>针对性一般的得</w:t>
            </w:r>
            <w:r>
              <w:rPr>
                <w:rFonts w:hint="eastAsia" w:ascii="宋体" w:hAnsi="宋体" w:cs="宋体"/>
                <w:color w:val="auto"/>
                <w:sz w:val="22"/>
                <w:highlight w:val="none"/>
                <w:lang w:val="en-US" w:eastAsia="zh-CN"/>
              </w:rPr>
              <w:t>1</w:t>
            </w:r>
            <w:r>
              <w:rPr>
                <w:rFonts w:hint="eastAsia" w:ascii="宋体" w:hAnsi="宋体" w:cs="宋体"/>
                <w:color w:val="auto"/>
                <w:sz w:val="22"/>
                <w:highlight w:val="none"/>
              </w:rPr>
              <w:t>分；</w:t>
            </w:r>
            <w:r>
              <w:rPr>
                <w:rFonts w:hint="eastAsia" w:ascii="宋体" w:hAnsi="宋体" w:cs="仿宋_GB2312"/>
                <w:color w:val="auto"/>
                <w:sz w:val="22"/>
                <w:highlight w:val="none"/>
              </w:rPr>
              <w:t>方案及质量控制</w:t>
            </w:r>
            <w:r>
              <w:rPr>
                <w:rFonts w:hint="eastAsia" w:ascii="宋体" w:hAnsi="宋体" w:cs="宋体"/>
                <w:color w:val="auto"/>
                <w:sz w:val="22"/>
                <w:highlight w:val="none"/>
              </w:rPr>
              <w:t>针对性不强的得</w:t>
            </w:r>
            <w:r>
              <w:rPr>
                <w:rFonts w:hint="eastAsia" w:ascii="宋体" w:hAnsi="宋体" w:cs="宋体"/>
                <w:color w:val="auto"/>
                <w:sz w:val="22"/>
                <w:highlight w:val="none"/>
                <w:lang w:val="en-US" w:eastAsia="zh-CN"/>
              </w:rPr>
              <w:t>0.5</w:t>
            </w:r>
            <w:r>
              <w:rPr>
                <w:rFonts w:hint="eastAsia" w:ascii="宋体" w:hAnsi="宋体" w:cs="宋体"/>
                <w:color w:val="auto"/>
                <w:sz w:val="22"/>
                <w:highlight w:val="none"/>
              </w:rPr>
              <w:t>分；未提供的不得分。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Merge w:val="restart"/>
            <w:vAlign w:val="center"/>
          </w:tcPr>
          <w:p>
            <w:pPr>
              <w:spacing w:line="360" w:lineRule="exact"/>
              <w:jc w:val="center"/>
              <w:rPr>
                <w:rFonts w:ascii="宋体" w:hAnsi="宋体" w:cs="宋体"/>
                <w:color w:val="auto"/>
                <w:spacing w:val="-6"/>
                <w:sz w:val="22"/>
                <w:highlight w:val="none"/>
              </w:rPr>
            </w:pPr>
            <w:r>
              <w:rPr>
                <w:rFonts w:hint="eastAsia" w:ascii="宋体" w:hAnsi="宋体" w:cs="宋体"/>
                <w:color w:val="auto"/>
                <w:spacing w:val="-6"/>
                <w:sz w:val="22"/>
                <w:highlight w:val="none"/>
              </w:rPr>
              <w:t>5</w:t>
            </w:r>
          </w:p>
        </w:tc>
        <w:tc>
          <w:tcPr>
            <w:tcW w:w="1308" w:type="dxa"/>
            <w:vMerge w:val="restart"/>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到书率</w:t>
            </w:r>
          </w:p>
        </w:tc>
        <w:tc>
          <w:tcPr>
            <w:tcW w:w="957" w:type="dxa"/>
            <w:vAlign w:val="center"/>
          </w:tcPr>
          <w:p>
            <w:pPr>
              <w:snapToGrid w:val="0"/>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0-3</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color w:val="auto"/>
                <w:sz w:val="22"/>
                <w:highlight w:val="none"/>
              </w:rPr>
              <w:t>承诺的年</w:t>
            </w:r>
            <w:r>
              <w:rPr>
                <w:rFonts w:hint="eastAsia" w:ascii="宋体" w:hAnsi="宋体" w:cs="宋体"/>
                <w:color w:val="auto"/>
                <w:sz w:val="22"/>
                <w:highlight w:val="none"/>
              </w:rPr>
              <w:t>到书率达9</w:t>
            </w:r>
            <w:r>
              <w:rPr>
                <w:rFonts w:hint="eastAsia" w:ascii="宋体" w:hAnsi="宋体" w:cs="宋体"/>
                <w:color w:val="auto"/>
                <w:sz w:val="22"/>
                <w:highlight w:val="none"/>
                <w:lang w:val="en-US" w:eastAsia="zh-CN"/>
              </w:rPr>
              <w:t>8</w:t>
            </w:r>
            <w:r>
              <w:rPr>
                <w:rFonts w:hint="eastAsia" w:ascii="宋体" w:hAnsi="宋体" w:cs="宋体"/>
                <w:color w:val="auto"/>
                <w:sz w:val="22"/>
                <w:highlight w:val="none"/>
              </w:rPr>
              <w:t>%以上为</w:t>
            </w:r>
            <w:r>
              <w:rPr>
                <w:rFonts w:hint="eastAsia" w:ascii="宋体" w:hAnsi="宋体" w:cs="宋体"/>
                <w:color w:val="auto"/>
                <w:sz w:val="22"/>
                <w:highlight w:val="none"/>
                <w:lang w:val="en-US" w:eastAsia="zh-CN"/>
              </w:rPr>
              <w:t>3</w:t>
            </w:r>
            <w:r>
              <w:rPr>
                <w:rFonts w:hint="eastAsia" w:ascii="宋体" w:hAnsi="宋体" w:cs="宋体"/>
                <w:color w:val="auto"/>
                <w:sz w:val="22"/>
                <w:highlight w:val="none"/>
              </w:rPr>
              <w:t>分</w:t>
            </w:r>
            <w:r>
              <w:rPr>
                <w:rFonts w:hint="eastAsia" w:ascii="宋体" w:hAnsi="宋体" w:cs="宋体"/>
                <w:color w:val="auto"/>
                <w:sz w:val="22"/>
                <w:highlight w:val="none"/>
                <w:lang w:eastAsia="zh-CN"/>
              </w:rPr>
              <w:t>；</w:t>
            </w:r>
            <w:r>
              <w:rPr>
                <w:rFonts w:hint="eastAsia" w:ascii="宋体" w:hAnsi="宋体" w:cs="宋体"/>
                <w:color w:val="auto"/>
                <w:sz w:val="22"/>
                <w:highlight w:val="none"/>
              </w:rPr>
              <w:t>到书率达9</w:t>
            </w:r>
            <w:r>
              <w:rPr>
                <w:rFonts w:hint="eastAsia" w:ascii="宋体" w:hAnsi="宋体" w:cs="宋体"/>
                <w:color w:val="auto"/>
                <w:sz w:val="22"/>
                <w:highlight w:val="none"/>
                <w:lang w:val="en-US" w:eastAsia="zh-CN"/>
              </w:rPr>
              <w:t>5</w:t>
            </w:r>
            <w:r>
              <w:rPr>
                <w:rFonts w:hint="eastAsia" w:ascii="宋体" w:hAnsi="宋体" w:cs="宋体"/>
                <w:color w:val="auto"/>
                <w:sz w:val="22"/>
                <w:highlight w:val="none"/>
              </w:rPr>
              <w:t>-9</w:t>
            </w:r>
            <w:r>
              <w:rPr>
                <w:rFonts w:hint="eastAsia" w:ascii="宋体" w:hAnsi="宋体" w:cs="宋体"/>
                <w:color w:val="auto"/>
                <w:sz w:val="22"/>
                <w:highlight w:val="none"/>
                <w:lang w:val="en-US" w:eastAsia="zh-CN"/>
              </w:rPr>
              <w:t>8</w:t>
            </w:r>
            <w:r>
              <w:rPr>
                <w:rFonts w:hint="eastAsia" w:ascii="宋体" w:hAnsi="宋体" w:cs="宋体"/>
                <w:color w:val="auto"/>
                <w:sz w:val="22"/>
                <w:highlight w:val="none"/>
              </w:rPr>
              <w:t>%</w:t>
            </w:r>
            <w:r>
              <w:rPr>
                <w:rFonts w:hint="eastAsia" w:ascii="宋体" w:hAnsi="宋体" w:cs="宋体"/>
                <w:color w:val="auto"/>
                <w:sz w:val="22"/>
                <w:highlight w:val="none"/>
                <w:lang w:eastAsia="zh-CN"/>
              </w:rPr>
              <w:t>（含本数）</w:t>
            </w:r>
            <w:r>
              <w:rPr>
                <w:rFonts w:hint="eastAsia" w:ascii="宋体" w:hAnsi="宋体" w:cs="宋体"/>
                <w:color w:val="auto"/>
                <w:sz w:val="22"/>
                <w:highlight w:val="none"/>
              </w:rPr>
              <w:t>为</w:t>
            </w:r>
            <w:r>
              <w:rPr>
                <w:rFonts w:hint="eastAsia" w:ascii="宋体" w:hAnsi="宋体" w:cs="宋体"/>
                <w:color w:val="auto"/>
                <w:sz w:val="22"/>
                <w:highlight w:val="none"/>
                <w:lang w:val="en-US" w:eastAsia="zh-CN"/>
              </w:rPr>
              <w:t>2</w:t>
            </w:r>
            <w:r>
              <w:rPr>
                <w:rFonts w:hint="eastAsia" w:ascii="宋体" w:hAnsi="宋体" w:cs="宋体"/>
                <w:color w:val="auto"/>
                <w:sz w:val="22"/>
                <w:highlight w:val="none"/>
              </w:rPr>
              <w:t>分；90-95%</w:t>
            </w:r>
            <w:r>
              <w:rPr>
                <w:rFonts w:hint="eastAsia" w:ascii="宋体" w:hAnsi="宋体" w:cs="宋体"/>
                <w:color w:val="auto"/>
                <w:sz w:val="22"/>
                <w:highlight w:val="none"/>
                <w:lang w:eastAsia="zh-CN"/>
              </w:rPr>
              <w:t>（不含本数）</w:t>
            </w:r>
            <w:r>
              <w:rPr>
                <w:rFonts w:hint="eastAsia" w:ascii="宋体" w:hAnsi="宋体" w:cs="宋体"/>
                <w:color w:val="auto"/>
                <w:sz w:val="22"/>
                <w:highlight w:val="none"/>
              </w:rPr>
              <w:t>为1分；90%以下不得分</w:t>
            </w:r>
            <w:r>
              <w:rPr>
                <w:rFonts w:hint="eastAsia" w:ascii="宋体" w:hAnsi="宋体" w:cs="宋体"/>
                <w:color w:val="auto"/>
                <w:sz w:val="22"/>
                <w:highlight w:val="none"/>
              </w:rPr>
              <w:t>。提供承诺函，承诺函格式详见附件15，否则不得分。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Merge w:val="continue"/>
            <w:vAlign w:val="center"/>
          </w:tcPr>
          <w:p>
            <w:pPr>
              <w:spacing w:line="360" w:lineRule="exact"/>
              <w:jc w:val="center"/>
              <w:rPr>
                <w:rFonts w:ascii="宋体" w:hAnsi="宋体" w:cs="宋体"/>
                <w:color w:val="auto"/>
                <w:spacing w:val="-6"/>
                <w:sz w:val="22"/>
                <w:highlight w:val="none"/>
              </w:rPr>
            </w:pPr>
          </w:p>
        </w:tc>
        <w:tc>
          <w:tcPr>
            <w:tcW w:w="1308" w:type="dxa"/>
            <w:vMerge w:val="continue"/>
            <w:vAlign w:val="center"/>
          </w:tcPr>
          <w:p>
            <w:pPr>
              <w:spacing w:line="360" w:lineRule="exact"/>
              <w:jc w:val="center"/>
              <w:rPr>
                <w:rFonts w:ascii="宋体" w:hAnsi="宋体" w:cs="宋体"/>
                <w:color w:val="auto"/>
                <w:sz w:val="22"/>
                <w:highlight w:val="none"/>
              </w:rPr>
            </w:pPr>
          </w:p>
        </w:tc>
        <w:tc>
          <w:tcPr>
            <w:tcW w:w="957" w:type="dxa"/>
            <w:vAlign w:val="center"/>
          </w:tcPr>
          <w:p>
            <w:pPr>
              <w:snapToGrid w:val="0"/>
              <w:spacing w:line="360" w:lineRule="exact"/>
              <w:jc w:val="center"/>
              <w:rPr>
                <w:rFonts w:hint="eastAsia" w:ascii="宋体" w:hAnsi="宋体" w:eastAsia="宋体" w:cs="宋体"/>
                <w:color w:val="auto"/>
                <w:kern w:val="0"/>
                <w:sz w:val="22"/>
                <w:highlight w:val="none"/>
                <w:lang w:eastAsia="zh-CN"/>
              </w:rPr>
            </w:pPr>
            <w:r>
              <w:rPr>
                <w:rFonts w:hint="eastAsia" w:ascii="宋体" w:hAnsi="宋体" w:cs="宋体"/>
                <w:color w:val="auto"/>
                <w:kern w:val="0"/>
                <w:sz w:val="22"/>
                <w:highlight w:val="none"/>
              </w:rPr>
              <w:t>0-</w:t>
            </w:r>
            <w:r>
              <w:rPr>
                <w:rFonts w:hint="eastAsia" w:ascii="宋体" w:hAnsi="宋体" w:cs="宋体"/>
                <w:color w:val="auto"/>
                <w:kern w:val="0"/>
                <w:sz w:val="22"/>
                <w:highlight w:val="none"/>
                <w:lang w:val="en-US" w:eastAsia="zh-CN"/>
              </w:rPr>
              <w:t>2</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bCs/>
                <w:color w:val="auto"/>
                <w:kern w:val="28"/>
                <w:sz w:val="22"/>
                <w:highlight w:val="none"/>
              </w:rPr>
              <w:t>投标人针对承诺到书率的保障措施：</w:t>
            </w:r>
            <w:r>
              <w:rPr>
                <w:rFonts w:hint="eastAsia" w:ascii="宋体" w:hAnsi="宋体" w:cs="宋体"/>
                <w:color w:val="auto"/>
                <w:sz w:val="22"/>
                <w:highlight w:val="none"/>
              </w:rPr>
              <w:t>保障措施针对性强的得</w:t>
            </w:r>
            <w:r>
              <w:rPr>
                <w:rFonts w:hint="eastAsia" w:ascii="宋体" w:hAnsi="宋体" w:cs="宋体"/>
                <w:color w:val="auto"/>
                <w:sz w:val="22"/>
                <w:highlight w:val="none"/>
                <w:lang w:val="en-US" w:eastAsia="zh-CN"/>
              </w:rPr>
              <w:t>2</w:t>
            </w:r>
            <w:r>
              <w:rPr>
                <w:rFonts w:hint="eastAsia" w:ascii="宋体" w:hAnsi="宋体" w:cs="宋体"/>
                <w:color w:val="auto"/>
                <w:sz w:val="22"/>
                <w:highlight w:val="none"/>
              </w:rPr>
              <w:t>分；保障措施针对性较强的得</w:t>
            </w:r>
            <w:r>
              <w:rPr>
                <w:rFonts w:hint="eastAsia" w:ascii="宋体" w:hAnsi="宋体" w:cs="宋体"/>
                <w:color w:val="auto"/>
                <w:sz w:val="22"/>
                <w:highlight w:val="none"/>
                <w:lang w:val="en-US" w:eastAsia="zh-CN"/>
              </w:rPr>
              <w:t>1.5</w:t>
            </w:r>
            <w:r>
              <w:rPr>
                <w:rFonts w:hint="eastAsia" w:ascii="宋体" w:hAnsi="宋体" w:cs="宋体"/>
                <w:color w:val="auto"/>
                <w:sz w:val="22"/>
                <w:highlight w:val="none"/>
              </w:rPr>
              <w:t>分；保障措施针对性一般的得</w:t>
            </w:r>
            <w:r>
              <w:rPr>
                <w:rFonts w:hint="eastAsia" w:ascii="宋体" w:hAnsi="宋体" w:cs="宋体"/>
                <w:color w:val="auto"/>
                <w:sz w:val="22"/>
                <w:highlight w:val="none"/>
                <w:lang w:val="en-US" w:eastAsia="zh-CN"/>
              </w:rPr>
              <w:t>1</w:t>
            </w:r>
            <w:r>
              <w:rPr>
                <w:rFonts w:hint="eastAsia" w:ascii="宋体" w:hAnsi="宋体" w:cs="宋体"/>
                <w:color w:val="auto"/>
                <w:sz w:val="22"/>
                <w:highlight w:val="none"/>
              </w:rPr>
              <w:t>分；保障措施针对性不强的得</w:t>
            </w:r>
            <w:r>
              <w:rPr>
                <w:rFonts w:hint="eastAsia" w:ascii="宋体" w:hAnsi="宋体" w:cs="宋体"/>
                <w:color w:val="auto"/>
                <w:sz w:val="22"/>
                <w:highlight w:val="none"/>
                <w:lang w:val="en-US" w:eastAsia="zh-CN"/>
              </w:rPr>
              <w:t>0.5</w:t>
            </w:r>
            <w:r>
              <w:rPr>
                <w:rFonts w:hint="eastAsia" w:ascii="宋体" w:hAnsi="宋体" w:cs="宋体"/>
                <w:color w:val="auto"/>
                <w:sz w:val="22"/>
                <w:highlight w:val="none"/>
              </w:rPr>
              <w:t>分；未提供保证措施的不得分。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hint="eastAsia" w:ascii="宋体" w:hAnsi="宋体" w:eastAsia="宋体" w:cs="宋体"/>
                <w:color w:val="auto"/>
                <w:sz w:val="22"/>
                <w:highlight w:val="none"/>
                <w:lang w:eastAsia="zh-CN"/>
              </w:rPr>
            </w:pPr>
            <w:r>
              <w:rPr>
                <w:rFonts w:hint="eastAsia" w:ascii="宋体" w:hAnsi="宋体" w:cs="宋体"/>
                <w:color w:val="auto"/>
                <w:spacing w:val="-6"/>
                <w:sz w:val="22"/>
                <w:highlight w:val="none"/>
                <w:lang w:val="en-US" w:eastAsia="zh-CN"/>
              </w:rPr>
              <w:t>6</w:t>
            </w:r>
          </w:p>
        </w:tc>
        <w:tc>
          <w:tcPr>
            <w:tcW w:w="1308"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对未能采购图书订单的处理</w:t>
            </w:r>
          </w:p>
        </w:tc>
        <w:tc>
          <w:tcPr>
            <w:tcW w:w="957" w:type="dxa"/>
            <w:vAlign w:val="center"/>
          </w:tcPr>
          <w:p>
            <w:pPr>
              <w:snapToGrid w:val="0"/>
              <w:spacing w:line="360" w:lineRule="exact"/>
              <w:jc w:val="center"/>
              <w:rPr>
                <w:rFonts w:hint="eastAsia" w:ascii="宋体" w:hAnsi="宋体" w:eastAsia="宋体" w:cs="宋体"/>
                <w:color w:val="auto"/>
                <w:kern w:val="0"/>
                <w:sz w:val="22"/>
                <w:highlight w:val="none"/>
                <w:lang w:eastAsia="zh-CN"/>
              </w:rPr>
            </w:pPr>
            <w:r>
              <w:rPr>
                <w:rFonts w:hint="eastAsia" w:ascii="宋体" w:hAnsi="宋体" w:cs="宋体"/>
                <w:color w:val="auto"/>
                <w:kern w:val="0"/>
                <w:sz w:val="22"/>
                <w:highlight w:val="none"/>
              </w:rPr>
              <w:t>0-</w:t>
            </w:r>
            <w:r>
              <w:rPr>
                <w:rFonts w:hint="eastAsia" w:ascii="宋体" w:hAnsi="宋体" w:cs="宋体"/>
                <w:color w:val="auto"/>
                <w:kern w:val="0"/>
                <w:sz w:val="22"/>
                <w:highlight w:val="none"/>
                <w:lang w:val="en-US" w:eastAsia="zh-CN"/>
              </w:rPr>
              <w:t>5</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color w:val="auto"/>
                <w:sz w:val="22"/>
                <w:highlight w:val="none"/>
              </w:rPr>
              <w:t>投标人对图书馆已预订，但因缺货、出版推迟、停止出版等不能及时到馆的图书，或取消出版的图书信息反馈能力（反馈信息包括：书名、ISBN、价格、复本和出版社、以及采购人的批次号和订单号（必须）等信息）、服务方案（投标人能否以清单、邮件、电话等形式通知采购人员）、处理方案：方案合理可行、针对性强的得</w:t>
            </w:r>
            <w:r>
              <w:rPr>
                <w:rFonts w:hint="eastAsia" w:ascii="宋体" w:hAnsi="宋体" w:cs="宋体"/>
                <w:color w:val="auto"/>
                <w:sz w:val="22"/>
                <w:highlight w:val="none"/>
                <w:lang w:val="en-US" w:eastAsia="zh-CN"/>
              </w:rPr>
              <w:t>5</w:t>
            </w:r>
            <w:r>
              <w:rPr>
                <w:rFonts w:hint="eastAsia" w:ascii="宋体" w:hAnsi="宋体" w:cs="宋体"/>
                <w:color w:val="auto"/>
                <w:sz w:val="22"/>
                <w:highlight w:val="none"/>
              </w:rPr>
              <w:t>分；方案合理可行、针对性比较强的得</w:t>
            </w:r>
            <w:r>
              <w:rPr>
                <w:rFonts w:hint="eastAsia" w:ascii="宋体" w:hAnsi="宋体" w:cs="宋体"/>
                <w:color w:val="auto"/>
                <w:sz w:val="22"/>
                <w:highlight w:val="none"/>
                <w:lang w:val="en-US" w:eastAsia="zh-CN"/>
              </w:rPr>
              <w:t>4</w:t>
            </w:r>
            <w:r>
              <w:rPr>
                <w:rFonts w:hint="eastAsia" w:ascii="宋体" w:hAnsi="宋体" w:cs="宋体"/>
                <w:color w:val="auto"/>
                <w:sz w:val="22"/>
                <w:highlight w:val="none"/>
              </w:rPr>
              <w:t>分；方案合理可行、针对性一般的得</w:t>
            </w:r>
            <w:r>
              <w:rPr>
                <w:rFonts w:hint="eastAsia" w:ascii="宋体" w:hAnsi="宋体" w:cs="宋体"/>
                <w:color w:val="auto"/>
                <w:sz w:val="22"/>
                <w:highlight w:val="none"/>
                <w:lang w:val="en-US" w:eastAsia="zh-CN"/>
              </w:rPr>
              <w:t>3</w:t>
            </w:r>
            <w:r>
              <w:rPr>
                <w:rFonts w:hint="eastAsia" w:ascii="宋体" w:hAnsi="宋体" w:cs="宋体"/>
                <w:color w:val="auto"/>
                <w:sz w:val="22"/>
                <w:highlight w:val="none"/>
              </w:rPr>
              <w:t>分；方案合理可行、针对性不强的得</w:t>
            </w:r>
            <w:r>
              <w:rPr>
                <w:rFonts w:hint="eastAsia" w:ascii="宋体" w:hAnsi="宋体" w:cs="宋体"/>
                <w:color w:val="auto"/>
                <w:sz w:val="22"/>
                <w:highlight w:val="none"/>
                <w:lang w:val="en-US" w:eastAsia="zh-CN"/>
              </w:rPr>
              <w:t>1</w:t>
            </w:r>
            <w:r>
              <w:rPr>
                <w:rFonts w:hint="eastAsia" w:ascii="宋体" w:hAnsi="宋体" w:cs="宋体"/>
                <w:color w:val="auto"/>
                <w:sz w:val="22"/>
                <w:highlight w:val="none"/>
              </w:rPr>
              <w:t>分；没提供的得0分。</w:t>
            </w:r>
          </w:p>
        </w:tc>
        <w:tc>
          <w:tcPr>
            <w:tcW w:w="921" w:type="dxa"/>
            <w:vAlign w:val="center"/>
          </w:tcPr>
          <w:p>
            <w:pPr>
              <w:spacing w:line="360" w:lineRule="exact"/>
              <w:rPr>
                <w:rFonts w:ascii="宋体" w:hAnsi="宋体" w:cs="宋体"/>
                <w:color w:val="auto"/>
                <w:sz w:val="22"/>
                <w:highlight w:val="none"/>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pacing w:val="-6"/>
                <w:sz w:val="22"/>
                <w:highlight w:val="none"/>
              </w:rPr>
              <w:t>7</w:t>
            </w:r>
          </w:p>
        </w:tc>
        <w:tc>
          <w:tcPr>
            <w:tcW w:w="1308"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网站建设</w:t>
            </w:r>
          </w:p>
        </w:tc>
        <w:tc>
          <w:tcPr>
            <w:tcW w:w="957" w:type="dxa"/>
            <w:vAlign w:val="center"/>
          </w:tcPr>
          <w:p>
            <w:pPr>
              <w:spacing w:line="360" w:lineRule="exact"/>
              <w:jc w:val="center"/>
              <w:rPr>
                <w:rFonts w:hint="eastAsia" w:ascii="宋体" w:hAnsi="宋体" w:eastAsia="宋体" w:cs="宋体"/>
                <w:color w:val="auto"/>
                <w:kern w:val="0"/>
                <w:sz w:val="22"/>
                <w:highlight w:val="none"/>
                <w:lang w:eastAsia="zh-CN"/>
              </w:rPr>
            </w:pPr>
            <w:r>
              <w:rPr>
                <w:rFonts w:hint="eastAsia" w:ascii="宋体" w:hAnsi="宋体" w:cs="宋体"/>
                <w:color w:val="auto"/>
                <w:kern w:val="0"/>
                <w:sz w:val="22"/>
                <w:highlight w:val="none"/>
              </w:rPr>
              <w:t>0-</w:t>
            </w:r>
            <w:r>
              <w:rPr>
                <w:rFonts w:hint="eastAsia" w:ascii="宋体" w:hAnsi="宋体" w:cs="宋体"/>
                <w:color w:val="auto"/>
                <w:kern w:val="0"/>
                <w:sz w:val="22"/>
                <w:highlight w:val="none"/>
                <w:lang w:val="en-US" w:eastAsia="zh-CN"/>
              </w:rPr>
              <w:t>3</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color w:val="auto"/>
                <w:sz w:val="22"/>
                <w:highlight w:val="none"/>
              </w:rPr>
              <w:t>有电子商务网站，网站实用性等功能情况综合打分(提供截图及功能说明并加盖投标人公章)：实用性强的得</w:t>
            </w:r>
            <w:r>
              <w:rPr>
                <w:rFonts w:hint="eastAsia" w:ascii="宋体" w:hAnsi="宋体" w:cs="宋体"/>
                <w:color w:val="auto"/>
                <w:sz w:val="22"/>
                <w:highlight w:val="none"/>
                <w:lang w:val="en-US" w:eastAsia="zh-CN"/>
              </w:rPr>
              <w:t>3</w:t>
            </w:r>
            <w:r>
              <w:rPr>
                <w:rFonts w:hint="eastAsia" w:ascii="宋体" w:hAnsi="宋体" w:cs="宋体"/>
                <w:color w:val="auto"/>
                <w:sz w:val="22"/>
                <w:highlight w:val="none"/>
              </w:rPr>
              <w:t>分；实用性较强的得</w:t>
            </w:r>
            <w:r>
              <w:rPr>
                <w:rFonts w:hint="eastAsia" w:ascii="宋体" w:hAnsi="宋体" w:cs="宋体"/>
                <w:color w:val="auto"/>
                <w:sz w:val="22"/>
                <w:highlight w:val="none"/>
                <w:lang w:val="en-US" w:eastAsia="zh-CN"/>
              </w:rPr>
              <w:t>2</w:t>
            </w:r>
            <w:r>
              <w:rPr>
                <w:rFonts w:hint="eastAsia" w:ascii="宋体" w:hAnsi="宋体" w:cs="宋体"/>
                <w:color w:val="auto"/>
                <w:sz w:val="22"/>
                <w:highlight w:val="none"/>
              </w:rPr>
              <w:t>分；实用性一般的得</w:t>
            </w:r>
            <w:r>
              <w:rPr>
                <w:rFonts w:hint="eastAsia" w:ascii="宋体" w:hAnsi="宋体" w:cs="宋体"/>
                <w:color w:val="auto"/>
                <w:sz w:val="22"/>
                <w:highlight w:val="none"/>
                <w:lang w:val="en-US" w:eastAsia="zh-CN"/>
              </w:rPr>
              <w:t>1</w:t>
            </w:r>
            <w:r>
              <w:rPr>
                <w:rFonts w:hint="eastAsia" w:ascii="宋体" w:hAnsi="宋体" w:cs="宋体"/>
                <w:color w:val="auto"/>
                <w:sz w:val="22"/>
                <w:highlight w:val="none"/>
              </w:rPr>
              <w:t>分；实用性不强的得</w:t>
            </w:r>
            <w:r>
              <w:rPr>
                <w:rFonts w:hint="eastAsia" w:ascii="宋体" w:hAnsi="宋体" w:cs="宋体"/>
                <w:color w:val="auto"/>
                <w:sz w:val="22"/>
                <w:highlight w:val="none"/>
                <w:lang w:val="en-US" w:eastAsia="zh-CN"/>
              </w:rPr>
              <w:t>0.5</w:t>
            </w:r>
            <w:r>
              <w:rPr>
                <w:rFonts w:hint="eastAsia" w:ascii="宋体" w:hAnsi="宋体" w:cs="宋体"/>
                <w:color w:val="auto"/>
                <w:sz w:val="22"/>
                <w:highlight w:val="none"/>
              </w:rPr>
              <w:t>分；没提供的得0分。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8</w:t>
            </w:r>
          </w:p>
        </w:tc>
        <w:tc>
          <w:tcPr>
            <w:tcW w:w="1308" w:type="dxa"/>
            <w:vAlign w:val="center"/>
          </w:tcPr>
          <w:p>
            <w:pPr>
              <w:spacing w:line="360" w:lineRule="exact"/>
              <w:jc w:val="center"/>
              <w:rPr>
                <w:rFonts w:ascii="宋体" w:hAnsi="宋体" w:cs="宋体"/>
                <w:bCs/>
                <w:color w:val="auto"/>
                <w:kern w:val="28"/>
                <w:sz w:val="22"/>
                <w:highlight w:val="none"/>
              </w:rPr>
            </w:pPr>
            <w:r>
              <w:rPr>
                <w:rFonts w:hint="eastAsia" w:ascii="宋体" w:hAnsi="宋体" w:cs="宋体"/>
                <w:bCs/>
                <w:color w:val="auto"/>
                <w:kern w:val="28"/>
                <w:sz w:val="22"/>
                <w:highlight w:val="none"/>
              </w:rPr>
              <w:t>图书质量保证方案</w:t>
            </w:r>
          </w:p>
        </w:tc>
        <w:tc>
          <w:tcPr>
            <w:tcW w:w="957" w:type="dxa"/>
            <w:vAlign w:val="center"/>
          </w:tcPr>
          <w:p>
            <w:pPr>
              <w:spacing w:line="360" w:lineRule="exact"/>
              <w:jc w:val="center"/>
              <w:rPr>
                <w:rFonts w:hint="eastAsia" w:ascii="宋体" w:hAnsi="宋体" w:eastAsia="宋体" w:cs="宋体"/>
                <w:color w:val="auto"/>
                <w:sz w:val="22"/>
                <w:highlight w:val="none"/>
                <w:lang w:eastAsia="zh-CN"/>
              </w:rPr>
            </w:pPr>
            <w:r>
              <w:rPr>
                <w:rFonts w:hint="eastAsia" w:ascii="宋体" w:hAnsi="宋体" w:cs="宋体"/>
                <w:color w:val="auto"/>
                <w:sz w:val="22"/>
                <w:highlight w:val="none"/>
              </w:rPr>
              <w:t>0-</w:t>
            </w:r>
            <w:r>
              <w:rPr>
                <w:rFonts w:hint="eastAsia" w:ascii="宋体" w:hAnsi="宋体" w:cs="宋体"/>
                <w:color w:val="auto"/>
                <w:sz w:val="22"/>
                <w:highlight w:val="none"/>
                <w:lang w:val="en-US" w:eastAsia="zh-CN"/>
              </w:rPr>
              <w:t>5</w:t>
            </w:r>
          </w:p>
        </w:tc>
        <w:tc>
          <w:tcPr>
            <w:tcW w:w="5640" w:type="dxa"/>
            <w:vAlign w:val="center"/>
          </w:tcPr>
          <w:p>
            <w:pPr>
              <w:spacing w:line="360" w:lineRule="exact"/>
              <w:rPr>
                <w:rFonts w:ascii="宋体" w:hAnsi="宋体" w:cs="宋体"/>
                <w:bCs/>
                <w:color w:val="auto"/>
                <w:kern w:val="28"/>
                <w:sz w:val="22"/>
                <w:highlight w:val="none"/>
              </w:rPr>
            </w:pPr>
            <w:r>
              <w:rPr>
                <w:rFonts w:hint="eastAsia" w:ascii="宋体" w:hAnsi="宋体" w:cs="宋体"/>
                <w:bCs/>
                <w:color w:val="auto"/>
                <w:kern w:val="28"/>
                <w:sz w:val="22"/>
                <w:highlight w:val="none"/>
              </w:rPr>
              <w:t>图书质量保证的保障措施（是否</w:t>
            </w:r>
            <w:r>
              <w:rPr>
                <w:rFonts w:hint="eastAsia" w:ascii="宋体" w:hAnsi="宋体" w:cs="宋体"/>
                <w:color w:val="auto"/>
                <w:sz w:val="22"/>
                <w:highlight w:val="none"/>
              </w:rPr>
              <w:t>全新正版出版物、有无破损、</w:t>
            </w:r>
            <w:r>
              <w:rPr>
                <w:rFonts w:hint="eastAsia" w:ascii="宋体" w:hAnsi="宋体" w:cs="宋体"/>
                <w:bCs/>
                <w:color w:val="auto"/>
                <w:kern w:val="28"/>
                <w:sz w:val="22"/>
                <w:highlight w:val="none"/>
              </w:rPr>
              <w:t>有无缺页、有无倒装附件齐全等）：</w:t>
            </w:r>
            <w:r>
              <w:rPr>
                <w:rFonts w:hint="eastAsia" w:ascii="宋体" w:hAnsi="宋体" w:cs="宋体"/>
                <w:color w:val="auto"/>
                <w:sz w:val="22"/>
                <w:highlight w:val="none"/>
              </w:rPr>
              <w:t>保障措施针对性强的得</w:t>
            </w:r>
            <w:r>
              <w:rPr>
                <w:rFonts w:hint="eastAsia" w:ascii="宋体" w:hAnsi="宋体" w:cs="宋体"/>
                <w:color w:val="auto"/>
                <w:sz w:val="22"/>
                <w:highlight w:val="none"/>
                <w:lang w:val="en-US" w:eastAsia="zh-CN"/>
              </w:rPr>
              <w:t>5</w:t>
            </w:r>
            <w:r>
              <w:rPr>
                <w:rFonts w:hint="eastAsia" w:ascii="宋体" w:hAnsi="宋体" w:cs="宋体"/>
                <w:color w:val="auto"/>
                <w:sz w:val="22"/>
                <w:highlight w:val="none"/>
              </w:rPr>
              <w:t>分；保障措施针对性较强的得</w:t>
            </w:r>
            <w:r>
              <w:rPr>
                <w:rFonts w:hint="eastAsia" w:ascii="宋体" w:hAnsi="宋体" w:cs="宋体"/>
                <w:color w:val="auto"/>
                <w:sz w:val="22"/>
                <w:highlight w:val="none"/>
                <w:lang w:val="en-US" w:eastAsia="zh-CN"/>
              </w:rPr>
              <w:t>4</w:t>
            </w:r>
            <w:r>
              <w:rPr>
                <w:rFonts w:hint="eastAsia" w:ascii="宋体" w:hAnsi="宋体" w:cs="宋体"/>
                <w:color w:val="auto"/>
                <w:sz w:val="22"/>
                <w:highlight w:val="none"/>
              </w:rPr>
              <w:t>分；保障措施针对性一般的得</w:t>
            </w:r>
            <w:r>
              <w:rPr>
                <w:rFonts w:hint="eastAsia" w:ascii="宋体" w:hAnsi="宋体" w:cs="宋体"/>
                <w:color w:val="auto"/>
                <w:sz w:val="22"/>
                <w:highlight w:val="none"/>
                <w:lang w:val="en-US" w:eastAsia="zh-CN"/>
              </w:rPr>
              <w:t>3</w:t>
            </w:r>
            <w:r>
              <w:rPr>
                <w:rFonts w:hint="eastAsia" w:ascii="宋体" w:hAnsi="宋体" w:cs="宋体"/>
                <w:color w:val="auto"/>
                <w:sz w:val="22"/>
                <w:highlight w:val="none"/>
              </w:rPr>
              <w:t>分；保障措施针对性不强的得1分；未提供保证措施的不得分。</w:t>
            </w:r>
          </w:p>
        </w:tc>
        <w:tc>
          <w:tcPr>
            <w:tcW w:w="921" w:type="dxa"/>
            <w:vAlign w:val="center"/>
          </w:tcPr>
          <w:p>
            <w:pPr>
              <w:spacing w:line="360" w:lineRule="exact"/>
              <w:jc w:val="center"/>
              <w:rPr>
                <w:rFonts w:ascii="宋体" w:hAnsi="宋体" w:cs="宋体"/>
                <w:bCs/>
                <w:color w:val="auto"/>
                <w:kern w:val="28"/>
                <w:sz w:val="22"/>
                <w:highlight w:val="none"/>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9</w:t>
            </w:r>
          </w:p>
        </w:tc>
        <w:tc>
          <w:tcPr>
            <w:tcW w:w="1308"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对图书馆自备书目</w:t>
            </w:r>
          </w:p>
        </w:tc>
        <w:tc>
          <w:tcPr>
            <w:tcW w:w="957" w:type="dxa"/>
            <w:vAlign w:val="center"/>
          </w:tcPr>
          <w:p>
            <w:pPr>
              <w:snapToGrid w:val="0"/>
              <w:spacing w:line="360" w:lineRule="exact"/>
              <w:jc w:val="center"/>
              <w:rPr>
                <w:rFonts w:hint="eastAsia" w:ascii="宋体" w:hAnsi="宋体" w:eastAsia="宋体" w:cs="宋体"/>
                <w:color w:val="auto"/>
                <w:kern w:val="0"/>
                <w:sz w:val="22"/>
                <w:highlight w:val="none"/>
                <w:lang w:eastAsia="zh-CN"/>
              </w:rPr>
            </w:pPr>
            <w:r>
              <w:rPr>
                <w:rFonts w:hint="eastAsia" w:ascii="宋体" w:hAnsi="宋体" w:cs="宋体"/>
                <w:color w:val="auto"/>
                <w:kern w:val="0"/>
                <w:sz w:val="22"/>
                <w:highlight w:val="none"/>
              </w:rPr>
              <w:t>0-</w:t>
            </w:r>
            <w:r>
              <w:rPr>
                <w:rFonts w:hint="eastAsia" w:ascii="宋体" w:hAnsi="宋体" w:cs="宋体"/>
                <w:color w:val="auto"/>
                <w:kern w:val="0"/>
                <w:sz w:val="22"/>
                <w:highlight w:val="none"/>
                <w:lang w:val="en-US" w:eastAsia="zh-CN"/>
              </w:rPr>
              <w:t>4</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color w:val="auto"/>
                <w:sz w:val="22"/>
                <w:highlight w:val="none"/>
              </w:rPr>
              <w:t>根据投标人对图书馆自备书目的采购能力综合给分：采购能力强、合理性强的得</w:t>
            </w:r>
            <w:r>
              <w:rPr>
                <w:rFonts w:hint="eastAsia" w:ascii="宋体" w:hAnsi="宋体" w:cs="宋体"/>
                <w:color w:val="auto"/>
                <w:sz w:val="22"/>
                <w:highlight w:val="none"/>
                <w:lang w:val="en-US" w:eastAsia="zh-CN"/>
              </w:rPr>
              <w:t>4</w:t>
            </w:r>
            <w:r>
              <w:rPr>
                <w:rFonts w:hint="eastAsia" w:ascii="宋体" w:hAnsi="宋体" w:cs="宋体"/>
                <w:color w:val="auto"/>
                <w:sz w:val="22"/>
                <w:highlight w:val="none"/>
              </w:rPr>
              <w:t>分；采购能力较强、合理性较强的得</w:t>
            </w:r>
            <w:r>
              <w:rPr>
                <w:rFonts w:hint="eastAsia" w:ascii="宋体" w:hAnsi="宋体" w:cs="宋体"/>
                <w:color w:val="auto"/>
                <w:sz w:val="22"/>
                <w:highlight w:val="none"/>
                <w:lang w:val="en-US" w:eastAsia="zh-CN"/>
              </w:rPr>
              <w:t>3</w:t>
            </w:r>
            <w:r>
              <w:rPr>
                <w:rFonts w:hint="eastAsia" w:ascii="宋体" w:hAnsi="宋体" w:cs="宋体"/>
                <w:color w:val="auto"/>
                <w:sz w:val="22"/>
                <w:highlight w:val="none"/>
              </w:rPr>
              <w:t>分；采购能力一般、合理性一般的得</w:t>
            </w:r>
            <w:r>
              <w:rPr>
                <w:rFonts w:hint="eastAsia" w:ascii="宋体" w:hAnsi="宋体" w:cs="宋体"/>
                <w:color w:val="auto"/>
                <w:sz w:val="22"/>
                <w:highlight w:val="none"/>
                <w:lang w:val="en-US" w:eastAsia="zh-CN"/>
              </w:rPr>
              <w:t>2</w:t>
            </w:r>
            <w:r>
              <w:rPr>
                <w:rFonts w:hint="eastAsia" w:ascii="宋体" w:hAnsi="宋体" w:cs="宋体"/>
                <w:color w:val="auto"/>
                <w:sz w:val="22"/>
                <w:highlight w:val="none"/>
              </w:rPr>
              <w:t>分；采购能力不强、合理行不强的得</w:t>
            </w:r>
            <w:r>
              <w:rPr>
                <w:rFonts w:hint="eastAsia" w:ascii="宋体" w:hAnsi="宋体" w:cs="宋体"/>
                <w:color w:val="auto"/>
                <w:sz w:val="22"/>
                <w:highlight w:val="none"/>
                <w:lang w:val="en-US" w:eastAsia="zh-CN"/>
              </w:rPr>
              <w:t>1</w:t>
            </w:r>
            <w:r>
              <w:rPr>
                <w:rFonts w:hint="eastAsia" w:ascii="宋体" w:hAnsi="宋体" w:cs="宋体"/>
                <w:color w:val="auto"/>
                <w:sz w:val="22"/>
                <w:highlight w:val="none"/>
              </w:rPr>
              <w:t>分；没提供的得0分。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10</w:t>
            </w:r>
          </w:p>
        </w:tc>
        <w:tc>
          <w:tcPr>
            <w:tcW w:w="1308" w:type="dxa"/>
            <w:vAlign w:val="center"/>
          </w:tcPr>
          <w:p>
            <w:pPr>
              <w:adjustRightInd w:val="0"/>
              <w:snapToGrid w:val="0"/>
              <w:spacing w:line="288" w:lineRule="auto"/>
              <w:jc w:val="center"/>
              <w:rPr>
                <w:rFonts w:ascii="宋体" w:hAnsi="宋体" w:cs="宋体"/>
                <w:color w:val="auto"/>
                <w:sz w:val="22"/>
                <w:highlight w:val="none"/>
              </w:rPr>
            </w:pPr>
            <w:r>
              <w:rPr>
                <w:rFonts w:hint="eastAsia" w:ascii="宋体" w:hAnsi="宋体" w:cs="仿宋_GB2312"/>
                <w:color w:val="auto"/>
                <w:sz w:val="22"/>
                <w:highlight w:val="none"/>
              </w:rPr>
              <w:t>图书编目数据</w:t>
            </w:r>
          </w:p>
        </w:tc>
        <w:tc>
          <w:tcPr>
            <w:tcW w:w="957" w:type="dxa"/>
            <w:vAlign w:val="center"/>
          </w:tcPr>
          <w:p>
            <w:pPr>
              <w:snapToGrid w:val="0"/>
              <w:spacing w:line="360" w:lineRule="exact"/>
              <w:jc w:val="center"/>
              <w:rPr>
                <w:rFonts w:hint="eastAsia" w:ascii="宋体" w:hAnsi="宋体" w:eastAsia="宋体" w:cs="宋体"/>
                <w:color w:val="auto"/>
                <w:kern w:val="0"/>
                <w:sz w:val="22"/>
                <w:highlight w:val="none"/>
                <w:lang w:val="en-US" w:eastAsia="zh-CN"/>
              </w:rPr>
            </w:pPr>
            <w:r>
              <w:rPr>
                <w:rFonts w:hint="eastAsia" w:ascii="宋体" w:hAnsi="宋体" w:cs="宋体"/>
                <w:color w:val="auto"/>
                <w:kern w:val="0"/>
                <w:sz w:val="22"/>
                <w:highlight w:val="none"/>
              </w:rPr>
              <w:t>0-</w:t>
            </w:r>
            <w:r>
              <w:rPr>
                <w:rFonts w:hint="eastAsia" w:ascii="宋体" w:hAnsi="宋体" w:cs="宋体"/>
                <w:color w:val="auto"/>
                <w:kern w:val="0"/>
                <w:sz w:val="22"/>
                <w:highlight w:val="none"/>
                <w:lang w:val="en-US" w:eastAsia="zh-CN"/>
              </w:rPr>
              <w:t>4</w:t>
            </w:r>
          </w:p>
        </w:tc>
        <w:tc>
          <w:tcPr>
            <w:tcW w:w="5640" w:type="dxa"/>
            <w:vAlign w:val="center"/>
          </w:tcPr>
          <w:p>
            <w:pPr>
              <w:adjustRightInd w:val="0"/>
              <w:snapToGrid w:val="0"/>
              <w:spacing w:line="288" w:lineRule="auto"/>
              <w:rPr>
                <w:rFonts w:ascii="宋体" w:hAnsi="宋体" w:cs="宋体"/>
                <w:color w:val="auto"/>
                <w:sz w:val="22"/>
                <w:highlight w:val="none"/>
              </w:rPr>
            </w:pPr>
            <w:r>
              <w:rPr>
                <w:rFonts w:hint="eastAsia" w:ascii="宋体" w:hAnsi="宋体" w:cs="仿宋_GB2312"/>
                <w:color w:val="auto"/>
                <w:sz w:val="22"/>
                <w:highlight w:val="none"/>
              </w:rPr>
              <w:t>投标人对图书编目数据的操作方案及质量控制，</w:t>
            </w:r>
            <w:r>
              <w:rPr>
                <w:rFonts w:hint="eastAsia" w:ascii="宋体" w:hAnsi="宋体" w:cs="宋体"/>
                <w:color w:val="auto"/>
                <w:sz w:val="22"/>
                <w:highlight w:val="none"/>
              </w:rPr>
              <w:t>并符合温州大学图书馆自定细则要求</w:t>
            </w:r>
            <w:r>
              <w:rPr>
                <w:rFonts w:hint="eastAsia" w:ascii="宋体" w:hAnsi="宋体" w:cs="仿宋_GB2312"/>
                <w:color w:val="auto"/>
                <w:sz w:val="22"/>
                <w:highlight w:val="none"/>
              </w:rPr>
              <w:t>，</w:t>
            </w:r>
            <w:r>
              <w:rPr>
                <w:rFonts w:hint="eastAsia" w:ascii="宋体" w:hAnsi="宋体" w:cs="宋体"/>
                <w:color w:val="auto"/>
                <w:sz w:val="22"/>
                <w:highlight w:val="none"/>
              </w:rPr>
              <w:t>与到馆图书匹配（不漏发、错发）且同时到达</w:t>
            </w:r>
            <w:r>
              <w:rPr>
                <w:rFonts w:hint="eastAsia" w:ascii="宋体" w:hAnsi="宋体" w:cs="仿宋_GB2312"/>
                <w:color w:val="auto"/>
                <w:sz w:val="22"/>
                <w:highlight w:val="none"/>
              </w:rPr>
              <w:t>：方案及质量控制</w:t>
            </w:r>
            <w:r>
              <w:rPr>
                <w:rFonts w:hint="eastAsia" w:ascii="宋体" w:hAnsi="宋体" w:cs="宋体"/>
                <w:color w:val="auto"/>
                <w:sz w:val="22"/>
                <w:highlight w:val="none"/>
              </w:rPr>
              <w:t>针对性强的得</w:t>
            </w:r>
            <w:r>
              <w:rPr>
                <w:rFonts w:hint="eastAsia" w:ascii="宋体" w:hAnsi="宋体" w:cs="宋体"/>
                <w:color w:val="auto"/>
                <w:sz w:val="22"/>
                <w:highlight w:val="none"/>
                <w:lang w:val="en-US" w:eastAsia="zh-CN"/>
              </w:rPr>
              <w:t>4</w:t>
            </w:r>
            <w:r>
              <w:rPr>
                <w:rFonts w:hint="eastAsia" w:ascii="宋体" w:hAnsi="宋体" w:cs="宋体"/>
                <w:color w:val="auto"/>
                <w:sz w:val="22"/>
                <w:highlight w:val="none"/>
              </w:rPr>
              <w:t>分；</w:t>
            </w:r>
            <w:r>
              <w:rPr>
                <w:rFonts w:hint="eastAsia" w:ascii="宋体" w:hAnsi="宋体" w:cs="仿宋_GB2312"/>
                <w:color w:val="auto"/>
                <w:sz w:val="22"/>
                <w:highlight w:val="none"/>
              </w:rPr>
              <w:t>方案及质量控制</w:t>
            </w:r>
            <w:r>
              <w:rPr>
                <w:rFonts w:hint="eastAsia" w:ascii="宋体" w:hAnsi="宋体" w:cs="宋体"/>
                <w:color w:val="auto"/>
                <w:sz w:val="22"/>
                <w:highlight w:val="none"/>
              </w:rPr>
              <w:t>针对性较强的得</w:t>
            </w:r>
            <w:r>
              <w:rPr>
                <w:rFonts w:hint="eastAsia" w:ascii="宋体" w:hAnsi="宋体" w:cs="宋体"/>
                <w:color w:val="auto"/>
                <w:sz w:val="22"/>
                <w:highlight w:val="none"/>
                <w:lang w:val="en-US" w:eastAsia="zh-CN"/>
              </w:rPr>
              <w:t>3</w:t>
            </w:r>
            <w:r>
              <w:rPr>
                <w:rFonts w:hint="eastAsia" w:ascii="宋体" w:hAnsi="宋体" w:cs="宋体"/>
                <w:color w:val="auto"/>
                <w:sz w:val="22"/>
                <w:highlight w:val="none"/>
              </w:rPr>
              <w:t>分；</w:t>
            </w:r>
            <w:r>
              <w:rPr>
                <w:rFonts w:hint="eastAsia" w:ascii="宋体" w:hAnsi="宋体" w:cs="仿宋_GB2312"/>
                <w:color w:val="auto"/>
                <w:sz w:val="22"/>
                <w:highlight w:val="none"/>
              </w:rPr>
              <w:t>方案及质量控制</w:t>
            </w:r>
            <w:r>
              <w:rPr>
                <w:rFonts w:hint="eastAsia" w:ascii="宋体" w:hAnsi="宋体" w:cs="宋体"/>
                <w:color w:val="auto"/>
                <w:sz w:val="22"/>
                <w:highlight w:val="none"/>
              </w:rPr>
              <w:t>针对性一般的得</w:t>
            </w:r>
            <w:r>
              <w:rPr>
                <w:rFonts w:hint="eastAsia" w:ascii="宋体" w:hAnsi="宋体" w:cs="宋体"/>
                <w:color w:val="auto"/>
                <w:sz w:val="22"/>
                <w:highlight w:val="none"/>
                <w:lang w:val="en-US" w:eastAsia="zh-CN"/>
              </w:rPr>
              <w:t>2</w:t>
            </w:r>
            <w:r>
              <w:rPr>
                <w:rFonts w:hint="eastAsia" w:ascii="宋体" w:hAnsi="宋体" w:cs="宋体"/>
                <w:color w:val="auto"/>
                <w:sz w:val="22"/>
                <w:highlight w:val="none"/>
              </w:rPr>
              <w:t>分；</w:t>
            </w:r>
            <w:r>
              <w:rPr>
                <w:rFonts w:hint="eastAsia" w:ascii="宋体" w:hAnsi="宋体" w:cs="仿宋_GB2312"/>
                <w:color w:val="auto"/>
                <w:sz w:val="22"/>
                <w:highlight w:val="none"/>
              </w:rPr>
              <w:t>方案及质量控制</w:t>
            </w:r>
            <w:r>
              <w:rPr>
                <w:rFonts w:hint="eastAsia" w:ascii="宋体" w:hAnsi="宋体" w:cs="宋体"/>
                <w:color w:val="auto"/>
                <w:sz w:val="22"/>
                <w:highlight w:val="none"/>
              </w:rPr>
              <w:t>针对性不强的得1分；未提供保证措施的不得分。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Merge w:val="restart"/>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11</w:t>
            </w:r>
          </w:p>
        </w:tc>
        <w:tc>
          <w:tcPr>
            <w:tcW w:w="1308" w:type="dxa"/>
            <w:vMerge w:val="restart"/>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到馆全加工服务的能力</w:t>
            </w:r>
          </w:p>
        </w:tc>
        <w:tc>
          <w:tcPr>
            <w:tcW w:w="957" w:type="dxa"/>
            <w:vAlign w:val="center"/>
          </w:tcPr>
          <w:p>
            <w:pPr>
              <w:snapToGrid w:val="0"/>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0-5</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color w:val="auto"/>
                <w:sz w:val="22"/>
                <w:highlight w:val="none"/>
              </w:rPr>
              <w:t>投标人提供的到馆加工的能力与本项目采购需求的符合程度，根据提供的证明材料综合给分：加工能力能贴合采购人需求，合理可行、针对性强的得5分；加工能力能比较贴合采购人需求，合理可行、针对性较强的得4分；加工能力能基本贴合采购人需求，合理可行、针对性一般的得3分；加工能力不能贴合采购人需求，合理可行、针对性不强的1分；没提供的得0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Merge w:val="continue"/>
            <w:vAlign w:val="center"/>
          </w:tcPr>
          <w:p>
            <w:pPr>
              <w:spacing w:line="360" w:lineRule="exact"/>
              <w:jc w:val="center"/>
              <w:rPr>
                <w:rFonts w:ascii="宋体" w:hAnsi="宋体" w:eastAsia="宋体" w:cs="宋体"/>
                <w:color w:val="auto"/>
                <w:kern w:val="2"/>
                <w:sz w:val="22"/>
                <w:szCs w:val="22"/>
                <w:highlight w:val="none"/>
                <w:lang w:val="en-US" w:eastAsia="zh-CN" w:bidi="ar-SA"/>
              </w:rPr>
            </w:pPr>
          </w:p>
        </w:tc>
        <w:tc>
          <w:tcPr>
            <w:tcW w:w="1308" w:type="dxa"/>
            <w:vMerge w:val="continue"/>
            <w:vAlign w:val="center"/>
          </w:tcPr>
          <w:p>
            <w:pPr>
              <w:adjustRightInd w:val="0"/>
              <w:snapToGrid w:val="0"/>
              <w:spacing w:line="288" w:lineRule="auto"/>
              <w:jc w:val="center"/>
              <w:rPr>
                <w:rFonts w:ascii="宋体" w:hAnsi="宋体" w:cs="仿宋_GB2312"/>
                <w:color w:val="auto"/>
                <w:sz w:val="22"/>
                <w:highlight w:val="none"/>
              </w:rPr>
            </w:pPr>
          </w:p>
        </w:tc>
        <w:tc>
          <w:tcPr>
            <w:tcW w:w="957" w:type="dxa"/>
            <w:vAlign w:val="center"/>
          </w:tcPr>
          <w:p>
            <w:pPr>
              <w:snapToGrid w:val="0"/>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0-5</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color w:val="auto"/>
                <w:kern w:val="28"/>
                <w:sz w:val="22"/>
                <w:highlight w:val="none"/>
              </w:rPr>
              <w:t>数据加工是否有专业人员负责</w:t>
            </w:r>
            <w:r>
              <w:rPr>
                <w:rFonts w:ascii="宋体" w:hAnsi="宋体" w:cs="仿宋_GB2312"/>
                <w:color w:val="auto"/>
                <w:sz w:val="22"/>
                <w:highlight w:val="none"/>
              </w:rPr>
              <w:t>、职责分工明确性、同类项目实施经验</w:t>
            </w:r>
            <w:r>
              <w:rPr>
                <w:rFonts w:hint="eastAsia" w:ascii="宋体" w:hAnsi="宋体" w:cs="宋体"/>
                <w:color w:val="auto"/>
                <w:sz w:val="22"/>
                <w:highlight w:val="none"/>
              </w:rPr>
              <w:t>，根据提供的证明材料综合给分：有专业人员负责，职责分工明确性、同类项目实施经验足的得5分；有专业人员负责，职责分工比较明确性、部分具有同类项目实施经验的得4分；有专业人员负责，职责分工一般、少数具有同类项目实施经验的得3分；有专业人员负责，职责分工不明、没有同类项目实施经验的得1分；没有专业人员负责的或没提供的得0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hint="default" w:ascii="宋体" w:hAnsi="宋体" w:eastAsia="宋体" w:cs="宋体"/>
                <w:color w:val="auto"/>
                <w:sz w:val="22"/>
                <w:highlight w:val="none"/>
                <w:lang w:val="en-US" w:eastAsia="zh-CN"/>
              </w:rPr>
            </w:pPr>
            <w:r>
              <w:rPr>
                <w:rFonts w:hint="eastAsia" w:ascii="宋体" w:hAnsi="宋体" w:cs="宋体"/>
                <w:color w:val="auto"/>
                <w:sz w:val="22"/>
                <w:highlight w:val="none"/>
                <w:lang w:val="en-US" w:eastAsia="zh-CN"/>
              </w:rPr>
              <w:t>12</w:t>
            </w:r>
          </w:p>
        </w:tc>
        <w:tc>
          <w:tcPr>
            <w:tcW w:w="1308" w:type="dxa"/>
            <w:vAlign w:val="center"/>
          </w:tcPr>
          <w:p>
            <w:pPr>
              <w:spacing w:line="320" w:lineRule="exact"/>
              <w:ind w:left="-50" w:leftChars="0"/>
              <w:jc w:val="center"/>
              <w:rPr>
                <w:rFonts w:ascii="宋体" w:hAnsi="宋体" w:eastAsia="宋体" w:cs="宋体"/>
                <w:color w:val="auto"/>
                <w:spacing w:val="-6"/>
                <w:kern w:val="2"/>
                <w:sz w:val="22"/>
                <w:szCs w:val="22"/>
                <w:highlight w:val="none"/>
                <w:lang w:val="en-US" w:eastAsia="zh-CN" w:bidi="ar-SA"/>
              </w:rPr>
            </w:pPr>
            <w:r>
              <w:rPr>
                <w:rFonts w:hint="eastAsia" w:ascii="宋体" w:hAnsi="宋体" w:cs="宋体"/>
                <w:bCs/>
                <w:color w:val="auto"/>
                <w:kern w:val="28"/>
                <w:sz w:val="22"/>
                <w:highlight w:val="none"/>
              </w:rPr>
              <w:t>应急能力</w:t>
            </w:r>
          </w:p>
        </w:tc>
        <w:tc>
          <w:tcPr>
            <w:tcW w:w="957" w:type="dxa"/>
            <w:vAlign w:val="center"/>
          </w:tcPr>
          <w:p>
            <w:pPr>
              <w:spacing w:line="320" w:lineRule="exact"/>
              <w:ind w:left="-50" w:leftChars="0"/>
              <w:jc w:val="center"/>
              <w:rPr>
                <w:rFonts w:ascii="宋体" w:hAnsi="宋体" w:eastAsia="宋体" w:cs="宋体"/>
                <w:color w:val="auto"/>
                <w:spacing w:val="-6"/>
                <w:kern w:val="2"/>
                <w:sz w:val="22"/>
                <w:szCs w:val="22"/>
                <w:highlight w:val="none"/>
                <w:lang w:val="en-US" w:eastAsia="zh-CN" w:bidi="ar-SA"/>
              </w:rPr>
            </w:pPr>
            <w:r>
              <w:rPr>
                <w:rFonts w:hint="eastAsia" w:ascii="宋体" w:hAnsi="宋体" w:cs="宋体"/>
                <w:color w:val="auto"/>
                <w:sz w:val="22"/>
                <w:highlight w:val="none"/>
              </w:rPr>
              <w:t>0-4</w:t>
            </w:r>
          </w:p>
        </w:tc>
        <w:tc>
          <w:tcPr>
            <w:tcW w:w="5640" w:type="dxa"/>
            <w:vAlign w:val="center"/>
          </w:tcPr>
          <w:p>
            <w:pPr>
              <w:spacing w:line="320" w:lineRule="exact"/>
              <w:ind w:left="-50" w:leftChars="0"/>
              <w:rPr>
                <w:rFonts w:ascii="宋体" w:hAnsi="宋体" w:eastAsia="宋体" w:cs="宋体"/>
                <w:color w:val="auto"/>
                <w:spacing w:val="-6"/>
                <w:kern w:val="2"/>
                <w:sz w:val="22"/>
                <w:szCs w:val="22"/>
                <w:highlight w:val="none"/>
                <w:lang w:val="en-US" w:eastAsia="zh-CN" w:bidi="ar-SA"/>
              </w:rPr>
            </w:pPr>
            <w:r>
              <w:rPr>
                <w:rFonts w:hint="eastAsia" w:ascii="宋体" w:hAnsi="宋体" w:cs="宋体"/>
                <w:bCs/>
                <w:color w:val="auto"/>
                <w:kern w:val="28"/>
                <w:sz w:val="22"/>
                <w:highlight w:val="none"/>
              </w:rPr>
              <w:t>根据投标人满足图书应急采购的实际能力提供的方案打分（包括但不限于</w:t>
            </w:r>
            <w:r>
              <w:rPr>
                <w:rFonts w:hint="eastAsia" w:ascii="宋体" w:hAnsi="宋体" w:cs="宋体"/>
                <w:color w:val="auto"/>
                <w:sz w:val="22"/>
                <w:highlight w:val="none"/>
              </w:rPr>
              <w:t>对已订书单因情况变化，图书馆要求减少或增加订数或要求取消订购的反应能力，零星、急需图书的反应能力</w:t>
            </w:r>
            <w:r>
              <w:rPr>
                <w:rFonts w:hint="eastAsia" w:ascii="宋体" w:hAnsi="宋体" w:cs="宋体"/>
                <w:bCs/>
                <w:color w:val="auto"/>
                <w:kern w:val="28"/>
                <w:sz w:val="22"/>
                <w:highlight w:val="none"/>
              </w:rPr>
              <w:t>）：方案</w:t>
            </w:r>
            <w:r>
              <w:rPr>
                <w:rFonts w:hint="eastAsia" w:ascii="宋体" w:hAnsi="宋体" w:cs="宋体"/>
                <w:color w:val="auto"/>
                <w:sz w:val="22"/>
                <w:highlight w:val="none"/>
              </w:rPr>
              <w:t>合理可行、针对性强的得4分；</w:t>
            </w:r>
            <w:r>
              <w:rPr>
                <w:rFonts w:hint="eastAsia" w:ascii="宋体" w:hAnsi="宋体" w:cs="宋体"/>
                <w:bCs/>
                <w:color w:val="auto"/>
                <w:kern w:val="28"/>
                <w:sz w:val="22"/>
                <w:highlight w:val="none"/>
              </w:rPr>
              <w:t>方案</w:t>
            </w:r>
            <w:r>
              <w:rPr>
                <w:rFonts w:hint="eastAsia" w:ascii="宋体" w:hAnsi="宋体" w:cs="宋体"/>
                <w:color w:val="auto"/>
                <w:sz w:val="22"/>
                <w:highlight w:val="none"/>
              </w:rPr>
              <w:t>合理可行、针对性比较强的得3分；</w:t>
            </w:r>
            <w:r>
              <w:rPr>
                <w:rFonts w:hint="eastAsia" w:ascii="宋体" w:hAnsi="宋体" w:cs="宋体"/>
                <w:bCs/>
                <w:color w:val="auto"/>
                <w:kern w:val="28"/>
                <w:sz w:val="22"/>
                <w:highlight w:val="none"/>
              </w:rPr>
              <w:t>方案</w:t>
            </w:r>
            <w:r>
              <w:rPr>
                <w:rFonts w:hint="eastAsia" w:ascii="宋体" w:hAnsi="宋体" w:cs="宋体"/>
                <w:color w:val="auto"/>
                <w:sz w:val="22"/>
                <w:highlight w:val="none"/>
              </w:rPr>
              <w:t>合理可行、针对性一般的得2分；</w:t>
            </w:r>
            <w:r>
              <w:rPr>
                <w:rFonts w:hint="eastAsia" w:ascii="宋体" w:hAnsi="宋体" w:cs="宋体"/>
                <w:bCs/>
                <w:color w:val="auto"/>
                <w:kern w:val="28"/>
                <w:sz w:val="22"/>
                <w:highlight w:val="none"/>
              </w:rPr>
              <w:t>方案</w:t>
            </w:r>
            <w:r>
              <w:rPr>
                <w:rFonts w:hint="eastAsia" w:ascii="宋体" w:hAnsi="宋体" w:cs="宋体"/>
                <w:color w:val="auto"/>
                <w:sz w:val="22"/>
                <w:highlight w:val="none"/>
              </w:rPr>
              <w:t>合理可行、针对性不强的得1分；没提供的得0分。</w:t>
            </w:r>
          </w:p>
        </w:tc>
        <w:tc>
          <w:tcPr>
            <w:tcW w:w="921" w:type="dxa"/>
            <w:vAlign w:val="center"/>
          </w:tcPr>
          <w:p>
            <w:pPr>
              <w:spacing w:line="360" w:lineRule="exact"/>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Merge w:val="restart"/>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13</w:t>
            </w:r>
          </w:p>
        </w:tc>
        <w:tc>
          <w:tcPr>
            <w:tcW w:w="1308" w:type="dxa"/>
            <w:vMerge w:val="restart"/>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售后服务</w:t>
            </w:r>
          </w:p>
        </w:tc>
        <w:tc>
          <w:tcPr>
            <w:tcW w:w="957" w:type="dxa"/>
            <w:vAlign w:val="center"/>
          </w:tcPr>
          <w:p>
            <w:pPr>
              <w:snapToGrid w:val="0"/>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0-4</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color w:val="auto"/>
                <w:sz w:val="22"/>
                <w:highlight w:val="none"/>
              </w:rPr>
              <w:t>根据投标人针对售前服务承诺、响应速度及方式提供的方案（包括但不限于自定较窄主题采购的快速响应能力等）及针对售后服务承诺、响应速度及方式提供的方案（包括但不限于</w:t>
            </w:r>
            <w:r>
              <w:rPr>
                <w:rFonts w:hint="eastAsia" w:ascii="宋体" w:hAnsi="宋体" w:cs="宋体"/>
                <w:bCs/>
                <w:color w:val="auto"/>
                <w:kern w:val="28"/>
                <w:sz w:val="22"/>
                <w:highlight w:val="none"/>
              </w:rPr>
              <w:t>图书退换处理承诺（对图书质量问题、与馆藏要求不符、与预订不符等原因退书的处理态度及处理速度）</w:t>
            </w:r>
            <w:r>
              <w:rPr>
                <w:rFonts w:hint="eastAsia" w:ascii="宋体" w:hAnsi="宋体" w:cs="宋体"/>
                <w:color w:val="auto"/>
                <w:sz w:val="22"/>
                <w:highlight w:val="none"/>
              </w:rPr>
              <w:t>）打分：合理可行、实施性、针对性强的得4分；合理可行、实施性、针对性较强的得3分；合理可行、实施性、针对性一般的得2分；合理可行、实施性、针对性不强的1分；没提供的得0分。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Merge w:val="continue"/>
            <w:vAlign w:val="center"/>
          </w:tcPr>
          <w:p>
            <w:pPr>
              <w:spacing w:line="360" w:lineRule="exact"/>
              <w:jc w:val="center"/>
              <w:rPr>
                <w:rFonts w:ascii="宋体" w:hAnsi="宋体" w:eastAsia="宋体" w:cs="宋体"/>
                <w:color w:val="auto"/>
                <w:kern w:val="2"/>
                <w:sz w:val="22"/>
                <w:szCs w:val="22"/>
                <w:highlight w:val="none"/>
                <w:lang w:val="en-US" w:eastAsia="zh-CN" w:bidi="ar-SA"/>
              </w:rPr>
            </w:pPr>
          </w:p>
        </w:tc>
        <w:tc>
          <w:tcPr>
            <w:tcW w:w="1308" w:type="dxa"/>
            <w:vMerge w:val="continue"/>
            <w:vAlign w:val="center"/>
          </w:tcPr>
          <w:p>
            <w:pPr>
              <w:spacing w:line="360" w:lineRule="exact"/>
              <w:jc w:val="center"/>
              <w:rPr>
                <w:rFonts w:ascii="宋体" w:hAnsi="宋体" w:cs="宋体"/>
                <w:color w:val="auto"/>
                <w:sz w:val="22"/>
                <w:highlight w:val="none"/>
              </w:rPr>
            </w:pPr>
          </w:p>
        </w:tc>
        <w:tc>
          <w:tcPr>
            <w:tcW w:w="957" w:type="dxa"/>
            <w:vAlign w:val="center"/>
          </w:tcPr>
          <w:p>
            <w:pPr>
              <w:snapToGrid w:val="0"/>
              <w:spacing w:line="360" w:lineRule="exact"/>
              <w:jc w:val="center"/>
              <w:rPr>
                <w:rFonts w:ascii="宋体" w:hAnsi="宋体" w:cs="宋体"/>
                <w:color w:val="auto"/>
                <w:kern w:val="0"/>
                <w:sz w:val="22"/>
                <w:highlight w:val="none"/>
              </w:rPr>
            </w:pPr>
            <w:r>
              <w:rPr>
                <w:rFonts w:hint="eastAsia" w:ascii="宋体" w:hAnsi="宋体" w:cs="宋体"/>
                <w:color w:val="auto"/>
                <w:kern w:val="0"/>
                <w:sz w:val="22"/>
                <w:highlight w:val="none"/>
              </w:rPr>
              <w:t>0-1</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color w:val="auto"/>
                <w:sz w:val="22"/>
                <w:highlight w:val="none"/>
              </w:rPr>
              <w:t>承诺根据投标人结算、账目核对有专人负责，账目清晰，金额核对精确快捷情况的得1分。提供承诺函，承诺函格式详见附件15，否则不得分。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9" w:type="dxa"/>
            <w:vAlign w:val="center"/>
          </w:tcPr>
          <w:p>
            <w:pPr>
              <w:spacing w:line="360" w:lineRule="exact"/>
              <w:jc w:val="center"/>
              <w:rPr>
                <w:rFonts w:hint="eastAsia" w:ascii="宋体" w:hAnsi="宋体" w:eastAsia="宋体" w:cs="宋体"/>
                <w:color w:val="auto"/>
                <w:spacing w:val="-6"/>
                <w:sz w:val="22"/>
                <w:highlight w:val="none"/>
                <w:lang w:val="en-US" w:eastAsia="zh-CN"/>
              </w:rPr>
            </w:pPr>
            <w:r>
              <w:rPr>
                <w:rFonts w:hint="eastAsia" w:ascii="宋体" w:hAnsi="宋体" w:cs="宋体"/>
                <w:color w:val="auto"/>
                <w:sz w:val="22"/>
                <w:highlight w:val="none"/>
              </w:rPr>
              <w:t>1</w:t>
            </w:r>
            <w:r>
              <w:rPr>
                <w:rFonts w:hint="eastAsia" w:ascii="宋体" w:hAnsi="宋体" w:cs="宋体"/>
                <w:color w:val="auto"/>
                <w:sz w:val="22"/>
                <w:highlight w:val="none"/>
                <w:lang w:val="en-US" w:eastAsia="zh-CN"/>
              </w:rPr>
              <w:t>4</w:t>
            </w:r>
          </w:p>
        </w:tc>
        <w:tc>
          <w:tcPr>
            <w:tcW w:w="1308"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投标人特色服务</w:t>
            </w:r>
          </w:p>
        </w:tc>
        <w:tc>
          <w:tcPr>
            <w:tcW w:w="957" w:type="dxa"/>
            <w:vAlign w:val="center"/>
          </w:tcPr>
          <w:p>
            <w:pPr>
              <w:spacing w:line="360" w:lineRule="exact"/>
              <w:jc w:val="center"/>
              <w:rPr>
                <w:rFonts w:hint="eastAsia" w:ascii="宋体" w:hAnsi="宋体" w:eastAsia="宋体" w:cs="宋体"/>
                <w:color w:val="auto"/>
                <w:sz w:val="22"/>
                <w:highlight w:val="none"/>
                <w:lang w:eastAsia="zh-CN"/>
              </w:rPr>
            </w:pPr>
            <w:r>
              <w:rPr>
                <w:rFonts w:hint="eastAsia" w:ascii="宋体" w:hAnsi="宋体" w:cs="宋体"/>
                <w:color w:val="auto"/>
                <w:sz w:val="22"/>
                <w:highlight w:val="none"/>
              </w:rPr>
              <w:t>0-</w:t>
            </w:r>
            <w:r>
              <w:rPr>
                <w:rFonts w:hint="eastAsia" w:ascii="宋体" w:hAnsi="宋体" w:cs="宋体"/>
                <w:color w:val="auto"/>
                <w:sz w:val="22"/>
                <w:highlight w:val="none"/>
                <w:lang w:val="en-US" w:eastAsia="zh-CN"/>
              </w:rPr>
              <w:t>4</w:t>
            </w:r>
          </w:p>
        </w:tc>
        <w:tc>
          <w:tcPr>
            <w:tcW w:w="5640" w:type="dxa"/>
            <w:vAlign w:val="center"/>
          </w:tcPr>
          <w:p>
            <w:pPr>
              <w:spacing w:line="360" w:lineRule="exact"/>
              <w:rPr>
                <w:rFonts w:ascii="宋体" w:hAnsi="宋体" w:cs="宋体"/>
                <w:color w:val="auto"/>
                <w:sz w:val="22"/>
                <w:highlight w:val="none"/>
              </w:rPr>
            </w:pPr>
            <w:r>
              <w:rPr>
                <w:rFonts w:hint="eastAsia" w:ascii="宋体" w:hAnsi="宋体" w:cs="宋体"/>
                <w:color w:val="auto"/>
                <w:sz w:val="22"/>
                <w:highlight w:val="none"/>
              </w:rPr>
              <w:t>为采购人的馆藏建设提供其它特色服务，且有实际意义、可操作性：有实际意义、可操作性强的得</w:t>
            </w:r>
            <w:r>
              <w:rPr>
                <w:rFonts w:hint="eastAsia" w:ascii="宋体" w:hAnsi="宋体" w:cs="宋体"/>
                <w:color w:val="auto"/>
                <w:sz w:val="22"/>
                <w:highlight w:val="none"/>
                <w:lang w:val="en-US" w:eastAsia="zh-CN"/>
              </w:rPr>
              <w:t>4</w:t>
            </w:r>
            <w:r>
              <w:rPr>
                <w:rFonts w:hint="eastAsia" w:ascii="宋体" w:hAnsi="宋体" w:cs="宋体"/>
                <w:color w:val="auto"/>
                <w:sz w:val="22"/>
                <w:highlight w:val="none"/>
              </w:rPr>
              <w:t>分；比较有实际意义、可操作性较强的得</w:t>
            </w:r>
            <w:r>
              <w:rPr>
                <w:rFonts w:hint="eastAsia" w:ascii="宋体" w:hAnsi="宋体" w:cs="宋体"/>
                <w:color w:val="auto"/>
                <w:sz w:val="22"/>
                <w:highlight w:val="none"/>
                <w:lang w:val="en-US" w:eastAsia="zh-CN"/>
              </w:rPr>
              <w:t>3</w:t>
            </w:r>
            <w:r>
              <w:rPr>
                <w:rFonts w:hint="eastAsia" w:ascii="宋体" w:hAnsi="宋体" w:cs="宋体"/>
                <w:color w:val="auto"/>
                <w:sz w:val="22"/>
                <w:highlight w:val="none"/>
              </w:rPr>
              <w:t>分；基本有实际意义、可操作性一般的得</w:t>
            </w:r>
            <w:r>
              <w:rPr>
                <w:rFonts w:hint="eastAsia" w:ascii="宋体" w:hAnsi="宋体" w:cs="宋体"/>
                <w:color w:val="auto"/>
                <w:sz w:val="22"/>
                <w:highlight w:val="none"/>
                <w:lang w:val="en-US" w:eastAsia="zh-CN"/>
              </w:rPr>
              <w:t>2</w:t>
            </w:r>
            <w:r>
              <w:rPr>
                <w:rFonts w:hint="eastAsia" w:ascii="宋体" w:hAnsi="宋体" w:cs="宋体"/>
                <w:color w:val="auto"/>
                <w:sz w:val="22"/>
                <w:highlight w:val="none"/>
              </w:rPr>
              <w:t>分；实际意义较少、可操作性不强的1分；没提供的得0分。</w:t>
            </w:r>
          </w:p>
        </w:tc>
        <w:tc>
          <w:tcPr>
            <w:tcW w:w="921" w:type="dxa"/>
            <w:vAlign w:val="center"/>
          </w:tcPr>
          <w:p>
            <w:pPr>
              <w:spacing w:line="360" w:lineRule="exact"/>
              <w:jc w:val="center"/>
              <w:rPr>
                <w:rFonts w:ascii="宋体" w:hAnsi="宋体" w:cs="宋体"/>
                <w:color w:val="auto"/>
                <w:sz w:val="22"/>
                <w:highlight w:val="none"/>
              </w:rPr>
            </w:pPr>
            <w:r>
              <w:rPr>
                <w:rFonts w:hint="eastAsia" w:ascii="宋体" w:hAnsi="宋体" w:cs="宋体"/>
                <w:color w:val="auto"/>
                <w:sz w:val="22"/>
                <w:highlight w:val="none"/>
              </w:rPr>
              <w:t>主观分</w:t>
            </w:r>
          </w:p>
        </w:tc>
      </w:tr>
    </w:tbl>
    <w:p>
      <w:pPr>
        <w:numPr>
          <w:ilvl w:val="0"/>
          <w:numId w:val="27"/>
        </w:numPr>
        <w:spacing w:line="360" w:lineRule="exact"/>
        <w:rPr>
          <w:rFonts w:ascii="宋体" w:hAnsi="宋体" w:cs="宋体"/>
          <w:color w:val="auto"/>
          <w:sz w:val="22"/>
          <w:highlight w:val="none"/>
        </w:rPr>
      </w:pPr>
      <w:r>
        <w:rPr>
          <w:rFonts w:hint="eastAsia" w:ascii="宋体" w:hAnsi="宋体" w:cs="宋体"/>
          <w:color w:val="auto"/>
          <w:sz w:val="22"/>
          <w:highlight w:val="none"/>
        </w:rPr>
        <w:t>报价评分（30分）：</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2.1资格及符合性审查通过的有效投标人进入报价评分。</w:t>
      </w:r>
    </w:p>
    <w:p>
      <w:pPr>
        <w:snapToGrid w:val="0"/>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进入商务报价评分的投标人中满足招标文件要求且评审折扣率最低的报价做为评标基准折扣率，其余投标人评审折扣率与该基准折扣率对比，计算出商务报价评分值(保留小数2位)：</w:t>
      </w:r>
    </w:p>
    <w:p>
      <w:pPr>
        <w:tabs>
          <w:tab w:val="left" w:pos="108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①有效投标人的评审折扣率等于评标基准折扣率时，其报价分为满分30分；</w:t>
      </w:r>
    </w:p>
    <w:p>
      <w:pPr>
        <w:tabs>
          <w:tab w:val="left" w:pos="1080"/>
        </w:tabs>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②其他投标人的价格分按以下公式计算：评审折扣率得分=（评标基准价/投标人评审折扣率）</w:t>
      </w:r>
      <w:r>
        <w:rPr>
          <w:rFonts w:hint="eastAsia" w:ascii="宋体" w:hAnsi="宋体" w:cs="宋体"/>
          <w:snapToGrid w:val="0"/>
          <w:color w:val="auto"/>
          <w:kern w:val="0"/>
          <w:sz w:val="22"/>
          <w:highlight w:val="none"/>
        </w:rPr>
        <w:t>×价格权值×100</w:t>
      </w:r>
      <w:r>
        <w:rPr>
          <w:rFonts w:hint="eastAsia" w:ascii="宋体" w:hAnsi="宋体" w:cs="宋体"/>
          <w:color w:val="auto"/>
          <w:sz w:val="22"/>
          <w:highlight w:val="none"/>
        </w:rPr>
        <w:t>；</w:t>
      </w:r>
    </w:p>
    <w:p>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注：以上四舍五入后保留小数2位</w:t>
      </w:r>
    </w:p>
    <w:p>
      <w:pPr>
        <w:spacing w:line="36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投标如缺少须提供的一种功能或配置或服务，评标价将在其投标价的基础上加上其他投标人相应分项价格的最高价。如若中标，该缺漏项费用将由中标人自行承担。</w:t>
      </w:r>
    </w:p>
    <w:p>
      <w:pPr>
        <w:spacing w:line="360" w:lineRule="exact"/>
        <w:ind w:firstLine="442" w:firstLineChars="200"/>
        <w:rPr>
          <w:rFonts w:ascii="宋体" w:hAnsi="宋体" w:cs="宋体"/>
          <w:color w:val="auto"/>
          <w:sz w:val="22"/>
          <w:highlight w:val="none"/>
        </w:rPr>
      </w:pPr>
      <w:r>
        <w:rPr>
          <w:rFonts w:hint="eastAsia" w:ascii="宋体" w:hAnsi="宋体" w:cs="宋体"/>
          <w:b/>
          <w:bCs/>
          <w:color w:val="auto"/>
          <w:sz w:val="22"/>
          <w:highlight w:val="none"/>
        </w:rPr>
        <w:t>2.2</w:t>
      </w:r>
      <w:r>
        <w:rPr>
          <w:rFonts w:hint="eastAsia" w:ascii="宋体" w:hAnsi="宋体" w:cs="宋体"/>
          <w:color w:val="auto"/>
          <w:sz w:val="22"/>
          <w:highlight w:val="none"/>
        </w:rPr>
        <w:t>投标人的综合评分为“商务和技术分”和“报价分”的的总计。</w:t>
      </w:r>
    </w:p>
    <w:p>
      <w:pPr>
        <w:rPr>
          <w:rFonts w:ascii="宋体" w:hAnsi="宋体" w:cs="宋体"/>
          <w:color w:val="auto"/>
          <w:highlight w:val="none"/>
        </w:rPr>
      </w:pPr>
    </w:p>
    <w:sectPr>
      <w:headerReference r:id="rId4" w:type="default"/>
      <w:footerReference r:id="rId5" w:type="default"/>
      <w:pgSz w:w="11906" w:h="16838"/>
      <w:pgMar w:top="1134" w:right="1304" w:bottom="1134" w:left="1531" w:header="851" w:footer="992"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003F01FF" w:csb1="00000000"/>
  </w:font>
  <w:font w:name="新宋体">
    <w:panose1 w:val="02010609030101010101"/>
    <w:charset w:val="86"/>
    <w:family w:val="modern"/>
    <w:pitch w:val="default"/>
    <w:sig w:usb0="00000283" w:usb1="288F0000" w:usb2="00000006" w:usb3="00000000" w:csb0="00040001" w:csb1="00000000"/>
  </w:font>
  <w:font w:name="Cambria">
    <w:panose1 w:val="02040503050406030204"/>
    <w:charset w:val="00"/>
    <w:family w:val="auto"/>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right="359" w:rightChars="171"/>
    </w:pPr>
    <w:r>
      <w:pict>
        <v:shape id="_x0000_s2049" o:spid="_x0000_s2049" o:spt="202" type="#_x0000_t202" style="position:absolute;left:0pt;margin-top:0pt;height:12.85pt;width:41.9pt;mso-position-horizontal:center;mso-position-horizontal-relative:margin;mso-wrap-style:none;z-index:251663360;mso-width-relative:page;mso-height-relative:page;" filled="f" stroked="f" coordsize="21600,21600" o:gfxdata="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N3i6cXVAAAAAwEAAA8AAAAAAAAA&#10;AQAgAAAAIgAAAGRycy9kb3ducmV2LnhtbFBLAQIUABQAAAAIAIdO4kDjDBDT2wEAAK8DAAAOAAAA&#10;AAAAAAEAIAAAACQBAABkcnMvZTJvRG9jLnhtbFBLBQYAAAAABgAGAFkBAABxBQAAAAA=&#10;">
          <v:path/>
          <v:fill on="f" focussize="0,0"/>
          <v:stroke on="f" weight="1.25pt" joinstyle="miter"/>
          <v:imagedata o:title=""/>
          <o:lock v:ext="edit"/>
          <v:textbox inset="0mm,0mm,0mm,0mm" style="mso-fit-shape-to-text:t;">
            <w:txbxContent>
              <w:p>
                <w:pPr>
                  <w:snapToGrid w:val="0"/>
                  <w:rPr>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57</w:t>
                </w:r>
                <w:r>
                  <w:rPr>
                    <w:rFonts w:hint="eastAsia"/>
                    <w:sz w:val="18"/>
                  </w:rPr>
                  <w:fldChar w:fldCharType="end"/>
                </w:r>
                <w:r>
                  <w:rPr>
                    <w:rFonts w:hint="eastAsia"/>
                    <w:sz w:val="18"/>
                  </w:rPr>
                  <w:t xml:space="preserve"> 页</w:t>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24"/>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1"/>
      </w:pBdr>
      <w:tabs>
        <w:tab w:val="left" w:pos="8115"/>
        <w:tab w:val="clear" w:pos="4153"/>
        <w:tab w:val="clear" w:pos="8306"/>
      </w:tabs>
      <w:jc w:val="right"/>
    </w:pPr>
    <w:r>
      <w:rPr>
        <w:rFonts w:hint="eastAsia"/>
      </w:rPr>
      <w:t>浙江乐诚工程咨询有限公司招标文件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64E94B"/>
    <w:multiLevelType w:val="singleLevel"/>
    <w:tmpl w:val="8864E94B"/>
    <w:lvl w:ilvl="0" w:tentative="0">
      <w:start w:val="1"/>
      <w:numFmt w:val="decimal"/>
      <w:suff w:val="nothing"/>
      <w:lvlText w:val="%1．"/>
      <w:lvlJc w:val="left"/>
      <w:pPr>
        <w:ind w:left="0" w:firstLine="400"/>
      </w:pPr>
      <w:rPr>
        <w:rFonts w:hint="default"/>
      </w:rPr>
    </w:lvl>
  </w:abstractNum>
  <w:abstractNum w:abstractNumId="1">
    <w:nsid w:val="967ED4F5"/>
    <w:multiLevelType w:val="singleLevel"/>
    <w:tmpl w:val="967ED4F5"/>
    <w:lvl w:ilvl="0" w:tentative="0">
      <w:start w:val="1"/>
      <w:numFmt w:val="decimal"/>
      <w:suff w:val="nothing"/>
      <w:lvlText w:val="%1．"/>
      <w:lvlJc w:val="left"/>
      <w:pPr>
        <w:ind w:left="0" w:firstLine="400"/>
      </w:pPr>
      <w:rPr>
        <w:rFonts w:hint="default"/>
      </w:rPr>
    </w:lvl>
  </w:abstractNum>
  <w:abstractNum w:abstractNumId="2">
    <w:nsid w:val="99878912"/>
    <w:multiLevelType w:val="singleLevel"/>
    <w:tmpl w:val="99878912"/>
    <w:lvl w:ilvl="0" w:tentative="0">
      <w:start w:val="1"/>
      <w:numFmt w:val="decimal"/>
      <w:suff w:val="nothing"/>
      <w:lvlText w:val="%1．"/>
      <w:lvlJc w:val="left"/>
      <w:pPr>
        <w:ind w:left="0" w:firstLine="400"/>
      </w:pPr>
      <w:rPr>
        <w:rFonts w:hint="default"/>
      </w:rPr>
    </w:lvl>
  </w:abstractNum>
  <w:abstractNum w:abstractNumId="3">
    <w:nsid w:val="9F6BF74B"/>
    <w:multiLevelType w:val="singleLevel"/>
    <w:tmpl w:val="9F6BF74B"/>
    <w:lvl w:ilvl="0" w:tentative="0">
      <w:start w:val="2"/>
      <w:numFmt w:val="decimal"/>
      <w:lvlText w:val="%1."/>
      <w:lvlJc w:val="left"/>
      <w:pPr>
        <w:tabs>
          <w:tab w:val="left" w:pos="312"/>
        </w:tabs>
      </w:pPr>
    </w:lvl>
  </w:abstractNum>
  <w:abstractNum w:abstractNumId="4">
    <w:nsid w:val="B139176E"/>
    <w:multiLevelType w:val="singleLevel"/>
    <w:tmpl w:val="B139176E"/>
    <w:lvl w:ilvl="0" w:tentative="0">
      <w:start w:val="6"/>
      <w:numFmt w:val="decimal"/>
      <w:suff w:val="nothing"/>
      <w:lvlText w:val="%1）"/>
      <w:lvlJc w:val="left"/>
    </w:lvl>
  </w:abstractNum>
  <w:abstractNum w:abstractNumId="5">
    <w:nsid w:val="B8850206"/>
    <w:multiLevelType w:val="multilevel"/>
    <w:tmpl w:val="B8850206"/>
    <w:lvl w:ilvl="0" w:tentative="0">
      <w:start w:val="1"/>
      <w:numFmt w:val="decimal"/>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6">
    <w:nsid w:val="C8B16661"/>
    <w:multiLevelType w:val="singleLevel"/>
    <w:tmpl w:val="C8B16661"/>
    <w:lvl w:ilvl="0" w:tentative="0">
      <w:start w:val="1"/>
      <w:numFmt w:val="chineseCounting"/>
      <w:suff w:val="nothing"/>
      <w:lvlText w:val="%1、"/>
      <w:lvlJc w:val="left"/>
      <w:rPr>
        <w:rFonts w:hint="eastAsia"/>
      </w:rPr>
    </w:lvl>
  </w:abstractNum>
  <w:abstractNum w:abstractNumId="7">
    <w:nsid w:val="CA4A5494"/>
    <w:multiLevelType w:val="singleLevel"/>
    <w:tmpl w:val="CA4A5494"/>
    <w:lvl w:ilvl="0" w:tentative="0">
      <w:start w:val="1"/>
      <w:numFmt w:val="decimal"/>
      <w:suff w:val="nothing"/>
      <w:lvlText w:val="（%1）"/>
      <w:lvlJc w:val="left"/>
    </w:lvl>
  </w:abstractNum>
  <w:abstractNum w:abstractNumId="8">
    <w:nsid w:val="F4D2F0CF"/>
    <w:multiLevelType w:val="singleLevel"/>
    <w:tmpl w:val="F4D2F0CF"/>
    <w:lvl w:ilvl="0" w:tentative="0">
      <w:start w:val="1"/>
      <w:numFmt w:val="decimal"/>
      <w:suff w:val="nothing"/>
      <w:lvlText w:val="%1．"/>
      <w:lvlJc w:val="left"/>
      <w:pPr>
        <w:ind w:left="0" w:firstLine="400"/>
      </w:pPr>
      <w:rPr>
        <w:rFonts w:hint="default"/>
      </w:rPr>
    </w:lvl>
  </w:abstractNum>
  <w:abstractNum w:abstractNumId="9">
    <w:nsid w:val="F9EC2A9F"/>
    <w:multiLevelType w:val="singleLevel"/>
    <w:tmpl w:val="F9EC2A9F"/>
    <w:lvl w:ilvl="0" w:tentative="0">
      <w:start w:val="1"/>
      <w:numFmt w:val="decimal"/>
      <w:lvlText w:val="%1."/>
      <w:lvlJc w:val="left"/>
      <w:pPr>
        <w:tabs>
          <w:tab w:val="left" w:pos="312"/>
        </w:tabs>
      </w:pPr>
    </w:lvl>
  </w:abstractNum>
  <w:abstractNum w:abstractNumId="10">
    <w:nsid w:val="FFB1FECA"/>
    <w:multiLevelType w:val="singleLevel"/>
    <w:tmpl w:val="FFB1FECA"/>
    <w:lvl w:ilvl="0" w:tentative="0">
      <w:start w:val="1"/>
      <w:numFmt w:val="decimal"/>
      <w:suff w:val="nothing"/>
      <w:lvlText w:val="%1．"/>
      <w:lvlJc w:val="left"/>
      <w:pPr>
        <w:ind w:left="0" w:firstLine="400"/>
      </w:pPr>
      <w:rPr>
        <w:rFonts w:hint="default"/>
      </w:rPr>
    </w:lvl>
  </w:abstractNum>
  <w:abstractNum w:abstractNumId="11">
    <w:nsid w:val="0053208E"/>
    <w:multiLevelType w:val="singleLevel"/>
    <w:tmpl w:val="0053208E"/>
    <w:lvl w:ilvl="0" w:tentative="0">
      <w:start w:val="1"/>
      <w:numFmt w:val="decimal"/>
      <w:lvlText w:val="%1."/>
      <w:lvlJc w:val="left"/>
      <w:rPr>
        <w:rFonts w:ascii="宋体" w:hAnsi="宋体" w:eastAsia="宋体" w:cs="宋体"/>
        <w:b w:val="0"/>
        <w:bCs w:val="0"/>
        <w:i w:val="0"/>
        <w:iCs w:val="0"/>
        <w:smallCaps w:val="0"/>
        <w:strike w:val="0"/>
        <w:color w:val="000000"/>
        <w:spacing w:val="0"/>
        <w:w w:val="100"/>
        <w:position w:val="0"/>
        <w:sz w:val="22"/>
        <w:szCs w:val="22"/>
        <w:u w:val="none"/>
        <w:shd w:val="clear" w:color="auto" w:fill="auto"/>
        <w:lang w:val="en-US" w:eastAsia="en-US" w:bidi="en-US"/>
      </w:rPr>
    </w:lvl>
  </w:abstractNum>
  <w:abstractNum w:abstractNumId="12">
    <w:nsid w:val="021C584F"/>
    <w:multiLevelType w:val="singleLevel"/>
    <w:tmpl w:val="021C584F"/>
    <w:lvl w:ilvl="0" w:tentative="0">
      <w:start w:val="4"/>
      <w:numFmt w:val="chineseCounting"/>
      <w:lvlText w:val="%1."/>
      <w:lvlJc w:val="left"/>
      <w:pPr>
        <w:tabs>
          <w:tab w:val="left" w:pos="312"/>
        </w:tabs>
      </w:pPr>
      <w:rPr>
        <w:rFonts w:hint="eastAsia"/>
      </w:rPr>
    </w:lvl>
  </w:abstractNum>
  <w:abstractNum w:abstractNumId="13">
    <w:nsid w:val="0B346CA8"/>
    <w:multiLevelType w:val="singleLevel"/>
    <w:tmpl w:val="0B346CA8"/>
    <w:lvl w:ilvl="0" w:tentative="0">
      <w:start w:val="1"/>
      <w:numFmt w:val="decimal"/>
      <w:suff w:val="nothing"/>
      <w:lvlText w:val="%1．"/>
      <w:lvlJc w:val="left"/>
      <w:pPr>
        <w:ind w:left="0" w:firstLine="400"/>
      </w:pPr>
      <w:rPr>
        <w:rFonts w:hint="default"/>
      </w:rPr>
    </w:lvl>
  </w:abstractNum>
  <w:abstractNum w:abstractNumId="14">
    <w:nsid w:val="0E2ACEE2"/>
    <w:multiLevelType w:val="singleLevel"/>
    <w:tmpl w:val="0E2ACEE2"/>
    <w:lvl w:ilvl="0" w:tentative="0">
      <w:start w:val="1"/>
      <w:numFmt w:val="decimal"/>
      <w:lvlText w:val="(%1)"/>
      <w:lvlJc w:val="left"/>
      <w:pPr>
        <w:tabs>
          <w:tab w:val="left" w:pos="0"/>
        </w:tabs>
        <w:ind w:left="0" w:firstLine="0"/>
      </w:pPr>
      <w:rPr>
        <w:rFonts w:hint="default"/>
      </w:rPr>
    </w:lvl>
  </w:abstractNum>
  <w:abstractNum w:abstractNumId="15">
    <w:nsid w:val="134E98B4"/>
    <w:multiLevelType w:val="singleLevel"/>
    <w:tmpl w:val="134E98B4"/>
    <w:lvl w:ilvl="0" w:tentative="0">
      <w:start w:val="1"/>
      <w:numFmt w:val="chineseCounting"/>
      <w:lvlText w:val="%1."/>
      <w:lvlJc w:val="left"/>
      <w:pPr>
        <w:tabs>
          <w:tab w:val="left" w:pos="312"/>
        </w:tabs>
      </w:pPr>
      <w:rPr>
        <w:rFonts w:hint="eastAsia"/>
      </w:rPr>
    </w:lvl>
  </w:abstractNum>
  <w:abstractNum w:abstractNumId="16">
    <w:nsid w:val="1B2C1F3E"/>
    <w:multiLevelType w:val="multilevel"/>
    <w:tmpl w:val="1B2C1F3E"/>
    <w:lvl w:ilvl="0" w:tentative="0">
      <w:start w:val="1"/>
      <w:numFmt w:val="decimalEnclosedCircle"/>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3622FC02"/>
    <w:multiLevelType w:val="singleLevel"/>
    <w:tmpl w:val="3622FC02"/>
    <w:lvl w:ilvl="0" w:tentative="0">
      <w:start w:val="1"/>
      <w:numFmt w:val="decimal"/>
      <w:suff w:val="nothing"/>
      <w:lvlText w:val="%1．"/>
      <w:lvlJc w:val="left"/>
      <w:pPr>
        <w:ind w:left="0" w:firstLine="400"/>
      </w:pPr>
      <w:rPr>
        <w:rFonts w:hint="default"/>
      </w:rPr>
    </w:lvl>
  </w:abstractNum>
  <w:abstractNum w:abstractNumId="18">
    <w:nsid w:val="37BA99DC"/>
    <w:multiLevelType w:val="singleLevel"/>
    <w:tmpl w:val="37BA99DC"/>
    <w:lvl w:ilvl="0" w:tentative="0">
      <w:start w:val="1"/>
      <w:numFmt w:val="decimal"/>
      <w:suff w:val="nothing"/>
      <w:lvlText w:val="%1．"/>
      <w:lvlJc w:val="left"/>
      <w:pPr>
        <w:ind w:left="0" w:firstLine="400"/>
      </w:pPr>
      <w:rPr>
        <w:rFonts w:hint="default"/>
      </w:rPr>
    </w:lvl>
  </w:abstractNum>
  <w:abstractNum w:abstractNumId="19">
    <w:nsid w:val="3F4B1724"/>
    <w:multiLevelType w:val="singleLevel"/>
    <w:tmpl w:val="3F4B1724"/>
    <w:lvl w:ilvl="0" w:tentative="0">
      <w:start w:val="1"/>
      <w:numFmt w:val="decimal"/>
      <w:suff w:val="nothing"/>
      <w:lvlText w:val="%1．"/>
      <w:lvlJc w:val="left"/>
      <w:pPr>
        <w:ind w:left="0" w:firstLine="400"/>
      </w:pPr>
      <w:rPr>
        <w:rFonts w:hint="default"/>
      </w:rPr>
    </w:lvl>
  </w:abstractNum>
  <w:abstractNum w:abstractNumId="20">
    <w:nsid w:val="4B42F317"/>
    <w:multiLevelType w:val="singleLevel"/>
    <w:tmpl w:val="4B42F317"/>
    <w:lvl w:ilvl="0" w:tentative="0">
      <w:start w:val="1"/>
      <w:numFmt w:val="decimal"/>
      <w:lvlText w:val="%1)"/>
      <w:lvlJc w:val="left"/>
      <w:pPr>
        <w:ind w:left="425" w:hanging="425"/>
      </w:pPr>
      <w:rPr>
        <w:rFonts w:hint="default"/>
      </w:rPr>
    </w:lvl>
  </w:abstractNum>
  <w:abstractNum w:abstractNumId="21">
    <w:nsid w:val="4C59000B"/>
    <w:multiLevelType w:val="singleLevel"/>
    <w:tmpl w:val="4C59000B"/>
    <w:lvl w:ilvl="0" w:tentative="0">
      <w:start w:val="1"/>
      <w:numFmt w:val="decimal"/>
      <w:suff w:val="nothing"/>
      <w:lvlText w:val="%1、"/>
      <w:lvlJc w:val="left"/>
    </w:lvl>
  </w:abstractNum>
  <w:abstractNum w:abstractNumId="22">
    <w:nsid w:val="4EF68E77"/>
    <w:multiLevelType w:val="singleLevel"/>
    <w:tmpl w:val="4EF68E77"/>
    <w:lvl w:ilvl="0" w:tentative="0">
      <w:start w:val="1"/>
      <w:numFmt w:val="decimal"/>
      <w:suff w:val="nothing"/>
      <w:lvlText w:val="%1．"/>
      <w:lvlJc w:val="left"/>
      <w:pPr>
        <w:ind w:left="0" w:firstLine="400"/>
      </w:pPr>
      <w:rPr>
        <w:rFonts w:hint="default"/>
      </w:rPr>
    </w:lvl>
  </w:abstractNum>
  <w:abstractNum w:abstractNumId="23">
    <w:nsid w:val="51207DEB"/>
    <w:multiLevelType w:val="singleLevel"/>
    <w:tmpl w:val="51207DEB"/>
    <w:lvl w:ilvl="0" w:tentative="0">
      <w:start w:val="1"/>
      <w:numFmt w:val="chineseCounting"/>
      <w:suff w:val="space"/>
      <w:lvlText w:val="第%1部分"/>
      <w:lvlJc w:val="left"/>
      <w:rPr>
        <w:rFonts w:hint="eastAsia"/>
      </w:rPr>
    </w:lvl>
  </w:abstractNum>
  <w:abstractNum w:abstractNumId="24">
    <w:nsid w:val="557FD3DA"/>
    <w:multiLevelType w:val="singleLevel"/>
    <w:tmpl w:val="557FD3DA"/>
    <w:lvl w:ilvl="0" w:tentative="0">
      <w:start w:val="3"/>
      <w:numFmt w:val="chineseCounting"/>
      <w:suff w:val="nothing"/>
      <w:lvlText w:val="%1、"/>
      <w:lvlJc w:val="left"/>
      <w:rPr>
        <w:rFonts w:cs="Times New Roman"/>
      </w:rPr>
    </w:lvl>
  </w:abstractNum>
  <w:abstractNum w:abstractNumId="25">
    <w:nsid w:val="5683770E"/>
    <w:multiLevelType w:val="singleLevel"/>
    <w:tmpl w:val="5683770E"/>
    <w:lvl w:ilvl="0" w:tentative="0">
      <w:start w:val="1"/>
      <w:numFmt w:val="decimal"/>
      <w:suff w:val="nothing"/>
      <w:lvlText w:val="%1．"/>
      <w:lvlJc w:val="left"/>
      <w:pPr>
        <w:ind w:left="0" w:firstLine="400"/>
      </w:pPr>
      <w:rPr>
        <w:rFonts w:hint="default"/>
      </w:rPr>
    </w:lvl>
  </w:abstractNum>
  <w:abstractNum w:abstractNumId="26">
    <w:nsid w:val="5836D99A"/>
    <w:multiLevelType w:val="singleLevel"/>
    <w:tmpl w:val="5836D99A"/>
    <w:lvl w:ilvl="0" w:tentative="0">
      <w:start w:val="1"/>
      <w:numFmt w:val="decimal"/>
      <w:suff w:val="nothing"/>
      <w:lvlText w:val="%1．"/>
      <w:lvlJc w:val="left"/>
      <w:pPr>
        <w:ind w:left="0" w:firstLine="400"/>
      </w:pPr>
      <w:rPr>
        <w:rFonts w:hint="default"/>
      </w:rPr>
    </w:lvl>
  </w:abstractNum>
  <w:num w:numId="1">
    <w:abstractNumId w:val="5"/>
  </w:num>
  <w:num w:numId="2">
    <w:abstractNumId w:val="23"/>
  </w:num>
  <w:num w:numId="3">
    <w:abstractNumId w:val="9"/>
  </w:num>
  <w:num w:numId="4">
    <w:abstractNumId w:val="4"/>
  </w:num>
  <w:num w:numId="5">
    <w:abstractNumId w:val="7"/>
  </w:num>
  <w:num w:numId="6">
    <w:abstractNumId w:val="1"/>
  </w:num>
  <w:num w:numId="7">
    <w:abstractNumId w:val="2"/>
  </w:num>
  <w:num w:numId="8">
    <w:abstractNumId w:val="22"/>
  </w:num>
  <w:num w:numId="9">
    <w:abstractNumId w:val="10"/>
  </w:num>
  <w:num w:numId="10">
    <w:abstractNumId w:val="13"/>
  </w:num>
  <w:num w:numId="11">
    <w:abstractNumId w:val="20"/>
  </w:num>
  <w:num w:numId="12">
    <w:abstractNumId w:val="0"/>
  </w:num>
  <w:num w:numId="13">
    <w:abstractNumId w:val="8"/>
  </w:num>
  <w:num w:numId="14">
    <w:abstractNumId w:val="25"/>
  </w:num>
  <w:num w:numId="15">
    <w:abstractNumId w:val="26"/>
  </w:num>
  <w:num w:numId="16">
    <w:abstractNumId w:val="17"/>
  </w:num>
  <w:num w:numId="17">
    <w:abstractNumId w:val="18"/>
  </w:num>
  <w:num w:numId="18">
    <w:abstractNumId w:val="16"/>
  </w:num>
  <w:num w:numId="19">
    <w:abstractNumId w:val="11"/>
  </w:num>
  <w:num w:numId="20">
    <w:abstractNumId w:val="21"/>
  </w:num>
  <w:num w:numId="21">
    <w:abstractNumId w:val="6"/>
  </w:num>
  <w:num w:numId="22">
    <w:abstractNumId w:val="24"/>
  </w:num>
  <w:num w:numId="23">
    <w:abstractNumId w:val="12"/>
  </w:num>
  <w:num w:numId="24">
    <w:abstractNumId w:val="19"/>
  </w:num>
  <w:num w:numId="25">
    <w:abstractNumId w:val="14"/>
  </w:num>
  <w:num w:numId="26">
    <w:abstractNumId w:val="15"/>
  </w:num>
  <w:num w:numId="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bordersDoNotSurroundHeader w:val="1"/>
  <w:bordersDoNotSurroundFooter w:val="1"/>
  <w:hideSpellingErrors/>
  <w:hideGrammaticalErrors/>
  <w:documentProtection w:enforcement="0"/>
  <w:defaultTabStop w:val="420"/>
  <w:drawingGridVerticalSpacing w:val="156"/>
  <w:noPunctuationKerning w:val="1"/>
  <w:characterSpacingControl w:val="compressPunctuation"/>
  <w:hdrShapeDefaults>
    <o:shapelayout v:ext="edit">
      <o:idmap v:ext="edit" data="2"/>
    </o:shapelayout>
  </w:hdrShapeDefaults>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mQ4ODBiZTM2NTAyNzkzODY2NWZiODk3ZmRkZDBiMjkifQ=="/>
  </w:docVars>
  <w:rsids>
    <w:rsidRoot w:val="0077105C"/>
    <w:rsid w:val="00003A8E"/>
    <w:rsid w:val="00003B8B"/>
    <w:rsid w:val="00004ACA"/>
    <w:rsid w:val="00006C3A"/>
    <w:rsid w:val="000104E3"/>
    <w:rsid w:val="00011DDF"/>
    <w:rsid w:val="000126A9"/>
    <w:rsid w:val="00012BEA"/>
    <w:rsid w:val="0002341D"/>
    <w:rsid w:val="00023928"/>
    <w:rsid w:val="00026DF1"/>
    <w:rsid w:val="00032287"/>
    <w:rsid w:val="000358F0"/>
    <w:rsid w:val="00040878"/>
    <w:rsid w:val="00041DB4"/>
    <w:rsid w:val="00043348"/>
    <w:rsid w:val="00043A6C"/>
    <w:rsid w:val="000457EF"/>
    <w:rsid w:val="000507FF"/>
    <w:rsid w:val="000545B7"/>
    <w:rsid w:val="0005663D"/>
    <w:rsid w:val="00056ADF"/>
    <w:rsid w:val="00057DF7"/>
    <w:rsid w:val="000602E9"/>
    <w:rsid w:val="00060469"/>
    <w:rsid w:val="00060F30"/>
    <w:rsid w:val="000612EF"/>
    <w:rsid w:val="00066845"/>
    <w:rsid w:val="000731FD"/>
    <w:rsid w:val="00074112"/>
    <w:rsid w:val="0008186D"/>
    <w:rsid w:val="00081A37"/>
    <w:rsid w:val="0008260D"/>
    <w:rsid w:val="00083CAF"/>
    <w:rsid w:val="00086D9D"/>
    <w:rsid w:val="00087EC6"/>
    <w:rsid w:val="00097A19"/>
    <w:rsid w:val="000A3D9E"/>
    <w:rsid w:val="000A4CA6"/>
    <w:rsid w:val="000A5A7A"/>
    <w:rsid w:val="000B53F4"/>
    <w:rsid w:val="000B565E"/>
    <w:rsid w:val="000B6159"/>
    <w:rsid w:val="000B7DB9"/>
    <w:rsid w:val="000C25F3"/>
    <w:rsid w:val="000C28D0"/>
    <w:rsid w:val="000C3755"/>
    <w:rsid w:val="000C6819"/>
    <w:rsid w:val="000C7072"/>
    <w:rsid w:val="000D0620"/>
    <w:rsid w:val="000D6160"/>
    <w:rsid w:val="000E1320"/>
    <w:rsid w:val="000F0EE3"/>
    <w:rsid w:val="000F3299"/>
    <w:rsid w:val="000F5270"/>
    <w:rsid w:val="000F5B1D"/>
    <w:rsid w:val="000F5EA6"/>
    <w:rsid w:val="00101FE4"/>
    <w:rsid w:val="00105C9A"/>
    <w:rsid w:val="00105D7E"/>
    <w:rsid w:val="0011292B"/>
    <w:rsid w:val="001132E2"/>
    <w:rsid w:val="00113F54"/>
    <w:rsid w:val="001175AC"/>
    <w:rsid w:val="001207CC"/>
    <w:rsid w:val="00122E4D"/>
    <w:rsid w:val="001260BB"/>
    <w:rsid w:val="0013237A"/>
    <w:rsid w:val="00132400"/>
    <w:rsid w:val="00132AAE"/>
    <w:rsid w:val="00133077"/>
    <w:rsid w:val="001404FE"/>
    <w:rsid w:val="00140D4A"/>
    <w:rsid w:val="0014331F"/>
    <w:rsid w:val="00143E1D"/>
    <w:rsid w:val="00144DEC"/>
    <w:rsid w:val="0014546A"/>
    <w:rsid w:val="00145D07"/>
    <w:rsid w:val="00147480"/>
    <w:rsid w:val="0015078E"/>
    <w:rsid w:val="00150A0F"/>
    <w:rsid w:val="001518ED"/>
    <w:rsid w:val="00153CDA"/>
    <w:rsid w:val="001540A3"/>
    <w:rsid w:val="001557C5"/>
    <w:rsid w:val="00156CCD"/>
    <w:rsid w:val="001570FE"/>
    <w:rsid w:val="0016257C"/>
    <w:rsid w:val="00163F80"/>
    <w:rsid w:val="00165C61"/>
    <w:rsid w:val="0016770B"/>
    <w:rsid w:val="0017112C"/>
    <w:rsid w:val="001716F3"/>
    <w:rsid w:val="0017476F"/>
    <w:rsid w:val="001768AD"/>
    <w:rsid w:val="0018141D"/>
    <w:rsid w:val="00182127"/>
    <w:rsid w:val="001822F8"/>
    <w:rsid w:val="00183839"/>
    <w:rsid w:val="00186A6C"/>
    <w:rsid w:val="00194CCA"/>
    <w:rsid w:val="00196379"/>
    <w:rsid w:val="001B0609"/>
    <w:rsid w:val="001B0883"/>
    <w:rsid w:val="001B0DFB"/>
    <w:rsid w:val="001B32B4"/>
    <w:rsid w:val="001B5603"/>
    <w:rsid w:val="001C1E7D"/>
    <w:rsid w:val="001C2259"/>
    <w:rsid w:val="001C636B"/>
    <w:rsid w:val="001C6DFA"/>
    <w:rsid w:val="001E2935"/>
    <w:rsid w:val="001F0342"/>
    <w:rsid w:val="001F4FD4"/>
    <w:rsid w:val="001F56C4"/>
    <w:rsid w:val="0020352C"/>
    <w:rsid w:val="00203EBC"/>
    <w:rsid w:val="00204A26"/>
    <w:rsid w:val="00207187"/>
    <w:rsid w:val="0020787C"/>
    <w:rsid w:val="002132FC"/>
    <w:rsid w:val="002168ED"/>
    <w:rsid w:val="00222DDA"/>
    <w:rsid w:val="00222EE2"/>
    <w:rsid w:val="0022566E"/>
    <w:rsid w:val="00230F1E"/>
    <w:rsid w:val="00231898"/>
    <w:rsid w:val="00234308"/>
    <w:rsid w:val="00241445"/>
    <w:rsid w:val="0024282A"/>
    <w:rsid w:val="00251544"/>
    <w:rsid w:val="00252945"/>
    <w:rsid w:val="00254A9E"/>
    <w:rsid w:val="00261663"/>
    <w:rsid w:val="002627AC"/>
    <w:rsid w:val="00263DBF"/>
    <w:rsid w:val="00263E40"/>
    <w:rsid w:val="002673EA"/>
    <w:rsid w:val="00270625"/>
    <w:rsid w:val="00273C8A"/>
    <w:rsid w:val="00282BE2"/>
    <w:rsid w:val="00285FEB"/>
    <w:rsid w:val="00296F4B"/>
    <w:rsid w:val="002A39E4"/>
    <w:rsid w:val="002A5393"/>
    <w:rsid w:val="002A7AF9"/>
    <w:rsid w:val="002A7B47"/>
    <w:rsid w:val="002B0010"/>
    <w:rsid w:val="002B023B"/>
    <w:rsid w:val="002B0C9A"/>
    <w:rsid w:val="002B2107"/>
    <w:rsid w:val="002C08E5"/>
    <w:rsid w:val="002C1CDB"/>
    <w:rsid w:val="002C3DB6"/>
    <w:rsid w:val="002D20F6"/>
    <w:rsid w:val="002D3FF2"/>
    <w:rsid w:val="002D55A9"/>
    <w:rsid w:val="002D5D33"/>
    <w:rsid w:val="002E116F"/>
    <w:rsid w:val="002E3406"/>
    <w:rsid w:val="002E66B0"/>
    <w:rsid w:val="002F18CE"/>
    <w:rsid w:val="002F71E5"/>
    <w:rsid w:val="00300AC5"/>
    <w:rsid w:val="00302FCF"/>
    <w:rsid w:val="00304644"/>
    <w:rsid w:val="003049DA"/>
    <w:rsid w:val="00304B9D"/>
    <w:rsid w:val="003156B5"/>
    <w:rsid w:val="00317C20"/>
    <w:rsid w:val="0032028E"/>
    <w:rsid w:val="003213F8"/>
    <w:rsid w:val="00321468"/>
    <w:rsid w:val="0032251D"/>
    <w:rsid w:val="003248FF"/>
    <w:rsid w:val="00327E9A"/>
    <w:rsid w:val="003309CC"/>
    <w:rsid w:val="00330A87"/>
    <w:rsid w:val="00331D79"/>
    <w:rsid w:val="00332EC2"/>
    <w:rsid w:val="00334FF9"/>
    <w:rsid w:val="00340883"/>
    <w:rsid w:val="00340A34"/>
    <w:rsid w:val="00342671"/>
    <w:rsid w:val="00342680"/>
    <w:rsid w:val="003433DC"/>
    <w:rsid w:val="003444DC"/>
    <w:rsid w:val="003454C1"/>
    <w:rsid w:val="00347100"/>
    <w:rsid w:val="0035085D"/>
    <w:rsid w:val="003550C0"/>
    <w:rsid w:val="00355AE1"/>
    <w:rsid w:val="0036115C"/>
    <w:rsid w:val="00362803"/>
    <w:rsid w:val="00363F5C"/>
    <w:rsid w:val="00370589"/>
    <w:rsid w:val="003746C4"/>
    <w:rsid w:val="003747DD"/>
    <w:rsid w:val="00377953"/>
    <w:rsid w:val="00377FE3"/>
    <w:rsid w:val="00380C7B"/>
    <w:rsid w:val="00386472"/>
    <w:rsid w:val="003901CE"/>
    <w:rsid w:val="00391E22"/>
    <w:rsid w:val="00395767"/>
    <w:rsid w:val="0039640C"/>
    <w:rsid w:val="0039763B"/>
    <w:rsid w:val="003A26DA"/>
    <w:rsid w:val="003A4570"/>
    <w:rsid w:val="003A5724"/>
    <w:rsid w:val="003B414E"/>
    <w:rsid w:val="003B723D"/>
    <w:rsid w:val="003B78AA"/>
    <w:rsid w:val="003B7C81"/>
    <w:rsid w:val="003B7EAA"/>
    <w:rsid w:val="003C21DC"/>
    <w:rsid w:val="003C775D"/>
    <w:rsid w:val="003D0502"/>
    <w:rsid w:val="003D15A4"/>
    <w:rsid w:val="003D1F15"/>
    <w:rsid w:val="003D680D"/>
    <w:rsid w:val="003E2383"/>
    <w:rsid w:val="003E2999"/>
    <w:rsid w:val="003E301B"/>
    <w:rsid w:val="003E4760"/>
    <w:rsid w:val="003E61F0"/>
    <w:rsid w:val="003F29FB"/>
    <w:rsid w:val="003F2C3E"/>
    <w:rsid w:val="003F6CCF"/>
    <w:rsid w:val="00403E9D"/>
    <w:rsid w:val="00403FA4"/>
    <w:rsid w:val="00405C22"/>
    <w:rsid w:val="004151D4"/>
    <w:rsid w:val="00416AC0"/>
    <w:rsid w:val="00423D81"/>
    <w:rsid w:val="004240A8"/>
    <w:rsid w:val="00426155"/>
    <w:rsid w:val="004309FA"/>
    <w:rsid w:val="00432010"/>
    <w:rsid w:val="004324AB"/>
    <w:rsid w:val="0043495E"/>
    <w:rsid w:val="0043631A"/>
    <w:rsid w:val="00440F7F"/>
    <w:rsid w:val="00442784"/>
    <w:rsid w:val="00443342"/>
    <w:rsid w:val="00450BE2"/>
    <w:rsid w:val="004510A6"/>
    <w:rsid w:val="00452390"/>
    <w:rsid w:val="00453744"/>
    <w:rsid w:val="004648E3"/>
    <w:rsid w:val="00466555"/>
    <w:rsid w:val="004667A1"/>
    <w:rsid w:val="00467D8E"/>
    <w:rsid w:val="00472430"/>
    <w:rsid w:val="00472977"/>
    <w:rsid w:val="00473D55"/>
    <w:rsid w:val="004745D3"/>
    <w:rsid w:val="00477002"/>
    <w:rsid w:val="00483C23"/>
    <w:rsid w:val="00485846"/>
    <w:rsid w:val="00493D9A"/>
    <w:rsid w:val="004951ED"/>
    <w:rsid w:val="0049634D"/>
    <w:rsid w:val="004A07FB"/>
    <w:rsid w:val="004A11EC"/>
    <w:rsid w:val="004A19E1"/>
    <w:rsid w:val="004A2C9E"/>
    <w:rsid w:val="004A526B"/>
    <w:rsid w:val="004A5C3F"/>
    <w:rsid w:val="004A5D08"/>
    <w:rsid w:val="004A632C"/>
    <w:rsid w:val="004A6785"/>
    <w:rsid w:val="004A6F82"/>
    <w:rsid w:val="004B0E35"/>
    <w:rsid w:val="004B27F5"/>
    <w:rsid w:val="004B3A25"/>
    <w:rsid w:val="004B566B"/>
    <w:rsid w:val="004B77F3"/>
    <w:rsid w:val="004D05FE"/>
    <w:rsid w:val="004D7CE2"/>
    <w:rsid w:val="004E096B"/>
    <w:rsid w:val="004E0F0C"/>
    <w:rsid w:val="004E2A3C"/>
    <w:rsid w:val="004E656C"/>
    <w:rsid w:val="004F559F"/>
    <w:rsid w:val="004F674A"/>
    <w:rsid w:val="004F6ADB"/>
    <w:rsid w:val="0050061C"/>
    <w:rsid w:val="00503552"/>
    <w:rsid w:val="0050792B"/>
    <w:rsid w:val="0051201B"/>
    <w:rsid w:val="00516CC2"/>
    <w:rsid w:val="0052048D"/>
    <w:rsid w:val="005204A1"/>
    <w:rsid w:val="00522C0C"/>
    <w:rsid w:val="00532D11"/>
    <w:rsid w:val="00536C23"/>
    <w:rsid w:val="005379B0"/>
    <w:rsid w:val="00540D43"/>
    <w:rsid w:val="00540E7C"/>
    <w:rsid w:val="0054288D"/>
    <w:rsid w:val="005439E1"/>
    <w:rsid w:val="00543DD0"/>
    <w:rsid w:val="00545705"/>
    <w:rsid w:val="00546135"/>
    <w:rsid w:val="005475C6"/>
    <w:rsid w:val="005513BB"/>
    <w:rsid w:val="0055369D"/>
    <w:rsid w:val="00556E6D"/>
    <w:rsid w:val="00560CBB"/>
    <w:rsid w:val="00561C78"/>
    <w:rsid w:val="005626D3"/>
    <w:rsid w:val="005630C8"/>
    <w:rsid w:val="00563435"/>
    <w:rsid w:val="00567B73"/>
    <w:rsid w:val="00571AAB"/>
    <w:rsid w:val="00572049"/>
    <w:rsid w:val="005760B3"/>
    <w:rsid w:val="0057676F"/>
    <w:rsid w:val="00576AD5"/>
    <w:rsid w:val="00591BD6"/>
    <w:rsid w:val="005922DF"/>
    <w:rsid w:val="00592D53"/>
    <w:rsid w:val="00593BBF"/>
    <w:rsid w:val="005963F3"/>
    <w:rsid w:val="0059696F"/>
    <w:rsid w:val="005A0BE8"/>
    <w:rsid w:val="005A6998"/>
    <w:rsid w:val="005A6CFB"/>
    <w:rsid w:val="005A76EC"/>
    <w:rsid w:val="005D3FCC"/>
    <w:rsid w:val="005D471C"/>
    <w:rsid w:val="005E34EE"/>
    <w:rsid w:val="005E6893"/>
    <w:rsid w:val="005E791B"/>
    <w:rsid w:val="005E79FF"/>
    <w:rsid w:val="005E7D83"/>
    <w:rsid w:val="005F1A3B"/>
    <w:rsid w:val="005F23AD"/>
    <w:rsid w:val="005F463E"/>
    <w:rsid w:val="005F658D"/>
    <w:rsid w:val="005F6B90"/>
    <w:rsid w:val="005F7262"/>
    <w:rsid w:val="005F7AED"/>
    <w:rsid w:val="00602B81"/>
    <w:rsid w:val="0060579F"/>
    <w:rsid w:val="00606C57"/>
    <w:rsid w:val="006104D9"/>
    <w:rsid w:val="0061084C"/>
    <w:rsid w:val="006117CC"/>
    <w:rsid w:val="00612FB6"/>
    <w:rsid w:val="00617C4D"/>
    <w:rsid w:val="00620ED7"/>
    <w:rsid w:val="00633180"/>
    <w:rsid w:val="00634F4D"/>
    <w:rsid w:val="0063506D"/>
    <w:rsid w:val="006358CB"/>
    <w:rsid w:val="00636BC6"/>
    <w:rsid w:val="00641B84"/>
    <w:rsid w:val="00646E09"/>
    <w:rsid w:val="006511C9"/>
    <w:rsid w:val="00651895"/>
    <w:rsid w:val="0065201B"/>
    <w:rsid w:val="006524F3"/>
    <w:rsid w:val="00653670"/>
    <w:rsid w:val="00654187"/>
    <w:rsid w:val="006564D3"/>
    <w:rsid w:val="00663A1E"/>
    <w:rsid w:val="00664C8A"/>
    <w:rsid w:val="00674397"/>
    <w:rsid w:val="00682698"/>
    <w:rsid w:val="00684BAC"/>
    <w:rsid w:val="0069034C"/>
    <w:rsid w:val="00690534"/>
    <w:rsid w:val="00696113"/>
    <w:rsid w:val="006A3DD1"/>
    <w:rsid w:val="006A6830"/>
    <w:rsid w:val="006B1563"/>
    <w:rsid w:val="006B1607"/>
    <w:rsid w:val="006B29E3"/>
    <w:rsid w:val="006B4822"/>
    <w:rsid w:val="006C14BA"/>
    <w:rsid w:val="006C2B37"/>
    <w:rsid w:val="006D2249"/>
    <w:rsid w:val="006D5BB8"/>
    <w:rsid w:val="006E2467"/>
    <w:rsid w:val="006E33F4"/>
    <w:rsid w:val="006E493D"/>
    <w:rsid w:val="006E66EB"/>
    <w:rsid w:val="006E76A8"/>
    <w:rsid w:val="006F0482"/>
    <w:rsid w:val="006F118C"/>
    <w:rsid w:val="006F19FA"/>
    <w:rsid w:val="006F2348"/>
    <w:rsid w:val="007015A5"/>
    <w:rsid w:val="00704E14"/>
    <w:rsid w:val="00710827"/>
    <w:rsid w:val="00715B86"/>
    <w:rsid w:val="0071666B"/>
    <w:rsid w:val="0072097C"/>
    <w:rsid w:val="00722218"/>
    <w:rsid w:val="00722285"/>
    <w:rsid w:val="00727797"/>
    <w:rsid w:val="0073174B"/>
    <w:rsid w:val="00731FD5"/>
    <w:rsid w:val="007343DC"/>
    <w:rsid w:val="007350D9"/>
    <w:rsid w:val="00736DED"/>
    <w:rsid w:val="007447FA"/>
    <w:rsid w:val="00745472"/>
    <w:rsid w:val="00746267"/>
    <w:rsid w:val="007465DC"/>
    <w:rsid w:val="00747A1A"/>
    <w:rsid w:val="007502D4"/>
    <w:rsid w:val="007510BF"/>
    <w:rsid w:val="00752793"/>
    <w:rsid w:val="00752901"/>
    <w:rsid w:val="00754289"/>
    <w:rsid w:val="0075573C"/>
    <w:rsid w:val="0075650C"/>
    <w:rsid w:val="007627AC"/>
    <w:rsid w:val="00766F11"/>
    <w:rsid w:val="0077105C"/>
    <w:rsid w:val="007725AC"/>
    <w:rsid w:val="0077266A"/>
    <w:rsid w:val="007757BB"/>
    <w:rsid w:val="007774FC"/>
    <w:rsid w:val="00784974"/>
    <w:rsid w:val="00785A1A"/>
    <w:rsid w:val="0079269B"/>
    <w:rsid w:val="007955FD"/>
    <w:rsid w:val="007A01FA"/>
    <w:rsid w:val="007A380B"/>
    <w:rsid w:val="007B2A8E"/>
    <w:rsid w:val="007B310C"/>
    <w:rsid w:val="007B5508"/>
    <w:rsid w:val="007B5753"/>
    <w:rsid w:val="007B5D48"/>
    <w:rsid w:val="007C1C6D"/>
    <w:rsid w:val="007C2AD0"/>
    <w:rsid w:val="007C4620"/>
    <w:rsid w:val="007D0DE8"/>
    <w:rsid w:val="007D2ECF"/>
    <w:rsid w:val="007D3BF0"/>
    <w:rsid w:val="007E1708"/>
    <w:rsid w:val="007E1FD2"/>
    <w:rsid w:val="007E209D"/>
    <w:rsid w:val="007E2F1C"/>
    <w:rsid w:val="007E414F"/>
    <w:rsid w:val="007E65A2"/>
    <w:rsid w:val="007E6EAD"/>
    <w:rsid w:val="007E6FDD"/>
    <w:rsid w:val="007F5585"/>
    <w:rsid w:val="007F5696"/>
    <w:rsid w:val="008025E2"/>
    <w:rsid w:val="008069C3"/>
    <w:rsid w:val="008122F5"/>
    <w:rsid w:val="00813965"/>
    <w:rsid w:val="008166B5"/>
    <w:rsid w:val="008167F1"/>
    <w:rsid w:val="00824203"/>
    <w:rsid w:val="00824E71"/>
    <w:rsid w:val="00825164"/>
    <w:rsid w:val="00826B9D"/>
    <w:rsid w:val="00826E9A"/>
    <w:rsid w:val="008271A3"/>
    <w:rsid w:val="00827BC6"/>
    <w:rsid w:val="00834D7F"/>
    <w:rsid w:val="00836FC9"/>
    <w:rsid w:val="008409F9"/>
    <w:rsid w:val="00841487"/>
    <w:rsid w:val="00853618"/>
    <w:rsid w:val="00854EE7"/>
    <w:rsid w:val="00857374"/>
    <w:rsid w:val="00860156"/>
    <w:rsid w:val="00862DC0"/>
    <w:rsid w:val="00870137"/>
    <w:rsid w:val="00870B61"/>
    <w:rsid w:val="00871E2A"/>
    <w:rsid w:val="00873133"/>
    <w:rsid w:val="00876669"/>
    <w:rsid w:val="0088214B"/>
    <w:rsid w:val="00883D22"/>
    <w:rsid w:val="00885A37"/>
    <w:rsid w:val="00892B4B"/>
    <w:rsid w:val="008931FC"/>
    <w:rsid w:val="008A1BB2"/>
    <w:rsid w:val="008A7713"/>
    <w:rsid w:val="008B0F77"/>
    <w:rsid w:val="008B17D6"/>
    <w:rsid w:val="008B1B8C"/>
    <w:rsid w:val="008B2947"/>
    <w:rsid w:val="008B2B77"/>
    <w:rsid w:val="008B43BF"/>
    <w:rsid w:val="008B72E8"/>
    <w:rsid w:val="008B73BD"/>
    <w:rsid w:val="008C0A8A"/>
    <w:rsid w:val="008C2580"/>
    <w:rsid w:val="008C34BC"/>
    <w:rsid w:val="008C72EE"/>
    <w:rsid w:val="008D1E95"/>
    <w:rsid w:val="008D4DB9"/>
    <w:rsid w:val="008D6D00"/>
    <w:rsid w:val="008E3395"/>
    <w:rsid w:val="008E4282"/>
    <w:rsid w:val="008E46A3"/>
    <w:rsid w:val="008E4818"/>
    <w:rsid w:val="008E48C1"/>
    <w:rsid w:val="00900EDC"/>
    <w:rsid w:val="009013C1"/>
    <w:rsid w:val="009034C6"/>
    <w:rsid w:val="00905199"/>
    <w:rsid w:val="00905382"/>
    <w:rsid w:val="009144F9"/>
    <w:rsid w:val="00915F03"/>
    <w:rsid w:val="009161F6"/>
    <w:rsid w:val="00917EE1"/>
    <w:rsid w:val="009201F3"/>
    <w:rsid w:val="009228DB"/>
    <w:rsid w:val="009235E2"/>
    <w:rsid w:val="00931D3E"/>
    <w:rsid w:val="00933477"/>
    <w:rsid w:val="009341E9"/>
    <w:rsid w:val="009343F9"/>
    <w:rsid w:val="00935CF8"/>
    <w:rsid w:val="00937C7B"/>
    <w:rsid w:val="00942418"/>
    <w:rsid w:val="00947646"/>
    <w:rsid w:val="00951BE0"/>
    <w:rsid w:val="00953672"/>
    <w:rsid w:val="009537FB"/>
    <w:rsid w:val="00960FB4"/>
    <w:rsid w:val="0096287A"/>
    <w:rsid w:val="00963B31"/>
    <w:rsid w:val="00970259"/>
    <w:rsid w:val="009704A6"/>
    <w:rsid w:val="009704AA"/>
    <w:rsid w:val="009715D5"/>
    <w:rsid w:val="00971620"/>
    <w:rsid w:val="00972664"/>
    <w:rsid w:val="009755B0"/>
    <w:rsid w:val="0097598C"/>
    <w:rsid w:val="00976FEF"/>
    <w:rsid w:val="00977661"/>
    <w:rsid w:val="009801EC"/>
    <w:rsid w:val="00982389"/>
    <w:rsid w:val="009823BD"/>
    <w:rsid w:val="00991F0C"/>
    <w:rsid w:val="00992903"/>
    <w:rsid w:val="00993742"/>
    <w:rsid w:val="00994BB6"/>
    <w:rsid w:val="009A031F"/>
    <w:rsid w:val="009A0480"/>
    <w:rsid w:val="009A37A8"/>
    <w:rsid w:val="009A3906"/>
    <w:rsid w:val="009A4BC6"/>
    <w:rsid w:val="009A500B"/>
    <w:rsid w:val="009B41F6"/>
    <w:rsid w:val="009C204D"/>
    <w:rsid w:val="009D1BA6"/>
    <w:rsid w:val="009D2A6B"/>
    <w:rsid w:val="009D49F0"/>
    <w:rsid w:val="009D4A5B"/>
    <w:rsid w:val="009D56E5"/>
    <w:rsid w:val="009D67ED"/>
    <w:rsid w:val="009D7C02"/>
    <w:rsid w:val="009E1DF8"/>
    <w:rsid w:val="009E4D8B"/>
    <w:rsid w:val="009F048C"/>
    <w:rsid w:val="009F21FC"/>
    <w:rsid w:val="009F23C0"/>
    <w:rsid w:val="009F5A37"/>
    <w:rsid w:val="00A1099B"/>
    <w:rsid w:val="00A11A6B"/>
    <w:rsid w:val="00A15D13"/>
    <w:rsid w:val="00A16B45"/>
    <w:rsid w:val="00A177F9"/>
    <w:rsid w:val="00A2015E"/>
    <w:rsid w:val="00A22B4D"/>
    <w:rsid w:val="00A24A00"/>
    <w:rsid w:val="00A30646"/>
    <w:rsid w:val="00A35556"/>
    <w:rsid w:val="00A357B7"/>
    <w:rsid w:val="00A35A72"/>
    <w:rsid w:val="00A402CC"/>
    <w:rsid w:val="00A433B3"/>
    <w:rsid w:val="00A434DD"/>
    <w:rsid w:val="00A476CE"/>
    <w:rsid w:val="00A47B14"/>
    <w:rsid w:val="00A50675"/>
    <w:rsid w:val="00A50C5F"/>
    <w:rsid w:val="00A549E3"/>
    <w:rsid w:val="00A55BCF"/>
    <w:rsid w:val="00A6002C"/>
    <w:rsid w:val="00A604A4"/>
    <w:rsid w:val="00A63CBD"/>
    <w:rsid w:val="00A6569E"/>
    <w:rsid w:val="00A6599E"/>
    <w:rsid w:val="00A66827"/>
    <w:rsid w:val="00A674CA"/>
    <w:rsid w:val="00A70319"/>
    <w:rsid w:val="00A70BD7"/>
    <w:rsid w:val="00A73AD7"/>
    <w:rsid w:val="00A770E3"/>
    <w:rsid w:val="00A8036F"/>
    <w:rsid w:val="00A83BAC"/>
    <w:rsid w:val="00A86B79"/>
    <w:rsid w:val="00A87D46"/>
    <w:rsid w:val="00A913C6"/>
    <w:rsid w:val="00A95C2C"/>
    <w:rsid w:val="00AA3B5C"/>
    <w:rsid w:val="00AA4306"/>
    <w:rsid w:val="00AA5144"/>
    <w:rsid w:val="00AB076C"/>
    <w:rsid w:val="00AB2053"/>
    <w:rsid w:val="00AB4661"/>
    <w:rsid w:val="00AB76EC"/>
    <w:rsid w:val="00AC2457"/>
    <w:rsid w:val="00AC3D2A"/>
    <w:rsid w:val="00AC3DFC"/>
    <w:rsid w:val="00AC446B"/>
    <w:rsid w:val="00AC6A48"/>
    <w:rsid w:val="00AD281B"/>
    <w:rsid w:val="00AD641A"/>
    <w:rsid w:val="00AD6820"/>
    <w:rsid w:val="00AE5895"/>
    <w:rsid w:val="00AF149F"/>
    <w:rsid w:val="00AF1809"/>
    <w:rsid w:val="00AF3567"/>
    <w:rsid w:val="00AF3CA1"/>
    <w:rsid w:val="00AF6A40"/>
    <w:rsid w:val="00B01B36"/>
    <w:rsid w:val="00B049D3"/>
    <w:rsid w:val="00B05E56"/>
    <w:rsid w:val="00B05F74"/>
    <w:rsid w:val="00B06E15"/>
    <w:rsid w:val="00B07206"/>
    <w:rsid w:val="00B072A3"/>
    <w:rsid w:val="00B078DF"/>
    <w:rsid w:val="00B10013"/>
    <w:rsid w:val="00B11D56"/>
    <w:rsid w:val="00B1290E"/>
    <w:rsid w:val="00B143FC"/>
    <w:rsid w:val="00B177F8"/>
    <w:rsid w:val="00B2094E"/>
    <w:rsid w:val="00B24DC2"/>
    <w:rsid w:val="00B32351"/>
    <w:rsid w:val="00B368E9"/>
    <w:rsid w:val="00B37E59"/>
    <w:rsid w:val="00B400A4"/>
    <w:rsid w:val="00B45592"/>
    <w:rsid w:val="00B45CB7"/>
    <w:rsid w:val="00B479A9"/>
    <w:rsid w:val="00B54D0F"/>
    <w:rsid w:val="00B54D36"/>
    <w:rsid w:val="00B55CA8"/>
    <w:rsid w:val="00B60CB1"/>
    <w:rsid w:val="00B61E79"/>
    <w:rsid w:val="00B6210E"/>
    <w:rsid w:val="00B62450"/>
    <w:rsid w:val="00B66EC1"/>
    <w:rsid w:val="00B67886"/>
    <w:rsid w:val="00B71985"/>
    <w:rsid w:val="00B75E5D"/>
    <w:rsid w:val="00B8128E"/>
    <w:rsid w:val="00B81D30"/>
    <w:rsid w:val="00B869DA"/>
    <w:rsid w:val="00B91822"/>
    <w:rsid w:val="00B91921"/>
    <w:rsid w:val="00B93CBE"/>
    <w:rsid w:val="00B94581"/>
    <w:rsid w:val="00B94715"/>
    <w:rsid w:val="00B971FF"/>
    <w:rsid w:val="00B97DEA"/>
    <w:rsid w:val="00BA098F"/>
    <w:rsid w:val="00BA0FB6"/>
    <w:rsid w:val="00BA2509"/>
    <w:rsid w:val="00BA382A"/>
    <w:rsid w:val="00BA63ED"/>
    <w:rsid w:val="00BA7B27"/>
    <w:rsid w:val="00BB39C9"/>
    <w:rsid w:val="00BB548C"/>
    <w:rsid w:val="00BB75F1"/>
    <w:rsid w:val="00BC0A28"/>
    <w:rsid w:val="00BC1DB5"/>
    <w:rsid w:val="00BC2425"/>
    <w:rsid w:val="00BC3F6D"/>
    <w:rsid w:val="00BC6651"/>
    <w:rsid w:val="00BC74DD"/>
    <w:rsid w:val="00BC7C5E"/>
    <w:rsid w:val="00BD3B0C"/>
    <w:rsid w:val="00BD5735"/>
    <w:rsid w:val="00BD7AA0"/>
    <w:rsid w:val="00BF0FEE"/>
    <w:rsid w:val="00BF3486"/>
    <w:rsid w:val="00BF6920"/>
    <w:rsid w:val="00C02585"/>
    <w:rsid w:val="00C05DE7"/>
    <w:rsid w:val="00C06A27"/>
    <w:rsid w:val="00C07D71"/>
    <w:rsid w:val="00C13269"/>
    <w:rsid w:val="00C15523"/>
    <w:rsid w:val="00C207E7"/>
    <w:rsid w:val="00C20E45"/>
    <w:rsid w:val="00C2540C"/>
    <w:rsid w:val="00C27701"/>
    <w:rsid w:val="00C279F8"/>
    <w:rsid w:val="00C3103F"/>
    <w:rsid w:val="00C31DD7"/>
    <w:rsid w:val="00C35FC9"/>
    <w:rsid w:val="00C37F96"/>
    <w:rsid w:val="00C43F9A"/>
    <w:rsid w:val="00C447D2"/>
    <w:rsid w:val="00C4614F"/>
    <w:rsid w:val="00C47D1C"/>
    <w:rsid w:val="00C50B72"/>
    <w:rsid w:val="00C530E8"/>
    <w:rsid w:val="00C54D99"/>
    <w:rsid w:val="00C55BFB"/>
    <w:rsid w:val="00C56109"/>
    <w:rsid w:val="00C6218A"/>
    <w:rsid w:val="00C663EA"/>
    <w:rsid w:val="00C70C1C"/>
    <w:rsid w:val="00C777A7"/>
    <w:rsid w:val="00C808BC"/>
    <w:rsid w:val="00C8155E"/>
    <w:rsid w:val="00C83A40"/>
    <w:rsid w:val="00C84133"/>
    <w:rsid w:val="00C84925"/>
    <w:rsid w:val="00C9105C"/>
    <w:rsid w:val="00C92E08"/>
    <w:rsid w:val="00C9686B"/>
    <w:rsid w:val="00C97A95"/>
    <w:rsid w:val="00CA2C2D"/>
    <w:rsid w:val="00CA5E7A"/>
    <w:rsid w:val="00CA7CBC"/>
    <w:rsid w:val="00CB1090"/>
    <w:rsid w:val="00CB7C72"/>
    <w:rsid w:val="00CC05C3"/>
    <w:rsid w:val="00CC1279"/>
    <w:rsid w:val="00CC3FEF"/>
    <w:rsid w:val="00CC58B2"/>
    <w:rsid w:val="00CD0D1A"/>
    <w:rsid w:val="00CD2EF9"/>
    <w:rsid w:val="00CE13D0"/>
    <w:rsid w:val="00CE13E7"/>
    <w:rsid w:val="00CE33E2"/>
    <w:rsid w:val="00CE49C7"/>
    <w:rsid w:val="00CF03D6"/>
    <w:rsid w:val="00CF0731"/>
    <w:rsid w:val="00CF0816"/>
    <w:rsid w:val="00CF45B2"/>
    <w:rsid w:val="00CF6A5D"/>
    <w:rsid w:val="00D0056C"/>
    <w:rsid w:val="00D10729"/>
    <w:rsid w:val="00D10A18"/>
    <w:rsid w:val="00D142C1"/>
    <w:rsid w:val="00D14F91"/>
    <w:rsid w:val="00D15FA1"/>
    <w:rsid w:val="00D225A2"/>
    <w:rsid w:val="00D2310D"/>
    <w:rsid w:val="00D254A7"/>
    <w:rsid w:val="00D273F6"/>
    <w:rsid w:val="00D27A0A"/>
    <w:rsid w:val="00D31327"/>
    <w:rsid w:val="00D31376"/>
    <w:rsid w:val="00D36571"/>
    <w:rsid w:val="00D368A8"/>
    <w:rsid w:val="00D36DBA"/>
    <w:rsid w:val="00D37A55"/>
    <w:rsid w:val="00D4040A"/>
    <w:rsid w:val="00D42A3D"/>
    <w:rsid w:val="00D42DED"/>
    <w:rsid w:val="00D45ACA"/>
    <w:rsid w:val="00D460A1"/>
    <w:rsid w:val="00D46949"/>
    <w:rsid w:val="00D50118"/>
    <w:rsid w:val="00D513B3"/>
    <w:rsid w:val="00D54291"/>
    <w:rsid w:val="00D57961"/>
    <w:rsid w:val="00D57C93"/>
    <w:rsid w:val="00D60F6E"/>
    <w:rsid w:val="00D61DB8"/>
    <w:rsid w:val="00D63B5A"/>
    <w:rsid w:val="00D659E6"/>
    <w:rsid w:val="00D70FA0"/>
    <w:rsid w:val="00D73703"/>
    <w:rsid w:val="00D73C1E"/>
    <w:rsid w:val="00D8330D"/>
    <w:rsid w:val="00D840ED"/>
    <w:rsid w:val="00D8622F"/>
    <w:rsid w:val="00D91979"/>
    <w:rsid w:val="00D91B09"/>
    <w:rsid w:val="00D9364B"/>
    <w:rsid w:val="00D94AE7"/>
    <w:rsid w:val="00D94DD5"/>
    <w:rsid w:val="00D95FE8"/>
    <w:rsid w:val="00D979F2"/>
    <w:rsid w:val="00DA23AC"/>
    <w:rsid w:val="00DA29A4"/>
    <w:rsid w:val="00DA4201"/>
    <w:rsid w:val="00DA6990"/>
    <w:rsid w:val="00DA6A5A"/>
    <w:rsid w:val="00DB0B47"/>
    <w:rsid w:val="00DB2CE2"/>
    <w:rsid w:val="00DB4CBD"/>
    <w:rsid w:val="00DB4DB2"/>
    <w:rsid w:val="00DB5AB6"/>
    <w:rsid w:val="00DC0218"/>
    <w:rsid w:val="00DC1366"/>
    <w:rsid w:val="00DC415D"/>
    <w:rsid w:val="00DC6FA3"/>
    <w:rsid w:val="00DD593C"/>
    <w:rsid w:val="00DE12AB"/>
    <w:rsid w:val="00DE53FB"/>
    <w:rsid w:val="00DE7B0B"/>
    <w:rsid w:val="00DF082B"/>
    <w:rsid w:val="00DF5B3B"/>
    <w:rsid w:val="00DF7266"/>
    <w:rsid w:val="00E00F37"/>
    <w:rsid w:val="00E0179D"/>
    <w:rsid w:val="00E065CD"/>
    <w:rsid w:val="00E10415"/>
    <w:rsid w:val="00E10C19"/>
    <w:rsid w:val="00E11792"/>
    <w:rsid w:val="00E11B81"/>
    <w:rsid w:val="00E1328E"/>
    <w:rsid w:val="00E15797"/>
    <w:rsid w:val="00E24EB1"/>
    <w:rsid w:val="00E25BE9"/>
    <w:rsid w:val="00E2617B"/>
    <w:rsid w:val="00E3318A"/>
    <w:rsid w:val="00E401F5"/>
    <w:rsid w:val="00E40B2F"/>
    <w:rsid w:val="00E42201"/>
    <w:rsid w:val="00E42479"/>
    <w:rsid w:val="00E43960"/>
    <w:rsid w:val="00E57D7D"/>
    <w:rsid w:val="00E61611"/>
    <w:rsid w:val="00E62ACF"/>
    <w:rsid w:val="00E633A0"/>
    <w:rsid w:val="00E66803"/>
    <w:rsid w:val="00E72FF8"/>
    <w:rsid w:val="00E76AF7"/>
    <w:rsid w:val="00E77389"/>
    <w:rsid w:val="00E77DB3"/>
    <w:rsid w:val="00E815D8"/>
    <w:rsid w:val="00E81755"/>
    <w:rsid w:val="00E83491"/>
    <w:rsid w:val="00E8617B"/>
    <w:rsid w:val="00E90CDB"/>
    <w:rsid w:val="00E94DD5"/>
    <w:rsid w:val="00E97F1B"/>
    <w:rsid w:val="00EA0D87"/>
    <w:rsid w:val="00EB1962"/>
    <w:rsid w:val="00EB3A37"/>
    <w:rsid w:val="00EB494B"/>
    <w:rsid w:val="00EC1939"/>
    <w:rsid w:val="00EC1FDD"/>
    <w:rsid w:val="00EC7C2C"/>
    <w:rsid w:val="00ED2A02"/>
    <w:rsid w:val="00ED2D9E"/>
    <w:rsid w:val="00ED3DF9"/>
    <w:rsid w:val="00ED63B9"/>
    <w:rsid w:val="00ED6D26"/>
    <w:rsid w:val="00EF5878"/>
    <w:rsid w:val="00F029F6"/>
    <w:rsid w:val="00F05042"/>
    <w:rsid w:val="00F05A18"/>
    <w:rsid w:val="00F061E5"/>
    <w:rsid w:val="00F10386"/>
    <w:rsid w:val="00F11672"/>
    <w:rsid w:val="00F12FE4"/>
    <w:rsid w:val="00F203F1"/>
    <w:rsid w:val="00F212B6"/>
    <w:rsid w:val="00F22810"/>
    <w:rsid w:val="00F25409"/>
    <w:rsid w:val="00F26310"/>
    <w:rsid w:val="00F27265"/>
    <w:rsid w:val="00F27BEA"/>
    <w:rsid w:val="00F351C8"/>
    <w:rsid w:val="00F45F68"/>
    <w:rsid w:val="00F4756C"/>
    <w:rsid w:val="00F477F6"/>
    <w:rsid w:val="00F51603"/>
    <w:rsid w:val="00F516AF"/>
    <w:rsid w:val="00F52C96"/>
    <w:rsid w:val="00F55763"/>
    <w:rsid w:val="00F57BA7"/>
    <w:rsid w:val="00F667B2"/>
    <w:rsid w:val="00F70075"/>
    <w:rsid w:val="00F702A1"/>
    <w:rsid w:val="00F721FB"/>
    <w:rsid w:val="00F727AB"/>
    <w:rsid w:val="00F73DAE"/>
    <w:rsid w:val="00F74C3A"/>
    <w:rsid w:val="00F750BF"/>
    <w:rsid w:val="00F76B45"/>
    <w:rsid w:val="00F77735"/>
    <w:rsid w:val="00F77F63"/>
    <w:rsid w:val="00F830E5"/>
    <w:rsid w:val="00F83EB0"/>
    <w:rsid w:val="00F851FC"/>
    <w:rsid w:val="00F867EE"/>
    <w:rsid w:val="00F924D7"/>
    <w:rsid w:val="00F93901"/>
    <w:rsid w:val="00FA3045"/>
    <w:rsid w:val="00FA38EF"/>
    <w:rsid w:val="00FA501F"/>
    <w:rsid w:val="00FA63A2"/>
    <w:rsid w:val="00FA7D89"/>
    <w:rsid w:val="00FB0C2D"/>
    <w:rsid w:val="00FB22FB"/>
    <w:rsid w:val="00FB3CEC"/>
    <w:rsid w:val="00FC28CC"/>
    <w:rsid w:val="00FC3E2B"/>
    <w:rsid w:val="00FC5852"/>
    <w:rsid w:val="00FC5A5F"/>
    <w:rsid w:val="00FD1F48"/>
    <w:rsid w:val="00FD2628"/>
    <w:rsid w:val="00FD3D6C"/>
    <w:rsid w:val="00FD44C8"/>
    <w:rsid w:val="00FE1158"/>
    <w:rsid w:val="00FE1FB8"/>
    <w:rsid w:val="00FE2106"/>
    <w:rsid w:val="00FE28D5"/>
    <w:rsid w:val="00FE67CB"/>
    <w:rsid w:val="00FF0515"/>
    <w:rsid w:val="00FF4E6E"/>
    <w:rsid w:val="00FF74F7"/>
    <w:rsid w:val="0174421B"/>
    <w:rsid w:val="018717BE"/>
    <w:rsid w:val="01BF097B"/>
    <w:rsid w:val="01D105CE"/>
    <w:rsid w:val="01E73C24"/>
    <w:rsid w:val="021A76DB"/>
    <w:rsid w:val="02766999"/>
    <w:rsid w:val="02791447"/>
    <w:rsid w:val="032A0016"/>
    <w:rsid w:val="033243A8"/>
    <w:rsid w:val="033C4F4D"/>
    <w:rsid w:val="035442EC"/>
    <w:rsid w:val="035B707C"/>
    <w:rsid w:val="037126EF"/>
    <w:rsid w:val="0386205B"/>
    <w:rsid w:val="03AA5705"/>
    <w:rsid w:val="03B64080"/>
    <w:rsid w:val="03E63F73"/>
    <w:rsid w:val="03E73237"/>
    <w:rsid w:val="03EE5F1E"/>
    <w:rsid w:val="04B7013D"/>
    <w:rsid w:val="04BB3243"/>
    <w:rsid w:val="04BF5738"/>
    <w:rsid w:val="04EE55EA"/>
    <w:rsid w:val="04EF3205"/>
    <w:rsid w:val="056563FC"/>
    <w:rsid w:val="05B92DB0"/>
    <w:rsid w:val="060B54D3"/>
    <w:rsid w:val="06102D2E"/>
    <w:rsid w:val="063B2D6C"/>
    <w:rsid w:val="06506B03"/>
    <w:rsid w:val="069627A6"/>
    <w:rsid w:val="06AA7299"/>
    <w:rsid w:val="06C0040A"/>
    <w:rsid w:val="06C22BAA"/>
    <w:rsid w:val="06CF225A"/>
    <w:rsid w:val="06F33957"/>
    <w:rsid w:val="07012726"/>
    <w:rsid w:val="07155AF2"/>
    <w:rsid w:val="07307513"/>
    <w:rsid w:val="07324641"/>
    <w:rsid w:val="077C788A"/>
    <w:rsid w:val="08591333"/>
    <w:rsid w:val="087F1B50"/>
    <w:rsid w:val="089867F5"/>
    <w:rsid w:val="08F100D7"/>
    <w:rsid w:val="08FB0BD0"/>
    <w:rsid w:val="09141087"/>
    <w:rsid w:val="095306DD"/>
    <w:rsid w:val="09695409"/>
    <w:rsid w:val="0993275B"/>
    <w:rsid w:val="09EE5A33"/>
    <w:rsid w:val="09F33BC2"/>
    <w:rsid w:val="0A005A8E"/>
    <w:rsid w:val="0A005B38"/>
    <w:rsid w:val="0A012F12"/>
    <w:rsid w:val="0A5A21CE"/>
    <w:rsid w:val="0A600644"/>
    <w:rsid w:val="0A63046B"/>
    <w:rsid w:val="0A655977"/>
    <w:rsid w:val="0A6F30BC"/>
    <w:rsid w:val="0A8670D2"/>
    <w:rsid w:val="0A8A6649"/>
    <w:rsid w:val="0A8D0F9E"/>
    <w:rsid w:val="0AB440F8"/>
    <w:rsid w:val="0AD2601C"/>
    <w:rsid w:val="0B085950"/>
    <w:rsid w:val="0B0D0CC4"/>
    <w:rsid w:val="0B283234"/>
    <w:rsid w:val="0B963D2B"/>
    <w:rsid w:val="0B9948AC"/>
    <w:rsid w:val="0BBD289A"/>
    <w:rsid w:val="0BC35643"/>
    <w:rsid w:val="0BD939C5"/>
    <w:rsid w:val="0C0E0E49"/>
    <w:rsid w:val="0C0F3E0E"/>
    <w:rsid w:val="0C232562"/>
    <w:rsid w:val="0C5A518D"/>
    <w:rsid w:val="0C920654"/>
    <w:rsid w:val="0D060C4A"/>
    <w:rsid w:val="0D2602EE"/>
    <w:rsid w:val="0D7E5526"/>
    <w:rsid w:val="0D8E5096"/>
    <w:rsid w:val="0DB506E0"/>
    <w:rsid w:val="0DC70E1E"/>
    <w:rsid w:val="0DD37DB4"/>
    <w:rsid w:val="0E3039A1"/>
    <w:rsid w:val="0E333E3A"/>
    <w:rsid w:val="0E401B23"/>
    <w:rsid w:val="0E8A18A4"/>
    <w:rsid w:val="0E9E3EDE"/>
    <w:rsid w:val="0EC518EB"/>
    <w:rsid w:val="0ECF454E"/>
    <w:rsid w:val="0EE22D8A"/>
    <w:rsid w:val="0EF735EC"/>
    <w:rsid w:val="0EF9511D"/>
    <w:rsid w:val="0F2A7991"/>
    <w:rsid w:val="0F7A251E"/>
    <w:rsid w:val="0F9F7708"/>
    <w:rsid w:val="0FF33AF6"/>
    <w:rsid w:val="100E0CEE"/>
    <w:rsid w:val="10737E0E"/>
    <w:rsid w:val="10EC2887"/>
    <w:rsid w:val="10F72164"/>
    <w:rsid w:val="110D5CB2"/>
    <w:rsid w:val="116945A1"/>
    <w:rsid w:val="116A035F"/>
    <w:rsid w:val="11875444"/>
    <w:rsid w:val="11A95278"/>
    <w:rsid w:val="11AF44DF"/>
    <w:rsid w:val="11C852FC"/>
    <w:rsid w:val="11F72CE6"/>
    <w:rsid w:val="123B7DDD"/>
    <w:rsid w:val="12C32F78"/>
    <w:rsid w:val="12CF0657"/>
    <w:rsid w:val="12E95249"/>
    <w:rsid w:val="12FE2ECF"/>
    <w:rsid w:val="134E40D7"/>
    <w:rsid w:val="13511013"/>
    <w:rsid w:val="13580F4D"/>
    <w:rsid w:val="135C3DD4"/>
    <w:rsid w:val="13E7075D"/>
    <w:rsid w:val="141745DC"/>
    <w:rsid w:val="14725E70"/>
    <w:rsid w:val="14B118C5"/>
    <w:rsid w:val="14B415E1"/>
    <w:rsid w:val="14D43BDB"/>
    <w:rsid w:val="151B44F0"/>
    <w:rsid w:val="152E2DCC"/>
    <w:rsid w:val="153017B9"/>
    <w:rsid w:val="15F1546C"/>
    <w:rsid w:val="160547D6"/>
    <w:rsid w:val="161C40B5"/>
    <w:rsid w:val="16467CC8"/>
    <w:rsid w:val="165F2BDF"/>
    <w:rsid w:val="16720653"/>
    <w:rsid w:val="168E46B6"/>
    <w:rsid w:val="16A87CE1"/>
    <w:rsid w:val="16E021C2"/>
    <w:rsid w:val="179E277E"/>
    <w:rsid w:val="17BE3B1C"/>
    <w:rsid w:val="17F14C98"/>
    <w:rsid w:val="18074726"/>
    <w:rsid w:val="18080A9E"/>
    <w:rsid w:val="18296253"/>
    <w:rsid w:val="18D32287"/>
    <w:rsid w:val="18ED538B"/>
    <w:rsid w:val="18F06F9F"/>
    <w:rsid w:val="18F40D5E"/>
    <w:rsid w:val="18FF73A6"/>
    <w:rsid w:val="191A45C5"/>
    <w:rsid w:val="192F2566"/>
    <w:rsid w:val="194E0081"/>
    <w:rsid w:val="195F6609"/>
    <w:rsid w:val="19AF15A8"/>
    <w:rsid w:val="19D83035"/>
    <w:rsid w:val="19D87710"/>
    <w:rsid w:val="1A2A3728"/>
    <w:rsid w:val="1A512009"/>
    <w:rsid w:val="1A8644CD"/>
    <w:rsid w:val="1AA569B7"/>
    <w:rsid w:val="1AB3650A"/>
    <w:rsid w:val="1ADA6788"/>
    <w:rsid w:val="1AFA2B1C"/>
    <w:rsid w:val="1B68216E"/>
    <w:rsid w:val="1B6F77A7"/>
    <w:rsid w:val="1B704CD6"/>
    <w:rsid w:val="1B817D0B"/>
    <w:rsid w:val="1BD6575E"/>
    <w:rsid w:val="1C1E24F0"/>
    <w:rsid w:val="1C5115AF"/>
    <w:rsid w:val="1C59360F"/>
    <w:rsid w:val="1C7F44D1"/>
    <w:rsid w:val="1CBA44B6"/>
    <w:rsid w:val="1CBC6A50"/>
    <w:rsid w:val="1D195A3C"/>
    <w:rsid w:val="1D386B0A"/>
    <w:rsid w:val="1D39665B"/>
    <w:rsid w:val="1D453B92"/>
    <w:rsid w:val="1D7066B8"/>
    <w:rsid w:val="1D873EC6"/>
    <w:rsid w:val="1DA444AF"/>
    <w:rsid w:val="1DB06DBB"/>
    <w:rsid w:val="1DD4347C"/>
    <w:rsid w:val="1DD866A7"/>
    <w:rsid w:val="1DEC0FD1"/>
    <w:rsid w:val="1E1F64E2"/>
    <w:rsid w:val="1E4273A0"/>
    <w:rsid w:val="1E4708BE"/>
    <w:rsid w:val="1E5B402C"/>
    <w:rsid w:val="1E7F3375"/>
    <w:rsid w:val="1E9C0FD7"/>
    <w:rsid w:val="1EA27733"/>
    <w:rsid w:val="1EA71441"/>
    <w:rsid w:val="1EDB57B8"/>
    <w:rsid w:val="1F474417"/>
    <w:rsid w:val="1F7801F4"/>
    <w:rsid w:val="1FA051B1"/>
    <w:rsid w:val="1FE01BF2"/>
    <w:rsid w:val="1FF103F0"/>
    <w:rsid w:val="20005C3E"/>
    <w:rsid w:val="200C1FD7"/>
    <w:rsid w:val="202A0BEF"/>
    <w:rsid w:val="20676614"/>
    <w:rsid w:val="20B1574E"/>
    <w:rsid w:val="20C12A4D"/>
    <w:rsid w:val="212E3396"/>
    <w:rsid w:val="214F070A"/>
    <w:rsid w:val="21504889"/>
    <w:rsid w:val="21511091"/>
    <w:rsid w:val="216A59FA"/>
    <w:rsid w:val="218D304A"/>
    <w:rsid w:val="219915D3"/>
    <w:rsid w:val="219D45B2"/>
    <w:rsid w:val="21A672A2"/>
    <w:rsid w:val="21BC28A6"/>
    <w:rsid w:val="21C329A3"/>
    <w:rsid w:val="21E35A1A"/>
    <w:rsid w:val="21E56FBC"/>
    <w:rsid w:val="21FA005D"/>
    <w:rsid w:val="21FB12EC"/>
    <w:rsid w:val="220137C3"/>
    <w:rsid w:val="224F6446"/>
    <w:rsid w:val="225861FF"/>
    <w:rsid w:val="226C4FAD"/>
    <w:rsid w:val="227D4BE3"/>
    <w:rsid w:val="229F47AE"/>
    <w:rsid w:val="22A27797"/>
    <w:rsid w:val="22D3233B"/>
    <w:rsid w:val="22E25839"/>
    <w:rsid w:val="232C7632"/>
    <w:rsid w:val="2333170A"/>
    <w:rsid w:val="237F1E99"/>
    <w:rsid w:val="23BC6D45"/>
    <w:rsid w:val="23FD21A6"/>
    <w:rsid w:val="24096C1E"/>
    <w:rsid w:val="2442787A"/>
    <w:rsid w:val="24465B0D"/>
    <w:rsid w:val="248458D3"/>
    <w:rsid w:val="24AF30EF"/>
    <w:rsid w:val="24C31ACA"/>
    <w:rsid w:val="24C37822"/>
    <w:rsid w:val="24C979B7"/>
    <w:rsid w:val="24D228AC"/>
    <w:rsid w:val="24DE282F"/>
    <w:rsid w:val="2502156D"/>
    <w:rsid w:val="250234C2"/>
    <w:rsid w:val="2516370B"/>
    <w:rsid w:val="251E3CB6"/>
    <w:rsid w:val="25427164"/>
    <w:rsid w:val="25525D92"/>
    <w:rsid w:val="255B191F"/>
    <w:rsid w:val="2563572A"/>
    <w:rsid w:val="25637736"/>
    <w:rsid w:val="25AE478C"/>
    <w:rsid w:val="25B90919"/>
    <w:rsid w:val="263B2C60"/>
    <w:rsid w:val="26411C1D"/>
    <w:rsid w:val="265453C2"/>
    <w:rsid w:val="26567ACD"/>
    <w:rsid w:val="26A175D7"/>
    <w:rsid w:val="26D3098E"/>
    <w:rsid w:val="2715177C"/>
    <w:rsid w:val="271E227A"/>
    <w:rsid w:val="272F1AD3"/>
    <w:rsid w:val="2741315F"/>
    <w:rsid w:val="279B1B14"/>
    <w:rsid w:val="27C77490"/>
    <w:rsid w:val="27F64177"/>
    <w:rsid w:val="28046D84"/>
    <w:rsid w:val="286B5532"/>
    <w:rsid w:val="28723D1A"/>
    <w:rsid w:val="288F52D5"/>
    <w:rsid w:val="28E5527A"/>
    <w:rsid w:val="291D38AE"/>
    <w:rsid w:val="29216A36"/>
    <w:rsid w:val="29225D1F"/>
    <w:rsid w:val="29234A57"/>
    <w:rsid w:val="29321FE3"/>
    <w:rsid w:val="29476C8B"/>
    <w:rsid w:val="294E725A"/>
    <w:rsid w:val="29526C4F"/>
    <w:rsid w:val="29551B41"/>
    <w:rsid w:val="29572E0D"/>
    <w:rsid w:val="29803570"/>
    <w:rsid w:val="29B95570"/>
    <w:rsid w:val="29CF4CDE"/>
    <w:rsid w:val="29EE601C"/>
    <w:rsid w:val="2A141291"/>
    <w:rsid w:val="2A17665E"/>
    <w:rsid w:val="2A3519F9"/>
    <w:rsid w:val="2A5516F1"/>
    <w:rsid w:val="2A5F5F98"/>
    <w:rsid w:val="2A7279D5"/>
    <w:rsid w:val="2A862EB1"/>
    <w:rsid w:val="2ACB7330"/>
    <w:rsid w:val="2AD479BA"/>
    <w:rsid w:val="2AEA3820"/>
    <w:rsid w:val="2AEC01AB"/>
    <w:rsid w:val="2B0B3023"/>
    <w:rsid w:val="2B451595"/>
    <w:rsid w:val="2B78175F"/>
    <w:rsid w:val="2B9039C7"/>
    <w:rsid w:val="2BC359F4"/>
    <w:rsid w:val="2BFA65AF"/>
    <w:rsid w:val="2C2119A9"/>
    <w:rsid w:val="2C51791C"/>
    <w:rsid w:val="2C6D06DB"/>
    <w:rsid w:val="2CA1763D"/>
    <w:rsid w:val="2CDF46B1"/>
    <w:rsid w:val="2D3044ED"/>
    <w:rsid w:val="2D4A2971"/>
    <w:rsid w:val="2D8F14A1"/>
    <w:rsid w:val="2D8F3AF9"/>
    <w:rsid w:val="2D94069C"/>
    <w:rsid w:val="2DB7125F"/>
    <w:rsid w:val="2DF43E01"/>
    <w:rsid w:val="2E03773F"/>
    <w:rsid w:val="2E336E30"/>
    <w:rsid w:val="2E586EFC"/>
    <w:rsid w:val="2E5909BE"/>
    <w:rsid w:val="2E6C063D"/>
    <w:rsid w:val="2ECB3349"/>
    <w:rsid w:val="2EDC20CB"/>
    <w:rsid w:val="2F236C79"/>
    <w:rsid w:val="2F2D3DF4"/>
    <w:rsid w:val="2F4319EA"/>
    <w:rsid w:val="2FA808A6"/>
    <w:rsid w:val="2FAD4710"/>
    <w:rsid w:val="2FD0497E"/>
    <w:rsid w:val="2FD6409B"/>
    <w:rsid w:val="2FE9450B"/>
    <w:rsid w:val="30010B58"/>
    <w:rsid w:val="300A56D7"/>
    <w:rsid w:val="301E4C05"/>
    <w:rsid w:val="302774A3"/>
    <w:rsid w:val="303A0349"/>
    <w:rsid w:val="30566F21"/>
    <w:rsid w:val="30771812"/>
    <w:rsid w:val="308B6CE7"/>
    <w:rsid w:val="30DC0F43"/>
    <w:rsid w:val="31314B0F"/>
    <w:rsid w:val="31975348"/>
    <w:rsid w:val="319A0EEB"/>
    <w:rsid w:val="31AA48F6"/>
    <w:rsid w:val="31C01998"/>
    <w:rsid w:val="31D66C4B"/>
    <w:rsid w:val="32182B20"/>
    <w:rsid w:val="32226669"/>
    <w:rsid w:val="32261F27"/>
    <w:rsid w:val="32726352"/>
    <w:rsid w:val="32897241"/>
    <w:rsid w:val="32F26CE9"/>
    <w:rsid w:val="330E191A"/>
    <w:rsid w:val="33207E7D"/>
    <w:rsid w:val="337E770A"/>
    <w:rsid w:val="33E95046"/>
    <w:rsid w:val="3406659D"/>
    <w:rsid w:val="34066F3C"/>
    <w:rsid w:val="341751DE"/>
    <w:rsid w:val="34316959"/>
    <w:rsid w:val="344E2731"/>
    <w:rsid w:val="345B6BC1"/>
    <w:rsid w:val="34685AE6"/>
    <w:rsid w:val="34AB3B17"/>
    <w:rsid w:val="34B95D31"/>
    <w:rsid w:val="34DE1EC7"/>
    <w:rsid w:val="35192255"/>
    <w:rsid w:val="353E11C4"/>
    <w:rsid w:val="35581B81"/>
    <w:rsid w:val="35896F5C"/>
    <w:rsid w:val="35AC6D6C"/>
    <w:rsid w:val="35B96287"/>
    <w:rsid w:val="35C13050"/>
    <w:rsid w:val="35FE4C86"/>
    <w:rsid w:val="360F286B"/>
    <w:rsid w:val="363E657D"/>
    <w:rsid w:val="36510EAD"/>
    <w:rsid w:val="366A5161"/>
    <w:rsid w:val="366F1AE0"/>
    <w:rsid w:val="36706BB8"/>
    <w:rsid w:val="368E39AF"/>
    <w:rsid w:val="369A304A"/>
    <w:rsid w:val="369F433B"/>
    <w:rsid w:val="36D04A11"/>
    <w:rsid w:val="37134BE4"/>
    <w:rsid w:val="371948C9"/>
    <w:rsid w:val="373321D9"/>
    <w:rsid w:val="376B4967"/>
    <w:rsid w:val="377E4B13"/>
    <w:rsid w:val="379762ED"/>
    <w:rsid w:val="37A22AA5"/>
    <w:rsid w:val="37C849B6"/>
    <w:rsid w:val="37F61973"/>
    <w:rsid w:val="37F62926"/>
    <w:rsid w:val="385B2B32"/>
    <w:rsid w:val="386C755C"/>
    <w:rsid w:val="386F0D9D"/>
    <w:rsid w:val="389B032D"/>
    <w:rsid w:val="38B277DA"/>
    <w:rsid w:val="38DC1FD6"/>
    <w:rsid w:val="393865A1"/>
    <w:rsid w:val="39D6051A"/>
    <w:rsid w:val="39EB1191"/>
    <w:rsid w:val="39FC65CC"/>
    <w:rsid w:val="39FE6F59"/>
    <w:rsid w:val="3A941C32"/>
    <w:rsid w:val="3AA83C87"/>
    <w:rsid w:val="3AB67AB0"/>
    <w:rsid w:val="3AD603BE"/>
    <w:rsid w:val="3AEF76EC"/>
    <w:rsid w:val="3AF2384C"/>
    <w:rsid w:val="3B002605"/>
    <w:rsid w:val="3B0E070B"/>
    <w:rsid w:val="3B0E7276"/>
    <w:rsid w:val="3B5A0033"/>
    <w:rsid w:val="3BA34E54"/>
    <w:rsid w:val="3BAD45C9"/>
    <w:rsid w:val="3BC477EF"/>
    <w:rsid w:val="3BD54ECE"/>
    <w:rsid w:val="3BE26336"/>
    <w:rsid w:val="3C260152"/>
    <w:rsid w:val="3C4F3ADC"/>
    <w:rsid w:val="3C5C187A"/>
    <w:rsid w:val="3C7F4555"/>
    <w:rsid w:val="3C9B5744"/>
    <w:rsid w:val="3CC276DE"/>
    <w:rsid w:val="3CC333E8"/>
    <w:rsid w:val="3CFF78D5"/>
    <w:rsid w:val="3D3706E1"/>
    <w:rsid w:val="3D4C5425"/>
    <w:rsid w:val="3D6A1E76"/>
    <w:rsid w:val="3D944C04"/>
    <w:rsid w:val="3DF862BE"/>
    <w:rsid w:val="3E522CC8"/>
    <w:rsid w:val="3E6C53A7"/>
    <w:rsid w:val="3EB06511"/>
    <w:rsid w:val="3EE8198D"/>
    <w:rsid w:val="3EF50D73"/>
    <w:rsid w:val="3F001701"/>
    <w:rsid w:val="3F01199F"/>
    <w:rsid w:val="3F0561CC"/>
    <w:rsid w:val="3F7B1879"/>
    <w:rsid w:val="3FB07CE1"/>
    <w:rsid w:val="3FC24032"/>
    <w:rsid w:val="3FE0008D"/>
    <w:rsid w:val="3FE27F44"/>
    <w:rsid w:val="3FE44DB0"/>
    <w:rsid w:val="40295C55"/>
    <w:rsid w:val="40461D6E"/>
    <w:rsid w:val="404F327E"/>
    <w:rsid w:val="40764F3C"/>
    <w:rsid w:val="40C75330"/>
    <w:rsid w:val="40CA7613"/>
    <w:rsid w:val="40ED7B88"/>
    <w:rsid w:val="40F51F80"/>
    <w:rsid w:val="4119401A"/>
    <w:rsid w:val="4134318C"/>
    <w:rsid w:val="414420D7"/>
    <w:rsid w:val="41497185"/>
    <w:rsid w:val="419844D8"/>
    <w:rsid w:val="41A2034E"/>
    <w:rsid w:val="41B240A7"/>
    <w:rsid w:val="41D536E3"/>
    <w:rsid w:val="420014A1"/>
    <w:rsid w:val="42193AB1"/>
    <w:rsid w:val="422D2160"/>
    <w:rsid w:val="42396A7D"/>
    <w:rsid w:val="42EC7954"/>
    <w:rsid w:val="43090FD9"/>
    <w:rsid w:val="43313A24"/>
    <w:rsid w:val="43416A49"/>
    <w:rsid w:val="435C75F3"/>
    <w:rsid w:val="43715308"/>
    <w:rsid w:val="43BB6864"/>
    <w:rsid w:val="43E01243"/>
    <w:rsid w:val="43F00510"/>
    <w:rsid w:val="44133386"/>
    <w:rsid w:val="4431474F"/>
    <w:rsid w:val="44321313"/>
    <w:rsid w:val="447E2A0F"/>
    <w:rsid w:val="449A30DE"/>
    <w:rsid w:val="44A47695"/>
    <w:rsid w:val="44BE666B"/>
    <w:rsid w:val="450918B6"/>
    <w:rsid w:val="452F4F26"/>
    <w:rsid w:val="45405345"/>
    <w:rsid w:val="45463295"/>
    <w:rsid w:val="45875321"/>
    <w:rsid w:val="4588590C"/>
    <w:rsid w:val="45AB5E98"/>
    <w:rsid w:val="45C513B0"/>
    <w:rsid w:val="45C861FB"/>
    <w:rsid w:val="46014259"/>
    <w:rsid w:val="461C5622"/>
    <w:rsid w:val="462678CF"/>
    <w:rsid w:val="46602401"/>
    <w:rsid w:val="4668035E"/>
    <w:rsid w:val="468F73FE"/>
    <w:rsid w:val="469A0BA6"/>
    <w:rsid w:val="46A4761C"/>
    <w:rsid w:val="46BD0001"/>
    <w:rsid w:val="46D344BE"/>
    <w:rsid w:val="46F62080"/>
    <w:rsid w:val="46FC4F20"/>
    <w:rsid w:val="47270310"/>
    <w:rsid w:val="47716BD8"/>
    <w:rsid w:val="47872571"/>
    <w:rsid w:val="478E4E27"/>
    <w:rsid w:val="47B570E5"/>
    <w:rsid w:val="47BD2B2E"/>
    <w:rsid w:val="47CC29CB"/>
    <w:rsid w:val="47CC540F"/>
    <w:rsid w:val="48042B34"/>
    <w:rsid w:val="482228FB"/>
    <w:rsid w:val="48304BEE"/>
    <w:rsid w:val="488F4366"/>
    <w:rsid w:val="48CA28C2"/>
    <w:rsid w:val="48D86719"/>
    <w:rsid w:val="490259A8"/>
    <w:rsid w:val="49132D3B"/>
    <w:rsid w:val="49472743"/>
    <w:rsid w:val="498116C1"/>
    <w:rsid w:val="49821CEF"/>
    <w:rsid w:val="499F1C25"/>
    <w:rsid w:val="49AC50DE"/>
    <w:rsid w:val="49B101C9"/>
    <w:rsid w:val="49C05A4A"/>
    <w:rsid w:val="49E4340C"/>
    <w:rsid w:val="49F673AD"/>
    <w:rsid w:val="4A171FDA"/>
    <w:rsid w:val="4A1F34F0"/>
    <w:rsid w:val="4A3E1DFE"/>
    <w:rsid w:val="4A4F3F3B"/>
    <w:rsid w:val="4A5859B6"/>
    <w:rsid w:val="4A5E5A7F"/>
    <w:rsid w:val="4A7B361B"/>
    <w:rsid w:val="4A8E24A5"/>
    <w:rsid w:val="4AA85AA1"/>
    <w:rsid w:val="4AAC3CC5"/>
    <w:rsid w:val="4AB074A4"/>
    <w:rsid w:val="4AB859D6"/>
    <w:rsid w:val="4ADC18E8"/>
    <w:rsid w:val="4B3012BB"/>
    <w:rsid w:val="4B4F2A61"/>
    <w:rsid w:val="4BC75FB4"/>
    <w:rsid w:val="4BCD4F56"/>
    <w:rsid w:val="4BE15EC5"/>
    <w:rsid w:val="4C375DB1"/>
    <w:rsid w:val="4C3B48FD"/>
    <w:rsid w:val="4C457A46"/>
    <w:rsid w:val="4C57618A"/>
    <w:rsid w:val="4CA41DD0"/>
    <w:rsid w:val="4CBD6FDE"/>
    <w:rsid w:val="4CE87073"/>
    <w:rsid w:val="4CF71222"/>
    <w:rsid w:val="4D2D61FC"/>
    <w:rsid w:val="4D9661D8"/>
    <w:rsid w:val="4DB45FFA"/>
    <w:rsid w:val="4DD62336"/>
    <w:rsid w:val="4DE107E9"/>
    <w:rsid w:val="4DEB5A29"/>
    <w:rsid w:val="4E332FE3"/>
    <w:rsid w:val="4E57075F"/>
    <w:rsid w:val="4E846B0F"/>
    <w:rsid w:val="4E9A4715"/>
    <w:rsid w:val="4E9F1C96"/>
    <w:rsid w:val="4EA62F7D"/>
    <w:rsid w:val="4EAF0CD3"/>
    <w:rsid w:val="4EB4138B"/>
    <w:rsid w:val="4EF76B75"/>
    <w:rsid w:val="4F01282E"/>
    <w:rsid w:val="4F070F3A"/>
    <w:rsid w:val="4F1C0266"/>
    <w:rsid w:val="4F2B1152"/>
    <w:rsid w:val="4F5712D6"/>
    <w:rsid w:val="4F6F18D7"/>
    <w:rsid w:val="4FB9185A"/>
    <w:rsid w:val="4FE35DF0"/>
    <w:rsid w:val="4FE94B64"/>
    <w:rsid w:val="501C56B7"/>
    <w:rsid w:val="50530BC8"/>
    <w:rsid w:val="508C01A9"/>
    <w:rsid w:val="50A54FE5"/>
    <w:rsid w:val="50B0253B"/>
    <w:rsid w:val="50C15033"/>
    <w:rsid w:val="50E372FB"/>
    <w:rsid w:val="50FA20DB"/>
    <w:rsid w:val="51187221"/>
    <w:rsid w:val="5131350C"/>
    <w:rsid w:val="513C2EDD"/>
    <w:rsid w:val="519949CA"/>
    <w:rsid w:val="51DA2A54"/>
    <w:rsid w:val="51DE196A"/>
    <w:rsid w:val="51E273BE"/>
    <w:rsid w:val="51EF26CD"/>
    <w:rsid w:val="52244CE0"/>
    <w:rsid w:val="523B5CD2"/>
    <w:rsid w:val="52847CC6"/>
    <w:rsid w:val="52B17872"/>
    <w:rsid w:val="52BA0C9C"/>
    <w:rsid w:val="52C06C9F"/>
    <w:rsid w:val="53187152"/>
    <w:rsid w:val="534C5B64"/>
    <w:rsid w:val="53515CAE"/>
    <w:rsid w:val="53526AE0"/>
    <w:rsid w:val="536107A3"/>
    <w:rsid w:val="538240B5"/>
    <w:rsid w:val="53AD440C"/>
    <w:rsid w:val="53DE163D"/>
    <w:rsid w:val="53E745D4"/>
    <w:rsid w:val="541455EA"/>
    <w:rsid w:val="542303F8"/>
    <w:rsid w:val="545D2753"/>
    <w:rsid w:val="54604F80"/>
    <w:rsid w:val="54612EE1"/>
    <w:rsid w:val="546209B4"/>
    <w:rsid w:val="54666D10"/>
    <w:rsid w:val="5478407C"/>
    <w:rsid w:val="5490425F"/>
    <w:rsid w:val="54961B6C"/>
    <w:rsid w:val="54EC26DD"/>
    <w:rsid w:val="55090217"/>
    <w:rsid w:val="551A29AD"/>
    <w:rsid w:val="552314BB"/>
    <w:rsid w:val="55364E1B"/>
    <w:rsid w:val="55437EFB"/>
    <w:rsid w:val="554F64D5"/>
    <w:rsid w:val="55844014"/>
    <w:rsid w:val="55AC05AB"/>
    <w:rsid w:val="55C34E73"/>
    <w:rsid w:val="55FC2402"/>
    <w:rsid w:val="55FC6482"/>
    <w:rsid w:val="56433506"/>
    <w:rsid w:val="564353D0"/>
    <w:rsid w:val="56617DD7"/>
    <w:rsid w:val="568238F3"/>
    <w:rsid w:val="56AB71DB"/>
    <w:rsid w:val="570B3E02"/>
    <w:rsid w:val="576D37A4"/>
    <w:rsid w:val="57B049BA"/>
    <w:rsid w:val="57C05CCD"/>
    <w:rsid w:val="57C413A5"/>
    <w:rsid w:val="57CD1F68"/>
    <w:rsid w:val="57EE3484"/>
    <w:rsid w:val="58215AB6"/>
    <w:rsid w:val="582B0154"/>
    <w:rsid w:val="585616D8"/>
    <w:rsid w:val="58900C95"/>
    <w:rsid w:val="589C50B7"/>
    <w:rsid w:val="58B20AEC"/>
    <w:rsid w:val="58BF52A9"/>
    <w:rsid w:val="58D87F55"/>
    <w:rsid w:val="58DF4FEC"/>
    <w:rsid w:val="58FE49B7"/>
    <w:rsid w:val="59021FD2"/>
    <w:rsid w:val="59267B33"/>
    <w:rsid w:val="59615283"/>
    <w:rsid w:val="596662A5"/>
    <w:rsid w:val="59902F35"/>
    <w:rsid w:val="5994238E"/>
    <w:rsid w:val="5995052F"/>
    <w:rsid w:val="59D165F0"/>
    <w:rsid w:val="59E04505"/>
    <w:rsid w:val="59FA3177"/>
    <w:rsid w:val="5A3A0AA5"/>
    <w:rsid w:val="5A4F554A"/>
    <w:rsid w:val="5A506F3E"/>
    <w:rsid w:val="5AF46232"/>
    <w:rsid w:val="5B6441D3"/>
    <w:rsid w:val="5B7B31A9"/>
    <w:rsid w:val="5BDD7F38"/>
    <w:rsid w:val="5C047B83"/>
    <w:rsid w:val="5C267747"/>
    <w:rsid w:val="5C414134"/>
    <w:rsid w:val="5C9A3C1D"/>
    <w:rsid w:val="5CEC1798"/>
    <w:rsid w:val="5D050023"/>
    <w:rsid w:val="5D077BAE"/>
    <w:rsid w:val="5D1B4EFD"/>
    <w:rsid w:val="5D232C38"/>
    <w:rsid w:val="5D2E7780"/>
    <w:rsid w:val="5D787B8A"/>
    <w:rsid w:val="5D956205"/>
    <w:rsid w:val="5D983E4F"/>
    <w:rsid w:val="5DCF5602"/>
    <w:rsid w:val="5DF448E5"/>
    <w:rsid w:val="5E390CAF"/>
    <w:rsid w:val="5E3C6D30"/>
    <w:rsid w:val="5E4E37AD"/>
    <w:rsid w:val="5E5F5EF7"/>
    <w:rsid w:val="5E697D49"/>
    <w:rsid w:val="5E6D720A"/>
    <w:rsid w:val="5EC5386C"/>
    <w:rsid w:val="5EE51AE4"/>
    <w:rsid w:val="5EF048AB"/>
    <w:rsid w:val="5F036FBE"/>
    <w:rsid w:val="5F0A15F3"/>
    <w:rsid w:val="5F2929E0"/>
    <w:rsid w:val="5F433247"/>
    <w:rsid w:val="5F45258B"/>
    <w:rsid w:val="5F690130"/>
    <w:rsid w:val="5F966E18"/>
    <w:rsid w:val="5F970059"/>
    <w:rsid w:val="5FB0093D"/>
    <w:rsid w:val="5FE15FF0"/>
    <w:rsid w:val="5FE65556"/>
    <w:rsid w:val="609C6B9A"/>
    <w:rsid w:val="60B52778"/>
    <w:rsid w:val="60D90292"/>
    <w:rsid w:val="61022FB1"/>
    <w:rsid w:val="6113529D"/>
    <w:rsid w:val="61166383"/>
    <w:rsid w:val="614A63D5"/>
    <w:rsid w:val="614B4412"/>
    <w:rsid w:val="6155317E"/>
    <w:rsid w:val="615F1B75"/>
    <w:rsid w:val="61D57BE4"/>
    <w:rsid w:val="626C4C08"/>
    <w:rsid w:val="629A0A03"/>
    <w:rsid w:val="62C47FC5"/>
    <w:rsid w:val="62D31681"/>
    <w:rsid w:val="62F449E2"/>
    <w:rsid w:val="630E388B"/>
    <w:rsid w:val="63813D88"/>
    <w:rsid w:val="63AA056F"/>
    <w:rsid w:val="63FA14BE"/>
    <w:rsid w:val="640516EE"/>
    <w:rsid w:val="64257378"/>
    <w:rsid w:val="64284B5D"/>
    <w:rsid w:val="642E3C6C"/>
    <w:rsid w:val="644F3765"/>
    <w:rsid w:val="64BC7EC9"/>
    <w:rsid w:val="64C85EB7"/>
    <w:rsid w:val="64E472EC"/>
    <w:rsid w:val="64F1387C"/>
    <w:rsid w:val="64FD041F"/>
    <w:rsid w:val="64FE7D01"/>
    <w:rsid w:val="64FF55AF"/>
    <w:rsid w:val="6510790A"/>
    <w:rsid w:val="655D5D1D"/>
    <w:rsid w:val="65847FCB"/>
    <w:rsid w:val="65E850A7"/>
    <w:rsid w:val="66205162"/>
    <w:rsid w:val="664B3CD4"/>
    <w:rsid w:val="666770BE"/>
    <w:rsid w:val="666A2BB2"/>
    <w:rsid w:val="667A050A"/>
    <w:rsid w:val="668A491E"/>
    <w:rsid w:val="66CC6427"/>
    <w:rsid w:val="67357FCF"/>
    <w:rsid w:val="67467301"/>
    <w:rsid w:val="675D5843"/>
    <w:rsid w:val="67967A99"/>
    <w:rsid w:val="67C174B3"/>
    <w:rsid w:val="67E17EC2"/>
    <w:rsid w:val="681A2772"/>
    <w:rsid w:val="681E5132"/>
    <w:rsid w:val="682354AC"/>
    <w:rsid w:val="684C208C"/>
    <w:rsid w:val="68982479"/>
    <w:rsid w:val="68B02F4E"/>
    <w:rsid w:val="68E82796"/>
    <w:rsid w:val="690560DF"/>
    <w:rsid w:val="69075C34"/>
    <w:rsid w:val="691A5EE6"/>
    <w:rsid w:val="6956398A"/>
    <w:rsid w:val="696C0310"/>
    <w:rsid w:val="69845C64"/>
    <w:rsid w:val="69B247C8"/>
    <w:rsid w:val="69C64714"/>
    <w:rsid w:val="69CC56B4"/>
    <w:rsid w:val="69EF59B1"/>
    <w:rsid w:val="6A0700E9"/>
    <w:rsid w:val="6A2B02B0"/>
    <w:rsid w:val="6A327563"/>
    <w:rsid w:val="6AAA1233"/>
    <w:rsid w:val="6B4337DD"/>
    <w:rsid w:val="6B5B3A72"/>
    <w:rsid w:val="6B6D5FC2"/>
    <w:rsid w:val="6B8C7A65"/>
    <w:rsid w:val="6C05102C"/>
    <w:rsid w:val="6C171503"/>
    <w:rsid w:val="6C1A7210"/>
    <w:rsid w:val="6C1B6850"/>
    <w:rsid w:val="6C225448"/>
    <w:rsid w:val="6C9C5BD4"/>
    <w:rsid w:val="6CB76C88"/>
    <w:rsid w:val="6CF42ABF"/>
    <w:rsid w:val="6D083E4F"/>
    <w:rsid w:val="6D1C298A"/>
    <w:rsid w:val="6D216851"/>
    <w:rsid w:val="6D5E2905"/>
    <w:rsid w:val="6D8E1695"/>
    <w:rsid w:val="6D9222C1"/>
    <w:rsid w:val="6D9803A2"/>
    <w:rsid w:val="6DCD28E3"/>
    <w:rsid w:val="6DEA4F8E"/>
    <w:rsid w:val="6DF710C0"/>
    <w:rsid w:val="6E0C0136"/>
    <w:rsid w:val="6E130DE5"/>
    <w:rsid w:val="6E194716"/>
    <w:rsid w:val="6E4965E2"/>
    <w:rsid w:val="6E777718"/>
    <w:rsid w:val="6E7962F9"/>
    <w:rsid w:val="6EAE2137"/>
    <w:rsid w:val="6EB221A0"/>
    <w:rsid w:val="6EB44823"/>
    <w:rsid w:val="6ECF300F"/>
    <w:rsid w:val="6EEE712E"/>
    <w:rsid w:val="6F010C33"/>
    <w:rsid w:val="6F58000D"/>
    <w:rsid w:val="6F7E7354"/>
    <w:rsid w:val="6F8F7CCA"/>
    <w:rsid w:val="6F9A4163"/>
    <w:rsid w:val="6FCD1A6E"/>
    <w:rsid w:val="6FF35895"/>
    <w:rsid w:val="7075685A"/>
    <w:rsid w:val="70A30A11"/>
    <w:rsid w:val="70AC2981"/>
    <w:rsid w:val="70C04C1F"/>
    <w:rsid w:val="70CF0B3D"/>
    <w:rsid w:val="710B0B62"/>
    <w:rsid w:val="71354387"/>
    <w:rsid w:val="7162408D"/>
    <w:rsid w:val="71772542"/>
    <w:rsid w:val="71B21069"/>
    <w:rsid w:val="71DB24DA"/>
    <w:rsid w:val="71F633F8"/>
    <w:rsid w:val="71F744F2"/>
    <w:rsid w:val="72A33D69"/>
    <w:rsid w:val="731A697D"/>
    <w:rsid w:val="733D4CBA"/>
    <w:rsid w:val="735A2220"/>
    <w:rsid w:val="73793F92"/>
    <w:rsid w:val="73A92D6E"/>
    <w:rsid w:val="73D83477"/>
    <w:rsid w:val="73E43E5B"/>
    <w:rsid w:val="74153903"/>
    <w:rsid w:val="747924D5"/>
    <w:rsid w:val="748D443D"/>
    <w:rsid w:val="74B63C4A"/>
    <w:rsid w:val="74BF0839"/>
    <w:rsid w:val="74CF6187"/>
    <w:rsid w:val="74D30D95"/>
    <w:rsid w:val="74F62207"/>
    <w:rsid w:val="754A4575"/>
    <w:rsid w:val="75745F30"/>
    <w:rsid w:val="75CC5684"/>
    <w:rsid w:val="76021F59"/>
    <w:rsid w:val="765B1419"/>
    <w:rsid w:val="76652961"/>
    <w:rsid w:val="76971CDF"/>
    <w:rsid w:val="769D4069"/>
    <w:rsid w:val="76A60379"/>
    <w:rsid w:val="76AA5144"/>
    <w:rsid w:val="76AC1D52"/>
    <w:rsid w:val="76F83B54"/>
    <w:rsid w:val="76FF47C7"/>
    <w:rsid w:val="771E43D3"/>
    <w:rsid w:val="773125E2"/>
    <w:rsid w:val="77764CBC"/>
    <w:rsid w:val="77AC0674"/>
    <w:rsid w:val="77CE2B57"/>
    <w:rsid w:val="77E43DD2"/>
    <w:rsid w:val="77F6075E"/>
    <w:rsid w:val="78151A26"/>
    <w:rsid w:val="78286AF7"/>
    <w:rsid w:val="782D3663"/>
    <w:rsid w:val="788829E6"/>
    <w:rsid w:val="789B7702"/>
    <w:rsid w:val="78BA03C6"/>
    <w:rsid w:val="78CE10CB"/>
    <w:rsid w:val="78E11465"/>
    <w:rsid w:val="78F64552"/>
    <w:rsid w:val="78F6798A"/>
    <w:rsid w:val="793C5C50"/>
    <w:rsid w:val="796C0923"/>
    <w:rsid w:val="798D0AD2"/>
    <w:rsid w:val="79A41C7C"/>
    <w:rsid w:val="7A1C65EB"/>
    <w:rsid w:val="7A60175F"/>
    <w:rsid w:val="7A951FC7"/>
    <w:rsid w:val="7AAD6B20"/>
    <w:rsid w:val="7AD54C34"/>
    <w:rsid w:val="7B020435"/>
    <w:rsid w:val="7B103C8D"/>
    <w:rsid w:val="7B1648CF"/>
    <w:rsid w:val="7B186F3F"/>
    <w:rsid w:val="7B214B9C"/>
    <w:rsid w:val="7B445833"/>
    <w:rsid w:val="7B7D212A"/>
    <w:rsid w:val="7BA831B4"/>
    <w:rsid w:val="7BA86FCC"/>
    <w:rsid w:val="7BF01892"/>
    <w:rsid w:val="7C0D1894"/>
    <w:rsid w:val="7C28417F"/>
    <w:rsid w:val="7C362405"/>
    <w:rsid w:val="7C632338"/>
    <w:rsid w:val="7C691EE7"/>
    <w:rsid w:val="7C7D7BB2"/>
    <w:rsid w:val="7C7E7DC7"/>
    <w:rsid w:val="7CB20432"/>
    <w:rsid w:val="7CB26258"/>
    <w:rsid w:val="7CE33D99"/>
    <w:rsid w:val="7CEC6459"/>
    <w:rsid w:val="7D2801DA"/>
    <w:rsid w:val="7D3A306F"/>
    <w:rsid w:val="7D4166AE"/>
    <w:rsid w:val="7DA00BB7"/>
    <w:rsid w:val="7DAF5004"/>
    <w:rsid w:val="7DC557DE"/>
    <w:rsid w:val="7DF1189C"/>
    <w:rsid w:val="7E197D90"/>
    <w:rsid w:val="7E21461F"/>
    <w:rsid w:val="7E29605A"/>
    <w:rsid w:val="7E421C90"/>
    <w:rsid w:val="7E615386"/>
    <w:rsid w:val="7E63219A"/>
    <w:rsid w:val="7E6E2BF3"/>
    <w:rsid w:val="7E6F3B2B"/>
    <w:rsid w:val="7E7E2902"/>
    <w:rsid w:val="7E8F68F6"/>
    <w:rsid w:val="7E953069"/>
    <w:rsid w:val="7F3905D7"/>
    <w:rsid w:val="7F913F52"/>
    <w:rsid w:val="7F99375C"/>
    <w:rsid w:val="7FAF7D4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uiPriority="0" w:name="toc 3"/>
    <w:lsdException w:qFormat="1" w:uiPriority="39" w:semiHidden="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qFormat="1" w:unhideWhenUsed="0" w:uiPriority="99" w:semiHidden="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uiPriority="0" w:name="List Number"/>
    <w:lsdException w:qFormat="1" w:unhideWhenUsed="0" w:uiPriority="99" w:semiHidden="0" w:name="List 2"/>
    <w:lsdException w:uiPriority="0" w:name="List 3"/>
    <w:lsdException w:unhideWhenUsed="0" w:uiPriority="0" w:semiHidden="0" w:name="List 4"/>
    <w:lsdException w:uiPriority="0" w:name="List 5"/>
    <w:lsdException w:uiPriority="0" w:name="List Bullet 2"/>
    <w:lsdException w:unhideWhenUsed="0" w:uiPriority="0" w:semiHidden="0" w:name="List Bullet 3"/>
    <w:lsdException w:unhideWhenUsed="0" w:uiPriority="0" w:semiHidden="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iPriority="0" w:name="Body Text Indent 2"/>
    <w:lsdException w:uiPriority="0" w:name="Body Text Indent 3"/>
    <w:lsdException w:qFormat="1" w:unhideWhenUsed="0" w:uiPriority="99" w:semiHidden="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2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numPr>
        <w:ilvl w:val="1"/>
        <w:numId w:val="1"/>
      </w:numPr>
      <w:spacing w:line="413" w:lineRule="auto"/>
      <w:outlineLvl w:val="1"/>
    </w:pPr>
    <w:rPr>
      <w:rFonts w:ascii="Arial" w:hAnsi="Arial"/>
      <w:b/>
      <w:kern w:val="0"/>
      <w:sz w:val="32"/>
      <w:szCs w:val="24"/>
    </w:rPr>
  </w:style>
  <w:style w:type="paragraph" w:styleId="4">
    <w:name w:val="heading 3"/>
    <w:basedOn w:val="1"/>
    <w:next w:val="1"/>
    <w:qFormat/>
    <w:uiPriority w:val="9"/>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qFormat/>
    <w:uiPriority w:val="0"/>
    <w:pPr>
      <w:keepNext/>
      <w:keepLines/>
      <w:spacing w:before="280" w:after="290" w:line="372" w:lineRule="auto"/>
      <w:outlineLvl w:val="4"/>
    </w:pPr>
    <w:rPr>
      <w:rFonts w:ascii="仿宋_GB2312" w:hAnsi="Tahoma"/>
      <w:b/>
      <w:bCs/>
      <w:sz w:val="28"/>
      <w:szCs w:val="28"/>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7">
    <w:name w:val="Normal Indent"/>
    <w:basedOn w:val="1"/>
    <w:qFormat/>
    <w:uiPriority w:val="0"/>
    <w:pPr>
      <w:adjustRightInd w:val="0"/>
      <w:spacing w:line="312" w:lineRule="atLeast"/>
      <w:ind w:firstLine="420"/>
      <w:textAlignment w:val="baseline"/>
    </w:pPr>
    <w:rPr>
      <w:rFonts w:ascii="宋体" w:hAnsi="Courier New"/>
      <w:kern w:val="0"/>
    </w:rPr>
  </w:style>
  <w:style w:type="paragraph" w:styleId="8">
    <w:name w:val="annotation text"/>
    <w:basedOn w:val="1"/>
    <w:link w:val="42"/>
    <w:qFormat/>
    <w:uiPriority w:val="0"/>
    <w:pPr>
      <w:jc w:val="left"/>
    </w:pPr>
  </w:style>
  <w:style w:type="paragraph" w:styleId="9">
    <w:name w:val="Body Text 3"/>
    <w:basedOn w:val="1"/>
    <w:qFormat/>
    <w:uiPriority w:val="0"/>
    <w:rPr>
      <w:sz w:val="16"/>
      <w:szCs w:val="16"/>
    </w:rPr>
  </w:style>
  <w:style w:type="paragraph" w:styleId="10">
    <w:name w:val="Body Text"/>
    <w:basedOn w:val="1"/>
    <w:next w:val="11"/>
    <w:qFormat/>
    <w:uiPriority w:val="0"/>
    <w:pPr>
      <w:spacing w:after="120"/>
    </w:pPr>
  </w:style>
  <w:style w:type="paragraph" w:styleId="11">
    <w:name w:val="Body Text First Indent"/>
    <w:basedOn w:val="10"/>
    <w:next w:val="1"/>
    <w:qFormat/>
    <w:uiPriority w:val="0"/>
    <w:pPr>
      <w:autoSpaceDE w:val="0"/>
      <w:autoSpaceDN w:val="0"/>
      <w:adjustRightInd w:val="0"/>
      <w:ind w:firstLine="420" w:firstLineChars="100"/>
      <w:jc w:val="left"/>
    </w:pPr>
    <w:rPr>
      <w:rFonts w:ascii="仿宋_GB2312"/>
      <w:b/>
      <w:kern w:val="0"/>
      <w:sz w:val="32"/>
      <w:szCs w:val="32"/>
    </w:rPr>
  </w:style>
  <w:style w:type="paragraph" w:styleId="12">
    <w:name w:val="Body Text Indent"/>
    <w:basedOn w:val="1"/>
    <w:next w:val="13"/>
    <w:qFormat/>
    <w:uiPriority w:val="0"/>
    <w:pPr>
      <w:ind w:left="480" w:hanging="480" w:hangingChars="200"/>
    </w:pPr>
    <w:rPr>
      <w:sz w:val="24"/>
    </w:rPr>
  </w:style>
  <w:style w:type="paragraph" w:styleId="13">
    <w:name w:val="envelope return"/>
    <w:basedOn w:val="1"/>
    <w:qFormat/>
    <w:uiPriority w:val="0"/>
    <w:pPr>
      <w:snapToGrid w:val="0"/>
    </w:pPr>
    <w:rPr>
      <w:rFonts w:ascii="Arial" w:hAnsi="Arial"/>
    </w:rPr>
  </w:style>
  <w:style w:type="paragraph" w:styleId="14">
    <w:name w:val="List 2"/>
    <w:basedOn w:val="1"/>
    <w:qFormat/>
    <w:uiPriority w:val="99"/>
    <w:pPr>
      <w:ind w:left="100" w:leftChars="200" w:hanging="200" w:hangingChars="200"/>
    </w:pPr>
    <w:rPr>
      <w:sz w:val="28"/>
      <w:szCs w:val="28"/>
    </w:rPr>
  </w:style>
  <w:style w:type="paragraph" w:styleId="15">
    <w:name w:val="Block Text"/>
    <w:basedOn w:val="1"/>
    <w:qFormat/>
    <w:uiPriority w:val="99"/>
    <w:pPr>
      <w:spacing w:after="120"/>
      <w:ind w:left="1440" w:leftChars="700" w:right="1440" w:rightChars="700"/>
    </w:pPr>
  </w:style>
  <w:style w:type="paragraph" w:styleId="16">
    <w:name w:val="Plain Text"/>
    <w:basedOn w:val="1"/>
    <w:link w:val="44"/>
    <w:qFormat/>
    <w:uiPriority w:val="0"/>
    <w:pPr>
      <w:widowControl/>
      <w:overflowPunct w:val="0"/>
      <w:autoSpaceDE w:val="0"/>
      <w:autoSpaceDN w:val="0"/>
      <w:adjustRightInd w:val="0"/>
      <w:jc w:val="left"/>
      <w:textAlignment w:val="baseline"/>
    </w:pPr>
    <w:rPr>
      <w:rFonts w:ascii="宋体" w:hAnsi="Courier New"/>
      <w:sz w:val="24"/>
    </w:rPr>
  </w:style>
  <w:style w:type="paragraph" w:styleId="17">
    <w:name w:val="Date"/>
    <w:basedOn w:val="1"/>
    <w:next w:val="1"/>
    <w:qFormat/>
    <w:uiPriority w:val="0"/>
    <w:pPr>
      <w:ind w:left="2500" w:leftChars="2500"/>
    </w:pPr>
    <w:rPr>
      <w:rFonts w:eastAsia="楷体_GB2312"/>
      <w:sz w:val="32"/>
      <w:szCs w:val="20"/>
    </w:rPr>
  </w:style>
  <w:style w:type="paragraph" w:styleId="18">
    <w:name w:val="Balloon Text"/>
    <w:basedOn w:val="1"/>
    <w:link w:val="45"/>
    <w:qFormat/>
    <w:uiPriority w:val="0"/>
    <w:rPr>
      <w:sz w:val="18"/>
      <w:szCs w:val="18"/>
    </w:rPr>
  </w:style>
  <w:style w:type="paragraph" w:styleId="19">
    <w:name w:val="footer"/>
    <w:basedOn w:val="1"/>
    <w:qFormat/>
    <w:uiPriority w:val="0"/>
    <w:pPr>
      <w:tabs>
        <w:tab w:val="center" w:pos="4153"/>
        <w:tab w:val="right" w:pos="8306"/>
      </w:tabs>
      <w:snapToGrid w:val="0"/>
      <w:jc w:val="left"/>
    </w:pPr>
    <w:rPr>
      <w:sz w:val="18"/>
    </w:rPr>
  </w:style>
  <w:style w:type="paragraph" w:styleId="20">
    <w:name w:val="header"/>
    <w:basedOn w:val="1"/>
    <w:qFormat/>
    <w:uiPriority w:val="99"/>
    <w:pPr>
      <w:pBdr>
        <w:bottom w:val="single" w:color="auto" w:sz="6" w:space="1"/>
      </w:pBdr>
      <w:tabs>
        <w:tab w:val="center" w:pos="4153"/>
        <w:tab w:val="right" w:pos="8306"/>
      </w:tabs>
      <w:snapToGrid w:val="0"/>
      <w:jc w:val="center"/>
    </w:pPr>
    <w:rPr>
      <w:sz w:val="18"/>
    </w:rPr>
  </w:style>
  <w:style w:type="paragraph" w:styleId="21">
    <w:name w:val="toc 1"/>
    <w:basedOn w:val="1"/>
    <w:next w:val="1"/>
    <w:qFormat/>
    <w:uiPriority w:val="39"/>
    <w:pPr>
      <w:tabs>
        <w:tab w:val="right" w:leader="dot" w:pos="8302"/>
      </w:tabs>
      <w:spacing w:before="120" w:after="120"/>
      <w:ind w:firstLine="161"/>
      <w:jc w:val="center"/>
      <w:outlineLvl w:val="0"/>
    </w:pPr>
    <w:rPr>
      <w:rFonts w:ascii="宋体" w:hAnsi="宋体"/>
      <w:b/>
      <w:bCs/>
      <w:caps/>
      <w:sz w:val="32"/>
      <w:szCs w:val="32"/>
    </w:rPr>
  </w:style>
  <w:style w:type="paragraph" w:styleId="22">
    <w:name w:val="toc 4"/>
    <w:basedOn w:val="1"/>
    <w:next w:val="1"/>
    <w:unhideWhenUsed/>
    <w:qFormat/>
    <w:uiPriority w:val="39"/>
    <w:pPr>
      <w:ind w:left="1260" w:leftChars="600"/>
    </w:pPr>
  </w:style>
  <w:style w:type="paragraph" w:styleId="23">
    <w:name w:val="List"/>
    <w:basedOn w:val="1"/>
    <w:qFormat/>
    <w:uiPriority w:val="0"/>
    <w:pPr>
      <w:ind w:left="200" w:hanging="200" w:hangingChars="200"/>
    </w:pPr>
  </w:style>
  <w:style w:type="paragraph" w:styleId="24">
    <w:name w:val="footnote text"/>
    <w:basedOn w:val="1"/>
    <w:qFormat/>
    <w:uiPriority w:val="99"/>
    <w:pPr>
      <w:snapToGrid w:val="0"/>
      <w:jc w:val="left"/>
    </w:pPr>
    <w:rPr>
      <w:sz w:val="18"/>
    </w:rPr>
  </w:style>
  <w:style w:type="paragraph" w:styleId="25">
    <w:name w:val="toc 6"/>
    <w:basedOn w:val="1"/>
    <w:next w:val="1"/>
    <w:qFormat/>
    <w:uiPriority w:val="0"/>
    <w:pPr>
      <w:spacing w:line="360" w:lineRule="auto"/>
      <w:ind w:left="1200" w:firstLine="200" w:firstLineChars="200"/>
      <w:jc w:val="left"/>
    </w:pPr>
    <w:rPr>
      <w:rFonts w:cs="Calibri"/>
      <w:sz w:val="18"/>
      <w:szCs w:val="18"/>
    </w:rPr>
  </w:style>
  <w:style w:type="paragraph" w:styleId="26">
    <w:name w:val="toc 2"/>
    <w:basedOn w:val="1"/>
    <w:next w:val="1"/>
    <w:qFormat/>
    <w:uiPriority w:val="39"/>
    <w:pPr>
      <w:tabs>
        <w:tab w:val="right" w:leader="dot" w:pos="8931"/>
      </w:tabs>
    </w:pPr>
    <w:rPr>
      <w:rFonts w:eastAsia="黑体"/>
      <w:smallCaps/>
      <w:szCs w:val="28"/>
    </w:rPr>
  </w:style>
  <w:style w:type="paragraph" w:styleId="27">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8">
    <w:name w:val="annotation subject"/>
    <w:basedOn w:val="8"/>
    <w:next w:val="8"/>
    <w:link w:val="46"/>
    <w:qFormat/>
    <w:uiPriority w:val="0"/>
    <w:rPr>
      <w:b/>
      <w:bCs/>
    </w:rPr>
  </w:style>
  <w:style w:type="paragraph" w:styleId="29">
    <w:name w:val="Body Text First Indent 2"/>
    <w:basedOn w:val="12"/>
    <w:unhideWhenUsed/>
    <w:qFormat/>
    <w:uiPriority w:val="99"/>
    <w:pPr>
      <w:ind w:firstLine="420"/>
    </w:pPr>
  </w:style>
  <w:style w:type="table" w:styleId="31">
    <w:name w:val="Table Grid"/>
    <w:basedOn w:val="30"/>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3">
    <w:name w:val="Strong"/>
    <w:basedOn w:val="32"/>
    <w:qFormat/>
    <w:uiPriority w:val="0"/>
    <w:rPr>
      <w:b/>
    </w:rPr>
  </w:style>
  <w:style w:type="character" w:styleId="34">
    <w:name w:val="Emphasis"/>
    <w:basedOn w:val="32"/>
    <w:qFormat/>
    <w:uiPriority w:val="20"/>
    <w:rPr>
      <w:i/>
      <w:iCs/>
    </w:rPr>
  </w:style>
  <w:style w:type="character" w:styleId="35">
    <w:name w:val="Hyperlink"/>
    <w:basedOn w:val="32"/>
    <w:qFormat/>
    <w:uiPriority w:val="0"/>
  </w:style>
  <w:style w:type="character" w:styleId="36">
    <w:name w:val="annotation reference"/>
    <w:basedOn w:val="32"/>
    <w:qFormat/>
    <w:uiPriority w:val="0"/>
    <w:rPr>
      <w:sz w:val="21"/>
      <w:szCs w:val="21"/>
    </w:rPr>
  </w:style>
  <w:style w:type="character" w:styleId="37">
    <w:name w:val="footnote reference"/>
    <w:basedOn w:val="32"/>
    <w:qFormat/>
    <w:uiPriority w:val="99"/>
    <w:rPr>
      <w:rFonts w:cs="Times New Roman"/>
      <w:vertAlign w:val="superscript"/>
    </w:rPr>
  </w:style>
  <w:style w:type="paragraph" w:customStyle="1" w:styleId="38">
    <w:name w:val="Default"/>
    <w:next w:val="39"/>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9">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0">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Normal]"/>
    <w:qFormat/>
    <w:uiPriority w:val="99"/>
    <w:rPr>
      <w:rFonts w:ascii="宋体" w:hAnsi="宋体" w:eastAsia="宋体" w:cs="Times New Roman"/>
      <w:sz w:val="24"/>
      <w:szCs w:val="22"/>
      <w:lang w:val="zh-CN" w:eastAsia="zh-CN" w:bidi="ar-SA"/>
    </w:rPr>
  </w:style>
  <w:style w:type="character" w:customStyle="1" w:styleId="42">
    <w:name w:val="批注文字 Char"/>
    <w:link w:val="8"/>
    <w:qFormat/>
    <w:uiPriority w:val="0"/>
    <w:rPr>
      <w:rFonts w:ascii="Times New Roman" w:hAnsi="Times New Roman" w:eastAsia="宋体" w:cs="Times New Roman"/>
      <w:kern w:val="2"/>
      <w:sz w:val="21"/>
      <w:szCs w:val="22"/>
    </w:rPr>
  </w:style>
  <w:style w:type="character" w:customStyle="1" w:styleId="43">
    <w:name w:val="font11"/>
    <w:qFormat/>
    <w:uiPriority w:val="0"/>
    <w:rPr>
      <w:rFonts w:hint="default" w:ascii="仿宋_GB2312" w:eastAsia="仿宋_GB2312" w:cs="仿宋_GB2312"/>
      <w:color w:val="000000"/>
      <w:sz w:val="24"/>
      <w:szCs w:val="24"/>
      <w:u w:val="none"/>
    </w:rPr>
  </w:style>
  <w:style w:type="character" w:customStyle="1" w:styleId="44">
    <w:name w:val="纯文本 Char"/>
    <w:link w:val="16"/>
    <w:qFormat/>
    <w:uiPriority w:val="0"/>
    <w:rPr>
      <w:rFonts w:ascii="宋体" w:hAnsi="Courier New"/>
      <w:kern w:val="2"/>
      <w:sz w:val="24"/>
      <w:szCs w:val="22"/>
    </w:rPr>
  </w:style>
  <w:style w:type="character" w:customStyle="1" w:styleId="45">
    <w:name w:val="批注框文本 Char"/>
    <w:link w:val="18"/>
    <w:qFormat/>
    <w:uiPriority w:val="0"/>
    <w:rPr>
      <w:kern w:val="2"/>
      <w:sz w:val="18"/>
      <w:szCs w:val="18"/>
    </w:rPr>
  </w:style>
  <w:style w:type="character" w:customStyle="1" w:styleId="46">
    <w:name w:val="批注主题 Char"/>
    <w:basedOn w:val="42"/>
    <w:link w:val="28"/>
    <w:qFormat/>
    <w:uiPriority w:val="0"/>
    <w:rPr>
      <w:rFonts w:ascii="Times New Roman" w:hAnsi="Times New Roman" w:eastAsia="宋体" w:cs="Times New Roman"/>
      <w:kern w:val="2"/>
      <w:sz w:val="21"/>
      <w:szCs w:val="22"/>
    </w:rPr>
  </w:style>
  <w:style w:type="paragraph" w:customStyle="1" w:styleId="47">
    <w:name w:val="表格文字"/>
    <w:basedOn w:val="1"/>
    <w:next w:val="10"/>
    <w:qFormat/>
    <w:uiPriority w:val="0"/>
    <w:pPr>
      <w:adjustRightInd w:val="0"/>
      <w:spacing w:line="420" w:lineRule="atLeast"/>
      <w:jc w:val="left"/>
      <w:textAlignment w:val="baseline"/>
    </w:pPr>
    <w:rPr>
      <w:kern w:val="0"/>
      <w:szCs w:val="24"/>
    </w:rPr>
  </w:style>
  <w:style w:type="paragraph" w:customStyle="1" w:styleId="48">
    <w:name w:val="正文1"/>
    <w:basedOn w:val="1"/>
    <w:qFormat/>
    <w:uiPriority w:val="0"/>
    <w:rPr>
      <w:rFonts w:ascii="宋体" w:hAnsi="宋体" w:cs="宋体"/>
    </w:rPr>
  </w:style>
  <w:style w:type="paragraph" w:customStyle="1" w:styleId="49">
    <w:name w:val="正文2"/>
    <w:basedOn w:val="1"/>
    <w:qFormat/>
    <w:uiPriority w:val="0"/>
    <w:pPr>
      <w:spacing w:before="156" w:line="360" w:lineRule="auto"/>
      <w:ind w:firstLine="510" w:firstLineChars="200"/>
    </w:pPr>
    <w:rPr>
      <w:sz w:val="24"/>
      <w:szCs w:val="20"/>
    </w:rPr>
  </w:style>
  <w:style w:type="paragraph" w:customStyle="1" w:styleId="50">
    <w:name w:val="列表段落1"/>
    <w:basedOn w:val="1"/>
    <w:qFormat/>
    <w:uiPriority w:val="34"/>
    <w:pPr>
      <w:widowControl/>
      <w:ind w:firstLine="420" w:firstLineChars="200"/>
      <w:jc w:val="left"/>
    </w:pPr>
    <w:rPr>
      <w:rFonts w:eastAsia="微软雅黑"/>
      <w:szCs w:val="20"/>
    </w:rPr>
  </w:style>
  <w:style w:type="paragraph" w:customStyle="1" w:styleId="51">
    <w:name w:val="List Paragraph1"/>
    <w:basedOn w:val="1"/>
    <w:qFormat/>
    <w:uiPriority w:val="99"/>
    <w:pPr>
      <w:widowControl/>
      <w:ind w:firstLine="420" w:firstLineChars="200"/>
      <w:jc w:val="left"/>
    </w:pPr>
    <w:rPr>
      <w:rFonts w:ascii="宋体" w:hAnsi="宋体" w:cs="宋体"/>
      <w:kern w:val="0"/>
      <w:sz w:val="24"/>
      <w:szCs w:val="24"/>
    </w:rPr>
  </w:style>
  <w:style w:type="paragraph" w:customStyle="1" w:styleId="52">
    <w:name w:val="样式1"/>
    <w:basedOn w:val="2"/>
    <w:qFormat/>
    <w:uiPriority w:val="0"/>
    <w:pPr>
      <w:tabs>
        <w:tab w:val="left" w:pos="425"/>
      </w:tabs>
      <w:spacing w:beforeLines="50" w:line="240" w:lineRule="auto"/>
      <w:jc w:val="center"/>
    </w:pPr>
    <w:rPr>
      <w:rFonts w:ascii="宋体" w:hAnsi="宋体"/>
      <w:sz w:val="21"/>
      <w:szCs w:val="36"/>
    </w:rPr>
  </w:style>
  <w:style w:type="paragraph" w:customStyle="1" w:styleId="53">
    <w:name w:val="正文，段落，小四，22磅行距"/>
    <w:basedOn w:val="1"/>
    <w:qFormat/>
    <w:uiPriority w:val="0"/>
    <w:pPr>
      <w:spacing w:line="440" w:lineRule="exact"/>
      <w:ind w:firstLine="420"/>
    </w:pPr>
    <w:rPr>
      <w:kern w:val="0"/>
      <w:sz w:val="24"/>
      <w:szCs w:val="24"/>
    </w:rPr>
  </w:style>
  <w:style w:type="paragraph" w:customStyle="1" w:styleId="54">
    <w:name w:val="列出段落2"/>
    <w:basedOn w:val="1"/>
    <w:qFormat/>
    <w:uiPriority w:val="34"/>
    <w:pPr>
      <w:widowControl/>
      <w:ind w:firstLine="420" w:firstLineChars="200"/>
      <w:jc w:val="left"/>
    </w:pPr>
    <w:rPr>
      <w:rFonts w:eastAsia="微软雅黑"/>
      <w:szCs w:val="20"/>
    </w:rPr>
  </w:style>
  <w:style w:type="paragraph" w:customStyle="1" w:styleId="55">
    <w:name w:val="无间隔1"/>
    <w:qFormat/>
    <w:uiPriority w:val="1"/>
    <w:pPr>
      <w:widowControl w:val="0"/>
      <w:snapToGrid w:val="0"/>
      <w:jc w:val="both"/>
    </w:pPr>
    <w:rPr>
      <w:rFonts w:ascii="Calibri" w:hAnsi="Calibri" w:eastAsia="宋体" w:cs="Times New Roman"/>
      <w:kern w:val="2"/>
      <w:sz w:val="21"/>
      <w:szCs w:val="24"/>
      <w:lang w:val="en-US" w:eastAsia="zh-CN" w:bidi="ar-SA"/>
    </w:rPr>
  </w:style>
  <w:style w:type="paragraph" w:customStyle="1" w:styleId="56">
    <w:name w:val="偏离表"/>
    <w:basedOn w:val="1"/>
    <w:qFormat/>
    <w:uiPriority w:val="0"/>
    <w:pPr>
      <w:jc w:val="center"/>
    </w:pPr>
    <w:rPr>
      <w:sz w:val="18"/>
    </w:rPr>
  </w:style>
  <w:style w:type="paragraph" w:customStyle="1" w:styleId="57">
    <w:name w:val="正文_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58">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59">
    <w:name w:val="默认段落字体 Para Char Char Char Char Char Char Char Char Char1 Char Char Char Char"/>
    <w:basedOn w:val="1"/>
    <w:qFormat/>
    <w:uiPriority w:val="99"/>
    <w:rPr>
      <w:rFonts w:ascii="Tahoma" w:hAnsi="Tahoma" w:cs="Tahoma"/>
      <w:sz w:val="24"/>
      <w:szCs w:val="24"/>
    </w:rPr>
  </w:style>
  <w:style w:type="paragraph" w:styleId="60">
    <w:name w:val="List Paragraph"/>
    <w:basedOn w:val="1"/>
    <w:qFormat/>
    <w:uiPriority w:val="99"/>
    <w:pPr>
      <w:ind w:firstLine="420" w:firstLineChars="200"/>
    </w:pPr>
  </w:style>
  <w:style w:type="paragraph" w:customStyle="1" w:styleId="61">
    <w:name w:val="首行缩进"/>
    <w:basedOn w:val="1"/>
    <w:qFormat/>
    <w:uiPriority w:val="0"/>
    <w:pPr>
      <w:spacing w:line="360" w:lineRule="auto"/>
      <w:ind w:firstLine="420"/>
    </w:pPr>
    <w:rPr>
      <w:rFonts w:cs="宋体"/>
      <w:szCs w:val="20"/>
    </w:rPr>
  </w:style>
  <w:style w:type="paragraph" w:customStyle="1" w:styleId="62">
    <w:name w:val="纯文本2"/>
    <w:basedOn w:val="63"/>
    <w:qFormat/>
    <w:uiPriority w:val="0"/>
    <w:pPr>
      <w:widowControl/>
      <w:jc w:val="left"/>
    </w:pPr>
    <w:rPr>
      <w:rFonts w:ascii="宋体" w:hAnsi="Courier New"/>
    </w:rPr>
  </w:style>
  <w:style w:type="paragraph" w:customStyle="1" w:styleId="63">
    <w:name w:val="正文5"/>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4">
    <w:name w:val="纯文本 New New"/>
    <w:basedOn w:val="1"/>
    <w:qFormat/>
    <w:uiPriority w:val="0"/>
    <w:pPr>
      <w:widowControl/>
      <w:overflowPunct w:val="0"/>
      <w:autoSpaceDE w:val="0"/>
      <w:autoSpaceDN w:val="0"/>
      <w:adjustRightInd w:val="0"/>
      <w:jc w:val="left"/>
      <w:textAlignment w:val="baseline"/>
    </w:pPr>
    <w:rPr>
      <w:rFonts w:ascii="宋体" w:hAnsi="Courier New"/>
    </w:rPr>
  </w:style>
  <w:style w:type="paragraph" w:customStyle="1" w:styleId="65">
    <w:name w:val="Plain Text1"/>
    <w:basedOn w:val="66"/>
    <w:qFormat/>
    <w:uiPriority w:val="0"/>
    <w:pPr>
      <w:adjustRightInd w:val="0"/>
    </w:pPr>
    <w:rPr>
      <w:rFonts w:hint="eastAsia" w:ascii="宋体" w:hAnsi="Courier New" w:eastAsia="楷体_GB2312"/>
      <w:sz w:val="28"/>
    </w:rPr>
  </w:style>
  <w:style w:type="paragraph" w:customStyle="1" w:styleId="66">
    <w:name w:val="Norm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7">
    <w:name w:val="正文文字3"/>
    <w:basedOn w:val="10"/>
    <w:qFormat/>
    <w:uiPriority w:val="0"/>
    <w:pPr>
      <w:spacing w:after="0"/>
    </w:pPr>
  </w:style>
  <w:style w:type="paragraph" w:customStyle="1" w:styleId="68">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
    <w:name w:val="正文文本 21"/>
    <w:basedOn w:val="1"/>
    <w:qFormat/>
    <w:uiPriority w:val="0"/>
    <w:pPr>
      <w:adjustRightInd w:val="0"/>
      <w:spacing w:line="300" w:lineRule="auto"/>
      <w:jc w:val="center"/>
    </w:pPr>
    <w:rPr>
      <w:rFonts w:ascii="宋体" w:hAnsi="宋体"/>
      <w:sz w:val="24"/>
    </w:rPr>
  </w:style>
  <w:style w:type="paragraph" w:customStyle="1" w:styleId="70">
    <w:name w:val="xl35"/>
    <w:basedOn w:val="1"/>
    <w:qFormat/>
    <w:uiPriority w:val="0"/>
    <w:pPr>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sz w:val="24"/>
      <w:szCs w:val="24"/>
    </w:rPr>
  </w:style>
  <w:style w:type="paragraph" w:customStyle="1" w:styleId="71">
    <w:name w:val="Body text|1"/>
    <w:basedOn w:val="1"/>
    <w:qFormat/>
    <w:uiPriority w:val="0"/>
    <w:pPr>
      <w:spacing w:line="360" w:lineRule="auto"/>
      <w:ind w:firstLine="400"/>
    </w:pPr>
    <w:rPr>
      <w:rFonts w:ascii="宋体" w:hAnsi="宋体" w:cs="宋体"/>
      <w:sz w:val="22"/>
      <w:lang w:val="zh-TW" w:eastAsia="zh-TW" w:bidi="zh-TW"/>
    </w:rPr>
  </w:style>
  <w:style w:type="character" w:customStyle="1" w:styleId="72">
    <w:name w:val="NormalCharacter"/>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980466B-A004-4E42-8698-61079CFABA96}">
  <ds:schemaRefs/>
</ds:datastoreItem>
</file>

<file path=docProps/app.xml><?xml version="1.0" encoding="utf-8"?>
<Properties xmlns="http://schemas.openxmlformats.org/officeDocument/2006/extended-properties" xmlns:vt="http://schemas.openxmlformats.org/officeDocument/2006/docPropsVTypes">
  <Template>Normal</Template>
  <Company>WORKGROUP</Company>
  <Pages>62</Pages>
  <Words>40557</Words>
  <Characters>43201</Characters>
  <Lines>345</Lines>
  <Paragraphs>97</Paragraphs>
  <TotalTime>2</TotalTime>
  <ScaleCrop>false</ScaleCrop>
  <LinksUpToDate>false</LinksUpToDate>
  <CharactersWithSpaces>45404</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2020-05-10T08:51:00Z</dcterms:created>
  <dc:creator>Administrator</dc:creator>
  <cp:lastModifiedBy></cp:lastModifiedBy>
  <cp:lastPrinted>2020-07-28T08:55:00Z</cp:lastPrinted>
  <dcterms:modified xsi:type="dcterms:W3CDTF">2022-09-30T13:39:50Z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95697414BA69480F9718C27809F646F9</vt:lpwstr>
  </property>
</Properties>
</file>