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05"/>
        </w:tabs>
        <w:spacing w:line="360" w:lineRule="auto"/>
        <w:jc w:val="center"/>
        <w:rPr>
          <w:rFonts w:hint="eastAsia" w:ascii="宋体" w:hAnsi="宋体" w:eastAsia="宋体" w:cs="宋体"/>
          <w:b/>
          <w:color w:val="auto"/>
          <w:sz w:val="84"/>
          <w:szCs w:val="84"/>
          <w:highlight w:val="none"/>
        </w:rPr>
      </w:pPr>
    </w:p>
    <w:p>
      <w:pPr>
        <w:tabs>
          <w:tab w:val="left" w:pos="5205"/>
        </w:tabs>
        <w:spacing w:line="360" w:lineRule="auto"/>
        <w:jc w:val="center"/>
        <w:rPr>
          <w:rFonts w:hint="eastAsia" w:ascii="宋体" w:hAnsi="宋体" w:eastAsia="宋体" w:cs="宋体"/>
          <w:b/>
          <w:color w:val="auto"/>
          <w:spacing w:val="26"/>
          <w:sz w:val="84"/>
          <w:szCs w:val="84"/>
          <w:highlight w:val="none"/>
        </w:rPr>
      </w:pPr>
      <w:r>
        <w:rPr>
          <w:rFonts w:hint="eastAsia" w:ascii="宋体" w:hAnsi="宋体" w:eastAsia="宋体" w:cs="宋体"/>
          <w:b/>
          <w:color w:val="auto"/>
          <w:sz w:val="84"/>
          <w:szCs w:val="84"/>
          <w:highlight w:val="none"/>
        </w:rPr>
        <w:t>温州市政府(分散)采购</w:t>
      </w:r>
    </w:p>
    <w:p>
      <w:pPr>
        <w:spacing w:line="400" w:lineRule="exact"/>
        <w:ind w:firstLine="1885" w:firstLineChars="235"/>
        <w:rPr>
          <w:rFonts w:hint="eastAsia" w:ascii="宋体" w:hAnsi="宋体" w:eastAsia="宋体" w:cs="宋体"/>
          <w:b/>
          <w:color w:val="auto"/>
          <w:spacing w:val="140"/>
          <w:sz w:val="52"/>
          <w:szCs w:val="52"/>
          <w:highlight w:val="none"/>
        </w:rPr>
      </w:pPr>
    </w:p>
    <w:p>
      <w:pPr>
        <w:spacing w:line="400" w:lineRule="exact"/>
        <w:rPr>
          <w:rFonts w:hint="eastAsia" w:ascii="宋体" w:hAnsi="宋体" w:eastAsia="宋体" w:cs="宋体"/>
          <w:b/>
          <w:color w:val="auto"/>
          <w:spacing w:val="140"/>
          <w:sz w:val="52"/>
          <w:szCs w:val="52"/>
          <w:highlight w:val="none"/>
        </w:rPr>
      </w:pPr>
    </w:p>
    <w:p>
      <w:pPr>
        <w:spacing w:line="360" w:lineRule="auto"/>
        <w:jc w:val="center"/>
        <w:rPr>
          <w:rFonts w:hint="eastAsia" w:ascii="宋体" w:hAnsi="宋体" w:eastAsia="宋体" w:cs="宋体"/>
          <w:b/>
          <w:color w:val="auto"/>
          <w:spacing w:val="140"/>
          <w:sz w:val="52"/>
          <w:szCs w:val="52"/>
          <w:highlight w:val="none"/>
        </w:rPr>
      </w:pPr>
      <w:r>
        <w:rPr>
          <w:rFonts w:hint="eastAsia" w:ascii="宋体" w:hAnsi="宋体" w:eastAsia="宋体" w:cs="宋体"/>
          <w:b/>
          <w:color w:val="auto"/>
          <w:spacing w:val="140"/>
          <w:sz w:val="52"/>
          <w:szCs w:val="52"/>
          <w:highlight w:val="none"/>
        </w:rPr>
        <w:t>招标文件</w:t>
      </w:r>
    </w:p>
    <w:p>
      <w:pPr>
        <w:widowControl/>
        <w:spacing w:line="360" w:lineRule="auto"/>
        <w:ind w:right="-2"/>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（线上电子招投标）</w:t>
      </w:r>
    </w:p>
    <w:p>
      <w:pPr>
        <w:spacing w:line="400" w:lineRule="exact"/>
        <w:rPr>
          <w:rFonts w:hint="eastAsia" w:ascii="宋体" w:hAnsi="宋体" w:eastAsia="宋体" w:cs="宋体"/>
          <w:b/>
          <w:color w:val="auto"/>
          <w:sz w:val="24"/>
          <w:highlight w:val="none"/>
        </w:rPr>
      </w:pPr>
    </w:p>
    <w:p>
      <w:pPr>
        <w:pStyle w:val="13"/>
        <w:rPr>
          <w:rFonts w:hint="eastAsia" w:ascii="宋体" w:hAnsi="宋体" w:eastAsia="宋体" w:cs="宋体"/>
          <w:color w:val="auto"/>
          <w:highlight w:val="none"/>
        </w:rPr>
      </w:pPr>
    </w:p>
    <w:p>
      <w:pPr>
        <w:spacing w:line="400" w:lineRule="exact"/>
        <w:ind w:firstLine="1140" w:firstLineChars="300"/>
        <w:rPr>
          <w:rFonts w:hint="eastAsia" w:ascii="宋体" w:hAnsi="宋体" w:eastAsia="宋体" w:cs="宋体"/>
          <w:color w:val="auto"/>
          <w:spacing w:val="40"/>
          <w:sz w:val="30"/>
          <w:highlight w:val="none"/>
        </w:rPr>
      </w:pPr>
    </w:p>
    <w:p>
      <w:pPr>
        <w:spacing w:line="360" w:lineRule="auto"/>
        <w:ind w:firstLine="2100" w:firstLineChars="7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项目编号：</w:t>
      </w:r>
      <w:r>
        <w:rPr>
          <w:rFonts w:hint="eastAsia" w:ascii="宋体" w:hAnsi="宋体" w:eastAsia="宋体" w:cs="宋体"/>
          <w:color w:val="auto"/>
          <w:sz w:val="30"/>
          <w:highlight w:val="none"/>
          <w:lang w:eastAsia="zh-CN"/>
        </w:rPr>
        <w:t>ZJYC2022203(GK)</w:t>
      </w:r>
    </w:p>
    <w:p>
      <w:pPr>
        <w:spacing w:line="360" w:lineRule="auto"/>
        <w:ind w:left="3600" w:leftChars="1000" w:hanging="1500" w:hangingChars="5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招标项目：</w:t>
      </w:r>
      <w:r>
        <w:rPr>
          <w:rFonts w:hint="eastAsia" w:ascii="宋体" w:hAnsi="宋体" w:eastAsia="宋体" w:cs="宋体"/>
          <w:color w:val="auto"/>
          <w:sz w:val="30"/>
          <w:highlight w:val="none"/>
          <w:lang w:eastAsia="zh-CN"/>
        </w:rPr>
        <w:t>温州肯恩大学2022-2025年度校园安保外包服务(重)</w:t>
      </w:r>
    </w:p>
    <w:p>
      <w:pPr>
        <w:pStyle w:val="26"/>
        <w:spacing w:before="0" w:beforeAutospacing="0" w:after="0" w:afterAutospacing="0" w:line="360" w:lineRule="auto"/>
        <w:ind w:firstLine="2100" w:firstLineChars="700"/>
        <w:jc w:val="both"/>
        <w:rPr>
          <w:rFonts w:hint="eastAsia" w:ascii="宋体" w:hAnsi="宋体" w:eastAsia="宋体" w:cs="宋体"/>
          <w:color w:val="auto"/>
          <w:sz w:val="22"/>
          <w:highlight w:val="none"/>
        </w:rPr>
      </w:pPr>
      <w:r>
        <w:rPr>
          <w:rFonts w:hint="eastAsia" w:ascii="宋体" w:hAnsi="宋体" w:eastAsia="宋体" w:cs="宋体"/>
          <w:color w:val="auto"/>
          <w:sz w:val="30"/>
          <w:highlight w:val="none"/>
        </w:rPr>
        <w:t>招标方式：公 开 招 标</w:t>
      </w:r>
    </w:p>
    <w:p>
      <w:pPr>
        <w:spacing w:line="360" w:lineRule="auto"/>
        <w:ind w:firstLine="1140" w:firstLineChars="300"/>
        <w:rPr>
          <w:rFonts w:hint="eastAsia" w:ascii="宋体" w:hAnsi="宋体" w:eastAsia="宋体" w:cs="宋体"/>
          <w:color w:val="auto"/>
          <w:spacing w:val="40"/>
          <w:sz w:val="30"/>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kern w:val="0"/>
          <w:sz w:val="30"/>
          <w:highlight w:val="none"/>
        </w:rPr>
      </w:pPr>
      <w:r>
        <w:rPr>
          <w:rFonts w:hint="eastAsia" w:ascii="宋体" w:hAnsi="宋体" w:eastAsia="宋体" w:cs="宋体"/>
          <w:color w:val="auto"/>
          <w:kern w:val="0"/>
          <w:sz w:val="30"/>
          <w:highlight w:val="none"/>
        </w:rPr>
        <w:t>采购人：温州肯恩大学</w:t>
      </w:r>
    </w:p>
    <w:p>
      <w:pPr>
        <w:spacing w:line="360" w:lineRule="auto"/>
        <w:jc w:val="center"/>
        <w:rPr>
          <w:rFonts w:hint="eastAsia" w:ascii="宋体" w:hAnsi="宋体" w:eastAsia="宋体" w:cs="宋体"/>
          <w:color w:val="auto"/>
          <w:spacing w:val="40"/>
          <w:sz w:val="24"/>
          <w:szCs w:val="24"/>
          <w:highlight w:val="none"/>
        </w:rPr>
      </w:pPr>
      <w:r>
        <w:rPr>
          <w:rFonts w:hint="eastAsia" w:ascii="宋体" w:hAnsi="宋体" w:eastAsia="宋体" w:cs="宋体"/>
          <w:color w:val="auto"/>
          <w:kern w:val="0"/>
          <w:sz w:val="30"/>
          <w:highlight w:val="none"/>
        </w:rPr>
        <w:t>采购代理机构：浙江乐诚工程咨询有限公司</w:t>
      </w:r>
    </w:p>
    <w:p>
      <w:pPr>
        <w:spacing w:line="360" w:lineRule="auto"/>
        <w:rPr>
          <w:rFonts w:hint="eastAsia" w:ascii="宋体" w:hAnsi="宋体" w:eastAsia="宋体" w:cs="宋体"/>
          <w:color w:val="auto"/>
          <w:spacing w:val="40"/>
          <w:sz w:val="28"/>
          <w:highlight w:val="none"/>
        </w:rPr>
      </w:pPr>
    </w:p>
    <w:p>
      <w:pPr>
        <w:pStyle w:val="13"/>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pacing w:val="40"/>
          <w:sz w:val="28"/>
          <w:highlight w:val="none"/>
        </w:rPr>
      </w:pPr>
      <w:r>
        <w:rPr>
          <w:rFonts w:hint="eastAsia" w:ascii="宋体" w:hAnsi="宋体" w:eastAsia="宋体" w:cs="宋体"/>
          <w:color w:val="auto"/>
          <w:spacing w:val="40"/>
          <w:sz w:val="28"/>
          <w:highlight w:val="none"/>
        </w:rPr>
        <w:t>二0二二年</w:t>
      </w:r>
    </w:p>
    <w:p>
      <w:pPr>
        <w:spacing w:line="400" w:lineRule="exact"/>
        <w:jc w:val="center"/>
        <w:rPr>
          <w:rFonts w:hint="eastAsia" w:ascii="宋体" w:hAnsi="宋体" w:eastAsia="宋体" w:cs="宋体"/>
          <w:b/>
          <w:color w:val="auto"/>
          <w:sz w:val="32"/>
          <w:szCs w:val="32"/>
          <w:highlight w:val="none"/>
        </w:rPr>
      </w:pPr>
    </w:p>
    <w:p>
      <w:pPr>
        <w:pStyle w:val="13"/>
        <w:ind w:left="643" w:hanging="643"/>
        <w:rPr>
          <w:rFonts w:hint="eastAsia" w:ascii="宋体" w:hAnsi="宋体" w:eastAsia="宋体" w:cs="宋体"/>
          <w:b/>
          <w:color w:val="auto"/>
          <w:sz w:val="32"/>
          <w:szCs w:val="32"/>
          <w:highlight w:val="none"/>
        </w:rPr>
      </w:pPr>
    </w:p>
    <w:p>
      <w:pPr>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p>
    <w:p>
      <w:pPr>
        <w:spacing w:line="400" w:lineRule="exact"/>
        <w:rPr>
          <w:rFonts w:hint="eastAsia" w:ascii="宋体" w:hAnsi="宋体" w:eastAsia="宋体" w:cs="宋体"/>
          <w:color w:val="auto"/>
          <w:highlight w:val="none"/>
        </w:rPr>
      </w:pPr>
    </w:p>
    <w:p>
      <w:pPr>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第一部分  投标邀请书           ……………………………………………………………………3</w:t>
      </w:r>
    </w:p>
    <w:p>
      <w:pPr>
        <w:spacing w:line="360" w:lineRule="auto"/>
        <w:ind w:left="1100" w:hanging="1100" w:hangingChars="500"/>
        <w:rPr>
          <w:rFonts w:hint="eastAsia" w:ascii="宋体" w:hAnsi="宋体" w:eastAsia="宋体" w:cs="宋体"/>
          <w:color w:val="auto"/>
          <w:sz w:val="22"/>
          <w:highlight w:val="none"/>
        </w:rPr>
      </w:pPr>
      <w:r>
        <w:rPr>
          <w:rFonts w:hint="eastAsia" w:ascii="宋体" w:hAnsi="宋体" w:eastAsia="宋体" w:cs="宋体"/>
          <w:color w:val="auto"/>
          <w:sz w:val="22"/>
          <w:highlight w:val="none"/>
        </w:rPr>
        <w:t>第二部分  投标人须知           ……………………………………………………………………6</w:t>
      </w:r>
    </w:p>
    <w:p>
      <w:pPr>
        <w:spacing w:line="360" w:lineRule="auto"/>
        <w:ind w:left="1100" w:hanging="1100" w:hangingChars="5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投标人须知前附表     ……………………………………………………………………6</w:t>
      </w:r>
    </w:p>
    <w:p>
      <w:pPr>
        <w:spacing w:line="360" w:lineRule="auto"/>
        <w:ind w:firstLine="1100" w:firstLineChars="500"/>
        <w:rPr>
          <w:rFonts w:hint="eastAsia" w:ascii="宋体" w:hAnsi="宋体" w:eastAsia="宋体" w:cs="宋体"/>
          <w:color w:val="auto"/>
          <w:sz w:val="22"/>
          <w:highlight w:val="none"/>
        </w:rPr>
      </w:pPr>
      <w:r>
        <w:rPr>
          <w:rFonts w:hint="eastAsia" w:ascii="宋体" w:hAnsi="宋体" w:eastAsia="宋体" w:cs="宋体"/>
          <w:color w:val="auto"/>
          <w:sz w:val="22"/>
          <w:highlight w:val="none"/>
        </w:rPr>
        <w:t>一.说 明             ……………………………………………………………………10</w:t>
      </w:r>
    </w:p>
    <w:p>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二.招标文件          ……………………………………………………………………12</w:t>
      </w:r>
    </w:p>
    <w:p>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三.投标文件的编制    ……………………………………………………………………13</w:t>
      </w:r>
    </w:p>
    <w:p>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四.投标文件的递交    ……………………………………………………………………15</w:t>
      </w:r>
    </w:p>
    <w:p>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五.开标和评标        ……………………………………………………………………16</w:t>
      </w:r>
    </w:p>
    <w:p>
      <w:pPr>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六.授予合同          ……………………………………………………………………20</w:t>
      </w:r>
    </w:p>
    <w:p>
      <w:pPr>
        <w:spacing w:line="360" w:lineRule="auto"/>
        <w:ind w:firstLine="1100" w:firstLineChars="5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七.可中止电子交易活动的情形……………………………………………………………20</w:t>
      </w:r>
    </w:p>
    <w:p>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第三部分  拟签订的合同文本     ……………………………………………………………………22</w:t>
      </w:r>
    </w:p>
    <w:p>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第四部分  附件                 ……………………………………………………………………27</w:t>
      </w:r>
    </w:p>
    <w:p>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第五部分  采购需求             ……………………………………………………………………52</w:t>
      </w:r>
    </w:p>
    <w:p>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第六部分  评标原则及方法       ……………………………………………………………………65</w:t>
      </w:r>
    </w:p>
    <w:p>
      <w:pPr>
        <w:spacing w:line="360" w:lineRule="auto"/>
        <w:rPr>
          <w:rFonts w:hint="eastAsia" w:ascii="宋体" w:hAnsi="宋体" w:eastAsia="宋体" w:cs="宋体"/>
          <w:b/>
          <w:color w:val="auto"/>
          <w:sz w:val="22"/>
          <w:highlight w:val="none"/>
        </w:rPr>
      </w:pPr>
    </w:p>
    <w:p>
      <w:pPr>
        <w:spacing w:line="360" w:lineRule="auto"/>
        <w:rPr>
          <w:rFonts w:hint="eastAsia" w:ascii="宋体" w:hAnsi="宋体" w:eastAsia="宋体" w:cs="宋体"/>
          <w:color w:val="auto"/>
          <w:sz w:val="22"/>
          <w:highlight w:val="none"/>
        </w:rPr>
      </w:pPr>
      <w:r>
        <w:rPr>
          <w:rFonts w:hint="eastAsia" w:ascii="宋体" w:hAnsi="宋体" w:eastAsia="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spacing w:line="400" w:lineRule="exact"/>
        <w:rPr>
          <w:rFonts w:hint="eastAsia" w:ascii="宋体" w:hAnsi="宋体" w:eastAsia="宋体" w:cs="宋体"/>
          <w:color w:val="auto"/>
          <w:sz w:val="22"/>
          <w:highlight w:val="none"/>
        </w:rPr>
      </w:pPr>
    </w:p>
    <w:p>
      <w:pPr>
        <w:spacing w:line="400" w:lineRule="exact"/>
        <w:rPr>
          <w:rFonts w:hint="eastAsia" w:ascii="宋体" w:hAnsi="宋体" w:eastAsia="宋体" w:cs="宋体"/>
          <w:b/>
          <w:color w:val="auto"/>
          <w:sz w:val="32"/>
          <w:highlight w:val="none"/>
        </w:rPr>
      </w:pPr>
    </w:p>
    <w:p>
      <w:pPr>
        <w:spacing w:line="400" w:lineRule="exact"/>
        <w:rPr>
          <w:rFonts w:hint="eastAsia" w:ascii="宋体" w:hAnsi="宋体" w:eastAsia="宋体" w:cs="宋体"/>
          <w:b/>
          <w:color w:val="auto"/>
          <w:sz w:val="32"/>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b/>
          <w:color w:val="auto"/>
          <w:sz w:val="48"/>
          <w:highlight w:val="none"/>
        </w:rPr>
      </w:pPr>
    </w:p>
    <w:p>
      <w:pPr>
        <w:spacing w:line="400" w:lineRule="exact"/>
        <w:rPr>
          <w:rFonts w:hint="eastAsia" w:ascii="宋体" w:hAnsi="宋体" w:eastAsia="宋体" w:cs="宋体"/>
          <w:b/>
          <w:color w:val="auto"/>
          <w:sz w:val="48"/>
          <w:highlight w:val="none"/>
        </w:rPr>
      </w:pPr>
    </w:p>
    <w:p>
      <w:pPr>
        <w:spacing w:line="400" w:lineRule="exact"/>
        <w:rPr>
          <w:rFonts w:hint="eastAsia" w:ascii="宋体" w:hAnsi="宋体" w:eastAsia="宋体" w:cs="宋体"/>
          <w:b/>
          <w:color w:val="auto"/>
          <w:sz w:val="48"/>
          <w:highlight w:val="none"/>
        </w:rPr>
      </w:pPr>
    </w:p>
    <w:p>
      <w:pPr>
        <w:spacing w:line="400" w:lineRule="exact"/>
        <w:rPr>
          <w:rFonts w:hint="eastAsia" w:ascii="宋体" w:hAnsi="宋体" w:eastAsia="宋体" w:cs="宋体"/>
          <w:b/>
          <w:color w:val="auto"/>
          <w:sz w:val="48"/>
          <w:highlight w:val="none"/>
        </w:rPr>
      </w:pPr>
    </w:p>
    <w:p>
      <w:pPr>
        <w:pStyle w:val="15"/>
        <w:ind w:left="0" w:leftChars="0" w:right="1470"/>
        <w:rPr>
          <w:rFonts w:hint="eastAsia" w:ascii="宋体" w:hAnsi="宋体" w:eastAsia="宋体" w:cs="宋体"/>
          <w:b/>
          <w:color w:val="auto"/>
          <w:sz w:val="48"/>
          <w:highlight w:val="none"/>
        </w:rPr>
      </w:pPr>
    </w:p>
    <w:p>
      <w:pPr>
        <w:pStyle w:val="15"/>
        <w:ind w:left="0" w:leftChars="0" w:right="1470"/>
        <w:rPr>
          <w:rFonts w:hint="eastAsia" w:ascii="宋体" w:hAnsi="宋体" w:eastAsia="宋体" w:cs="宋体"/>
          <w:b/>
          <w:color w:val="auto"/>
          <w:sz w:val="48"/>
          <w:highlight w:val="none"/>
        </w:rPr>
      </w:pPr>
    </w:p>
    <w:p>
      <w:pPr>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第一部分 投标邀请书</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温州肯恩大学2022-2025年度校园安保外包服务(重)</w:t>
      </w:r>
      <w:r>
        <w:rPr>
          <w:rFonts w:hint="eastAsia" w:ascii="宋体" w:hAnsi="宋体" w:eastAsia="宋体" w:cs="宋体"/>
          <w:sz w:val="22"/>
          <w:szCs w:val="22"/>
        </w:rPr>
        <w:t>招标项目的潜在投标人应在</w:t>
      </w:r>
      <w:r>
        <w:rPr>
          <w:rFonts w:hint="eastAsia" w:ascii="宋体" w:hAnsi="宋体" w:eastAsia="宋体" w:cs="宋体"/>
          <w:sz w:val="22"/>
          <w:szCs w:val="22"/>
          <w:u w:val="none"/>
        </w:rPr>
        <w:t>政采云平台https://www.zcygov.cn/</w:t>
      </w:r>
      <w:r>
        <w:rPr>
          <w:rFonts w:hint="eastAsia" w:ascii="宋体" w:hAnsi="宋体" w:eastAsia="宋体" w:cs="宋体"/>
          <w:sz w:val="22"/>
          <w:szCs w:val="22"/>
        </w:rPr>
        <w:t>获取（下载）招标文件，并于 </w:t>
      </w:r>
      <w:r>
        <w:rPr>
          <w:rFonts w:hint="eastAsia" w:cs="宋体"/>
          <w:sz w:val="22"/>
          <w:szCs w:val="22"/>
          <w:lang w:eastAsia="zh-CN"/>
        </w:rPr>
        <w:t>2022年09月26日09:30</w:t>
      </w:r>
      <w:r>
        <w:rPr>
          <w:rFonts w:hint="eastAsia" w:ascii="宋体" w:hAnsi="宋体" w:eastAsia="宋体" w:cs="宋体"/>
          <w:sz w:val="22"/>
          <w:szCs w:val="22"/>
        </w:rPr>
        <w:t>（北京时间）前递交（上传）投标文件。</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2"/>
          <w:rFonts w:hint="eastAsia" w:ascii="宋体" w:hAnsi="宋体" w:eastAsia="宋体" w:cs="宋体"/>
          <w:sz w:val="22"/>
          <w:szCs w:val="22"/>
        </w:rPr>
        <w:t>一、项目基本情况</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项目编号：</w:t>
      </w:r>
      <w:r>
        <w:rPr>
          <w:rFonts w:hint="eastAsia" w:ascii="宋体" w:hAnsi="宋体" w:eastAsia="宋体" w:cs="宋体"/>
          <w:sz w:val="22"/>
          <w:szCs w:val="22"/>
          <w:lang w:eastAsia="zh-CN"/>
        </w:rPr>
        <w:t>ZJYC2022203(GK)</w:t>
      </w:r>
      <w:r>
        <w:rPr>
          <w:rFonts w:hint="eastAsia" w:ascii="宋体" w:hAnsi="宋体" w:eastAsia="宋体" w:cs="宋体"/>
          <w:sz w:val="22"/>
          <w:szCs w:val="22"/>
        </w:rPr>
        <w:t>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lang w:eastAsia="zh-CN"/>
        </w:rPr>
      </w:pPr>
      <w:r>
        <w:rPr>
          <w:rFonts w:hint="eastAsia" w:ascii="宋体" w:hAnsi="宋体" w:eastAsia="宋体" w:cs="宋体"/>
          <w:sz w:val="22"/>
          <w:szCs w:val="22"/>
        </w:rPr>
        <w:t>    项目名称：</w:t>
      </w:r>
      <w:r>
        <w:rPr>
          <w:rFonts w:hint="eastAsia" w:ascii="宋体" w:hAnsi="宋体" w:eastAsia="宋体" w:cs="宋体"/>
          <w:sz w:val="22"/>
          <w:szCs w:val="22"/>
          <w:lang w:eastAsia="zh-CN"/>
        </w:rPr>
        <w:t>温州肯恩大学2022-2025年度校园安保外包服务(重)</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预算金额（元）：12610000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最高限价（元）：11435960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采购需求：</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eastAsia="宋体" w:cs="宋体"/>
          <w:sz w:val="22"/>
          <w:szCs w:val="22"/>
        </w:rPr>
        <w:br w:type="textWrapping"/>
      </w:r>
      <w:r>
        <w:rPr>
          <w:rFonts w:hint="eastAsia" w:ascii="宋体" w:hAnsi="宋体" w:eastAsia="宋体" w:cs="宋体"/>
          <w:sz w:val="22"/>
          <w:szCs w:val="22"/>
        </w:rPr>
        <w:t>    标项名称: </w:t>
      </w:r>
      <w:r>
        <w:rPr>
          <w:rFonts w:hint="eastAsia" w:ascii="宋体" w:hAnsi="宋体" w:eastAsia="宋体" w:cs="宋体"/>
          <w:sz w:val="22"/>
          <w:szCs w:val="22"/>
          <w:lang w:eastAsia="zh-CN"/>
        </w:rPr>
        <w:t>温州肯恩大学2022-2025年度校园安保外包服务</w:t>
      </w:r>
      <w:r>
        <w:rPr>
          <w:rFonts w:hint="eastAsia" w:ascii="宋体" w:hAnsi="宋体" w:eastAsia="宋体" w:cs="宋体"/>
          <w:sz w:val="22"/>
          <w:szCs w:val="22"/>
        </w:rPr>
        <w:br w:type="textWrapping"/>
      </w:r>
      <w:r>
        <w:rPr>
          <w:rFonts w:hint="eastAsia" w:ascii="宋体" w:hAnsi="宋体" w:eastAsia="宋体" w:cs="宋体"/>
          <w:sz w:val="22"/>
          <w:szCs w:val="22"/>
        </w:rPr>
        <w:t>    数量: 3  </w:t>
      </w:r>
      <w:r>
        <w:rPr>
          <w:rFonts w:hint="eastAsia" w:ascii="宋体" w:hAnsi="宋体" w:eastAsia="宋体" w:cs="宋体"/>
          <w:sz w:val="22"/>
          <w:szCs w:val="22"/>
        </w:rPr>
        <w:br w:type="textWrapping"/>
      </w:r>
      <w:r>
        <w:rPr>
          <w:rFonts w:hint="eastAsia" w:ascii="宋体" w:hAnsi="宋体" w:eastAsia="宋体" w:cs="宋体"/>
          <w:sz w:val="22"/>
          <w:szCs w:val="22"/>
        </w:rPr>
        <w:t>    预算金额（元）: 12610000 </w:t>
      </w:r>
      <w:r>
        <w:rPr>
          <w:rFonts w:hint="eastAsia" w:ascii="宋体" w:hAnsi="宋体" w:eastAsia="宋体" w:cs="宋体"/>
          <w:sz w:val="22"/>
          <w:szCs w:val="22"/>
        </w:rPr>
        <w:br w:type="textWrapping"/>
      </w:r>
      <w:r>
        <w:rPr>
          <w:rFonts w:hint="eastAsia" w:ascii="宋体" w:hAnsi="宋体" w:eastAsia="宋体" w:cs="宋体"/>
          <w:sz w:val="22"/>
          <w:szCs w:val="22"/>
        </w:rPr>
        <w:t>    简要规格描述或项目基本概况介绍、用途：详见招标文件 </w:t>
      </w:r>
      <w:r>
        <w:rPr>
          <w:rFonts w:hint="eastAsia" w:ascii="宋体" w:hAnsi="宋体" w:eastAsia="宋体" w:cs="宋体"/>
          <w:sz w:val="22"/>
          <w:szCs w:val="22"/>
        </w:rPr>
        <w:br w:type="textWrapping"/>
      </w:r>
      <w:r>
        <w:rPr>
          <w:rFonts w:hint="eastAsia" w:ascii="宋体" w:hAnsi="宋体" w:eastAsia="宋体" w:cs="宋体"/>
          <w:sz w:val="22"/>
          <w:szCs w:val="22"/>
        </w:rPr>
        <w:t>    备注：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合同履约期限：标项 1，3年</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本项目（否）接受联合体投标。</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Style w:val="32"/>
          <w:rFonts w:hint="eastAsia" w:ascii="宋体" w:hAnsi="宋体" w:eastAsia="宋体" w:cs="宋体"/>
          <w:sz w:val="22"/>
          <w:szCs w:val="22"/>
        </w:rPr>
        <w:t>二、申请人的资格要求：</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2.落实政府采购政策需满足的资格要求：标项1：专门面向中小企业采购项目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3.本项目的特定资格要求：标项1：供应商具有有效的《保安服务许可证》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2"/>
          <w:rFonts w:hint="eastAsia" w:ascii="宋体" w:hAnsi="宋体" w:eastAsia="宋体" w:cs="宋体"/>
          <w:sz w:val="22"/>
          <w:szCs w:val="22"/>
        </w:rPr>
        <w:t>三、获取招标文件</w:t>
      </w:r>
      <w:r>
        <w:rPr>
          <w:rFonts w:hint="eastAsia" w:ascii="宋体" w:hAnsi="宋体" w:eastAsia="宋体" w:cs="宋体"/>
          <w:sz w:val="22"/>
          <w:szCs w:val="22"/>
        </w:rPr>
        <w:t>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eastAsia="宋体" w:cs="宋体"/>
          <w:sz w:val="22"/>
          <w:szCs w:val="22"/>
          <w:u w:val="none"/>
        </w:rPr>
        <w:t>时间：</w:t>
      </w:r>
      <w:r>
        <w:rPr>
          <w:rFonts w:hint="eastAsia" w:cs="宋体"/>
          <w:sz w:val="22"/>
          <w:szCs w:val="22"/>
          <w:u w:val="none"/>
          <w:lang w:eastAsia="zh-CN"/>
        </w:rPr>
        <w:t>2022年09月05日</w:t>
      </w:r>
      <w:r>
        <w:rPr>
          <w:rFonts w:hint="eastAsia" w:ascii="宋体" w:hAnsi="宋体" w:eastAsia="宋体" w:cs="宋体"/>
          <w:sz w:val="22"/>
          <w:szCs w:val="22"/>
          <w:u w:val="none"/>
        </w:rPr>
        <w:t>至</w:t>
      </w:r>
      <w:r>
        <w:rPr>
          <w:rFonts w:hint="eastAsia" w:cs="宋体"/>
          <w:sz w:val="22"/>
          <w:szCs w:val="22"/>
          <w:u w:val="none"/>
          <w:lang w:eastAsia="zh-CN"/>
        </w:rPr>
        <w:t>2022年09月26日</w:t>
      </w:r>
      <w:r>
        <w:rPr>
          <w:rFonts w:hint="eastAsia" w:ascii="宋体" w:hAnsi="宋体" w:eastAsia="宋体" w:cs="宋体"/>
          <w:sz w:val="22"/>
          <w:szCs w:val="22"/>
          <w:u w:val="none"/>
        </w:rPr>
        <w:t> ，每天上午00:00至12:00 ，下午12:00至23:59（北京时间，线上获取法定节假日均可，线下获取文件法定节假日除外）</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地点（网址）：政采云平台https://www.zcygov.cn/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售价（元）：0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2"/>
          <w:rFonts w:hint="eastAsia" w:ascii="宋体" w:hAnsi="宋体" w:eastAsia="宋体" w:cs="宋体"/>
          <w:sz w:val="22"/>
          <w:szCs w:val="22"/>
        </w:rPr>
        <w:t>四、提交投标文件截止时间、开标时间和地点</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eastAsia="宋体" w:cs="宋体"/>
          <w:sz w:val="22"/>
          <w:szCs w:val="22"/>
          <w:u w:val="none"/>
        </w:rPr>
        <w:t> 提交投标文件截止时间：</w:t>
      </w:r>
      <w:r>
        <w:rPr>
          <w:rFonts w:hint="eastAsia" w:cs="宋体"/>
          <w:sz w:val="22"/>
          <w:szCs w:val="22"/>
          <w:u w:val="none"/>
          <w:lang w:eastAsia="zh-CN"/>
        </w:rPr>
        <w:t>2022年09月26日09:30</w:t>
      </w:r>
      <w:r>
        <w:rPr>
          <w:rFonts w:hint="eastAsia" w:ascii="宋体" w:hAnsi="宋体" w:eastAsia="宋体" w:cs="宋体"/>
          <w:sz w:val="22"/>
          <w:szCs w:val="22"/>
          <w:u w:val="none"/>
        </w:rPr>
        <w:t>（北京时间）</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eastAsia="宋体" w:cs="宋体"/>
          <w:sz w:val="22"/>
          <w:szCs w:val="22"/>
          <w:u w:val="none"/>
        </w:rPr>
        <w:t> 投标地点（网址）：政府采购云平台（https://www.zcygov.cn）</w:t>
      </w:r>
      <w:r>
        <w:rPr>
          <w:rFonts w:hint="eastAsia" w:ascii="宋体" w:hAnsi="宋体" w:eastAsia="宋体" w:cs="宋体"/>
          <w:sz w:val="22"/>
          <w:szCs w:val="22"/>
        </w:rPr>
        <w:t>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u w:val="none"/>
        </w:rPr>
        <w:t>    开标时间：</w:t>
      </w:r>
      <w:r>
        <w:rPr>
          <w:rFonts w:hint="eastAsia" w:cs="宋体"/>
          <w:sz w:val="22"/>
          <w:szCs w:val="22"/>
          <w:u w:val="none"/>
          <w:lang w:eastAsia="zh-CN"/>
        </w:rPr>
        <w:t>2022年09月26日09:30</w:t>
      </w:r>
      <w:r>
        <w:rPr>
          <w:rFonts w:hint="eastAsia" w:ascii="宋体" w:hAnsi="宋体" w:eastAsia="宋体" w:cs="宋体"/>
          <w:sz w:val="22"/>
          <w:szCs w:val="22"/>
        </w:rPr>
        <w:t>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u w:val="none"/>
        </w:rPr>
        <w:t>    开标地点（网址）：浙江省温州市鹿城区温州市民中心A座3楼</w:t>
      </w:r>
      <w:r>
        <w:rPr>
          <w:rFonts w:hint="eastAsia" w:cs="宋体"/>
          <w:sz w:val="22"/>
          <w:szCs w:val="22"/>
          <w:u w:val="none"/>
          <w:lang w:eastAsia="zh-CN"/>
        </w:rPr>
        <w:t>开标室（1）</w:t>
      </w:r>
      <w:r>
        <w:rPr>
          <w:rFonts w:hint="eastAsia" w:ascii="宋体" w:hAnsi="宋体" w:eastAsia="宋体" w:cs="宋体"/>
          <w:sz w:val="22"/>
          <w:szCs w:val="22"/>
        </w:rPr>
        <w:t>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2"/>
          <w:rFonts w:hint="eastAsia" w:ascii="宋体" w:hAnsi="宋体" w:eastAsia="宋体" w:cs="宋体"/>
          <w:sz w:val="22"/>
          <w:szCs w:val="22"/>
        </w:rPr>
        <w:t>五、公告期限</w:t>
      </w:r>
      <w:r>
        <w:rPr>
          <w:rFonts w:hint="eastAsia" w:ascii="宋体" w:hAnsi="宋体" w:eastAsia="宋体" w:cs="宋体"/>
          <w:sz w:val="22"/>
          <w:szCs w:val="22"/>
        </w:rPr>
        <w:t>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自本公告发布之日起5个工作日。</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2"/>
          <w:rFonts w:hint="eastAsia" w:ascii="宋体" w:hAnsi="宋体" w:eastAsia="宋体" w:cs="宋体"/>
          <w:sz w:val="22"/>
          <w:szCs w:val="22"/>
        </w:rPr>
        <w:t>六、其他补充事宜</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sz w:val="22"/>
          <w:szCs w:val="22"/>
        </w:rPr>
      </w:pPr>
      <w:r>
        <w:rPr>
          <w:rFonts w:hint="eastAsia" w:ascii="宋体" w:hAnsi="宋体" w:eastAsia="宋体" w:cs="宋体"/>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sz w:val="22"/>
          <w:szCs w:val="22"/>
        </w:rPr>
      </w:pPr>
      <w:r>
        <w:rPr>
          <w:rFonts w:hint="eastAsia" w:ascii="宋体" w:hAnsi="宋体" w:eastAsia="宋体" w:cs="宋体"/>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sz w:val="22"/>
          <w:szCs w:val="22"/>
        </w:rPr>
        <w:t>3.其他事项：无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2"/>
          <w:rFonts w:hint="eastAsia" w:ascii="宋体" w:hAnsi="宋体" w:eastAsia="宋体" w:cs="宋体"/>
          <w:sz w:val="22"/>
          <w:szCs w:val="22"/>
        </w:rPr>
        <w:t>七、对本次采购提出询问、质疑、投诉，请按以下方式联系</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1.采购人信息</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名    称：温州肯恩大学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地    址：温州市瓯海区丽岙街道大学路88号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传    真：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项目联系人（询问）：孙老师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项目联系方式（询问）：0577-55870565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质疑联系人：刘老师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质疑联系方式：0577-55870553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eastAsia="宋体" w:cs="宋体"/>
          <w:sz w:val="22"/>
          <w:szCs w:val="22"/>
        </w:rPr>
        <w:br w:type="textWrapping"/>
      </w:r>
      <w:r>
        <w:rPr>
          <w:rFonts w:hint="eastAsia" w:ascii="宋体" w:hAnsi="宋体" w:eastAsia="宋体" w:cs="宋体"/>
          <w:sz w:val="22"/>
          <w:szCs w:val="22"/>
        </w:rPr>
        <w:t>    2.采购代理机构信息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名    称：浙江乐诚工程咨询有限公司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60"/>
        <w:textAlignment w:val="auto"/>
        <w:rPr>
          <w:rFonts w:hint="eastAsia" w:ascii="宋体" w:hAnsi="宋体" w:eastAsia="宋体" w:cs="宋体"/>
          <w:sz w:val="22"/>
          <w:szCs w:val="22"/>
        </w:rPr>
      </w:pPr>
      <w:r>
        <w:rPr>
          <w:rFonts w:hint="eastAsia" w:ascii="宋体" w:hAnsi="宋体" w:eastAsia="宋体" w:cs="宋体"/>
          <w:sz w:val="22"/>
          <w:szCs w:val="22"/>
        </w:rPr>
        <w:t>地    址：温州市瓯海区三垟街道桥头河大桥温州生命健康小镇B03</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60"/>
        <w:textAlignment w:val="auto"/>
        <w:rPr>
          <w:rFonts w:hint="eastAsia" w:ascii="宋体" w:hAnsi="宋体" w:eastAsia="宋体" w:cs="宋体"/>
          <w:sz w:val="22"/>
          <w:szCs w:val="22"/>
        </w:rPr>
      </w:pPr>
      <w:r>
        <w:rPr>
          <w:rFonts w:hint="eastAsia" w:ascii="宋体" w:hAnsi="宋体" w:eastAsia="宋体" w:cs="宋体"/>
          <w:sz w:val="22"/>
          <w:szCs w:val="22"/>
        </w:rPr>
        <w:t>传    真：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项目联系人（询问）：</w:t>
      </w:r>
      <w:r>
        <w:rPr>
          <w:rFonts w:hint="eastAsia" w:cs="宋体"/>
          <w:sz w:val="22"/>
          <w:szCs w:val="22"/>
          <w:lang w:val="en-US" w:eastAsia="zh-CN"/>
        </w:rPr>
        <w:t>王纪凤</w:t>
      </w:r>
      <w:r>
        <w:rPr>
          <w:rFonts w:hint="eastAsia" w:ascii="宋体" w:hAnsi="宋体" w:eastAsia="宋体" w:cs="宋体"/>
          <w:sz w:val="22"/>
          <w:szCs w:val="22"/>
        </w:rPr>
        <w:t>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项目联系方式（询问）：18357703076/0577-86077700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质疑联系人：陈素芳   </w:t>
      </w:r>
      <w:bookmarkStart w:id="10" w:name="_GoBack"/>
      <w:bookmarkEnd w:id="10"/>
      <w:r>
        <w:rPr>
          <w:rFonts w:hint="eastAsia" w:ascii="宋体" w:hAnsi="宋体" w:eastAsia="宋体" w:cs="宋体"/>
          <w:sz w:val="22"/>
          <w:szCs w:val="22"/>
        </w:rPr>
        <w:t xml:space="preserve">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质疑联系方式：15805779720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eastAsia="宋体" w:cs="宋体"/>
          <w:sz w:val="22"/>
          <w:szCs w:val="22"/>
        </w:rPr>
        <w:br w:type="textWrapping"/>
      </w:r>
      <w:r>
        <w:rPr>
          <w:rFonts w:hint="eastAsia" w:ascii="宋体" w:hAnsi="宋体" w:eastAsia="宋体" w:cs="宋体"/>
          <w:sz w:val="22"/>
          <w:szCs w:val="22"/>
        </w:rPr>
        <w:t>    3.同级政府采购监督管理部门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名    称：温州市财政局政府采购监管处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地    址：温州市鹿城区绣山路299号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传    真：/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联系人 ：项先生、蔡女士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监督投诉电话：0577-88532725、88521948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kern w:val="0"/>
          <w:sz w:val="22"/>
          <w:szCs w:val="22"/>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kern w:val="0"/>
          <w:sz w:val="22"/>
          <w:szCs w:val="22"/>
          <w:lang w:val="en-US" w:eastAsia="zh-CN" w:bidi="ar"/>
        </w:rPr>
        <w:t>CA问题联系电话（人工）：汇信CA 400-888-4636；天谷CA 400-087-8198。</w:t>
      </w:r>
    </w:p>
    <w:p>
      <w:pPr>
        <w:widowControl/>
        <w:spacing w:line="360" w:lineRule="exact"/>
        <w:ind w:firstLine="440" w:firstLineChars="200"/>
        <w:jc w:val="right"/>
        <w:rPr>
          <w:rFonts w:hint="eastAsia" w:ascii="宋体" w:hAnsi="宋体" w:eastAsia="宋体" w:cs="宋体"/>
          <w:color w:val="auto"/>
          <w:kern w:val="0"/>
          <w:sz w:val="22"/>
          <w:highlight w:val="none"/>
        </w:rPr>
      </w:pPr>
    </w:p>
    <w:p>
      <w:pPr>
        <w:widowControl/>
        <w:spacing w:line="360" w:lineRule="exact"/>
        <w:ind w:firstLine="440" w:firstLineChars="200"/>
        <w:jc w:val="right"/>
        <w:rPr>
          <w:rFonts w:hint="eastAsia" w:ascii="宋体" w:hAnsi="宋体" w:eastAsia="宋体" w:cs="宋体"/>
          <w:color w:val="auto"/>
          <w:kern w:val="0"/>
          <w:sz w:val="22"/>
          <w:highlight w:val="none"/>
        </w:rPr>
      </w:pPr>
    </w:p>
    <w:p>
      <w:pPr>
        <w:widowControl/>
        <w:spacing w:line="360" w:lineRule="exact"/>
        <w:ind w:firstLine="440" w:firstLineChars="200"/>
        <w:jc w:val="right"/>
        <w:rPr>
          <w:rFonts w:hint="eastAsia" w:ascii="宋体" w:hAnsi="宋体" w:eastAsia="宋体" w:cs="宋体"/>
          <w:color w:val="auto"/>
          <w:spacing w:val="-6"/>
          <w:sz w:val="22"/>
          <w:highlight w:val="none"/>
          <w:lang w:val="zh-CN"/>
        </w:rPr>
      </w:pPr>
      <w:r>
        <w:rPr>
          <w:rFonts w:hint="eastAsia" w:ascii="宋体" w:hAnsi="宋体" w:eastAsia="宋体" w:cs="宋体"/>
          <w:color w:val="auto"/>
          <w:kern w:val="0"/>
          <w:sz w:val="22"/>
          <w:highlight w:val="none"/>
        </w:rPr>
        <w:t>       </w:t>
      </w:r>
      <w:r>
        <w:rPr>
          <w:rFonts w:hint="eastAsia" w:ascii="宋体" w:hAnsi="宋体" w:eastAsia="宋体" w:cs="宋体"/>
          <w:color w:val="auto"/>
          <w:spacing w:val="-6"/>
          <w:sz w:val="22"/>
          <w:highlight w:val="none"/>
          <w:lang w:val="zh-CN"/>
        </w:rPr>
        <w:t>温州肯恩大学</w:t>
      </w:r>
    </w:p>
    <w:p>
      <w:pPr>
        <w:spacing w:line="400" w:lineRule="exact"/>
        <w:ind w:firstLine="440" w:firstLineChars="200"/>
        <w:jc w:val="righ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浙江乐诚工程咨询有限公司</w:t>
      </w:r>
    </w:p>
    <w:p>
      <w:pPr>
        <w:spacing w:line="400" w:lineRule="exact"/>
        <w:jc w:val="right"/>
        <w:rPr>
          <w:rFonts w:hint="eastAsia" w:ascii="宋体" w:hAnsi="宋体" w:eastAsia="宋体" w:cs="宋体"/>
          <w:b/>
          <w:color w:val="auto"/>
          <w:sz w:val="32"/>
          <w:highlight w:val="none"/>
          <w:lang w:eastAsia="zh-CN"/>
        </w:rPr>
      </w:pPr>
      <w:r>
        <w:rPr>
          <w:rFonts w:hint="eastAsia" w:ascii="宋体" w:hAnsi="宋体" w:cs="宋体"/>
          <w:color w:val="auto"/>
          <w:sz w:val="22"/>
          <w:highlight w:val="none"/>
          <w:lang w:eastAsia="zh-CN"/>
        </w:rPr>
        <w:t>2022年09月05日</w:t>
      </w:r>
    </w:p>
    <w:p>
      <w:pPr>
        <w:pStyle w:val="13"/>
        <w:ind w:left="643" w:hanging="643"/>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3"/>
        <w:ind w:left="643" w:hanging="643"/>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3"/>
        <w:ind w:left="643" w:hanging="643"/>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7"/>
        <w:rPr>
          <w:rFonts w:hint="eastAsia" w:ascii="宋体" w:hAnsi="宋体" w:eastAsia="宋体" w:cs="宋体"/>
          <w:b/>
          <w:color w:val="auto"/>
          <w:sz w:val="32"/>
          <w:highlight w:val="none"/>
        </w:rPr>
      </w:pPr>
    </w:p>
    <w:p>
      <w:pPr>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5"/>
        <w:rPr>
          <w:rFonts w:hint="eastAsia" w:ascii="宋体" w:hAnsi="宋体" w:eastAsia="宋体" w:cs="宋体"/>
        </w:rPr>
      </w:pP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第二部分  投标人须知</w:t>
      </w:r>
    </w:p>
    <w:p>
      <w:pPr>
        <w:spacing w:line="3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投标人须知前附表</w:t>
      </w:r>
    </w:p>
    <w:tbl>
      <w:tblPr>
        <w:tblStyle w:val="29"/>
        <w:tblW w:w="9780" w:type="dxa"/>
        <w:jc w:val="center"/>
        <w:tblLayout w:type="fixed"/>
        <w:tblCellMar>
          <w:top w:w="0" w:type="dxa"/>
          <w:left w:w="108" w:type="dxa"/>
          <w:bottom w:w="0" w:type="dxa"/>
          <w:right w:w="108" w:type="dxa"/>
        </w:tblCellMar>
      </w:tblPr>
      <w:tblGrid>
        <w:gridCol w:w="708"/>
        <w:gridCol w:w="1559"/>
        <w:gridCol w:w="7513"/>
      </w:tblGrid>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条款名称</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编列内容</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采购人</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ind w:right="416"/>
              <w:rPr>
                <w:rFonts w:hint="eastAsia" w:ascii="宋体" w:hAnsi="宋体" w:eastAsia="宋体" w:cs="宋体"/>
                <w:color w:val="auto"/>
                <w:spacing w:val="-6"/>
                <w:sz w:val="22"/>
                <w:highlight w:val="none"/>
                <w:lang w:val="zh-CN"/>
              </w:rPr>
            </w:pPr>
            <w:r>
              <w:rPr>
                <w:rFonts w:hint="eastAsia" w:ascii="宋体" w:hAnsi="宋体" w:eastAsia="宋体" w:cs="宋体"/>
                <w:color w:val="auto"/>
                <w:spacing w:val="-6"/>
                <w:sz w:val="22"/>
                <w:highlight w:val="none"/>
                <w:lang w:val="zh-CN"/>
              </w:rPr>
              <w:t>温州肯恩大学</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采购代理机构</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lang w:val="zh-CN"/>
              </w:rPr>
              <w:t>浙江乐诚工程咨询有限公司</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sz w:val="22"/>
                <w:highlight w:val="none"/>
                <w:lang w:val="zh-CN" w:eastAsia="zh-CN"/>
              </w:rPr>
            </w:pPr>
            <w:r>
              <w:rPr>
                <w:rFonts w:hint="eastAsia" w:ascii="宋体" w:hAnsi="宋体" w:eastAsia="宋体" w:cs="宋体"/>
                <w:color w:val="auto"/>
                <w:kern w:val="0"/>
                <w:sz w:val="22"/>
                <w:highlight w:val="none"/>
                <w:lang w:eastAsia="zh-CN"/>
              </w:rPr>
              <w:t>温州肯恩大学2022-2025年度校园安保外包服务(重)</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预算金额</w:t>
            </w:r>
            <w:r>
              <w:rPr>
                <w:rFonts w:hint="eastAsia" w:ascii="宋体" w:hAnsi="宋体" w:eastAsia="宋体" w:cs="宋体"/>
                <w:color w:val="auto"/>
                <w:kern w:val="0"/>
                <w:sz w:val="22"/>
                <w:highlight w:val="none"/>
              </w:rPr>
              <w:t>及资金来源</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lang w:eastAsia="zh-CN"/>
              </w:rPr>
              <w:t>3年总预算金额12610000元，3年最高限价11435960元。每年</w:t>
            </w:r>
            <w:r>
              <w:rPr>
                <w:rFonts w:hint="eastAsia" w:ascii="宋体" w:hAnsi="宋体" w:eastAsia="宋体" w:cs="宋体"/>
                <w:color w:val="auto"/>
                <w:kern w:val="0"/>
                <w:sz w:val="22"/>
                <w:highlight w:val="none"/>
                <w:u w:val="single"/>
                <w:lang w:eastAsia="zh-CN"/>
              </w:rPr>
              <w:t>设置最高限价</w:t>
            </w:r>
            <w:r>
              <w:rPr>
                <w:rFonts w:hint="eastAsia" w:ascii="宋体" w:hAnsi="宋体" w:eastAsia="宋体" w:cs="宋体"/>
                <w:color w:val="auto"/>
                <w:sz w:val="22"/>
                <w:highlight w:val="none"/>
                <w:u w:val="single"/>
                <w:lang w:val="zh-CN"/>
              </w:rPr>
              <w:t>：第一年最高限价金额</w:t>
            </w:r>
            <w:r>
              <w:rPr>
                <w:rFonts w:hint="eastAsia" w:ascii="宋体" w:hAnsi="宋体" w:eastAsia="宋体" w:cs="宋体"/>
                <w:color w:val="auto"/>
                <w:sz w:val="22"/>
                <w:highlight w:val="none"/>
                <w:u w:val="single"/>
              </w:rPr>
              <w:t>3510000元；</w:t>
            </w:r>
            <w:r>
              <w:rPr>
                <w:rFonts w:hint="eastAsia" w:ascii="宋体" w:hAnsi="宋体" w:eastAsia="宋体" w:cs="宋体"/>
                <w:color w:val="auto"/>
                <w:sz w:val="22"/>
                <w:highlight w:val="none"/>
                <w:u w:val="single"/>
                <w:lang w:val="zh-CN"/>
              </w:rPr>
              <w:t>第二年最高限价金额3898690</w:t>
            </w:r>
            <w:r>
              <w:rPr>
                <w:rFonts w:hint="eastAsia" w:ascii="宋体" w:hAnsi="宋体" w:eastAsia="宋体" w:cs="宋体"/>
                <w:color w:val="auto"/>
                <w:sz w:val="22"/>
                <w:highlight w:val="none"/>
                <w:u w:val="single"/>
              </w:rPr>
              <w:t>元；</w:t>
            </w:r>
            <w:r>
              <w:rPr>
                <w:rFonts w:hint="eastAsia" w:ascii="宋体" w:hAnsi="宋体" w:eastAsia="宋体" w:cs="宋体"/>
                <w:color w:val="auto"/>
                <w:sz w:val="22"/>
                <w:highlight w:val="none"/>
                <w:u w:val="single"/>
                <w:lang w:val="zh-CN"/>
              </w:rPr>
              <w:t>第三年最高限价金额4027270</w:t>
            </w:r>
            <w:r>
              <w:rPr>
                <w:rFonts w:hint="eastAsia" w:ascii="宋体" w:hAnsi="宋体" w:eastAsia="宋体" w:cs="宋体"/>
                <w:color w:val="auto"/>
                <w:sz w:val="22"/>
                <w:highlight w:val="none"/>
                <w:u w:val="single"/>
              </w:rPr>
              <w:t>元</w:t>
            </w:r>
            <w:r>
              <w:rPr>
                <w:rFonts w:hint="eastAsia" w:ascii="宋体" w:hAnsi="宋体" w:eastAsia="宋体" w:cs="宋体"/>
                <w:color w:val="auto"/>
                <w:sz w:val="22"/>
                <w:highlight w:val="none"/>
                <w:u w:val="single"/>
                <w:lang w:val="zh-CN"/>
              </w:rPr>
              <w:t>。报价超过</w:t>
            </w:r>
            <w:r>
              <w:rPr>
                <w:rFonts w:hint="eastAsia" w:ascii="宋体" w:hAnsi="宋体" w:eastAsia="宋体" w:cs="宋体"/>
                <w:color w:val="auto"/>
                <w:sz w:val="22"/>
                <w:highlight w:val="none"/>
                <w:u w:val="single"/>
              </w:rPr>
              <w:t>对应</w:t>
            </w:r>
            <w:r>
              <w:rPr>
                <w:rFonts w:hint="eastAsia" w:ascii="宋体" w:hAnsi="宋体" w:eastAsia="宋体" w:cs="宋体"/>
                <w:color w:val="auto"/>
                <w:sz w:val="22"/>
                <w:highlight w:val="none"/>
                <w:u w:val="single"/>
                <w:lang w:val="zh-CN"/>
              </w:rPr>
              <w:t>最高限价金额的投标无效。</w:t>
            </w:r>
          </w:p>
          <w:p>
            <w:pPr>
              <w:autoSpaceDE w:val="0"/>
              <w:autoSpaceDN w:val="0"/>
              <w:adjustRightInd w:val="0"/>
              <w:spacing w:line="36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采购资金来源：财政拨款。</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采购需求</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详见第五部分</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投标报价</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1.</w:t>
            </w:r>
            <w:r>
              <w:rPr>
                <w:rFonts w:hint="eastAsia" w:ascii="宋体" w:hAnsi="宋体" w:eastAsia="宋体" w:cs="宋体"/>
                <w:color w:val="auto"/>
                <w:kern w:val="0"/>
                <w:sz w:val="22"/>
                <w:highlight w:val="none"/>
                <w:lang w:val="zh-CN"/>
              </w:rPr>
              <w:t>投标报价是指一次性报出不得更改的价格；</w:t>
            </w:r>
          </w:p>
          <w:p>
            <w:pPr>
              <w:autoSpaceDE w:val="0"/>
              <w:autoSpaceDN w:val="0"/>
              <w:adjustRightInd w:val="0"/>
              <w:spacing w:line="360" w:lineRule="exac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val="zh-CN"/>
              </w:rPr>
              <w:t>2.</w:t>
            </w:r>
            <w:r>
              <w:rPr>
                <w:rFonts w:hint="eastAsia" w:ascii="宋体" w:hAnsi="宋体" w:eastAsia="宋体" w:cs="宋体"/>
                <w:bCs/>
                <w:color w:val="auto"/>
                <w:sz w:val="22"/>
                <w:highlight w:val="none"/>
              </w:rPr>
              <w:t>采用人民币报价</w:t>
            </w:r>
            <w:r>
              <w:rPr>
                <w:rFonts w:hint="eastAsia" w:ascii="宋体" w:hAnsi="宋体" w:eastAsia="宋体" w:cs="宋体"/>
                <w:bCs/>
                <w:snapToGrid w:val="0"/>
                <w:color w:val="auto"/>
                <w:sz w:val="22"/>
                <w:highlight w:val="none"/>
              </w:rPr>
              <w:t>。</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投标费用</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不论投标结果如何，投标人均应自行承担所有与投标有关的全部费用</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投标人资质格要求</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rPr>
              <w:t>详见投标邀请书</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是否接受联合体投标</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不接受</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踏勘现场</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组织</w:t>
            </w: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u w:val="none"/>
              </w:rPr>
              <w:t>各投标人于2022年</w:t>
            </w:r>
            <w:r>
              <w:rPr>
                <w:rFonts w:hint="eastAsia" w:ascii="宋体" w:hAnsi="宋体" w:eastAsia="宋体" w:cs="宋体"/>
                <w:color w:val="auto"/>
                <w:kern w:val="0"/>
                <w:sz w:val="22"/>
                <w:highlight w:val="none"/>
                <w:u w:val="none"/>
                <w:lang w:val="en-US" w:eastAsia="zh-CN"/>
              </w:rPr>
              <w:t>08</w:t>
            </w:r>
            <w:r>
              <w:rPr>
                <w:rFonts w:hint="eastAsia" w:ascii="宋体" w:hAnsi="宋体" w:eastAsia="宋体" w:cs="宋体"/>
                <w:color w:val="auto"/>
                <w:kern w:val="0"/>
                <w:sz w:val="22"/>
                <w:highlight w:val="none"/>
                <w:u w:val="none"/>
              </w:rPr>
              <w:t>月</w:t>
            </w:r>
            <w:r>
              <w:rPr>
                <w:rFonts w:hint="eastAsia" w:ascii="宋体" w:hAnsi="宋体" w:eastAsia="宋体" w:cs="宋体"/>
                <w:color w:val="auto"/>
                <w:kern w:val="0"/>
                <w:sz w:val="22"/>
                <w:highlight w:val="none"/>
                <w:u w:val="none"/>
                <w:lang w:val="en-US" w:eastAsia="zh-CN"/>
              </w:rPr>
              <w:t>19</w:t>
            </w:r>
            <w:r>
              <w:rPr>
                <w:rFonts w:hint="eastAsia" w:ascii="宋体" w:hAnsi="宋体" w:eastAsia="宋体" w:cs="宋体"/>
                <w:color w:val="auto"/>
                <w:kern w:val="0"/>
                <w:sz w:val="22"/>
                <w:highlight w:val="none"/>
                <w:u w:val="none"/>
              </w:rPr>
              <w:t>日</w:t>
            </w:r>
            <w:r>
              <w:rPr>
                <w:rFonts w:hint="eastAsia" w:ascii="宋体" w:hAnsi="宋体" w:eastAsia="宋体" w:cs="宋体"/>
                <w:color w:val="auto"/>
                <w:kern w:val="0"/>
                <w:sz w:val="22"/>
                <w:highlight w:val="none"/>
                <w:u w:val="none"/>
                <w:lang w:val="en-US" w:eastAsia="zh-CN"/>
              </w:rPr>
              <w:t>09:30</w:t>
            </w:r>
            <w:r>
              <w:rPr>
                <w:rFonts w:hint="eastAsia" w:ascii="宋体" w:hAnsi="宋体" w:eastAsia="宋体" w:cs="宋体"/>
                <w:color w:val="auto"/>
                <w:kern w:val="0"/>
                <w:sz w:val="22"/>
                <w:highlight w:val="none"/>
                <w:u w:val="none"/>
              </w:rPr>
              <w:t>自行到温州肯恩大学（阮老师0577-55870552）进行踏勘</w:t>
            </w:r>
            <w:r>
              <w:rPr>
                <w:rFonts w:hint="eastAsia" w:ascii="宋体" w:hAnsi="宋体" w:eastAsia="宋体" w:cs="宋体"/>
                <w:color w:val="auto"/>
                <w:kern w:val="0"/>
                <w:sz w:val="22"/>
                <w:highlight w:val="none"/>
              </w:rPr>
              <w:t>（</w:t>
            </w:r>
            <w:r>
              <w:rPr>
                <w:rFonts w:hint="eastAsia" w:ascii="宋体" w:hAnsi="宋体" w:eastAsia="宋体" w:cs="宋体"/>
                <w:color w:val="auto"/>
                <w:kern w:val="0"/>
                <w:sz w:val="22"/>
                <w:szCs w:val="22"/>
                <w:highlight w:val="none"/>
                <w:lang w:bidi="ar"/>
              </w:rPr>
              <w:t>踏勘人员必须符合温州市防疫要求，出示温州防疫码绿码和48小时内核酸阴性证明</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联系</w:t>
            </w:r>
            <w:r>
              <w:rPr>
                <w:rFonts w:hint="eastAsia" w:ascii="宋体" w:hAnsi="宋体" w:eastAsia="宋体" w:cs="宋体"/>
                <w:color w:val="auto"/>
                <w:kern w:val="0"/>
                <w:sz w:val="22"/>
                <w:szCs w:val="22"/>
                <w:highlight w:val="none"/>
                <w:lang w:eastAsia="zh-CN" w:bidi="ar"/>
              </w:rPr>
              <w:t>采购代理机构</w:t>
            </w:r>
            <w:r>
              <w:rPr>
                <w:rFonts w:hint="eastAsia" w:ascii="宋体" w:hAnsi="宋体" w:eastAsia="宋体" w:cs="宋体"/>
                <w:color w:val="auto"/>
                <w:kern w:val="0"/>
                <w:sz w:val="22"/>
                <w:szCs w:val="22"/>
                <w:highlight w:val="none"/>
                <w:lang w:bidi="ar"/>
              </w:rPr>
              <w:t>办理入校申请，不符合防疫要求且未办理入校申请导致投标</w:t>
            </w:r>
            <w:r>
              <w:rPr>
                <w:rFonts w:hint="eastAsia" w:ascii="宋体" w:hAnsi="宋体" w:eastAsia="宋体" w:cs="宋体"/>
                <w:color w:val="auto"/>
                <w:kern w:val="0"/>
                <w:sz w:val="22"/>
                <w:szCs w:val="22"/>
                <w:highlight w:val="none"/>
                <w:lang w:eastAsia="zh-CN" w:bidi="ar"/>
              </w:rPr>
              <w:t>人</w:t>
            </w:r>
            <w:r>
              <w:rPr>
                <w:rFonts w:hint="eastAsia" w:ascii="宋体" w:hAnsi="宋体" w:eastAsia="宋体" w:cs="宋体"/>
                <w:color w:val="auto"/>
                <w:kern w:val="0"/>
                <w:sz w:val="22"/>
                <w:szCs w:val="22"/>
                <w:highlight w:val="none"/>
                <w:lang w:bidi="ar"/>
              </w:rPr>
              <w:t>不能进校踏勘的责任由投标</w:t>
            </w:r>
            <w:r>
              <w:rPr>
                <w:rFonts w:hint="eastAsia" w:ascii="宋体" w:hAnsi="宋体" w:eastAsia="宋体" w:cs="宋体"/>
                <w:color w:val="auto"/>
                <w:kern w:val="0"/>
                <w:sz w:val="22"/>
                <w:szCs w:val="22"/>
                <w:highlight w:val="none"/>
                <w:lang w:eastAsia="zh-CN" w:bidi="ar"/>
              </w:rPr>
              <w:t>人</w:t>
            </w:r>
            <w:r>
              <w:rPr>
                <w:rFonts w:hint="eastAsia" w:ascii="宋体" w:hAnsi="宋体" w:eastAsia="宋体" w:cs="宋体"/>
                <w:color w:val="auto"/>
                <w:kern w:val="0"/>
                <w:sz w:val="22"/>
                <w:szCs w:val="22"/>
                <w:highlight w:val="none"/>
                <w:lang w:bidi="ar"/>
              </w:rPr>
              <w:t>自行承担</w:t>
            </w:r>
            <w:r>
              <w:rPr>
                <w:rFonts w:hint="eastAsia" w:ascii="宋体" w:hAnsi="宋体" w:eastAsia="宋体" w:cs="宋体"/>
                <w:color w:val="auto"/>
                <w:kern w:val="0"/>
                <w:sz w:val="22"/>
                <w:highlight w:val="none"/>
              </w:rPr>
              <w:t>）</w:t>
            </w:r>
            <w:r>
              <w:rPr>
                <w:rFonts w:hint="eastAsia" w:ascii="宋体" w:hAnsi="宋体" w:eastAsia="宋体" w:cs="宋体"/>
                <w:color w:val="auto"/>
                <w:kern w:val="0"/>
                <w:sz w:val="22"/>
                <w:highlight w:val="none"/>
                <w:u w:val="none"/>
              </w:rPr>
              <w:t>，以获取本次投标所需的现场资料及数据，投标人若未到现场踏勘，引起的一切后果均由其自行负责，由此造成投标价的偏差均不予调整。</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投标预备会</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不召开</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分包和转包</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不允许</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偏离</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偏差允许幅度及其处理方法：允许细微偏差，不允许重大偏差。由评标委员会判断，细微偏差要求投标人在评标结束前予以澄清、说明或补正，不接受要求进行的，评标委员会有权做投标无效处理，详见评标办法。</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投标有效期</w:t>
            </w:r>
          </w:p>
        </w:tc>
        <w:tc>
          <w:tcPr>
            <w:tcW w:w="751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从提交投标文件的截止时间之日起90天。</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投标保证金</w:t>
            </w:r>
          </w:p>
        </w:tc>
        <w:tc>
          <w:tcPr>
            <w:tcW w:w="751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无</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eastAsia="宋体" w:cs="宋体"/>
                <w:color w:val="auto"/>
                <w:kern w:val="0"/>
                <w:sz w:val="22"/>
                <w:highlight w:val="none"/>
              </w:rPr>
            </w:pPr>
            <w:r>
              <w:rPr>
                <w:rFonts w:hint="eastAsia" w:ascii="宋体" w:hAnsi="宋体" w:eastAsia="宋体" w:cs="宋体"/>
                <w:b/>
                <w:bCs/>
                <w:color w:val="auto"/>
                <w:kern w:val="0"/>
                <w:sz w:val="22"/>
                <w:highlight w:val="none"/>
              </w:rPr>
              <w:t>投标文件形式、制作及组成</w:t>
            </w:r>
          </w:p>
        </w:tc>
        <w:tc>
          <w:tcPr>
            <w:tcW w:w="7513" w:type="dxa"/>
            <w:tcBorders>
              <w:top w:val="single" w:color="auto" w:sz="4" w:space="0"/>
              <w:left w:val="single" w:color="auto" w:sz="4" w:space="0"/>
              <w:bottom w:val="single" w:color="auto" w:sz="4" w:space="0"/>
              <w:right w:val="single" w:color="auto" w:sz="4" w:space="0"/>
            </w:tcBorders>
            <w:vAlign w:val="center"/>
          </w:tcPr>
          <w:p>
            <w:pPr>
              <w:pStyle w:val="16"/>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本项目实行网上电子投标。</w:t>
            </w:r>
          </w:p>
          <w:p>
            <w:pPr>
              <w:pStyle w:val="16"/>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投标人应准备电子投标文件、以介质存储的数据电文形式的备份电子投标文件二类：</w:t>
            </w:r>
          </w:p>
          <w:p>
            <w:pPr>
              <w:pStyle w:val="16"/>
              <w:snapToGrid w:val="0"/>
              <w:spacing w:line="360" w:lineRule="exact"/>
              <w:ind w:firstLine="221" w:firstLineChars="1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ascii="宋体" w:hAnsi="宋体" w:eastAsia="宋体" w:cs="宋体"/>
                <w:b/>
                <w:bCs/>
                <w:color w:val="auto"/>
                <w:sz w:val="22"/>
                <w:highlight w:val="none"/>
                <w:lang w:val="zh-CN"/>
              </w:rPr>
              <w:t>。</w:t>
            </w:r>
          </w:p>
          <w:p>
            <w:pPr>
              <w:spacing w:line="360" w:lineRule="exact"/>
              <w:ind w:firstLine="221" w:firstLineChars="1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（2）以介质存储的数据电文形式的备份电子投标文件（如有）：</w:t>
            </w:r>
            <w:r>
              <w:rPr>
                <w:rStyle w:val="32"/>
                <w:rFonts w:hint="eastAsia" w:ascii="宋体" w:hAnsi="宋体" w:eastAsia="宋体" w:cs="宋体"/>
                <w:bCs/>
                <w:color w:val="auto"/>
                <w:sz w:val="22"/>
                <w:highlight w:val="none"/>
              </w:rPr>
              <w:t>与“电子投标文件”同时生成的数据电</w:t>
            </w:r>
            <w:r>
              <w:rPr>
                <w:rFonts w:hint="eastAsia" w:ascii="宋体" w:hAnsi="宋体" w:eastAsia="宋体" w:cs="宋体"/>
                <w:b/>
                <w:bCs/>
                <w:color w:val="auto"/>
                <w:sz w:val="22"/>
                <w:highlight w:val="none"/>
              </w:rPr>
              <w:t>文形式的备份电子投标文件(文件扩展名为.bfbs)，投标截止时间前以</w:t>
            </w:r>
            <w:r>
              <w:rPr>
                <w:rFonts w:hint="eastAsia" w:ascii="宋体" w:hAnsi="宋体" w:eastAsia="宋体" w:cs="宋体"/>
                <w:b/>
                <w:bCs/>
                <w:color w:val="auto"/>
                <w:sz w:val="22"/>
                <w:highlight w:val="none"/>
                <w:lang w:val="zh-CN"/>
              </w:rPr>
              <w:t>电子邮件方式传送至浙江乐诚工程咨询有限公司电子邮箱</w:t>
            </w:r>
            <w:r>
              <w:rPr>
                <w:rFonts w:hint="eastAsia" w:ascii="宋体" w:hAnsi="宋体" w:eastAsia="宋体" w:cs="宋体"/>
                <w:b/>
                <w:bCs/>
                <w:color w:val="auto"/>
                <w:sz w:val="22"/>
                <w:highlight w:val="none"/>
              </w:rPr>
              <w:t>2812799762@qq.com，递</w:t>
            </w:r>
            <w:r>
              <w:rPr>
                <w:rFonts w:hint="eastAsia" w:ascii="宋体" w:hAnsi="宋体" w:eastAsia="宋体" w:cs="宋体"/>
                <w:b/>
                <w:bCs/>
                <w:color w:val="auto"/>
                <w:sz w:val="22"/>
                <w:highlight w:val="none"/>
                <w:lang w:val="zh-CN"/>
              </w:rPr>
              <w:t>交</w:t>
            </w:r>
            <w:r>
              <w:rPr>
                <w:rFonts w:hint="eastAsia" w:ascii="宋体" w:hAnsi="宋体" w:eastAsia="宋体" w:cs="宋体"/>
                <w:b/>
                <w:bCs/>
                <w:color w:val="auto"/>
                <w:sz w:val="22"/>
                <w:highlight w:val="none"/>
              </w:rPr>
              <w:t>1</w:t>
            </w:r>
            <w:r>
              <w:rPr>
                <w:rFonts w:hint="eastAsia" w:ascii="宋体" w:hAnsi="宋体" w:eastAsia="宋体" w:cs="宋体"/>
                <w:b/>
                <w:bCs/>
                <w:color w:val="auto"/>
                <w:sz w:val="22"/>
                <w:highlight w:val="none"/>
                <w:lang w:val="zh-CN"/>
              </w:rPr>
              <w:t>份</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传送的备份电子投标文件需打包压缩并加密</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加密密码由投标人自行保管</w:t>
            </w:r>
            <w:r>
              <w:rPr>
                <w:rFonts w:hint="eastAsia" w:ascii="宋体" w:hAnsi="宋体" w:eastAsia="宋体" w:cs="宋体"/>
                <w:b/>
                <w:bCs/>
                <w:color w:val="auto"/>
                <w:sz w:val="22"/>
                <w:highlight w:val="none"/>
              </w:rPr>
              <w:t>，未加密导致投标信息泄露的风险由投标人自行承担</w:t>
            </w:r>
            <w:r>
              <w:rPr>
                <w:rStyle w:val="32"/>
                <w:rFonts w:hint="eastAsia" w:ascii="宋体" w:hAnsi="宋体" w:eastAsia="宋体" w:cs="宋体"/>
                <w:bCs/>
                <w:color w:val="auto"/>
                <w:sz w:val="22"/>
                <w:highlight w:val="none"/>
              </w:rPr>
              <w:t>。</w:t>
            </w:r>
          </w:p>
          <w:p>
            <w:pPr>
              <w:pStyle w:val="16"/>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投标文件由报价文件、资格文件、商务和技术文件三部分组成。</w:t>
            </w:r>
          </w:p>
          <w:p>
            <w:pPr>
              <w:pStyle w:val="16"/>
              <w:snapToGrid w:val="0"/>
              <w:spacing w:line="360" w:lineRule="exact"/>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rPr>
              <w:t>注：中标人在领取中标通知书时按采购人要求提供全套纸质投标文件叁份。</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t>电子招投标特殊情况处理方式</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本项目原则上采用政采云电子招投标开标及评审程序，但有下情形之一的，按以下情况处理：</w:t>
            </w:r>
          </w:p>
          <w:p>
            <w:pPr>
              <w:spacing w:line="360" w:lineRule="exact"/>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rPr>
              <w:t>若投标人在规定时间内无法解密或解密失败，采购代理机构将开启所有投标人递交的以介质存储的数据电文形式的备份电子投标文件，上传至政采云平台项目采购模块，以完成开标，电子投标文件自动失效。</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评审地点</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温州市行政审批与公共资源交易服务管理中心</w:t>
            </w:r>
            <w:r>
              <w:rPr>
                <w:rFonts w:hint="eastAsia" w:ascii="宋体" w:hAnsi="宋体" w:cs="宋体"/>
                <w:color w:val="auto"/>
                <w:kern w:val="0"/>
                <w:sz w:val="22"/>
                <w:highlight w:val="none"/>
                <w:lang w:val="zh-CN"/>
              </w:rPr>
              <w:t>评审室</w:t>
            </w:r>
            <w:r>
              <w:rPr>
                <w:rFonts w:hint="eastAsia" w:ascii="宋体" w:hAnsi="宋体" w:eastAsia="宋体" w:cs="宋体"/>
                <w:color w:val="auto"/>
                <w:kern w:val="0"/>
                <w:sz w:val="22"/>
                <w:highlight w:val="none"/>
                <w:lang w:val="zh-CN"/>
              </w:rPr>
              <w:t>（温州市会展路1268号“温州市民中心”A座三楼）</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评标委员会的组建</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评标委员会由采购人代表和评审专家组成，成员人数应当为7人以上单数，其中评审专家不得少于成员总数的三分之二。</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b/>
                <w:bCs/>
                <w:snapToGrid w:val="0"/>
                <w:color w:val="auto"/>
                <w:sz w:val="22"/>
                <w:highlight w:val="none"/>
              </w:rPr>
              <w:t>资格审查要求的资格证明材料</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hint="eastAsia" w:ascii="宋体" w:hAnsi="宋体" w:eastAsia="宋体" w:cs="宋体"/>
                <w:b/>
                <w:bCs/>
                <w:color w:val="auto"/>
                <w:sz w:val="22"/>
                <w:highlight w:val="none"/>
              </w:rPr>
            </w:pPr>
            <w:r>
              <w:rPr>
                <w:rFonts w:hint="eastAsia" w:ascii="宋体" w:hAnsi="宋体" w:eastAsia="宋体" w:cs="宋体"/>
                <w:b/>
                <w:bCs/>
                <w:snapToGrid w:val="0"/>
                <w:color w:val="auto"/>
                <w:sz w:val="22"/>
                <w:highlight w:val="none"/>
              </w:rPr>
              <w:t>①有效的法人或者其他组织的营业执照等证明文件，自然人的身份证明（五选一）</w:t>
            </w:r>
            <w:r>
              <w:rPr>
                <w:rFonts w:hint="eastAsia" w:ascii="宋体" w:hAnsi="宋体" w:eastAsia="宋体" w:cs="宋体"/>
                <w:b/>
                <w:bCs/>
                <w:color w:val="auto"/>
                <w:sz w:val="22"/>
                <w:highlight w:val="none"/>
              </w:rPr>
              <w:t>（见附件3-1）</w:t>
            </w:r>
          </w:p>
          <w:p>
            <w:pPr>
              <w:pStyle w:val="26"/>
              <w:spacing w:before="0" w:beforeAutospacing="0" w:after="0" w:afterAutospacing="0" w:line="360" w:lineRule="exact"/>
              <w:rPr>
                <w:rFonts w:hint="eastAsia" w:ascii="宋体" w:hAnsi="宋体" w:eastAsia="宋体" w:cs="宋体"/>
                <w:b/>
                <w:bCs/>
                <w:color w:val="auto"/>
                <w:sz w:val="22"/>
                <w:highlight w:val="none"/>
              </w:rPr>
            </w:pPr>
            <w:r>
              <w:rPr>
                <w:rFonts w:hint="eastAsia" w:ascii="宋体" w:hAnsi="宋体" w:eastAsia="宋体" w:cs="宋体"/>
                <w:b/>
                <w:bCs/>
                <w:snapToGrid w:val="0"/>
                <w:color w:val="auto"/>
                <w:sz w:val="22"/>
                <w:highlight w:val="none"/>
              </w:rPr>
              <w:t>②关于符合《中华人民共和国政府采购法》第二十二条规定的承诺函</w:t>
            </w:r>
            <w:r>
              <w:rPr>
                <w:rFonts w:hint="eastAsia" w:ascii="宋体" w:hAnsi="宋体" w:eastAsia="宋体" w:cs="宋体"/>
                <w:b/>
                <w:bCs/>
                <w:color w:val="auto"/>
                <w:sz w:val="22"/>
                <w:highlight w:val="none"/>
              </w:rPr>
              <w:t>（见附件3-2）</w:t>
            </w:r>
          </w:p>
          <w:p>
            <w:pPr>
              <w:autoSpaceDE w:val="0"/>
              <w:autoSpaceDN w:val="0"/>
              <w:adjustRightInd w:val="0"/>
              <w:snapToGrid w:val="0"/>
              <w:spacing w:line="360" w:lineRule="exact"/>
              <w:textAlignment w:val="bottom"/>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③落实政府采购政策需满足的资格要求：提供中小企业声明函（服务）</w:t>
            </w:r>
            <w:r>
              <w:rPr>
                <w:rFonts w:hint="eastAsia" w:ascii="宋体" w:hAnsi="宋体" w:eastAsia="宋体" w:cs="宋体"/>
                <w:b/>
                <w:bCs/>
                <w:color w:val="auto"/>
                <w:sz w:val="22"/>
                <w:highlight w:val="none"/>
              </w:rPr>
              <w:t>（见附件3-3）</w:t>
            </w:r>
          </w:p>
          <w:p>
            <w:pPr>
              <w:autoSpaceDE w:val="0"/>
              <w:autoSpaceDN w:val="0"/>
              <w:adjustRightInd w:val="0"/>
              <w:snapToGrid w:val="0"/>
              <w:spacing w:line="360" w:lineRule="exact"/>
              <w:textAlignment w:val="bottom"/>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④本项目的特定资格要求：提供有效的《保安服务许可证》（见附件3-4）</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bCs/>
                <w:snapToGrid w:val="0"/>
                <w:color w:val="auto"/>
                <w:sz w:val="22"/>
                <w:highlight w:val="none"/>
              </w:rPr>
            </w:pPr>
            <w:r>
              <w:rPr>
                <w:rFonts w:hint="eastAsia" w:ascii="宋体" w:hAnsi="宋体" w:eastAsia="宋体" w:cs="宋体"/>
                <w:color w:val="auto"/>
                <w:sz w:val="22"/>
                <w:highlight w:val="none"/>
              </w:rPr>
              <w:t>中小企业预留份额情况</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根据《政府采购促进中小企业发展管理办法》财库〔2020〕46号文件的规定，本项目属于预留份额专门面向中小企业采购的项目，不再执行价格评审优惠的扶持政策。</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项目属性</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服务类</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23</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所属行业及标的名称</w:t>
            </w:r>
          </w:p>
        </w:tc>
        <w:tc>
          <w:tcPr>
            <w:tcW w:w="7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1.中小企业划分标准所属行业（具体根据《中小企业划型标准规定》执行）</w:t>
            </w:r>
          </w:p>
          <w:p>
            <w:pPr>
              <w:adjustRightInd w:val="0"/>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b/>
                <w:bCs/>
                <w:snapToGrid w:val="0"/>
                <w:color w:val="auto"/>
                <w:sz w:val="22"/>
                <w:highlight w:val="none"/>
              </w:rPr>
              <w:t>所属行业：</w:t>
            </w:r>
            <w:r>
              <w:rPr>
                <w:rFonts w:hint="eastAsia" w:ascii="宋体" w:hAnsi="宋体" w:eastAsia="宋体" w:cs="宋体"/>
                <w:b/>
                <w:bCs/>
                <w:color w:val="auto"/>
                <w:sz w:val="22"/>
                <w:highlight w:val="none"/>
              </w:rPr>
              <w:t>租赁和商务服务业。</w:t>
            </w:r>
            <w:r>
              <w:rPr>
                <w:rFonts w:hint="eastAsia" w:ascii="宋体" w:hAnsi="宋体" w:eastAsia="宋体" w:cs="宋体"/>
                <w:color w:val="auto"/>
                <w:sz w:val="22"/>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b/>
                <w:bCs/>
                <w:snapToGrid w:val="0"/>
                <w:color w:val="auto"/>
                <w:sz w:val="22"/>
                <w:highlight w:val="none"/>
              </w:rPr>
              <w:t>2.标的名称：</w:t>
            </w:r>
            <w:r>
              <w:rPr>
                <w:rFonts w:hint="eastAsia" w:ascii="宋体" w:hAnsi="宋体" w:eastAsia="宋体" w:cs="宋体"/>
                <w:color w:val="auto"/>
                <w:kern w:val="0"/>
                <w:sz w:val="22"/>
                <w:highlight w:val="none"/>
                <w:lang w:eastAsia="zh-CN"/>
              </w:rPr>
              <w:t>温州肯恩大学2022-2025年度校园安保外包服务</w:t>
            </w:r>
            <w:r>
              <w:rPr>
                <w:rFonts w:hint="eastAsia" w:ascii="宋体" w:hAnsi="宋体" w:eastAsia="宋体" w:cs="宋体"/>
                <w:snapToGrid w:val="0"/>
                <w:color w:val="auto"/>
                <w:sz w:val="22"/>
                <w:highlight w:val="none"/>
                <w:lang w:val="zh-CN"/>
              </w:rPr>
              <w:t>。</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评标办法及评分标准</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综合评分法，详见第六部分  评标原则及方法。</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bCs/>
                <w:snapToGrid w:val="0"/>
                <w:color w:val="auto"/>
                <w:sz w:val="22"/>
                <w:highlight w:val="none"/>
              </w:rPr>
            </w:pPr>
            <w:r>
              <w:rPr>
                <w:rFonts w:hint="eastAsia" w:ascii="宋体" w:hAnsi="宋体" w:eastAsia="宋体" w:cs="宋体"/>
                <w:color w:val="auto"/>
                <w:sz w:val="22"/>
                <w:highlight w:val="none"/>
              </w:rPr>
              <w:t>中标公告及中标通知书</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hint="eastAsia" w:ascii="宋体" w:hAnsi="宋体" w:eastAsia="宋体" w:cs="宋体"/>
                <w:b/>
                <w:bCs/>
                <w:color w:val="auto"/>
                <w:sz w:val="22"/>
                <w:highlight w:val="none"/>
                <w:lang w:val="zh-CN"/>
              </w:rPr>
            </w:pPr>
            <w:r>
              <w:rPr>
                <w:rFonts w:hint="eastAsia" w:ascii="宋体" w:hAnsi="宋体" w:eastAsia="宋体" w:cs="宋体"/>
                <w:color w:val="auto"/>
                <w:sz w:val="22"/>
                <w:highlight w:val="none"/>
              </w:rPr>
              <w:t>评标结束后中标公告发布于浙江政府采购网，并向中标人发出中标通知书。</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合同签订</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中标人须在中标通知书发出之日起30日历天内与采购人签订合同。</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27</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解释权</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电子投标注意事项</w:t>
            </w:r>
          </w:p>
        </w:tc>
        <w:tc>
          <w:tcPr>
            <w:tcW w:w="7513" w:type="dxa"/>
            <w:tcBorders>
              <w:top w:val="single" w:color="auto" w:sz="4" w:space="0"/>
              <w:left w:val="single" w:color="auto" w:sz="4" w:space="0"/>
              <w:bottom w:val="single" w:color="auto" w:sz="4" w:space="0"/>
              <w:right w:val="single" w:color="auto" w:sz="4" w:space="0"/>
            </w:tcBorders>
            <w:vAlign w:val="center"/>
          </w:tcPr>
          <w:p>
            <w:pPr>
              <w:pStyle w:val="38"/>
              <w:numPr>
                <w:ilvl w:val="0"/>
                <w:numId w:val="2"/>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投标人必须先在政府采购云平台进行登记注册，相关事宜请参照（《供应商网上注册操作指南》“浙江政府采购网首页-办事指南-注册-投标人注册申请”），登录政府采购云平台后台依法进行网上自主下载。</w:t>
            </w:r>
          </w:p>
          <w:p>
            <w:pPr>
              <w:pStyle w:val="38"/>
              <w:numPr>
                <w:ilvl w:val="0"/>
                <w:numId w:val="2"/>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实行电子投标，应按照本项目招标文件和政采云平台的要求编制、加密并递交投标文件。投标人在使用系统进行投标的过程中遇到涉及平台使用的任何问题，可致电政采云平台技术支持热线咨询，联系方式：400-881-7190。</w:t>
            </w:r>
          </w:p>
          <w:p>
            <w:pPr>
              <w:pStyle w:val="38"/>
              <w:numPr>
                <w:ilvl w:val="0"/>
                <w:numId w:val="2"/>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"https://service.zcygov.cn/" \l "/knowledges/cm2eqWwBFdiHxlNd_otq/lwV6GXABiyELHE-oVMj3?keyword。" </w:instrText>
            </w:r>
            <w:r>
              <w:rPr>
                <w:rFonts w:hint="eastAsia" w:ascii="宋体" w:hAnsi="宋体" w:eastAsia="宋体" w:cs="宋体"/>
                <w:color w:val="auto"/>
                <w:highlight w:val="none"/>
              </w:rPr>
              <w:fldChar w:fldCharType="separate"/>
            </w:r>
            <w:r>
              <w:rPr>
                <w:rStyle w:val="34"/>
                <w:rFonts w:hint="eastAsia" w:ascii="宋体" w:hAnsi="宋体" w:eastAsia="宋体" w:cs="宋体"/>
                <w:color w:val="auto"/>
                <w:sz w:val="22"/>
                <w:highlight w:val="none"/>
              </w:rPr>
              <w:t>https://service.zcygov.cn/#/knowledges/cm2eqWwBFdiHxlNd_otq/lwV6GXABiyELHE-oVMj3?keyword。</w:t>
            </w:r>
            <w:r>
              <w:rPr>
                <w:rStyle w:val="34"/>
                <w:rFonts w:hint="eastAsia" w:ascii="宋体" w:hAnsi="宋体" w:eastAsia="宋体" w:cs="宋体"/>
                <w:color w:val="auto"/>
                <w:sz w:val="22"/>
                <w:highlight w:val="none"/>
              </w:rPr>
              <w:fldChar w:fldCharType="end"/>
            </w:r>
          </w:p>
          <w:p>
            <w:pPr>
              <w:pStyle w:val="38"/>
              <w:numPr>
                <w:ilvl w:val="0"/>
                <w:numId w:val="2"/>
              </w:numPr>
              <w:spacing w:line="360" w:lineRule="exact"/>
              <w:rPr>
                <w:rFonts w:hint="eastAsia" w:ascii="宋体" w:hAnsi="宋体" w:eastAsia="宋体" w:cs="宋体"/>
                <w:color w:val="auto"/>
                <w:sz w:val="22"/>
                <w:highlight w:val="none"/>
                <w:lang w:val="en-US"/>
              </w:rPr>
            </w:pPr>
            <w:r>
              <w:rPr>
                <w:rFonts w:hint="eastAsia" w:ascii="宋体" w:hAnsi="宋体" w:eastAsia="宋体" w:cs="宋体"/>
                <w:color w:val="auto"/>
                <w:sz w:val="22"/>
                <w:highlight w:val="none"/>
              </w:rPr>
              <w:t>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w:t>
            </w:r>
          </w:p>
          <w:p>
            <w:pPr>
              <w:pStyle w:val="38"/>
              <w:numPr>
                <w:ilvl w:val="0"/>
                <w:numId w:val="2"/>
              </w:numPr>
              <w:spacing w:line="360" w:lineRule="exact"/>
              <w:rPr>
                <w:rFonts w:hint="eastAsia" w:ascii="宋体" w:hAnsi="宋体" w:eastAsia="宋体" w:cs="宋体"/>
                <w:b/>
                <w:color w:val="auto"/>
                <w:sz w:val="22"/>
                <w:highlight w:val="none"/>
                <w:lang w:val="en-US"/>
              </w:rPr>
            </w:pPr>
            <w:r>
              <w:rPr>
                <w:rFonts w:hint="eastAsia" w:ascii="宋体" w:hAnsi="宋体" w:eastAsia="宋体" w:cs="宋体"/>
                <w:color w:val="auto"/>
                <w:sz w:val="22"/>
                <w:highlight w:val="none"/>
              </w:rPr>
              <w:t>投标人可通过浙江省</w:t>
            </w:r>
            <w:r>
              <w:rPr>
                <w:rFonts w:hint="eastAsia" w:ascii="宋体" w:hAnsi="宋体" w:eastAsia="宋体" w:cs="宋体"/>
                <w:color w:val="auto"/>
                <w:sz w:val="22"/>
                <w:highlight w:val="none"/>
                <w:lang w:val="en-US"/>
              </w:rPr>
              <w:t>“</w:t>
            </w:r>
            <w:r>
              <w:rPr>
                <w:rFonts w:hint="eastAsia" w:ascii="宋体" w:hAnsi="宋体" w:eastAsia="宋体" w:cs="宋体"/>
                <w:color w:val="auto"/>
                <w:sz w:val="22"/>
                <w:highlight w:val="none"/>
              </w:rPr>
              <w:t>电子交易</w:t>
            </w:r>
            <w:r>
              <w:rPr>
                <w:rFonts w:hint="eastAsia" w:ascii="宋体" w:hAnsi="宋体" w:eastAsia="宋体" w:cs="宋体"/>
                <w:color w:val="auto"/>
                <w:sz w:val="22"/>
                <w:highlight w:val="none"/>
                <w:lang w:val="en-US"/>
              </w:rPr>
              <w:t>/</w:t>
            </w:r>
            <w:r>
              <w:rPr>
                <w:rFonts w:hint="eastAsia" w:ascii="宋体" w:hAnsi="宋体" w:eastAsia="宋体" w:cs="宋体"/>
                <w:color w:val="auto"/>
                <w:sz w:val="22"/>
                <w:highlight w:val="none"/>
              </w:rPr>
              <w:t>不见面开评标</w:t>
            </w:r>
            <w:r>
              <w:rPr>
                <w:rFonts w:hint="eastAsia" w:ascii="宋体" w:hAnsi="宋体" w:eastAsia="宋体" w:cs="宋体"/>
                <w:color w:val="auto"/>
                <w:sz w:val="22"/>
                <w:highlight w:val="none"/>
                <w:lang w:val="en-US"/>
              </w:rPr>
              <w:t>”</w:t>
            </w:r>
            <w:r>
              <w:rPr>
                <w:rFonts w:hint="eastAsia" w:ascii="宋体" w:hAnsi="宋体" w:eastAsia="宋体" w:cs="宋体"/>
                <w:color w:val="auto"/>
                <w:sz w:val="22"/>
                <w:highlight w:val="none"/>
              </w:rPr>
              <w:t>学习专题提前进行专题学习</w:t>
            </w:r>
            <w:r>
              <w:rPr>
                <w:rFonts w:hint="eastAsia" w:ascii="宋体" w:hAnsi="宋体" w:eastAsia="宋体" w:cs="宋体"/>
                <w:color w:val="auto"/>
                <w:sz w:val="22"/>
                <w:highlight w:val="none"/>
                <w:lang w:val="en-US"/>
              </w:rPr>
              <w:t>，</w:t>
            </w:r>
            <w:r>
              <w:rPr>
                <w:rFonts w:hint="eastAsia" w:ascii="宋体" w:hAnsi="宋体" w:eastAsia="宋体" w:cs="宋体"/>
                <w:color w:val="auto"/>
                <w:sz w:val="22"/>
                <w:highlight w:val="none"/>
              </w:rPr>
              <w:t>熟悉操作</w:t>
            </w:r>
            <w:r>
              <w:rPr>
                <w:rFonts w:hint="eastAsia" w:ascii="宋体" w:hAnsi="宋体" w:eastAsia="宋体" w:cs="宋体"/>
                <w:color w:val="auto"/>
                <w:sz w:val="22"/>
                <w:highlight w:val="none"/>
                <w:lang w:val="en-US"/>
              </w:rPr>
              <w:t>，</w:t>
            </w:r>
            <w:r>
              <w:rPr>
                <w:rFonts w:hint="eastAsia" w:ascii="宋体" w:hAnsi="宋体" w:eastAsia="宋体" w:cs="宋体"/>
                <w:color w:val="auto"/>
                <w:sz w:val="22"/>
                <w:highlight w:val="none"/>
              </w:rPr>
              <w:t>避免影响采购活动</w:t>
            </w:r>
            <w:r>
              <w:rPr>
                <w:rFonts w:hint="eastAsia" w:ascii="宋体" w:hAnsi="宋体" w:eastAsia="宋体" w:cs="宋体"/>
                <w:color w:val="auto"/>
                <w:sz w:val="22"/>
                <w:highlight w:val="none"/>
                <w:lang w:val="en-US"/>
              </w:rPr>
              <w:t>（https://edu.zcygov.cn/luban/e-biding）</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rPr>
              <w:t> </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29</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snapToGrid w:val="0"/>
                <w:color w:val="auto"/>
                <w:sz w:val="22"/>
                <w:highlight w:val="none"/>
              </w:rPr>
              <w:t>采购人补充</w:t>
            </w:r>
          </w:p>
        </w:tc>
        <w:tc>
          <w:tcPr>
            <w:tcW w:w="7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snapToGrid w:val="0"/>
                <w:color w:val="auto"/>
                <w:sz w:val="22"/>
                <w:highlight w:val="none"/>
              </w:rPr>
              <w:t>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其它</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1.公开招标公告属于本招标文件的一部分</w:t>
            </w:r>
          </w:p>
          <w:p>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2.请务必确保投标文件制作客户端为最新版本，旧版本可能导致投标文件解密失败。</w:t>
            </w:r>
          </w:p>
          <w:p>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3.请务必确保投标文件制作时所用的 CA 锁与投标文件解密时的 CA 锁为同一把，否则可能导致投标文件解密失败。</w:t>
            </w:r>
          </w:p>
          <w:p>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4.在投标文件解密前，请务必检验 CA 锁与所用电脑的兼容性，部分电脑因 CA 驱动未正常安装、USB 接口兼容性差等原因可能造成投标文件解密失败。</w:t>
            </w:r>
          </w:p>
          <w:p>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5.投标人未按招标文件规定及提醒操作的，引起的一切后果由投标人自行负责。</w:t>
            </w:r>
          </w:p>
          <w:p>
            <w:pPr>
              <w:pStyle w:val="38"/>
              <w:spacing w:line="360" w:lineRule="exact"/>
              <w:rPr>
                <w:rFonts w:hint="eastAsia" w:ascii="宋体" w:hAnsi="宋体" w:eastAsia="宋体" w:cs="宋体"/>
                <w:color w:val="auto"/>
                <w:sz w:val="22"/>
                <w:highlight w:val="none"/>
                <w:lang w:val="en-US"/>
              </w:rPr>
            </w:pPr>
            <w:r>
              <w:rPr>
                <w:rFonts w:hint="eastAsia" w:ascii="宋体" w:hAnsi="宋体" w:eastAsia="宋体" w:cs="宋体"/>
                <w:b/>
                <w:color w:val="auto"/>
                <w:sz w:val="22"/>
                <w:highlight w:val="none"/>
                <w:lang w:val="en-US"/>
              </w:rPr>
              <w:t>6.投标截止时间同</w:t>
            </w:r>
            <w:r>
              <w:rPr>
                <w:rStyle w:val="32"/>
                <w:rFonts w:hint="eastAsia" w:ascii="宋体" w:hAnsi="宋体" w:eastAsia="宋体" w:cs="宋体"/>
                <w:color w:val="auto"/>
                <w:sz w:val="22"/>
                <w:highlight w:val="none"/>
              </w:rPr>
              <w:t>提交投标文件截止时间。</w:t>
            </w:r>
          </w:p>
        </w:tc>
      </w:tr>
    </w:tbl>
    <w:p>
      <w:pPr>
        <w:spacing w:line="400" w:lineRule="exact"/>
        <w:jc w:val="center"/>
        <w:outlineLvl w:val="0"/>
        <w:rPr>
          <w:rFonts w:hint="eastAsia" w:ascii="宋体" w:hAnsi="宋体" w:eastAsia="宋体" w:cs="宋体"/>
          <w:b/>
          <w:color w:val="auto"/>
          <w:sz w:val="28"/>
          <w:szCs w:val="28"/>
          <w:highlight w:val="none"/>
        </w:rPr>
      </w:pPr>
    </w:p>
    <w:p>
      <w:pPr>
        <w:spacing w:line="400" w:lineRule="exact"/>
        <w:jc w:val="center"/>
        <w:outlineLvl w:val="0"/>
        <w:rPr>
          <w:rFonts w:hint="eastAsia" w:ascii="宋体" w:hAnsi="宋体" w:eastAsia="宋体" w:cs="宋体"/>
          <w:b/>
          <w:color w:val="auto"/>
          <w:sz w:val="28"/>
          <w:szCs w:val="28"/>
          <w:highlight w:val="none"/>
        </w:rPr>
      </w:pPr>
    </w:p>
    <w:p>
      <w:pPr>
        <w:pStyle w:val="17"/>
        <w:rPr>
          <w:rFonts w:hint="eastAsia" w:ascii="宋体" w:hAnsi="宋体" w:eastAsia="宋体" w:cs="宋体"/>
          <w:b/>
          <w:color w:val="auto"/>
          <w:sz w:val="28"/>
          <w:highlight w:val="none"/>
        </w:rPr>
      </w:pPr>
    </w:p>
    <w:p>
      <w:pPr>
        <w:rPr>
          <w:rFonts w:hint="eastAsia" w:ascii="宋体" w:hAnsi="宋体" w:eastAsia="宋体" w:cs="宋体"/>
          <w:b/>
          <w:color w:val="auto"/>
          <w:sz w:val="28"/>
          <w:szCs w:val="28"/>
          <w:highlight w:val="none"/>
        </w:rPr>
      </w:pPr>
    </w:p>
    <w:p>
      <w:pPr>
        <w:pStyle w:val="17"/>
        <w:rPr>
          <w:rFonts w:hint="eastAsia" w:ascii="宋体" w:hAnsi="宋体" w:eastAsia="宋体" w:cs="宋体"/>
          <w:b/>
          <w:color w:val="auto"/>
          <w:sz w:val="28"/>
          <w:highlight w:val="none"/>
        </w:rPr>
      </w:pPr>
    </w:p>
    <w:p>
      <w:pPr>
        <w:rPr>
          <w:rFonts w:hint="eastAsia" w:ascii="宋体" w:hAnsi="宋体" w:eastAsia="宋体" w:cs="宋体"/>
          <w:b/>
          <w:color w:val="auto"/>
          <w:sz w:val="28"/>
          <w:szCs w:val="28"/>
          <w:highlight w:val="none"/>
        </w:rPr>
      </w:pPr>
    </w:p>
    <w:p>
      <w:pPr>
        <w:pStyle w:val="17"/>
        <w:rPr>
          <w:rFonts w:hint="eastAsia" w:ascii="宋体" w:hAnsi="宋体" w:eastAsia="宋体" w:cs="宋体"/>
          <w:b/>
          <w:color w:val="auto"/>
          <w:sz w:val="28"/>
          <w:highlight w:val="none"/>
        </w:rPr>
      </w:pPr>
    </w:p>
    <w:p>
      <w:pPr>
        <w:rPr>
          <w:rFonts w:hint="eastAsia" w:ascii="宋体" w:hAnsi="宋体" w:eastAsia="宋体" w:cs="宋体"/>
          <w:b/>
          <w:color w:val="auto"/>
          <w:sz w:val="28"/>
          <w:szCs w:val="28"/>
          <w:highlight w:val="none"/>
        </w:rPr>
      </w:pPr>
    </w:p>
    <w:p>
      <w:pPr>
        <w:pStyle w:val="17"/>
        <w:rPr>
          <w:rFonts w:hint="eastAsia" w:ascii="宋体" w:hAnsi="宋体" w:eastAsia="宋体" w:cs="宋体"/>
          <w:b/>
          <w:color w:val="auto"/>
          <w:sz w:val="28"/>
          <w:highlight w:val="none"/>
        </w:rPr>
      </w:pPr>
    </w:p>
    <w:p>
      <w:pPr>
        <w:rPr>
          <w:rFonts w:hint="eastAsia" w:ascii="宋体" w:hAnsi="宋体" w:eastAsia="宋体" w:cs="宋体"/>
          <w:b/>
          <w:color w:val="auto"/>
          <w:sz w:val="28"/>
          <w:szCs w:val="28"/>
          <w:highlight w:val="none"/>
        </w:rPr>
      </w:pPr>
    </w:p>
    <w:p>
      <w:pPr>
        <w:pStyle w:val="17"/>
        <w:rPr>
          <w:rFonts w:hint="eastAsia" w:ascii="宋体" w:hAnsi="宋体" w:eastAsia="宋体" w:cs="宋体"/>
          <w:b/>
          <w:color w:val="auto"/>
          <w:sz w:val="28"/>
          <w:highlight w:val="none"/>
        </w:rPr>
      </w:pPr>
    </w:p>
    <w:p>
      <w:pPr>
        <w:rPr>
          <w:rFonts w:hint="eastAsia" w:ascii="宋体" w:hAnsi="宋体" w:eastAsia="宋体" w:cs="宋体"/>
          <w:b/>
          <w:color w:val="auto"/>
          <w:sz w:val="28"/>
          <w:szCs w:val="28"/>
          <w:highlight w:val="none"/>
        </w:rPr>
      </w:pPr>
    </w:p>
    <w:p>
      <w:pPr>
        <w:pStyle w:val="17"/>
        <w:rPr>
          <w:rFonts w:hint="eastAsia" w:ascii="宋体" w:hAnsi="宋体" w:eastAsia="宋体" w:cs="宋体"/>
          <w:b/>
          <w:color w:val="auto"/>
          <w:sz w:val="28"/>
          <w:highlight w:val="none"/>
        </w:rPr>
      </w:pPr>
    </w:p>
    <w:p>
      <w:pPr>
        <w:rPr>
          <w:rFonts w:hint="eastAsia" w:ascii="宋体" w:hAnsi="宋体" w:eastAsia="宋体" w:cs="宋体"/>
          <w:b/>
          <w:color w:val="auto"/>
          <w:sz w:val="28"/>
          <w:szCs w:val="28"/>
          <w:highlight w:val="none"/>
        </w:rPr>
      </w:pPr>
    </w:p>
    <w:p>
      <w:pPr>
        <w:pStyle w:val="17"/>
        <w:rPr>
          <w:rFonts w:hint="eastAsia" w:ascii="宋体" w:hAnsi="宋体" w:eastAsia="宋体" w:cs="宋体"/>
          <w:b/>
          <w:color w:val="auto"/>
          <w:sz w:val="28"/>
          <w:highlight w:val="none"/>
        </w:rPr>
      </w:pPr>
    </w:p>
    <w:p>
      <w:pPr>
        <w:rPr>
          <w:rFonts w:hint="eastAsia" w:ascii="宋体" w:hAnsi="宋体" w:eastAsia="宋体" w:cs="宋体"/>
          <w:b/>
          <w:color w:val="auto"/>
          <w:sz w:val="28"/>
          <w:szCs w:val="28"/>
          <w:highlight w:val="none"/>
        </w:rPr>
      </w:pPr>
    </w:p>
    <w:p>
      <w:pPr>
        <w:pStyle w:val="17"/>
        <w:rPr>
          <w:rFonts w:hint="eastAsia" w:ascii="宋体" w:hAnsi="宋体" w:eastAsia="宋体" w:cs="宋体"/>
          <w:b/>
          <w:color w:val="auto"/>
          <w:sz w:val="28"/>
          <w:highlight w:val="none"/>
        </w:rPr>
      </w:pPr>
    </w:p>
    <w:p>
      <w:pPr>
        <w:rPr>
          <w:rFonts w:hint="eastAsia" w:ascii="宋体" w:hAnsi="宋体" w:eastAsia="宋体" w:cs="宋体"/>
          <w:b/>
          <w:color w:val="auto"/>
          <w:sz w:val="28"/>
          <w:szCs w:val="28"/>
          <w:highlight w:val="none"/>
        </w:rPr>
      </w:pPr>
    </w:p>
    <w:p>
      <w:pPr>
        <w:pStyle w:val="17"/>
        <w:rPr>
          <w:rFonts w:hint="eastAsia" w:ascii="宋体" w:hAnsi="宋体" w:eastAsia="宋体" w:cs="宋体"/>
          <w:b/>
          <w:color w:val="auto"/>
          <w:sz w:val="28"/>
          <w:highlight w:val="none"/>
        </w:rPr>
      </w:pPr>
    </w:p>
    <w:p>
      <w:pPr>
        <w:rPr>
          <w:rFonts w:hint="eastAsia" w:ascii="宋体" w:hAnsi="宋体" w:eastAsia="宋体" w:cs="宋体"/>
          <w:color w:val="auto"/>
          <w:highlight w:val="none"/>
        </w:rPr>
      </w:pPr>
    </w:p>
    <w:p>
      <w:pPr>
        <w:spacing w:line="400" w:lineRule="exact"/>
        <w:jc w:val="center"/>
        <w:outlineLvl w:val="0"/>
        <w:rPr>
          <w:rFonts w:hint="eastAsia" w:ascii="宋体" w:hAnsi="宋体" w:eastAsia="宋体" w:cs="宋体"/>
          <w:b/>
          <w:color w:val="auto"/>
          <w:sz w:val="28"/>
          <w:szCs w:val="28"/>
          <w:highlight w:val="none"/>
        </w:rPr>
      </w:pPr>
    </w:p>
    <w:p>
      <w:pPr>
        <w:spacing w:line="400" w:lineRule="exact"/>
        <w:jc w:val="center"/>
        <w:outlineLvl w:val="0"/>
        <w:rPr>
          <w:rFonts w:hint="eastAsia" w:ascii="宋体" w:hAnsi="宋体" w:eastAsia="宋体" w:cs="宋体"/>
          <w:b/>
          <w:color w:val="auto"/>
          <w:sz w:val="28"/>
          <w:szCs w:val="28"/>
          <w:highlight w:val="none"/>
        </w:rPr>
      </w:pPr>
    </w:p>
    <w:p>
      <w:pPr>
        <w:spacing w:line="400" w:lineRule="exact"/>
        <w:jc w:val="center"/>
        <w:outlineLvl w:val="0"/>
        <w:rPr>
          <w:rFonts w:hint="eastAsia" w:ascii="宋体" w:hAnsi="宋体" w:eastAsia="宋体" w:cs="宋体"/>
          <w:b/>
          <w:color w:val="auto"/>
          <w:sz w:val="28"/>
          <w:szCs w:val="28"/>
          <w:highlight w:val="none"/>
        </w:rPr>
      </w:pPr>
    </w:p>
    <w:p>
      <w:pPr>
        <w:spacing w:line="400" w:lineRule="exact"/>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  说明</w:t>
      </w:r>
    </w:p>
    <w:p>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1.本次招标是按照《中华人民共和国政府采购法》、《政府采购货物和服务招标投标管理办法》等法律及有关法规组织和实施的。</w:t>
      </w:r>
    </w:p>
    <w:p>
      <w:pPr>
        <w:tabs>
          <w:tab w:val="left" w:pos="360"/>
        </w:tabs>
        <w:spacing w:line="36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rPr>
        <w:t>2.合格投标人</w:t>
      </w:r>
      <w:r>
        <w:rPr>
          <w:rFonts w:hint="eastAsia" w:ascii="宋体" w:hAnsi="宋体" w:eastAsia="宋体" w:cs="宋体"/>
          <w:color w:val="auto"/>
          <w:kern w:val="0"/>
          <w:sz w:val="22"/>
          <w:highlight w:val="none"/>
          <w:lang w:val="zh-CN"/>
        </w:rPr>
        <w:t>要求以招标公告及投标人须知前附表对投标人资格条件要求的表述为准。</w:t>
      </w:r>
    </w:p>
    <w:p>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3.</w:t>
      </w:r>
      <w:r>
        <w:rPr>
          <w:rFonts w:hint="eastAsia" w:ascii="宋体" w:hAnsi="宋体" w:eastAsia="宋体" w:cs="宋体"/>
          <w:color w:val="auto"/>
          <w:sz w:val="22"/>
          <w:highlight w:val="none"/>
        </w:rPr>
        <w:t>投标人代表</w:t>
      </w:r>
    </w:p>
    <w:p>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4.投标费用</w:t>
      </w:r>
    </w:p>
    <w:p>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4.1投标人应承担所有与准备和参加投标有关费用，不论投标的结果如何，采购代理机构和采购人均无义务和责任承担这些费用。</w:t>
      </w:r>
    </w:p>
    <w:p>
      <w:pPr>
        <w:tabs>
          <w:tab w:val="left" w:pos="360"/>
        </w:tabs>
        <w:adjustRightInd w:val="0"/>
        <w:spacing w:line="40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4.2中标人</w:t>
      </w:r>
      <w:r>
        <w:rPr>
          <w:rFonts w:hint="eastAsia" w:ascii="宋体" w:hAnsi="宋体" w:eastAsia="宋体" w:cs="宋体"/>
          <w:color w:val="auto"/>
          <w:spacing w:val="-6"/>
          <w:sz w:val="22"/>
          <w:highlight w:val="none"/>
        </w:rPr>
        <w:t>在收到中标通知书时向采购代理机构交纳采购代理服务费，收费标准按32750元收取：</w:t>
      </w:r>
      <w:r>
        <w:rPr>
          <w:rFonts w:hint="eastAsia" w:ascii="宋体" w:hAnsi="宋体" w:eastAsia="宋体" w:cs="宋体"/>
          <w:b/>
          <w:bCs/>
          <w:color w:val="auto"/>
          <w:sz w:val="22"/>
          <w:highlight w:val="none"/>
        </w:rPr>
        <w:t>请各投标人将采购代理服务费包含在投标总报价中。</w:t>
      </w:r>
      <w:r>
        <w:rPr>
          <w:rFonts w:hint="eastAsia" w:ascii="宋体" w:hAnsi="宋体" w:eastAsia="宋体" w:cs="宋体"/>
          <w:color w:val="auto"/>
          <w:sz w:val="22"/>
          <w:highlight w:val="none"/>
        </w:rPr>
        <w:t>采购代理服务费可以是现金、支票或汇票。</w:t>
      </w:r>
    </w:p>
    <w:p>
      <w:pPr>
        <w:tabs>
          <w:tab w:val="left" w:pos="360"/>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5.信用记录：</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根据财库[2016]125号《关于在政府采购活动中查询及使用信用记录有关问题的通知》要求，采购代理机构会对投标人信用记录进行查询并甄别。</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5.1.信用信息查询的截止时点为从本项目投标截止日往前追溯三年；</w:t>
      </w:r>
    </w:p>
    <w:p>
      <w:pPr>
        <w:tabs>
          <w:tab w:val="left" w:pos="360"/>
        </w:tabs>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5.2.查询渠道：“信用中国（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"https://www.creditchina.gov.cn/"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6"/>
          <w:sz w:val="22"/>
          <w:highlight w:val="none"/>
        </w:rPr>
        <w:t>https://www.creditchina.gov.cn</w:t>
      </w:r>
      <w:r>
        <w:rPr>
          <w:rFonts w:hint="eastAsia" w:ascii="宋体" w:hAnsi="宋体" w:eastAsia="宋体" w:cs="宋体"/>
          <w:b/>
          <w:bCs/>
          <w:color w:val="auto"/>
          <w:spacing w:val="6"/>
          <w:sz w:val="22"/>
          <w:highlight w:val="none"/>
        </w:rPr>
        <w:fldChar w:fldCharType="end"/>
      </w:r>
      <w:r>
        <w:rPr>
          <w:rFonts w:hint="eastAsia" w:ascii="宋体" w:hAnsi="宋体" w:eastAsia="宋体" w:cs="宋体"/>
          <w:b/>
          <w:bCs/>
          <w:color w:val="auto"/>
          <w:spacing w:val="6"/>
          <w:sz w:val="22"/>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6"/>
          <w:sz w:val="22"/>
          <w:highlight w:val="none"/>
        </w:rPr>
        <w:t>http://www.ccgp.gov.cn</w:t>
      </w:r>
      <w:r>
        <w:rPr>
          <w:rFonts w:hint="eastAsia" w:ascii="宋体" w:hAnsi="宋体" w:eastAsia="宋体" w:cs="宋体"/>
          <w:b/>
          <w:bCs/>
          <w:color w:val="auto"/>
          <w:spacing w:val="6"/>
          <w:sz w:val="22"/>
          <w:highlight w:val="none"/>
        </w:rPr>
        <w:fldChar w:fldCharType="end"/>
      </w:r>
      <w:r>
        <w:rPr>
          <w:rFonts w:hint="eastAsia" w:ascii="宋体" w:hAnsi="宋体" w:eastAsia="宋体" w:cs="宋体"/>
          <w:b/>
          <w:bCs/>
          <w:color w:val="auto"/>
          <w:spacing w:val="6"/>
          <w:sz w:val="22"/>
          <w:highlight w:val="none"/>
        </w:rPr>
        <w:t>）”</w:t>
      </w:r>
      <w:r>
        <w:rPr>
          <w:rFonts w:hint="eastAsia" w:ascii="宋体" w:hAnsi="宋体" w:eastAsia="宋体" w:cs="宋体"/>
          <w:color w:val="auto"/>
          <w:sz w:val="22"/>
          <w:highlight w:val="none"/>
        </w:rPr>
        <w:t>；</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5.3.信用信息查询记录和证据留存具体方式：采购代理机构经办人或监督人员将查询网页打印与其他招标文件一并保存；</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5.4.信用信息的使用规则：投标人存在不良信用记录的，其投标将被作为投标无效被拒绝；</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不良信用记录指：被列入失信被执行人、重大税收违法案件当事人名单、政府采购严重违法失信行为记录名单。</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6.特别说明：</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6.1投标人应仔细阅读招标文件的所有内容，按照招标文件的要求提交投标文件，并对所提供的全部资料的真实性承担法律责任。</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6.2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6.3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7.采购项目需要落实的政府采购政策</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7.2 支持绿色发展</w:t>
      </w:r>
    </w:p>
    <w:p>
      <w:pPr>
        <w:snapToGrid w:val="0"/>
        <w:spacing w:line="360" w:lineRule="exact"/>
        <w:ind w:firstLine="442" w:firstLineChars="201"/>
        <w:rPr>
          <w:rFonts w:hint="eastAsia" w:ascii="宋体" w:hAnsi="宋体" w:eastAsia="宋体" w:cs="宋体"/>
          <w:b/>
          <w:color w:val="auto"/>
          <w:sz w:val="22"/>
          <w:highlight w:val="none"/>
        </w:rPr>
      </w:pPr>
      <w:r>
        <w:rPr>
          <w:rFonts w:hint="eastAsia" w:ascii="宋体" w:hAnsi="宋体" w:eastAsia="宋体" w:cs="宋体"/>
          <w:color w:val="auto"/>
          <w:sz w:val="22"/>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color w:val="auto"/>
          <w:sz w:val="22"/>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7.2.2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7.3支持中小企业发展</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符合中小企业划分标准的个体工商户，在政府采购活动中视同中小企业。</w:t>
      </w:r>
    </w:p>
    <w:p>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bCs/>
          <w:color w:val="auto"/>
          <w:sz w:val="22"/>
          <w:highlight w:val="none"/>
        </w:rPr>
        <w:t>7.3.2</w:t>
      </w:r>
      <w:r>
        <w:rPr>
          <w:rFonts w:hint="eastAsia" w:ascii="宋体" w:hAnsi="宋体" w:eastAsia="宋体" w:cs="宋体"/>
          <w:color w:val="auto"/>
          <w:kern w:val="0"/>
          <w:sz w:val="22"/>
          <w:highlight w:val="none"/>
        </w:rPr>
        <w:t>在政府采购活动中，投标人提供的货物、工程或者服务符合下列情形的，享受中小企业扶持政策：</w:t>
      </w:r>
    </w:p>
    <w:p>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7.3.2.1在货物采购项目中，货物由中小企业制造，即货物由中小企业生产且使用该中小企业商号或者注册商标；</w:t>
      </w:r>
    </w:p>
    <w:p>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7.3.2.2在工程采购项目中，工程由中小企业承建，即工程施工单位为中小企业；</w:t>
      </w:r>
    </w:p>
    <w:p>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7.3.2.3在服务采购项目中，服务由中小企业承接，即提供服务的人员为中小企业依照《中华人民共和国劳动合同法》订立劳动合同的从业人员。</w:t>
      </w:r>
    </w:p>
    <w:p>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在货物采购项目中，投标人提供的货物既有中小企业制造货物，也有大型企业制造货物的，不享受中小企业扶持政策。</w:t>
      </w:r>
    </w:p>
    <w:p>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以联合体形式参加政府采购活动，联合体各方均为中小企业的，联合体视同中小企业。其中，联合体各方均为小微企业的，联合体视同小微企业。</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7.3.4符合《关于促进残疾人就业政府采购政策的通知》（财库〔2017〕141号）规定的条件并提供《残疾人福利性单位声明函》（附件）的残疾人福利性单位视同小型、微型企业；</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7.3.7中小企业享受扶持政策获得政府采购合同的，小微企业不得将合同分包给大中型企业，中型企业不得将合同分包给大型企业。</w:t>
      </w:r>
    </w:p>
    <w:p>
      <w:pPr>
        <w:spacing w:line="400" w:lineRule="exact"/>
        <w:ind w:firstLine="522" w:firstLineChars="200"/>
        <w:jc w:val="center"/>
        <w:rPr>
          <w:rFonts w:hint="eastAsia" w:ascii="宋体" w:hAnsi="宋体" w:eastAsia="宋体" w:cs="宋体"/>
          <w:b/>
          <w:color w:val="auto"/>
          <w:sz w:val="26"/>
          <w:highlight w:val="none"/>
        </w:rPr>
      </w:pPr>
      <w:r>
        <w:rPr>
          <w:rFonts w:hint="eastAsia" w:ascii="宋体" w:hAnsi="宋体" w:eastAsia="宋体" w:cs="宋体"/>
          <w:b/>
          <w:color w:val="auto"/>
          <w:sz w:val="26"/>
          <w:highlight w:val="none"/>
        </w:rPr>
        <w:t>二、招标文件</w:t>
      </w:r>
    </w:p>
    <w:p>
      <w:pPr>
        <w:spacing w:line="360" w:lineRule="exact"/>
        <w:ind w:firstLine="440" w:firstLineChars="200"/>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spacing w:line="360" w:lineRule="exact"/>
        <w:ind w:firstLine="440" w:firstLineChars="200"/>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2.质疑</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2.2投标人提出质疑应当提交质疑函和必要的证明材料，质疑函范本请到“浙江政府采购网下载专区”下载，质疑函应当包括下列内容：</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（一）投标人的姓名或者名称、地址、邮编、联系人及联系方式；</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（二）质疑项目的名称、编号；</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（三）具体、明确的质疑事项和与质疑事项相关的请求；</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（四）事实依据；</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（五）必要的法律依据；</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（六）提出质疑的日期。</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投标人为自然人的，应当由本人签字；投标人为法人或者其他组织的，应当由法定代表人、主要负责人，或者其授权代表签字或者盖章，并加盖电子签章。</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2.3提出质疑的投标人应当是参与本项目招标活动的投标人。</w:t>
      </w:r>
      <w:r>
        <w:rPr>
          <w:rFonts w:hint="eastAsia" w:ascii="宋体" w:hAnsi="宋体" w:eastAsia="宋体" w:cs="宋体"/>
          <w:b/>
          <w:bCs/>
          <w:color w:val="auto"/>
          <w:spacing w:val="6"/>
          <w:sz w:val="22"/>
          <w:highlight w:val="none"/>
        </w:rPr>
        <w:t>投标人在法定质疑期内一次性提出针对同一采购程序环节的质疑。</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2.4根据《政府采购质疑和投诉办法》第三十七条的规定，投诉人在全国范围12个月内三次以上投诉查无实据的，由财政部门列入不良行为记录名单。</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投诉人有下列行为之一的，属于虚假、恶意投诉，由财政部门列入不良行为记录名单，禁止其1至3年内参加政府采购活动：</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（一）捏造事实；</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（二）提供虚假材料；</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（三）以非法手段取得证明材料。证据来源的合法性存在明显疑问，投诉人无法证明其取得方式合法的，视为以非法手段取得证明材料。</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3.投诉</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4.澄清或修改</w:t>
      </w:r>
    </w:p>
    <w:p>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4.1采购人或者采购代理机构可以对已发出的招标文件进行必要的澄清或者修改。澄清或者修改</w:t>
      </w:r>
      <w:r>
        <w:rPr>
          <w:rStyle w:val="32"/>
          <w:rFonts w:hint="eastAsia" w:ascii="宋体" w:hAnsi="宋体" w:eastAsia="宋体" w:cs="宋体"/>
          <w:b w:val="0"/>
          <w:color w:val="auto"/>
          <w:sz w:val="22"/>
          <w:highlight w:val="none"/>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形式（签署意见并加盖投标人公章）向采购代理机构回函给予确认。若无书面回函确认，视为默认接受。</w:t>
      </w:r>
      <w:r>
        <w:rPr>
          <w:rFonts w:hint="eastAsia" w:ascii="宋体" w:hAnsi="宋体" w:eastAsia="宋体" w:cs="宋体"/>
          <w:color w:val="auto"/>
          <w:spacing w:val="6"/>
          <w:sz w:val="22"/>
          <w:highlight w:val="none"/>
        </w:rPr>
        <w:t>澄清或者修改的内容为招标文件的组成部分。</w:t>
      </w:r>
    </w:p>
    <w:p>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澄清或者修改的内容可能影响投标文件编制的，采购人或者采购代理机构应当在投标截止时间至少15日前，以书面形式（</w:t>
      </w:r>
      <w:r>
        <w:rPr>
          <w:rStyle w:val="32"/>
          <w:rFonts w:hint="eastAsia" w:ascii="宋体" w:hAnsi="宋体" w:eastAsia="宋体" w:cs="宋体"/>
          <w:b w:val="0"/>
          <w:color w:val="auto"/>
          <w:sz w:val="22"/>
          <w:highlight w:val="none"/>
        </w:rPr>
        <w:t>在浙江政府采购网上发布公告</w:t>
      </w:r>
      <w:r>
        <w:rPr>
          <w:rFonts w:hint="eastAsia" w:ascii="宋体" w:hAnsi="宋体" w:eastAsia="宋体" w:cs="宋体"/>
          <w:color w:val="auto"/>
          <w:spacing w:val="6"/>
          <w:sz w:val="22"/>
          <w:highlight w:val="none"/>
        </w:rPr>
        <w:t>）通知所有获取招标文件的潜在投标人；不足15日的，采购人或者采购代理机构应当顺延提交投标文件的截止时间。</w:t>
      </w:r>
    </w:p>
    <w:p>
      <w:pPr>
        <w:spacing w:line="400" w:lineRule="exact"/>
        <w:ind w:firstLine="522" w:firstLineChars="200"/>
        <w:jc w:val="center"/>
        <w:rPr>
          <w:rFonts w:hint="eastAsia" w:ascii="宋体" w:hAnsi="宋体" w:eastAsia="宋体" w:cs="宋体"/>
          <w:color w:val="auto"/>
          <w:sz w:val="22"/>
          <w:highlight w:val="none"/>
        </w:rPr>
      </w:pPr>
      <w:r>
        <w:rPr>
          <w:rFonts w:hint="eastAsia" w:ascii="宋体" w:hAnsi="宋体" w:eastAsia="宋体" w:cs="宋体"/>
          <w:b/>
          <w:color w:val="auto"/>
          <w:sz w:val="26"/>
          <w:highlight w:val="none"/>
        </w:rPr>
        <w:t>三、 投标文件的编制</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1.投标文件的形式</w:t>
      </w:r>
    </w:p>
    <w:p>
      <w:pPr>
        <w:pStyle w:val="16"/>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投标文件分为电子投标文件以及备份电子投标文件，备份文件为以介质存储的数据电文形式的备份电子投标文件。</w:t>
      </w:r>
    </w:p>
    <w:p>
      <w:pPr>
        <w:spacing w:line="360" w:lineRule="exact"/>
        <w:ind w:firstLine="442" w:firstLineChars="200"/>
        <w:rPr>
          <w:rFonts w:hint="eastAsia" w:ascii="宋体" w:hAnsi="宋体" w:eastAsia="宋体" w:cs="宋体"/>
          <w:color w:val="auto"/>
          <w:kern w:val="0"/>
          <w:sz w:val="22"/>
          <w:highlight w:val="none"/>
        </w:rPr>
      </w:pPr>
      <w:r>
        <w:rPr>
          <w:rFonts w:hint="eastAsia" w:ascii="宋体" w:hAnsi="宋体" w:eastAsia="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eastAsia="宋体" w:cs="宋体"/>
          <w:color w:val="auto"/>
          <w:kern w:val="0"/>
          <w:sz w:val="22"/>
          <w:highlight w:val="none"/>
        </w:rPr>
        <w:t>。</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1.2以介质存储的数据电文形式的备份电子投标文件：</w:t>
      </w:r>
      <w:r>
        <w:rPr>
          <w:rStyle w:val="32"/>
          <w:rFonts w:hint="eastAsia" w:ascii="宋体" w:hAnsi="宋体" w:eastAsia="宋体" w:cs="宋体"/>
          <w:bCs/>
          <w:color w:val="auto"/>
          <w:sz w:val="22"/>
          <w:highlight w:val="none"/>
        </w:rPr>
        <w:t>与“电子投标文件”同时生成的数据电文形式的备份电子投标文件</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文件扩展名为</w:t>
      </w:r>
      <w:r>
        <w:rPr>
          <w:rFonts w:hint="eastAsia" w:ascii="宋体" w:hAnsi="宋体" w:eastAsia="宋体" w:cs="宋体"/>
          <w:b/>
          <w:bCs/>
          <w:color w:val="auto"/>
          <w:sz w:val="22"/>
          <w:highlight w:val="none"/>
        </w:rPr>
        <w:t>.bfbs)，</w:t>
      </w:r>
      <w:r>
        <w:rPr>
          <w:rFonts w:hint="eastAsia" w:ascii="宋体" w:hAnsi="宋体" w:eastAsia="宋体" w:cs="宋体"/>
          <w:b/>
          <w:bCs/>
          <w:color w:val="auto"/>
          <w:sz w:val="22"/>
          <w:highlight w:val="none"/>
          <w:lang w:val="zh-CN"/>
        </w:rPr>
        <w:t>投标截止时间前以电子邮件方式传送至浙江乐诚工程咨询有限公司电子邮箱</w:t>
      </w:r>
      <w:r>
        <w:rPr>
          <w:rFonts w:hint="eastAsia" w:ascii="宋体" w:hAnsi="宋体" w:eastAsia="宋体" w:cs="宋体"/>
          <w:b/>
          <w:bCs/>
          <w:color w:val="auto"/>
          <w:sz w:val="22"/>
          <w:highlight w:val="none"/>
        </w:rPr>
        <w:t>2812799762@qq.com，</w:t>
      </w:r>
      <w:r>
        <w:rPr>
          <w:rFonts w:hint="eastAsia" w:ascii="宋体" w:hAnsi="宋体" w:eastAsia="宋体" w:cs="宋体"/>
          <w:b/>
          <w:bCs/>
          <w:color w:val="auto"/>
          <w:sz w:val="22"/>
          <w:highlight w:val="none"/>
          <w:lang w:val="zh-CN"/>
        </w:rPr>
        <w:t>递交</w:t>
      </w:r>
      <w:r>
        <w:rPr>
          <w:rFonts w:hint="eastAsia" w:ascii="宋体" w:hAnsi="宋体" w:eastAsia="宋体" w:cs="宋体"/>
          <w:b/>
          <w:bCs/>
          <w:color w:val="auto"/>
          <w:sz w:val="22"/>
          <w:highlight w:val="none"/>
        </w:rPr>
        <w:t>1</w:t>
      </w:r>
      <w:r>
        <w:rPr>
          <w:rFonts w:hint="eastAsia" w:ascii="宋体" w:hAnsi="宋体" w:eastAsia="宋体" w:cs="宋体"/>
          <w:b/>
          <w:bCs/>
          <w:color w:val="auto"/>
          <w:sz w:val="22"/>
          <w:highlight w:val="none"/>
          <w:lang w:val="zh-CN"/>
        </w:rPr>
        <w:t>份</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传送的备份电子投标文件需打包压缩并加密</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加密密码由投标人自行保管</w:t>
      </w:r>
      <w:r>
        <w:rPr>
          <w:rFonts w:hint="eastAsia" w:ascii="宋体" w:hAnsi="宋体" w:eastAsia="宋体" w:cs="宋体"/>
          <w:b/>
          <w:bCs/>
          <w:color w:val="auto"/>
          <w:sz w:val="22"/>
          <w:highlight w:val="none"/>
        </w:rPr>
        <w:t>，未加密导致投标信息泄露的风险由投标人自行承担</w:t>
      </w:r>
      <w:r>
        <w:rPr>
          <w:rStyle w:val="32"/>
          <w:rFonts w:hint="eastAsia" w:ascii="宋体" w:hAnsi="宋体" w:eastAsia="宋体" w:cs="宋体"/>
          <w:bCs/>
          <w:color w:val="auto"/>
          <w:sz w:val="22"/>
          <w:highlight w:val="none"/>
        </w:rPr>
        <w:t>。</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1.3 投标文件的效力</w:t>
      </w:r>
    </w:p>
    <w:p>
      <w:pPr>
        <w:spacing w:line="360" w:lineRule="exact"/>
        <w:ind w:firstLine="442" w:firstLineChars="200"/>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lang w:val="zh-CN"/>
        </w:rPr>
        <w:t>投标文件的启用，按先后顺位分别为电子投标文件、以介质存储的数据电文形式的备份电子投标文件。在下一顺位的投标文件启用时，前一顺位的投标文件自动失效。</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2.投标人应认真阅读招标文件中所有事项格式、条款和技术规范等。</w:t>
      </w:r>
      <w:r>
        <w:rPr>
          <w:rFonts w:hint="eastAsia" w:ascii="宋体" w:hAnsi="宋体" w:eastAsia="宋体" w:cs="宋体"/>
          <w:bCs/>
          <w:color w:val="auto"/>
          <w:sz w:val="22"/>
          <w:highlight w:val="none"/>
          <w:u w:val="single"/>
        </w:rPr>
        <w:t>▲</w:t>
      </w:r>
      <w:r>
        <w:rPr>
          <w:rFonts w:hint="eastAsia" w:ascii="宋体" w:hAnsi="宋体" w:eastAsia="宋体" w:cs="宋体"/>
          <w:color w:val="auto"/>
          <w:sz w:val="22"/>
          <w:highlight w:val="none"/>
          <w:u w:val="single"/>
        </w:rPr>
        <w:t>投标人没有对招标文件各个方面做出实质性响应，导致投标被拒绝的风险由投标人自行承担。</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3.</w:t>
      </w:r>
      <w:r>
        <w:rPr>
          <w:rFonts w:hint="eastAsia" w:ascii="宋体" w:hAnsi="宋体" w:eastAsia="宋体" w:cs="宋体"/>
          <w:bCs/>
          <w:color w:val="auto"/>
          <w:sz w:val="22"/>
          <w:highlight w:val="none"/>
          <w:u w:val="single"/>
        </w:rPr>
        <w:t>▲</w:t>
      </w:r>
      <w:r>
        <w:rPr>
          <w:rFonts w:hint="eastAsia" w:ascii="宋体" w:hAnsi="宋体" w:eastAsia="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pPr>
        <w:spacing w:line="360" w:lineRule="exact"/>
        <w:ind w:firstLine="440" w:firstLineChars="200"/>
        <w:rPr>
          <w:rFonts w:hint="eastAsia" w:ascii="宋体" w:hAnsi="宋体" w:eastAsia="宋体" w:cs="宋体"/>
          <w:b/>
          <w:color w:val="auto"/>
          <w:sz w:val="22"/>
          <w:highlight w:val="none"/>
        </w:rPr>
      </w:pPr>
      <w:r>
        <w:rPr>
          <w:rFonts w:hint="eastAsia" w:ascii="宋体" w:hAnsi="宋体" w:eastAsia="宋体" w:cs="宋体"/>
          <w:color w:val="auto"/>
          <w:sz w:val="22"/>
          <w:highlight w:val="none"/>
        </w:rPr>
        <w:t>4.投标文件的构成：</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pPr>
        <w:spacing w:line="360" w:lineRule="exact"/>
        <w:ind w:firstLine="442" w:firstLineChars="200"/>
        <w:outlineLvl w:val="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（1）报价文件</w:t>
      </w:r>
    </w:p>
    <w:p>
      <w:pPr>
        <w:numPr>
          <w:ilvl w:val="0"/>
          <w:numId w:val="3"/>
        </w:numPr>
        <w:tabs>
          <w:tab w:val="left" w:pos="5355"/>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开标一览表；（见附件1）</w:t>
      </w:r>
    </w:p>
    <w:p>
      <w:pPr>
        <w:numPr>
          <w:ilvl w:val="0"/>
          <w:numId w:val="3"/>
        </w:numPr>
        <w:tabs>
          <w:tab w:val="left" w:pos="5355"/>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投标分项报价表；（见附件2）</w:t>
      </w:r>
    </w:p>
    <w:p>
      <w:pPr>
        <w:numPr>
          <w:ilvl w:val="0"/>
          <w:numId w:val="3"/>
        </w:numPr>
        <w:tabs>
          <w:tab w:val="left" w:pos="5355"/>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投标报价部分其他内容（如有，格式自拟）。</w:t>
      </w:r>
    </w:p>
    <w:p>
      <w:pPr>
        <w:tabs>
          <w:tab w:val="left" w:pos="5355"/>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（2）资格文件：（见附件3）</w:t>
      </w:r>
    </w:p>
    <w:p>
      <w:pPr>
        <w:numPr>
          <w:ilvl w:val="0"/>
          <w:numId w:val="4"/>
        </w:numPr>
        <w:autoSpaceDE w:val="0"/>
        <w:autoSpaceDN w:val="0"/>
        <w:adjustRightInd w:val="0"/>
        <w:snapToGrid w:val="0"/>
        <w:spacing w:line="360" w:lineRule="exact"/>
        <w:textAlignment w:val="bottom"/>
        <w:rPr>
          <w:rFonts w:hint="eastAsia" w:ascii="宋体" w:hAnsi="宋体" w:eastAsia="宋体" w:cs="宋体"/>
          <w:b/>
          <w:bCs/>
          <w:snapToGrid w:val="0"/>
          <w:color w:val="auto"/>
          <w:sz w:val="22"/>
          <w:highlight w:val="none"/>
        </w:rPr>
      </w:pPr>
      <w:r>
        <w:rPr>
          <w:rFonts w:hint="eastAsia" w:ascii="宋体" w:hAnsi="宋体" w:eastAsia="宋体" w:cs="宋体"/>
          <w:b/>
          <w:bCs/>
          <w:snapToGrid w:val="0"/>
          <w:color w:val="auto"/>
          <w:sz w:val="22"/>
          <w:highlight w:val="none"/>
        </w:rPr>
        <w:t>有效的法人或者其他组织的营业执照等证明文件，自然人的身份证明（五选一）</w:t>
      </w:r>
      <w:r>
        <w:rPr>
          <w:rFonts w:hint="eastAsia" w:ascii="宋体" w:hAnsi="宋体" w:eastAsia="宋体" w:cs="宋体"/>
          <w:b/>
          <w:bCs/>
          <w:color w:val="auto"/>
          <w:sz w:val="22"/>
          <w:highlight w:val="none"/>
        </w:rPr>
        <w:t>（见附件3-1）</w:t>
      </w:r>
    </w:p>
    <w:p>
      <w:pPr>
        <w:numPr>
          <w:ilvl w:val="0"/>
          <w:numId w:val="4"/>
        </w:numPr>
        <w:autoSpaceDE w:val="0"/>
        <w:autoSpaceDN w:val="0"/>
        <w:adjustRightInd w:val="0"/>
        <w:spacing w:line="360" w:lineRule="exact"/>
        <w:rPr>
          <w:rFonts w:hint="eastAsia" w:ascii="宋体" w:hAnsi="宋体" w:eastAsia="宋体" w:cs="宋体"/>
          <w:b/>
          <w:bCs/>
          <w:color w:val="auto"/>
          <w:sz w:val="22"/>
          <w:highlight w:val="none"/>
        </w:rPr>
      </w:pPr>
      <w:r>
        <w:rPr>
          <w:rFonts w:hint="eastAsia" w:ascii="宋体" w:hAnsi="宋体" w:eastAsia="宋体" w:cs="宋体"/>
          <w:b/>
          <w:bCs/>
          <w:snapToGrid w:val="0"/>
          <w:color w:val="auto"/>
          <w:sz w:val="22"/>
          <w:highlight w:val="none"/>
        </w:rPr>
        <w:t>关于符合《中华人民共和国政府采购法》第二十二条规定的承诺函</w:t>
      </w:r>
      <w:r>
        <w:rPr>
          <w:rFonts w:hint="eastAsia" w:ascii="宋体" w:hAnsi="宋体" w:eastAsia="宋体" w:cs="宋体"/>
          <w:b/>
          <w:bCs/>
          <w:color w:val="auto"/>
          <w:sz w:val="22"/>
          <w:highlight w:val="none"/>
        </w:rPr>
        <w:t>（见附件3-2）</w:t>
      </w:r>
    </w:p>
    <w:p>
      <w:pPr>
        <w:numPr>
          <w:ilvl w:val="0"/>
          <w:numId w:val="4"/>
        </w:numPr>
        <w:autoSpaceDE w:val="0"/>
        <w:autoSpaceDN w:val="0"/>
        <w:adjustRightIn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kern w:val="0"/>
          <w:sz w:val="22"/>
          <w:highlight w:val="none"/>
        </w:rPr>
        <w:t>落实政府采购政策需满足的资格要求：提供中小企业声明函（服务）</w:t>
      </w:r>
      <w:r>
        <w:rPr>
          <w:rFonts w:hint="eastAsia" w:ascii="宋体" w:hAnsi="宋体" w:eastAsia="宋体" w:cs="宋体"/>
          <w:b/>
          <w:bCs/>
          <w:color w:val="auto"/>
          <w:sz w:val="22"/>
          <w:highlight w:val="none"/>
        </w:rPr>
        <w:t>（见附件3-3）</w:t>
      </w:r>
    </w:p>
    <w:p>
      <w:pPr>
        <w:numPr>
          <w:ilvl w:val="0"/>
          <w:numId w:val="4"/>
        </w:numPr>
        <w:autoSpaceDE w:val="0"/>
        <w:autoSpaceDN w:val="0"/>
        <w:adjustRightIn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本项目的特定资格要求：提供有效的《保安服务许可证》（见附件3-4）</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（3）商务和技术文件</w:t>
      </w:r>
    </w:p>
    <w:p>
      <w:pPr>
        <w:numPr>
          <w:ilvl w:val="0"/>
          <w:numId w:val="5"/>
        </w:numPr>
        <w:tabs>
          <w:tab w:val="left" w:pos="5355"/>
        </w:tabs>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评分索引表（见附件4）</w:t>
      </w:r>
    </w:p>
    <w:p>
      <w:pPr>
        <w:numPr>
          <w:ilvl w:val="0"/>
          <w:numId w:val="5"/>
        </w:numPr>
        <w:tabs>
          <w:tab w:val="left" w:pos="0"/>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投标函（见附件5）</w:t>
      </w:r>
    </w:p>
    <w:p>
      <w:pPr>
        <w:numPr>
          <w:ilvl w:val="0"/>
          <w:numId w:val="5"/>
        </w:numPr>
        <w:tabs>
          <w:tab w:val="left" w:pos="5355"/>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法定代表人资格证明书/法定代表人授权委托书；（见附件6）</w:t>
      </w:r>
    </w:p>
    <w:p>
      <w:pPr>
        <w:numPr>
          <w:ilvl w:val="0"/>
          <w:numId w:val="5"/>
        </w:numPr>
        <w:tabs>
          <w:tab w:val="left" w:pos="5355"/>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投标声明书（见附件7）  </w:t>
      </w:r>
    </w:p>
    <w:p>
      <w:pPr>
        <w:numPr>
          <w:ilvl w:val="0"/>
          <w:numId w:val="5"/>
        </w:numPr>
        <w:tabs>
          <w:tab w:val="left" w:pos="5355"/>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投标人基本情况表（见附件8）                </w:t>
      </w:r>
    </w:p>
    <w:p>
      <w:pPr>
        <w:numPr>
          <w:ilvl w:val="0"/>
          <w:numId w:val="5"/>
        </w:numPr>
        <w:tabs>
          <w:tab w:val="left" w:pos="5355"/>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投标人同类项目业绩一览表（如有）（见附件9）；</w:t>
      </w:r>
    </w:p>
    <w:p>
      <w:pPr>
        <w:numPr>
          <w:ilvl w:val="0"/>
          <w:numId w:val="5"/>
        </w:numPr>
        <w:tabs>
          <w:tab w:val="left" w:pos="5355"/>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采购需求偏离表（见附件10）</w:t>
      </w:r>
    </w:p>
    <w:p>
      <w:pPr>
        <w:numPr>
          <w:ilvl w:val="0"/>
          <w:numId w:val="5"/>
        </w:numPr>
        <w:tabs>
          <w:tab w:val="left" w:pos="5355"/>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政府采购活动现场确认声明书（见附件11）；</w:t>
      </w:r>
    </w:p>
    <w:p>
      <w:pPr>
        <w:numPr>
          <w:ilvl w:val="0"/>
          <w:numId w:val="5"/>
        </w:numPr>
        <w:tabs>
          <w:tab w:val="left" w:pos="5355"/>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建议配置的设备及工具一览表（附件12）；</w:t>
      </w:r>
    </w:p>
    <w:p>
      <w:pPr>
        <w:numPr>
          <w:ilvl w:val="0"/>
          <w:numId w:val="5"/>
        </w:numPr>
        <w:tabs>
          <w:tab w:val="left" w:pos="5355"/>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耗材配备一览表（附件13）；     </w:t>
      </w:r>
    </w:p>
    <w:p>
      <w:pPr>
        <w:numPr>
          <w:ilvl w:val="0"/>
          <w:numId w:val="5"/>
        </w:numPr>
        <w:tabs>
          <w:tab w:val="left" w:pos="5355"/>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拟派保安队长资格情况表（附件14）；</w:t>
      </w:r>
    </w:p>
    <w:p>
      <w:pPr>
        <w:numPr>
          <w:ilvl w:val="0"/>
          <w:numId w:val="5"/>
        </w:numPr>
        <w:tabs>
          <w:tab w:val="left" w:pos="5355"/>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项目服务人员汇总表（附件15）；</w:t>
      </w:r>
    </w:p>
    <w:p>
      <w:pPr>
        <w:numPr>
          <w:ilvl w:val="0"/>
          <w:numId w:val="5"/>
        </w:numPr>
        <w:tabs>
          <w:tab w:val="left" w:pos="5355"/>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岗位员工配置计划表（附件16）；</w:t>
      </w:r>
    </w:p>
    <w:p>
      <w:pPr>
        <w:numPr>
          <w:ilvl w:val="0"/>
          <w:numId w:val="5"/>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投标人需要说明的其他文件和说明（格式自拟）。</w:t>
      </w:r>
    </w:p>
    <w:p>
      <w:pPr>
        <w:spacing w:line="360" w:lineRule="exact"/>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以上内容按照招标文件第四部分附件所附格式填写，相关证书、报告等</w:t>
      </w:r>
      <w:r>
        <w:rPr>
          <w:rFonts w:hint="eastAsia" w:ascii="宋体" w:hAnsi="宋体" w:eastAsia="宋体" w:cs="宋体"/>
          <w:b/>
          <w:bCs/>
          <w:color w:val="auto"/>
          <w:spacing w:val="-6"/>
          <w:sz w:val="22"/>
          <w:highlight w:val="none"/>
        </w:rPr>
        <w:t>如遇年检或换证等特殊情况须按要求提供相应的证明材料</w:t>
      </w:r>
      <w:r>
        <w:rPr>
          <w:rFonts w:hint="eastAsia" w:ascii="宋体" w:hAnsi="宋体" w:eastAsia="宋体" w:cs="宋体"/>
          <w:b/>
          <w:bCs/>
          <w:color w:val="auto"/>
          <w:sz w:val="22"/>
          <w:highlight w:val="none"/>
        </w:rPr>
        <w:t>。没有提供格式的，投标人根据实际情况自行编制。</w:t>
      </w:r>
    </w:p>
    <w:p>
      <w:pPr>
        <w:pStyle w:val="16"/>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5.投标文件格式</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6"/>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6.投标文件编制要求</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6.1</w:t>
      </w:r>
      <w:r>
        <w:rPr>
          <w:rFonts w:hint="eastAsia" w:ascii="宋体" w:hAnsi="宋体" w:eastAsia="宋体" w:cs="宋体"/>
          <w:b/>
          <w:bCs/>
          <w:color w:val="auto"/>
          <w:sz w:val="22"/>
          <w:highlight w:val="none"/>
        </w:rPr>
        <w:t>投标人应根据电子投标操作指南按本招标文件规定的格式和顺序编制电子投标文件并进行关联定位</w:t>
      </w:r>
      <w:r>
        <w:rPr>
          <w:rFonts w:hint="eastAsia" w:ascii="宋体" w:hAnsi="宋体" w:eastAsia="宋体" w:cs="宋体"/>
          <w:color w:val="auto"/>
          <w:sz w:val="22"/>
          <w:highlight w:val="none"/>
        </w:rPr>
        <w:t>。</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6.2由于未按招标文件的规定要求编制投标文件，导致评标委员会作出的对投标人的误判，责任由投标人自己承担。</w:t>
      </w:r>
    </w:p>
    <w:p>
      <w:pPr>
        <w:tabs>
          <w:tab w:val="left" w:pos="-180"/>
          <w:tab w:val="left" w:pos="180"/>
          <w:tab w:val="left" w:pos="360"/>
        </w:tabs>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7.投标报价</w:t>
      </w:r>
    </w:p>
    <w:p>
      <w:pPr>
        <w:tabs>
          <w:tab w:val="left" w:pos="-180"/>
          <w:tab w:val="left" w:pos="180"/>
          <w:tab w:val="left" w:pos="360"/>
        </w:tabs>
        <w:spacing w:line="400" w:lineRule="exact"/>
        <w:ind w:firstLine="440" w:firstLineChars="200"/>
        <w:rPr>
          <w:rFonts w:hint="eastAsia" w:ascii="宋体" w:hAnsi="宋体" w:eastAsia="宋体" w:cs="宋体"/>
          <w:b/>
          <w:color w:val="auto"/>
          <w:sz w:val="22"/>
          <w:highlight w:val="none"/>
        </w:rPr>
      </w:pPr>
      <w:r>
        <w:rPr>
          <w:rFonts w:hint="eastAsia" w:ascii="宋体" w:hAnsi="宋体" w:eastAsia="宋体" w:cs="宋体"/>
          <w:color w:val="auto"/>
          <w:sz w:val="22"/>
          <w:highlight w:val="none"/>
        </w:rPr>
        <w:t>7.1</w:t>
      </w:r>
      <w:r>
        <w:rPr>
          <w:rFonts w:hint="eastAsia" w:ascii="宋体" w:hAnsi="宋体" w:eastAsia="宋体" w:cs="宋体"/>
          <w:color w:val="auto"/>
          <w:highlight w:val="none"/>
          <w:u w:val="single"/>
        </w:rPr>
        <w:t>▲</w:t>
      </w:r>
      <w:r>
        <w:rPr>
          <w:rFonts w:hint="eastAsia" w:ascii="宋体" w:hAnsi="宋体" w:eastAsia="宋体" w:cs="宋体"/>
          <w:color w:val="auto"/>
          <w:sz w:val="22"/>
          <w:highlight w:val="none"/>
          <w:u w:val="single"/>
        </w:rPr>
        <w:t>本项目投标报价为期限3年的承包费用报价，并采用固定总价承包。承包总价必须在承包区域内提供安保服务及其它服务所需的一切人员工资、奖金、各种加班费、高温费、福利、体检费、员工餐费、夜餐费、各种社会保险、交通、设备及工具、器材、消耗材料、服装、安全、仓储、管理费用、年终考核奖、税费、利润、采购代理服务费、完成合同所需的一切本身和不可或缺的所有工作开支、政策性文件规定及合同包含的所有风险、责任等各项全部费用并承担一切风险责任。投标人应根据上述因素自行考虑含入投标总价。</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7.2投标人须按第四部分附件的开标一览表（统一格式）、投标分项报价表（统一格式）的内容填写产品单价、合价及其他事项，并由法定代表人或授权代表签字或盖章。</w:t>
      </w:r>
    </w:p>
    <w:p>
      <w:pPr>
        <w:tabs>
          <w:tab w:val="left" w:pos="-180"/>
          <w:tab w:val="left" w:pos="180"/>
          <w:tab w:val="left" w:pos="360"/>
        </w:tabs>
        <w:spacing w:line="360" w:lineRule="exact"/>
        <w:ind w:firstLine="442" w:firstLineChars="200"/>
        <w:outlineLvl w:val="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7.3</w:t>
      </w:r>
      <w:r>
        <w:rPr>
          <w:rFonts w:hint="eastAsia" w:ascii="宋体" w:hAnsi="宋体" w:eastAsia="宋体" w:cs="宋体"/>
          <w:color w:val="auto"/>
          <w:sz w:val="22"/>
          <w:highlight w:val="none"/>
          <w:u w:val="single"/>
        </w:rPr>
        <w:t>▲所有投标均以人民币报价，投标分项按年度报价，</w:t>
      </w:r>
      <w:r>
        <w:rPr>
          <w:rFonts w:hint="eastAsia" w:ascii="宋体" w:hAnsi="宋体" w:eastAsia="宋体" w:cs="宋体"/>
          <w:color w:val="auto"/>
          <w:sz w:val="22"/>
          <w:highlight w:val="none"/>
        </w:rPr>
        <w:t>投标人如需外汇购入某些货物，须折合成人民币计入投标报价中。</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▲7.4采购人不接受任何选择报价，对每一种服务只允许一个报价。</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7.5投标人所报的投标价在合同执行过程中是固定不变的，不得以任何理由予以变更。任何包含价格调整的要求，将被认为是非实质性响应投标而予以拒绝。</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7.6采购人要求分类报价是为了方便评标，但在任何情况下不限制采购人以其认为最合适的条款、条件签订合同的权利。</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776最低报价不能作为中标的保证。</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8.投标保证金：</w:t>
      </w:r>
      <w:r>
        <w:rPr>
          <w:rFonts w:hint="eastAsia" w:ascii="宋体" w:hAnsi="宋体" w:eastAsia="宋体" w:cs="宋体"/>
          <w:color w:val="auto"/>
          <w:spacing w:val="-6"/>
          <w:sz w:val="22"/>
          <w:highlight w:val="none"/>
          <w:lang w:val="zh-CN"/>
        </w:rPr>
        <w:t>本项目不收取投标保证金。</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9.投标有效期</w:t>
      </w:r>
    </w:p>
    <w:p>
      <w:pPr>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9.1</w:t>
      </w:r>
      <w:r>
        <w:rPr>
          <w:rFonts w:hint="eastAsia" w:ascii="宋体" w:hAnsi="宋体" w:eastAsia="宋体" w:cs="宋体"/>
          <w:b/>
          <w:bCs/>
          <w:color w:val="auto"/>
          <w:sz w:val="22"/>
          <w:highlight w:val="none"/>
        </w:rPr>
        <w:t>自提交投标文件的截止之日起</w:t>
      </w:r>
      <w:r>
        <w:rPr>
          <w:rFonts w:hint="eastAsia" w:ascii="宋体" w:hAnsi="宋体" w:eastAsia="宋体" w:cs="宋体"/>
          <w:b/>
          <w:bCs/>
          <w:color w:val="auto"/>
          <w:sz w:val="22"/>
          <w:highlight w:val="none"/>
          <w:u w:val="single"/>
        </w:rPr>
        <w:t>90</w:t>
      </w:r>
      <w:r>
        <w:rPr>
          <w:rFonts w:hint="eastAsia" w:ascii="宋体" w:hAnsi="宋体" w:eastAsia="宋体" w:cs="宋体"/>
          <w:b/>
          <w:bCs/>
          <w:color w:val="auto"/>
          <w:sz w:val="22"/>
          <w:highlight w:val="none"/>
        </w:rPr>
        <w:t>天内投标应保持有效。有效期不足的投标文件将被拒绝。</w:t>
      </w:r>
    </w:p>
    <w:p>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10.投标文件的签署和规定</w:t>
      </w:r>
    </w:p>
    <w:p>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cs="宋体"/>
          <w:b/>
          <w:bCs/>
          <w:color w:val="auto"/>
          <w:spacing w:val="-6"/>
          <w:sz w:val="22"/>
          <w:highlight w:val="none"/>
        </w:rPr>
        <w:t>其中资格文件、商务和技术文件中不得出现投标报价，如因投标人原因提前泄露投标报价，是投标人的责任。</w:t>
      </w:r>
    </w:p>
    <w:p>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10.2投标文件须由投标人在规定位置加盖公章并由投标人代表签署，投标人应写全称。</w:t>
      </w:r>
    </w:p>
    <w:p>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10.3投标文件不得涂改，若有修改错漏处，须由投标人代表签字并加盖投标人公章。投标文件因字迹潦草或表达不清所引起的后果由投标人负责。</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10.4</w:t>
      </w:r>
      <w:r>
        <w:rPr>
          <w:rFonts w:hint="eastAsia" w:ascii="宋体" w:hAnsi="宋体" w:eastAsia="宋体" w:cs="宋体"/>
          <w:b/>
          <w:bCs/>
          <w:color w:val="auto"/>
          <w:sz w:val="22"/>
          <w:highlight w:val="none"/>
        </w:rPr>
        <w:t>投标文件字迹模糊或在关键的技术、商务条款上表述不清楚，将可能导致其投标被拒绝。</w:t>
      </w:r>
    </w:p>
    <w:p>
      <w:pPr>
        <w:spacing w:line="400" w:lineRule="exact"/>
        <w:jc w:val="center"/>
        <w:outlineLvl w:val="0"/>
        <w:rPr>
          <w:rFonts w:hint="eastAsia" w:ascii="宋体" w:hAnsi="宋体" w:eastAsia="宋体" w:cs="宋体"/>
          <w:color w:val="auto"/>
          <w:sz w:val="22"/>
          <w:highlight w:val="none"/>
        </w:rPr>
      </w:pPr>
      <w:r>
        <w:rPr>
          <w:rFonts w:hint="eastAsia" w:ascii="宋体" w:hAnsi="宋体" w:eastAsia="宋体" w:cs="宋体"/>
          <w:b/>
          <w:color w:val="auto"/>
          <w:sz w:val="26"/>
          <w:highlight w:val="none"/>
        </w:rPr>
        <w:t>四、 投标文件的递交</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1.电子投标文件的加密、递交</w:t>
      </w:r>
    </w:p>
    <w:p>
      <w:pPr>
        <w:spacing w:line="36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kern w:val="0"/>
          <w:sz w:val="22"/>
          <w:highlight w:val="none"/>
        </w:rPr>
        <w:t>投标人</w:t>
      </w:r>
      <w:r>
        <w:rPr>
          <w:rFonts w:hint="eastAsia" w:ascii="宋体" w:hAnsi="宋体" w:eastAsia="宋体" w:cs="宋体"/>
          <w:color w:val="auto"/>
          <w:spacing w:val="-6"/>
          <w:sz w:val="22"/>
          <w:highlight w:val="none"/>
        </w:rPr>
        <w:t>于投标截止时间前按照电子投标要求将加密电子投标文件上传到“政采云”平台，逾期或未上传成功的将被政府采购云平台拒收</w:t>
      </w:r>
      <w:r>
        <w:rPr>
          <w:rFonts w:hint="eastAsia" w:ascii="宋体" w:hAnsi="宋体" w:eastAsia="宋体" w:cs="宋体"/>
          <w:color w:val="auto"/>
          <w:kern w:val="0"/>
          <w:sz w:val="22"/>
          <w:highlight w:val="none"/>
        </w:rPr>
        <w:t>。</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w:t>
      </w:r>
      <w:r>
        <w:rPr>
          <w:rFonts w:hint="eastAsia" w:ascii="宋体" w:hAnsi="宋体" w:eastAsia="宋体" w:cs="宋体"/>
          <w:b/>
          <w:color w:val="auto"/>
          <w:sz w:val="22"/>
          <w:highlight w:val="none"/>
        </w:rPr>
        <w:t>备份电子投标文件的加密、递交（如有）</w:t>
      </w:r>
    </w:p>
    <w:p>
      <w:pPr>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为</w:t>
      </w:r>
      <w:r>
        <w:rPr>
          <w:rFonts w:hint="eastAsia" w:ascii="宋体" w:hAnsi="宋体" w:eastAsia="宋体" w:cs="宋体"/>
          <w:color w:val="auto"/>
          <w:kern w:val="0"/>
          <w:sz w:val="22"/>
          <w:highlight w:val="none"/>
        </w:rPr>
        <w:t>确保采购项目顺利实施，避免因政采云上电子投标文件解密失败导致投标人投标无效，</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highlight w:val="none"/>
        </w:rPr>
        <w:t>投标人在政府采购云平台完成加密电子投标文件的上传后投标截止时间前将</w:t>
      </w:r>
      <w:r>
        <w:rPr>
          <w:rFonts w:hint="eastAsia" w:ascii="宋体" w:hAnsi="宋体" w:eastAsia="宋体" w:cs="宋体"/>
          <w:b/>
          <w:bCs/>
          <w:color w:val="auto"/>
          <w:sz w:val="22"/>
          <w:highlight w:val="none"/>
        </w:rPr>
        <w:t>以介质存储的数据电文形式的备份电子投标文件按“</w:t>
      </w:r>
      <w:r>
        <w:rPr>
          <w:rFonts w:hint="eastAsia" w:ascii="宋体" w:hAnsi="宋体" w:eastAsia="宋体" w:cs="宋体"/>
          <w:b/>
          <w:bCs/>
          <w:color w:val="auto"/>
          <w:sz w:val="22"/>
          <w:highlight w:val="none"/>
          <w:lang w:val="zh-CN"/>
        </w:rPr>
        <w:t>投标人须知前附表</w:t>
      </w:r>
      <w:r>
        <w:rPr>
          <w:rFonts w:hint="eastAsia" w:ascii="宋体" w:hAnsi="宋体" w:eastAsia="宋体" w:cs="宋体"/>
          <w:b/>
          <w:bCs/>
          <w:color w:val="auto"/>
          <w:sz w:val="22"/>
          <w:highlight w:val="none"/>
        </w:rPr>
        <w:t>”要求</w:t>
      </w:r>
      <w:r>
        <w:rPr>
          <w:rFonts w:hint="eastAsia" w:ascii="宋体" w:hAnsi="宋体" w:eastAsia="宋体" w:cs="宋体"/>
          <w:b/>
          <w:bCs/>
          <w:color w:val="auto"/>
          <w:sz w:val="22"/>
          <w:highlight w:val="none"/>
        </w:rPr>
        <w:fldChar w:fldCharType="end"/>
      </w:r>
      <w:r>
        <w:rPr>
          <w:rFonts w:hint="eastAsia" w:ascii="宋体" w:hAnsi="宋体" w:eastAsia="宋体" w:cs="宋体"/>
          <w:color w:val="auto"/>
          <w:kern w:val="0"/>
          <w:sz w:val="22"/>
          <w:highlight w:val="none"/>
        </w:rPr>
        <w:t>加密、递交。</w:t>
      </w:r>
    </w:p>
    <w:p>
      <w:pPr>
        <w:pStyle w:val="16"/>
        <w:snapToGrid w:val="0"/>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本项目由采购代理机构做好“</w:t>
      </w:r>
      <w:r>
        <w:rPr>
          <w:rFonts w:hint="eastAsia" w:ascii="宋体" w:hAnsi="宋体" w:eastAsia="宋体" w:cs="宋体"/>
          <w:b/>
          <w:bCs/>
          <w:color w:val="auto"/>
          <w:sz w:val="22"/>
          <w:highlight w:val="none"/>
        </w:rPr>
        <w:t>介质存储的数据电文形式的备份电子投标文件</w:t>
      </w:r>
      <w:r>
        <w:rPr>
          <w:rFonts w:hint="eastAsia" w:ascii="宋体" w:hAnsi="宋体" w:eastAsia="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▲投标人递交的介质存储的数据电文形式的备份电子投标文件时，如出现下列情况之一的，视为无效备份电子投标文件：</w:t>
      </w:r>
    </w:p>
    <w:p>
      <w:pPr>
        <w:snapToGrid w:val="0"/>
        <w:spacing w:line="36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（1）超过投标截止时间送达的；</w:t>
      </w:r>
    </w:p>
    <w:p>
      <w:pPr>
        <w:snapToGrid w:val="0"/>
        <w:spacing w:line="36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（2）未在政采云平台获取招标文件的。</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3.投标文件的修改和撤回</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3.2在投标截止时间之后，投标人不得对其投标做任何修改。</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3.3从投标截止时间至投标人在投标书格式中确定的投标有效期期满这段时间内，投标人不得撤回其投标。</w:t>
      </w:r>
    </w:p>
    <w:p>
      <w:pPr>
        <w:tabs>
          <w:tab w:val="left" w:pos="360"/>
          <w:tab w:val="left" w:pos="540"/>
          <w:tab w:val="left" w:pos="1260"/>
        </w:tabs>
        <w:spacing w:line="400" w:lineRule="exact"/>
        <w:ind w:left="919" w:hanging="919" w:hangingChars="352"/>
        <w:jc w:val="center"/>
        <w:outlineLvl w:val="0"/>
        <w:rPr>
          <w:rFonts w:hint="eastAsia" w:ascii="宋体" w:hAnsi="宋体" w:eastAsia="宋体" w:cs="宋体"/>
          <w:b/>
          <w:color w:val="auto"/>
          <w:sz w:val="26"/>
          <w:highlight w:val="none"/>
        </w:rPr>
      </w:pPr>
      <w:r>
        <w:rPr>
          <w:rFonts w:hint="eastAsia" w:ascii="宋体" w:hAnsi="宋体" w:eastAsia="宋体" w:cs="宋体"/>
          <w:b/>
          <w:color w:val="auto"/>
          <w:sz w:val="26"/>
          <w:highlight w:val="none"/>
        </w:rPr>
        <w:t>五、 开标和评标</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1.评标委员会</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采购人依法组建评标委员会。评标委员会的成员在评标过程中必须严格遵守《中华人民共和国政府采购法》等有关法律、法规的规定。</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2.评标过程的保密性</w:t>
      </w:r>
    </w:p>
    <w:p>
      <w:pPr>
        <w:spacing w:line="360" w:lineRule="exact"/>
        <w:ind w:firstLine="442" w:firstLineChars="200"/>
        <w:rPr>
          <w:rFonts w:hint="eastAsia" w:ascii="宋体" w:hAnsi="宋体" w:eastAsia="宋体" w:cs="宋体"/>
          <w:color w:val="auto"/>
          <w:sz w:val="22"/>
          <w:highlight w:val="none"/>
          <w:u w:val="single"/>
        </w:rPr>
      </w:pPr>
      <w:r>
        <w:rPr>
          <w:rFonts w:hint="eastAsia" w:ascii="宋体" w:hAnsi="宋体" w:eastAsia="宋体" w:cs="宋体"/>
          <w:b/>
          <w:color w:val="auto"/>
          <w:sz w:val="22"/>
          <w:highlight w:val="none"/>
          <w:u w:val="single"/>
        </w:rPr>
        <w:t>▲</w:t>
      </w:r>
      <w:r>
        <w:rPr>
          <w:rFonts w:hint="eastAsia" w:ascii="宋体" w:hAnsi="宋体" w:eastAsia="宋体" w:cs="宋体"/>
          <w:color w:val="auto"/>
          <w:sz w:val="22"/>
          <w:highlight w:val="none"/>
          <w:u w:val="single"/>
        </w:rPr>
        <w:t>2.1开标后直至向中标人授予合同时止，凡与评审有关的资料均不得向投标人及与评标无关人员透漏。如果投标人在评标过程中试图向采购人和采购人施加影响，其投标将被拒绝。</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3.开标</w:t>
      </w:r>
    </w:p>
    <w:p>
      <w:pPr>
        <w:pStyle w:val="45"/>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本项目实行电子开评标，投标人无需前往开评标现场，只需在规定时间内在“政采云”平台上上传电子投标文件。</w:t>
      </w:r>
    </w:p>
    <w:p>
      <w:pPr>
        <w:pStyle w:val="45"/>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3.1开标准备</w:t>
      </w:r>
    </w:p>
    <w:p>
      <w:pPr>
        <w:pStyle w:val="45"/>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①制订开标、评审工作的组织方案，落实工作场地、设施，检查录音录像采集设备运行情况。采用电子评审方式的，验证电子评审系统是否正常运行。</w:t>
      </w:r>
    </w:p>
    <w:p>
      <w:pPr>
        <w:pStyle w:val="45"/>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②通知或邀请相关单位和人员出席开标、评审活动（按规定由相关监管部门或其授权机构随机抽取、通知的政府采购评审专家除外）。</w:t>
      </w:r>
    </w:p>
    <w:p>
      <w:pPr>
        <w:pStyle w:val="45"/>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③准备政府采购项目的相关文件资料，如项目政府采购预算确认书（计划）、专家抽取有关凭证、项目书面说明、招标文件、补充文件及质疑答复情况、现场工作所需的相关登记表单、评审工作底稿等。</w:t>
      </w:r>
    </w:p>
    <w:p>
      <w:pPr>
        <w:pStyle w:val="45"/>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④其他应准备的事项。</w:t>
      </w:r>
    </w:p>
    <w:p>
      <w:pPr>
        <w:pStyle w:val="13"/>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3.2采购代理机构按照招标文件规定的时间、地点和程序组织开标，具体按以下程序进行：</w:t>
      </w:r>
    </w:p>
    <w:p>
      <w:pPr>
        <w:pStyle w:val="16"/>
        <w:overflowPunct/>
        <w:autoSpaceDE/>
        <w:autoSpaceDN/>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①</w:t>
      </w:r>
      <w:r>
        <w:rPr>
          <w:rFonts w:hint="eastAsia" w:ascii="宋体" w:hAnsi="宋体" w:eastAsia="宋体" w:cs="宋体"/>
          <w:color w:val="auto"/>
          <w:spacing w:val="-6"/>
          <w:sz w:val="22"/>
          <w:highlight w:val="none"/>
        </w:rPr>
        <w:t>开启评审场地的录音录像采集设备，并确保其正常运行。</w:t>
      </w:r>
    </w:p>
    <w:p>
      <w:pPr>
        <w:pStyle w:val="26"/>
        <w:spacing w:before="0" w:beforeAutospacing="0" w:after="0" w:afterAutospacing="0" w:line="360" w:lineRule="exact"/>
        <w:ind w:firstLine="440" w:firstLineChars="20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②解密</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投标截止时间止采购代理机构向各投标人发出电子投标文件开始解密通知，由投标人在</w:t>
      </w:r>
      <w:r>
        <w:rPr>
          <w:rFonts w:hint="eastAsia" w:ascii="宋体" w:hAnsi="宋体" w:eastAsia="宋体" w:cs="宋体"/>
          <w:b/>
          <w:bCs/>
          <w:snapToGrid w:val="0"/>
          <w:color w:val="auto"/>
          <w:sz w:val="22"/>
          <w:highlight w:val="none"/>
        </w:rPr>
        <w:t>政采云平台</w:t>
      </w:r>
      <w:r>
        <w:rPr>
          <w:rFonts w:hint="eastAsia" w:ascii="宋体" w:hAnsi="宋体" w:eastAsia="宋体" w:cs="宋体"/>
          <w:b/>
          <w:bCs/>
          <w:color w:val="auto"/>
          <w:sz w:val="22"/>
          <w:highlight w:val="none"/>
        </w:rPr>
        <w:t>规定时间（不少于30分钟）内自行进行投标文件解密（</w:t>
      </w:r>
      <w:r>
        <w:rPr>
          <w:rFonts w:hint="eastAsia" w:ascii="宋体" w:hAnsi="宋体" w:eastAsia="宋体" w:cs="宋体"/>
          <w:b/>
          <w:bCs/>
          <w:color w:val="auto"/>
          <w:kern w:val="0"/>
          <w:sz w:val="22"/>
          <w:highlight w:val="none"/>
        </w:rPr>
        <w:t>投标人无需在开标当天到达开标现场对电子投标进行解密，可在公司办公场地在</w:t>
      </w:r>
      <w:r>
        <w:rPr>
          <w:rFonts w:hint="eastAsia" w:ascii="宋体" w:hAnsi="宋体" w:eastAsia="宋体" w:cs="宋体"/>
          <w:b/>
          <w:bCs/>
          <w:snapToGrid w:val="0"/>
          <w:color w:val="auto"/>
          <w:sz w:val="22"/>
          <w:highlight w:val="none"/>
        </w:rPr>
        <w:t>政采云平台</w:t>
      </w:r>
      <w:r>
        <w:rPr>
          <w:rFonts w:hint="eastAsia" w:ascii="宋体" w:hAnsi="宋体" w:eastAsia="宋体" w:cs="宋体"/>
          <w:b/>
          <w:bCs/>
          <w:color w:val="auto"/>
          <w:kern w:val="0"/>
          <w:sz w:val="22"/>
          <w:highlight w:val="none"/>
        </w:rPr>
        <w:t>规定时间内</w:t>
      </w:r>
      <w:r>
        <w:rPr>
          <w:rFonts w:hint="eastAsia" w:ascii="宋体" w:hAnsi="宋体" w:eastAsia="宋体" w:cs="宋体"/>
          <w:b/>
          <w:bCs/>
          <w:color w:val="auto"/>
          <w:sz w:val="22"/>
          <w:highlight w:val="none"/>
        </w:rPr>
        <w:t>通过制作电子投标文件的CA锁用“项目采购-开标评标”功能</w:t>
      </w:r>
      <w:r>
        <w:rPr>
          <w:rFonts w:hint="eastAsia" w:ascii="宋体" w:hAnsi="宋体" w:eastAsia="宋体" w:cs="宋体"/>
          <w:b/>
          <w:bCs/>
          <w:color w:val="auto"/>
          <w:kern w:val="0"/>
          <w:sz w:val="22"/>
          <w:highlight w:val="none"/>
        </w:rPr>
        <w:t>对电子投标文件进行解密。</w:t>
      </w:r>
      <w:r>
        <w:rPr>
          <w:rFonts w:hint="eastAsia" w:ascii="宋体" w:hAnsi="宋体" w:eastAsia="宋体" w:cs="宋体"/>
          <w:b/>
          <w:bCs/>
          <w:color w:val="auto"/>
          <w:sz w:val="22"/>
          <w:highlight w:val="none"/>
        </w:rPr>
        <w:t>）。</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本项目原则上采用政采云电子招投标开标及评审程序，但有下情形的，按以下情况处理：</w:t>
      </w:r>
    </w:p>
    <w:p>
      <w:pPr>
        <w:pStyle w:val="16"/>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人在政采云规定时间内无法解密或解密失败的，如已按规定递交以介质存储的数据电文形式的备份电子投标文件的，采购代理机构将按照投标人自身意愿确认是否同意提供加密密码解密传送至浙江乐诚工程咨询有限公司电子邮箱（2812799762@qq.com）的以介质存储的数据电文形式的备份电子投标文件，并以以介质存储的数据电文形式的备份电子投标文件按政府采购云平台操作规范上传至政府采购云平台，上传成功后，电子加密投标文件自动失效，否则视为投标文件撤回。投标文件已按时解密的，以介质存储的数据电文形式的备份电子投标文件自动失效。</w:t>
      </w:r>
    </w:p>
    <w:p>
      <w:pPr>
        <w:pStyle w:val="16"/>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6"/>
        <w:widowControl w:val="0"/>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投标人不足3家的，不得开标。</w:t>
      </w:r>
    </w:p>
    <w:p>
      <w:pPr>
        <w:pStyle w:val="16"/>
        <w:widowControl w:val="0"/>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③投标文件解密结束，组织投标人签署《政府采购活动现场确认声明书》，格式详见附件。</w:t>
      </w:r>
    </w:p>
    <w:p>
      <w:pPr>
        <w:pStyle w:val="16"/>
        <w:widowControl w:val="0"/>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④采购代理机构对资格进行审查。</w:t>
      </w:r>
    </w:p>
    <w:p>
      <w:pPr>
        <w:pStyle w:val="16"/>
        <w:widowControl w:val="0"/>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⑤评标委员会对商务技术文件进行评审。</w:t>
      </w:r>
    </w:p>
    <w:p>
      <w:pPr>
        <w:pStyle w:val="16"/>
        <w:widowControl w:val="0"/>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⑥评标委员会对报价情况进行评审。</w:t>
      </w:r>
    </w:p>
    <w:p>
      <w:pPr>
        <w:pStyle w:val="16"/>
        <w:widowControl w:val="0"/>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⑦在系统上公布评审结果。</w:t>
      </w:r>
    </w:p>
    <w:p>
      <w:pPr>
        <w:pStyle w:val="16"/>
        <w:widowControl w:val="0"/>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特别说明：政采云公司如对电子化开标及评审程序有调整的，按调整后的程序操作。</w:t>
      </w:r>
    </w:p>
    <w:p>
      <w:pPr>
        <w:spacing w:line="360" w:lineRule="exact"/>
        <w:ind w:firstLine="440" w:firstLineChars="200"/>
        <w:rPr>
          <w:rFonts w:hint="eastAsia" w:ascii="宋体" w:hAnsi="宋体" w:eastAsia="宋体" w:cs="宋体"/>
          <w:bCs/>
          <w:color w:val="auto"/>
          <w:sz w:val="22"/>
          <w:highlight w:val="none"/>
          <w:lang w:val="zh-CN"/>
        </w:rPr>
      </w:pPr>
      <w:r>
        <w:rPr>
          <w:rFonts w:hint="eastAsia" w:ascii="宋体" w:hAnsi="宋体" w:eastAsia="宋体" w:cs="宋体"/>
          <w:color w:val="auto"/>
          <w:sz w:val="22"/>
          <w:highlight w:val="none"/>
        </w:rPr>
        <w:t>4.评标</w:t>
      </w:r>
    </w:p>
    <w:p>
      <w:pPr>
        <w:pStyle w:val="16"/>
        <w:overflowPunct/>
        <w:autoSpaceDE/>
        <w:autoSpaceDN/>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采购代理机构按照招标文件规定的时间、地点及程序组织评审。评审活动一般应按以下程序组织开展：</w:t>
      </w:r>
    </w:p>
    <w:p>
      <w:pPr>
        <w:pStyle w:val="16"/>
        <w:overflowPunct/>
        <w:autoSpaceDE/>
        <w:autoSpaceDN/>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①</w:t>
      </w:r>
      <w:r>
        <w:rPr>
          <w:rFonts w:hint="eastAsia" w:ascii="宋体" w:hAnsi="宋体" w:eastAsia="宋体" w:cs="宋体"/>
          <w:color w:val="auto"/>
          <w:spacing w:val="-6"/>
          <w:sz w:val="22"/>
          <w:highlight w:val="none"/>
        </w:rPr>
        <w:t>开启评审场地的录音录像采集设备，并确保其正常运行。</w:t>
      </w:r>
    </w:p>
    <w:p>
      <w:pPr>
        <w:pStyle w:val="16"/>
        <w:overflowPunct/>
        <w:autoSpaceDE/>
        <w:autoSpaceDN/>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②</w:t>
      </w:r>
      <w:r>
        <w:rPr>
          <w:rFonts w:hint="eastAsia" w:ascii="宋体" w:hAnsi="宋体" w:eastAsia="宋体" w:cs="宋体"/>
          <w:color w:val="auto"/>
          <w:spacing w:val="-6"/>
          <w:sz w:val="22"/>
          <w:highlight w:val="none"/>
        </w:rPr>
        <w:t>核验出席评审活动现场的评标委员会各成员身份，并要求其分别登记、签到，按规定统一收缴、保存其通讯工具，无关人员一律拒绝其进入评审现场。</w:t>
      </w:r>
    </w:p>
    <w:p>
      <w:pPr>
        <w:pStyle w:val="16"/>
        <w:overflowPunct/>
        <w:autoSpaceDE/>
        <w:autoSpaceDN/>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③介绍评审现场的人员情况，宣布评审工作纪律，告知评标委员会应当回避情形；组织推选评标委员会组长。</w:t>
      </w:r>
    </w:p>
    <w:p>
      <w:pPr>
        <w:pStyle w:val="16"/>
        <w:overflowPunct/>
        <w:autoSpaceDE/>
        <w:autoSpaceDN/>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④宣布获取</w:t>
      </w:r>
      <w:r>
        <w:rPr>
          <w:rFonts w:hint="eastAsia" w:ascii="宋体" w:hAnsi="宋体" w:eastAsia="宋体" w:cs="宋体"/>
          <w:color w:val="auto"/>
          <w:spacing w:val="-6"/>
          <w:sz w:val="22"/>
          <w:highlight w:val="none"/>
        </w:rPr>
        <w:t>本项目采购的投标人名单，宣读最终提交投标文件且通过资格审查的投标人名单，组织评标委员会各位成员签订《政府采购评审人员廉洁自律承诺书》。</w:t>
      </w:r>
    </w:p>
    <w:p>
      <w:pPr>
        <w:pStyle w:val="16"/>
        <w:overflowPunct/>
        <w:autoSpaceDE/>
        <w:autoSpaceDN/>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⑤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r>
        <w:rPr>
          <w:rFonts w:hint="eastAsia" w:ascii="宋体" w:hAnsi="宋体" w:eastAsia="宋体" w:cs="宋体"/>
          <w:color w:val="auto"/>
          <w:kern w:val="0"/>
          <w:sz w:val="22"/>
          <w:highlight w:val="none"/>
        </w:rPr>
        <w:t>评标委员会要求投标人澄清、说明或者补正，须通过政采云平台要求澄清、说明或者补正。</w:t>
      </w:r>
    </w:p>
    <w:p>
      <w:pPr>
        <w:pStyle w:val="45"/>
        <w:snapToGrid w:val="0"/>
        <w:spacing w:line="360" w:lineRule="exact"/>
        <w:ind w:firstLine="416"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⑥评标委员会组长组织评标委员会独立评审。评标委员会对拟认定为投标文件无效的，应组织相关投标人代表进行陈述、澄清或申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16"/>
        <w:overflowPunct/>
        <w:autoSpaceDE/>
        <w:autoSpaceDN/>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做好评审现场相关记录，做好评审报告起草、有关内容电脑文字录入等工作，并要求评标委员会各成员签字确认。</w:t>
      </w:r>
    </w:p>
    <w:p>
      <w:pPr>
        <w:pStyle w:val="16"/>
        <w:overflowPunct/>
        <w:autoSpaceDE/>
        <w:autoSpaceDN/>
        <w:adjustRightInd/>
        <w:spacing w:line="360" w:lineRule="exact"/>
        <w:ind w:firstLine="416" w:firstLineChars="200"/>
        <w:textAlignment w:val="auto"/>
        <w:rPr>
          <w:rFonts w:hint="eastAsia" w:ascii="宋体" w:hAnsi="宋体" w:eastAsia="宋体" w:cs="宋体"/>
          <w:b/>
          <w:bCs/>
          <w:color w:val="auto"/>
          <w:sz w:val="22"/>
          <w:highlight w:val="none"/>
        </w:rPr>
      </w:pPr>
      <w:r>
        <w:rPr>
          <w:rFonts w:hint="eastAsia" w:ascii="宋体" w:hAnsi="宋体" w:eastAsia="宋体" w:cs="宋体"/>
          <w:color w:val="auto"/>
          <w:spacing w:val="-6"/>
          <w:sz w:val="22"/>
          <w:highlight w:val="none"/>
        </w:rPr>
        <w:t>⑦评审结束后，采购代理机构交还评审人员及其他现场相关人员的通讯工具。</w:t>
      </w:r>
    </w:p>
    <w:p>
      <w:pPr>
        <w:spacing w:line="360" w:lineRule="exact"/>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5.投标无效的情形</w:t>
      </w:r>
    </w:p>
    <w:p>
      <w:pPr>
        <w:pStyle w:val="16"/>
        <w:overflowPunct/>
        <w:autoSpaceDE/>
        <w:autoSpaceDN/>
        <w:adjustRightInd/>
        <w:spacing w:line="360" w:lineRule="exact"/>
        <w:ind w:firstLine="440"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z w:val="22"/>
          <w:highlight w:val="none"/>
          <w:u w:val="single"/>
        </w:rPr>
        <w:t>▲</w:t>
      </w:r>
      <w:r>
        <w:rPr>
          <w:rFonts w:hint="eastAsia" w:ascii="宋体" w:hAnsi="宋体" w:eastAsia="宋体" w:cs="宋体"/>
          <w:color w:val="auto"/>
          <w:spacing w:val="-6"/>
          <w:sz w:val="22"/>
          <w:highlight w:val="none"/>
          <w:u w:val="single"/>
        </w:rPr>
        <w:t>5.1、有下列情形之一的，将不予受理投标文件：</w:t>
      </w:r>
    </w:p>
    <w:p>
      <w:pPr>
        <w:pStyle w:val="16"/>
        <w:overflowPunct/>
        <w:autoSpaceDE/>
        <w:autoSpaceDN/>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（1）逾期上传电子档投标文件至“政采云”平台的；</w:t>
      </w:r>
    </w:p>
    <w:p>
      <w:pPr>
        <w:pStyle w:val="16"/>
        <w:overflowPunct/>
        <w:autoSpaceDE/>
        <w:autoSpaceDN/>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（2）仅递交备份电子投标文件的；</w:t>
      </w:r>
    </w:p>
    <w:p>
      <w:pPr>
        <w:pStyle w:val="16"/>
        <w:overflowPunct/>
        <w:autoSpaceDE/>
        <w:autoSpaceDN/>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（3）投标文件只有商务技术文件或者商务技术文件与报价文件部分上传在一份文档中的；</w:t>
      </w:r>
    </w:p>
    <w:p>
      <w:pPr>
        <w:spacing w:line="360" w:lineRule="exact"/>
        <w:ind w:firstLine="416" w:firstLineChars="200"/>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（4）</w:t>
      </w:r>
      <w:r>
        <w:rPr>
          <w:rFonts w:hint="eastAsia" w:ascii="宋体" w:hAnsi="宋体" w:eastAsia="宋体" w:cs="宋体"/>
          <w:color w:val="auto"/>
          <w:sz w:val="22"/>
          <w:highlight w:val="none"/>
          <w:u w:val="single"/>
        </w:rPr>
        <w:t>电子投标文件解密失败的，且未在规定时间内提交备份电子投标文件的视为投标无效。</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▲5.2在资格审查时，如发现下列情形之一的，投标无效：</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（1）资格审查材料不全的，或者不符合招标文件要求的；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（2）资格审查材料未按招标文件要求签署、盖章的；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（3）不具备招标文件中规定的资格条件的；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（4）经查询存在不良信用记录的。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▲5.3在符合性审查、商务和技术评审时，如发现下列情形之一的，投标无效：</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（1）“商务和技术文件”未按招标文件要求签署、盖章的；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（2）未提供合法、有效法定代表人授权委托书；法定代表人或委托授权代表与投标文件所附身份证明不符；</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（3）明显不符合招标文件实质性要求或者与招标文件中标“▲且加下划线”的内容发生实质性偏离的；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（4）未提供或未如实提供采购需求偏离表的；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（5）未提供或未如实提供投标项目的技术参数，或者投标文件标明的响应或偏离与事实不符或虚假投标的；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（6）投标有效期不能满足招标文件要求的；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（7）投标技术方案不明确，存在一个或一个以上备选（替代）投标方案的；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（8）投标文件含有采购人不能接受的附加条件的；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（9）在“资格文件”或“商务和技术文件”中出现投标报价的；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（10）法律、法规和招标文件中规定的其他无效情形的。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▲5.4在报价评审时，如发现下列情形之一的，投标无效：</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（1）报价文件未按招标文件要求签署、盖章的；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（2）未按照招标文件标明的币种报价的；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（3）报价超出招标文件中规定的预算金额或者最高限价的；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（4）投标报价具有选择性，或者开标价格与投标文件承诺的优惠（折扣）价格不一致的；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rPr>
        <w:t>▲5.5</w:t>
      </w:r>
      <w:r>
        <w:rPr>
          <w:rFonts w:hint="eastAsia" w:ascii="宋体" w:hAnsi="宋体" w:eastAsia="宋体" w:cs="宋体"/>
          <w:color w:val="auto"/>
          <w:sz w:val="22"/>
          <w:highlight w:val="none"/>
          <w:u w:val="single"/>
          <w:lang w:val="zh-CN"/>
        </w:rPr>
        <w:t>有下列情形之一的，视为投标人串通投标，</w:t>
      </w:r>
      <w:r>
        <w:rPr>
          <w:rFonts w:hint="eastAsia" w:ascii="宋体" w:hAnsi="宋体" w:eastAsia="宋体" w:cs="宋体"/>
          <w:color w:val="auto"/>
          <w:sz w:val="22"/>
          <w:highlight w:val="none"/>
          <w:u w:val="single"/>
        </w:rPr>
        <w:t>投标无效</w:t>
      </w:r>
      <w:r>
        <w:rPr>
          <w:rFonts w:hint="eastAsia" w:ascii="宋体" w:hAnsi="宋体" w:eastAsia="宋体" w:cs="宋体"/>
          <w:color w:val="auto"/>
          <w:sz w:val="22"/>
          <w:highlight w:val="none"/>
          <w:u w:val="single"/>
          <w:lang w:val="zh-CN"/>
        </w:rPr>
        <w:t>，由采购人或采购代理机构上报政府采购监督管理部门，视情列入不良行为记录名单，在一至三年内禁止参加政府采购活动：</w:t>
      </w:r>
    </w:p>
    <w:p>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1</w:t>
      </w:r>
      <w:r>
        <w:rPr>
          <w:rFonts w:hint="eastAsia" w:ascii="宋体" w:hAnsi="宋体" w:eastAsia="宋体" w:cs="宋体"/>
          <w:color w:val="auto"/>
          <w:sz w:val="22"/>
          <w:highlight w:val="none"/>
          <w:u w:val="single"/>
          <w:lang w:val="zh-CN"/>
        </w:rPr>
        <w:t>）不同投标人的投标文件由同一单位或者个人编制；</w:t>
      </w:r>
    </w:p>
    <w:p>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2</w:t>
      </w:r>
      <w:r>
        <w:rPr>
          <w:rFonts w:hint="eastAsia" w:ascii="宋体" w:hAnsi="宋体" w:eastAsia="宋体" w:cs="宋体"/>
          <w:color w:val="auto"/>
          <w:sz w:val="22"/>
          <w:highlight w:val="none"/>
          <w:u w:val="single"/>
          <w:lang w:val="zh-CN"/>
        </w:rPr>
        <w:t>）不同投标人委托同一单位或者个人办理投标事宜；</w:t>
      </w:r>
    </w:p>
    <w:p>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3</w:t>
      </w:r>
      <w:r>
        <w:rPr>
          <w:rFonts w:hint="eastAsia" w:ascii="宋体" w:hAnsi="宋体" w:eastAsia="宋体" w:cs="宋体"/>
          <w:color w:val="auto"/>
          <w:sz w:val="22"/>
          <w:highlight w:val="none"/>
          <w:u w:val="single"/>
          <w:lang w:val="zh-CN"/>
        </w:rPr>
        <w:t>）不同投标人的投标文件载明的项目管理成员或者联系人员为同一人；</w:t>
      </w:r>
    </w:p>
    <w:p>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4</w:t>
      </w:r>
      <w:r>
        <w:rPr>
          <w:rFonts w:hint="eastAsia" w:ascii="宋体" w:hAnsi="宋体" w:eastAsia="宋体" w:cs="宋体"/>
          <w:color w:val="auto"/>
          <w:sz w:val="22"/>
          <w:highlight w:val="none"/>
          <w:u w:val="single"/>
          <w:lang w:val="zh-CN"/>
        </w:rPr>
        <w:t>）不同投标人的投标文件异常一致或者投标报价呈规律性差异；</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5</w:t>
      </w:r>
      <w:r>
        <w:rPr>
          <w:rFonts w:hint="eastAsia" w:ascii="宋体" w:hAnsi="宋体" w:eastAsia="宋体" w:cs="宋体"/>
          <w:color w:val="auto"/>
          <w:sz w:val="22"/>
          <w:highlight w:val="none"/>
          <w:u w:val="single"/>
          <w:lang w:val="zh-CN"/>
        </w:rPr>
        <w:t>）不同投标人的投标文件相互混装。</w:t>
      </w:r>
    </w:p>
    <w:p>
      <w:pPr>
        <w:pStyle w:val="16"/>
        <w:overflowPunct/>
        <w:autoSpaceDE/>
        <w:autoSpaceDN/>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6.错误修正</w:t>
      </w:r>
    </w:p>
    <w:p>
      <w:pPr>
        <w:pStyle w:val="16"/>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投标文件报价出现前后不一致的，除招标文件另有规定外，按照下列规定修正：</w:t>
      </w:r>
    </w:p>
    <w:p>
      <w:pPr>
        <w:pStyle w:val="16"/>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6.1投标文件中开标一览表（报价表）内容与投标文件中相应内容不一致的，以开标一览表（报价表）为准；</w:t>
      </w:r>
    </w:p>
    <w:p>
      <w:pPr>
        <w:pStyle w:val="16"/>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6.2大写金额和小写金额不一致的，以大写金额为准；</w:t>
      </w:r>
    </w:p>
    <w:p>
      <w:pPr>
        <w:pStyle w:val="16"/>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6.3单价金额小数点或者百分比有明显错位的，以开标一览表的总价为准，并修改单价；</w:t>
      </w:r>
    </w:p>
    <w:p>
      <w:pPr>
        <w:pStyle w:val="16"/>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6.4总价金额与按单价汇总金额不一致的，以单价金额计算结果为准。</w:t>
      </w:r>
    </w:p>
    <w:p>
      <w:pPr>
        <w:pStyle w:val="16"/>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6.5对不同文字文本投标文件的解释发生异义的，以中文文本为准</w:t>
      </w:r>
    </w:p>
    <w:p>
      <w:pPr>
        <w:pStyle w:val="16"/>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6.6客户端填写的报价与以pdf格式上传文件中的报价不一致的，应以Pdf格式上传文件中的报价为准。</w:t>
      </w:r>
    </w:p>
    <w:p>
      <w:pPr>
        <w:pStyle w:val="16"/>
        <w:overflowPunct/>
        <w:autoSpaceDE/>
        <w:autoSpaceDN/>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pPr>
        <w:pStyle w:val="16"/>
        <w:overflowPunct/>
        <w:autoSpaceDE/>
        <w:autoSpaceDN/>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7.投标文件的澄清</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7.1为有助于投标文件的审查、评价，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标委员会在评标中发现的计算错误并进行核实的修改不在此列。</w:t>
      </w:r>
    </w:p>
    <w:p>
      <w:pPr>
        <w:pStyle w:val="16"/>
        <w:tabs>
          <w:tab w:val="left" w:pos="0"/>
        </w:tabs>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bCs/>
          <w:color w:val="auto"/>
          <w:sz w:val="22"/>
          <w:highlight w:val="none"/>
        </w:rPr>
        <w:t>7.2如果投标人代表拒绝按评标委员会要求在“政采云”平台作出在线回复且无其他有效回复方式的，评标委员会可以对其作出投标无效处理。</w:t>
      </w:r>
    </w:p>
    <w:p>
      <w:pPr>
        <w:tabs>
          <w:tab w:val="left" w:pos="1365"/>
        </w:tabs>
        <w:spacing w:line="400" w:lineRule="exact"/>
        <w:ind w:firstLine="440" w:firstLineChars="200"/>
        <w:rPr>
          <w:rFonts w:hint="eastAsia" w:ascii="宋体" w:hAnsi="宋体" w:eastAsia="宋体" w:cs="宋体"/>
          <w:b/>
          <w:color w:val="auto"/>
          <w:sz w:val="22"/>
          <w:highlight w:val="none"/>
          <w:u w:val="single"/>
        </w:rPr>
      </w:pPr>
      <w:r>
        <w:rPr>
          <w:rFonts w:hint="eastAsia" w:ascii="宋体" w:hAnsi="宋体" w:eastAsia="宋体" w:cs="宋体"/>
          <w:color w:val="auto"/>
          <w:sz w:val="22"/>
          <w:highlight w:val="none"/>
        </w:rPr>
        <w:t>7.3采用书面形式的澄清、说明或者更正，在规定时间内（不少于半小时）通过指定的途径提交。</w:t>
      </w:r>
    </w:p>
    <w:p>
      <w:pPr>
        <w:tabs>
          <w:tab w:val="left" w:pos="1365"/>
        </w:tabs>
        <w:spacing w:line="400" w:lineRule="exact"/>
        <w:ind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w:t>
      </w:r>
      <w:r>
        <w:rPr>
          <w:rFonts w:hint="eastAsia" w:ascii="宋体" w:hAnsi="宋体" w:eastAsia="宋体" w:cs="宋体"/>
          <w:color w:val="auto"/>
          <w:sz w:val="22"/>
          <w:highlight w:val="none"/>
          <w:u w:val="single"/>
        </w:rPr>
        <w:t>7.4经澄清后，若偏差仍存在，且不可接受，投标人则被认为是“没有实质性响应招标文件要求”，其投标不进入下一步评审。</w:t>
      </w:r>
    </w:p>
    <w:p>
      <w:pPr>
        <w:pStyle w:val="16"/>
        <w:tabs>
          <w:tab w:val="left" w:pos="630"/>
        </w:tabs>
        <w:overflowPunct/>
        <w:autoSpaceDE/>
        <w:autoSpaceDN/>
        <w:adjustRightInd/>
        <w:snapToGrid w:val="0"/>
        <w:spacing w:line="360" w:lineRule="exact"/>
        <w:ind w:firstLine="433" w:firstLineChars="196"/>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8.评标原则和评标办法</w:t>
      </w:r>
    </w:p>
    <w:p>
      <w:pPr>
        <w:pStyle w:val="16"/>
        <w:overflowPunct/>
        <w:autoSpaceDE/>
        <w:autoSpaceDN/>
        <w:adjustRightInd/>
        <w:snapToGrid w:val="0"/>
        <w:spacing w:line="35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pStyle w:val="26"/>
        <w:spacing w:before="0" w:beforeAutospacing="0" w:after="0" w:afterAutospacing="0" w:line="350" w:lineRule="exact"/>
        <w:ind w:firstLine="440" w:firstLineChars="20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8.2评标中因评标委员会成员缺席、回避或者健康等特殊原因导致评标委员会组成不符合规定的，依法补足后继续评标。被更换的评标委员会成员所作出的评标意见无效。</w:t>
      </w:r>
    </w:p>
    <w:p>
      <w:pPr>
        <w:pStyle w:val="16"/>
        <w:overflowPunct/>
        <w:autoSpaceDE/>
        <w:autoSpaceDN/>
        <w:adjustRightInd/>
        <w:snapToGrid w:val="0"/>
        <w:spacing w:line="35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8.3评标委员会成员对需要共同认定的事项存在争议的，应当按照少数服从多数的原则作出结论。持不同意见的评标委员会成员应当在评标报告上签署不同意见及理由，否则视为同意评标报告。</w:t>
      </w:r>
    </w:p>
    <w:p>
      <w:pPr>
        <w:pStyle w:val="16"/>
        <w:overflowPunct/>
        <w:autoSpaceDE/>
        <w:autoSpaceDN/>
        <w:adjustRightInd/>
        <w:snapToGrid w:val="0"/>
        <w:spacing w:line="35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8.4评标办法。本项目评标办法是综合评分法，具体评标内容及评分标准等详见第六部分“评标原则及方法”。</w:t>
      </w:r>
    </w:p>
    <w:p>
      <w:pPr>
        <w:pStyle w:val="16"/>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8.5评标过程中遇到特殊情况，由评标委员会遵循公开、公正原则，采取投票方式按照少数服从多数原则决定。</w:t>
      </w:r>
    </w:p>
    <w:p>
      <w:pPr>
        <w:pStyle w:val="16"/>
        <w:overflowPunct/>
        <w:autoSpaceDE/>
        <w:autoSpaceDN/>
        <w:adjustRightInd/>
        <w:snapToGrid w:val="0"/>
        <w:spacing w:line="360" w:lineRule="exact"/>
        <w:ind w:firstLine="440" w:firstLineChars="200"/>
        <w:textAlignment w:val="auto"/>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8.6</w:t>
      </w:r>
      <w:r>
        <w:rPr>
          <w:rFonts w:hint="eastAsia" w:ascii="宋体" w:hAnsi="宋体" w:eastAsia="宋体" w:cs="宋体"/>
          <w:b/>
          <w:bCs/>
          <w:color w:val="auto"/>
          <w:sz w:val="22"/>
          <w:highlight w:val="none"/>
        </w:rPr>
        <w:t>《中华人民共和国政府采购法》第三十六条在招标采购中，出现下列情形之一的，应予废标：</w:t>
      </w:r>
    </w:p>
    <w:p>
      <w:pPr>
        <w:pStyle w:val="16"/>
        <w:overflowPunct/>
        <w:autoSpaceDE/>
        <w:autoSpaceDN/>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（一）符合专业条件的供应商或者对招标文件作实质响应的供应商不足三家的；</w:t>
      </w:r>
    </w:p>
    <w:p>
      <w:pPr>
        <w:pStyle w:val="16"/>
        <w:overflowPunct/>
        <w:autoSpaceDE/>
        <w:autoSpaceDN/>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（二）出现影响采购公正的违法、违规行为的；</w:t>
      </w:r>
    </w:p>
    <w:p>
      <w:pPr>
        <w:pStyle w:val="16"/>
        <w:overflowPunct/>
        <w:autoSpaceDE/>
        <w:autoSpaceDN/>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（三）投标人的报价均超过了采购预算，采购人不能支付的；</w:t>
      </w:r>
    </w:p>
    <w:p>
      <w:pPr>
        <w:pStyle w:val="16"/>
        <w:overflowPunct/>
        <w:autoSpaceDE/>
        <w:autoSpaceDN/>
        <w:adjustRightInd/>
        <w:snapToGrid w:val="0"/>
        <w:spacing w:line="360" w:lineRule="exact"/>
        <w:ind w:firstLine="442" w:firstLineChars="200"/>
        <w:textAlignment w:val="auto"/>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（四）因重大变故，采购任务取消的。</w:t>
      </w:r>
    </w:p>
    <w:p>
      <w:pPr>
        <w:tabs>
          <w:tab w:val="left" w:pos="136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9.确定中标候选人</w:t>
      </w:r>
    </w:p>
    <w:p>
      <w:pPr>
        <w:tabs>
          <w:tab w:val="left" w:pos="136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9.1本次招标由评标委员会确定中标候选人（招标文件另有规定的除外）。</w:t>
      </w:r>
    </w:p>
    <w:p>
      <w:pPr>
        <w:tabs>
          <w:tab w:val="left" w:pos="136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9.3排名第一的中标候选人放弃中标；因不可抗力提出不能履行合同；或者招标文件规定应当提交履约保证金而在规定的期限内未能提交的；或未能在规定时间内与采购单位签订合同的；或者经质疑，采购代理机构组织评标委员会复核或重新评审后，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tabs>
          <w:tab w:val="left" w:pos="1365"/>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9.4采购人根据招标文件、中标人的投标文件、合同等材料及时组织验收，并严把质量关。</w:t>
      </w:r>
    </w:p>
    <w:p>
      <w:pPr>
        <w:tabs>
          <w:tab w:val="left" w:pos="1365"/>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9.5采购代理机构对决标结果不做任何解释，也不保证最低价中标。</w:t>
      </w:r>
    </w:p>
    <w:p>
      <w:pPr>
        <w:pStyle w:val="16"/>
        <w:snapToGrid w:val="0"/>
        <w:spacing w:line="360" w:lineRule="exact"/>
        <w:ind w:firstLine="433" w:firstLineChars="196"/>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10.定标</w:t>
      </w:r>
    </w:p>
    <w:p>
      <w:pPr>
        <w:pStyle w:val="16"/>
        <w:snapToGrid w:val="0"/>
        <w:spacing w:line="360" w:lineRule="exact"/>
        <w:ind w:firstLine="433" w:firstLineChars="196"/>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（一）确定中标人。本项目由采购人确定中标人。</w:t>
      </w:r>
    </w:p>
    <w:p>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标委员会直接确定中标人。采购人逾期未确定中标人且不提出异议的，视为确定评审报告提出的排序第一的投标人为中标人。</w:t>
      </w:r>
    </w:p>
    <w:p>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10.2.采购代理机构自中标人确定之日起2个工作日内，在省级以上财政部门指定的政府采购信息发布媒体上公告中标结果，同时向中标人发出中标通知书。</w:t>
      </w:r>
    </w:p>
    <w:p>
      <w:pPr>
        <w:spacing w:line="400" w:lineRule="exact"/>
        <w:jc w:val="center"/>
        <w:outlineLvl w:val="0"/>
        <w:rPr>
          <w:rFonts w:hint="eastAsia" w:ascii="宋体" w:hAnsi="宋体" w:eastAsia="宋体" w:cs="宋体"/>
          <w:b/>
          <w:color w:val="auto"/>
          <w:sz w:val="26"/>
          <w:highlight w:val="none"/>
        </w:rPr>
      </w:pPr>
      <w:r>
        <w:rPr>
          <w:rFonts w:hint="eastAsia" w:ascii="宋体" w:hAnsi="宋体" w:eastAsia="宋体" w:cs="宋体"/>
          <w:b/>
          <w:color w:val="auto"/>
          <w:sz w:val="26"/>
          <w:highlight w:val="none"/>
        </w:rPr>
        <w:t>六、 授予合同</w:t>
      </w:r>
    </w:p>
    <w:p>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spacing w:line="36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6"/>
          <w:highlight w:val="none"/>
        </w:rPr>
        <w:t xml:space="preserve">七、 </w:t>
      </w:r>
      <w:r>
        <w:rPr>
          <w:rFonts w:hint="eastAsia" w:ascii="宋体" w:hAnsi="宋体" w:eastAsia="宋体" w:cs="宋体"/>
          <w:b/>
          <w:color w:val="auto"/>
          <w:sz w:val="28"/>
          <w:szCs w:val="28"/>
          <w:highlight w:val="none"/>
        </w:rPr>
        <w:t>可中止电子交易活动的情形</w:t>
      </w:r>
    </w:p>
    <w:p>
      <w:pPr>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zh-CN"/>
        </w:rPr>
        <w:t>采购过程中出现以下情形，导致电子交易平台无法正常运行，或者无法保证电子交易的公平、公正和安全时，采购组织机构可中止电子交易活动：</w:t>
      </w:r>
    </w:p>
    <w:p>
      <w:pPr>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（一）电子交易平台发生故障而无法登录访问的； </w:t>
      </w:r>
    </w:p>
    <w:p>
      <w:pPr>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（二）电子交易平台应用或数据库出现错误，不能进行正常操作的；</w:t>
      </w:r>
    </w:p>
    <w:p>
      <w:pPr>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（三）电子交易平台发现严重安全漏洞，有潜在泄密危险的；</w:t>
      </w:r>
    </w:p>
    <w:p>
      <w:pPr>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（四）病毒发作导致不能进行正常操作的； </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（五）其他无法保证电子交易的公平、公正和安全的情况。</w:t>
      </w:r>
    </w:p>
    <w:p>
      <w:pPr>
        <w:spacing w:line="360" w:lineRule="exact"/>
        <w:ind w:firstLine="440" w:firstLineChars="200"/>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r>
        <w:rPr>
          <w:rFonts w:hint="eastAsia" w:ascii="宋体" w:hAnsi="宋体" w:eastAsia="宋体" w:cs="宋体"/>
          <w:b/>
          <w:color w:val="auto"/>
          <w:sz w:val="22"/>
          <w:highlight w:val="none"/>
        </w:rPr>
        <w:br w:type="page"/>
      </w:r>
      <w:r>
        <w:rPr>
          <w:rFonts w:hint="eastAsia" w:ascii="宋体" w:hAnsi="宋体" w:eastAsia="宋体" w:cs="宋体"/>
          <w:b/>
          <w:color w:val="auto"/>
          <w:sz w:val="32"/>
          <w:highlight w:val="none"/>
        </w:rPr>
        <w:t xml:space="preserve">第三部分   </w:t>
      </w:r>
      <w:r>
        <w:rPr>
          <w:rFonts w:hint="eastAsia" w:ascii="宋体" w:hAnsi="宋体" w:eastAsia="宋体" w:cs="宋体"/>
          <w:b/>
          <w:bCs/>
          <w:color w:val="auto"/>
          <w:sz w:val="32"/>
          <w:szCs w:val="32"/>
          <w:highlight w:val="none"/>
        </w:rPr>
        <w:t>拟签订的合同文本</w:t>
      </w:r>
    </w:p>
    <w:p>
      <w:pPr>
        <w:widowControl/>
        <w:adjustRightInd w:val="0"/>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（本合同为样稿，最终稿由甲乙双方协商后确定）</w:t>
      </w:r>
    </w:p>
    <w:p>
      <w:pPr>
        <w:pStyle w:val="6"/>
        <w:widowControl/>
        <w:adjustRightInd w:val="0"/>
        <w:snapToGrid w:val="0"/>
        <w:spacing w:before="0" w:after="0" w:line="3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温州肯恩大学采购合同</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温州肯恩大学采购的</w:t>
      </w:r>
      <w:r>
        <w:rPr>
          <w:rFonts w:hint="eastAsia" w:ascii="宋体" w:hAnsi="宋体" w:eastAsia="宋体" w:cs="宋体"/>
          <w:color w:val="auto"/>
          <w:sz w:val="22"/>
          <w:highlight w:val="none"/>
          <w:u w:val="single"/>
        </w:rPr>
        <w:t xml:space="preserve">                （项目名称）（项目编号：       </w:t>
      </w:r>
      <w:r>
        <w:rPr>
          <w:rFonts w:hint="eastAsia" w:ascii="宋体" w:hAnsi="宋体" w:eastAsia="宋体" w:cs="宋体"/>
          <w:color w:val="auto"/>
          <w:sz w:val="22"/>
          <w:highlight w:val="none"/>
        </w:rPr>
        <w:t>）在国内公开招标，经评标委员会决标为中标人。甲乙双方同意按照下面条款和条件，签署本合同。</w:t>
      </w:r>
    </w:p>
    <w:p>
      <w:pPr>
        <w:widowControl/>
        <w:adjustRightInd w:val="0"/>
        <w:snapToGrid w:val="0"/>
        <w:spacing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1．合同文件</w:t>
      </w: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下列文件构成本合同的组成部分：</w:t>
      </w: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 合同主要条款</w:t>
      </w: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 中标通知书（附件1）</w:t>
      </w: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 开标一览表及投标分项报价表（附件2）</w:t>
      </w: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 招标内容及要求</w:t>
      </w: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 合同补充条款或说明（如有）</w:t>
      </w: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 承诺书（含询标记录和优惠条件）</w:t>
      </w: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(7)投标文件和招标文件</w:t>
      </w:r>
    </w:p>
    <w:p>
      <w:pPr>
        <w:tabs>
          <w:tab w:val="left" w:pos="540"/>
        </w:tabs>
        <w:spacing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2．合同范围和条件</w:t>
      </w:r>
    </w:p>
    <w:p>
      <w:pPr>
        <w:tabs>
          <w:tab w:val="left" w:pos="540"/>
        </w:tabs>
        <w:spacing w:line="40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本合同范围和条件应与下述合同文件规定的内容相一致。</w:t>
      </w:r>
    </w:p>
    <w:p>
      <w:pPr>
        <w:spacing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3．服务内容</w:t>
      </w: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本合同要求提供的服务内容见合同主要条款。</w:t>
      </w:r>
    </w:p>
    <w:p>
      <w:pPr>
        <w:spacing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4．合同总价</w:t>
      </w: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本合同价款总价为人民币</w:t>
      </w:r>
      <w:r>
        <w:rPr>
          <w:rFonts w:hint="eastAsia" w:ascii="宋体" w:hAnsi="宋体" w:eastAsia="宋体" w:cs="宋体"/>
          <w:color w:val="auto"/>
          <w:highlight w:val="none"/>
        </w:rPr>
        <w:t>（</w:t>
      </w:r>
      <w:r>
        <w:rPr>
          <w:rFonts w:hint="eastAsia" w:ascii="宋体" w:hAnsi="宋体" w:eastAsia="宋体" w:cs="宋体"/>
          <w:color w:val="auto"/>
          <w:sz w:val="22"/>
          <w:highlight w:val="none"/>
        </w:rPr>
        <w:t>分项价格详见投标分项报价表）。</w:t>
      </w:r>
    </w:p>
    <w:p>
      <w:pPr>
        <w:numPr>
          <w:ilvl w:val="0"/>
          <w:numId w:val="6"/>
        </w:numPr>
        <w:spacing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付款方式、服务时间及地点</w:t>
      </w: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本合同的付款方式、服务时间及地点在合同主要条款中规定。</w:t>
      </w:r>
    </w:p>
    <w:p>
      <w:pPr>
        <w:numPr>
          <w:ilvl w:val="0"/>
          <w:numId w:val="6"/>
        </w:numPr>
        <w:spacing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合同生效</w:t>
      </w: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本合同经双方授权代表签署，甲乙双方加盖印章后生效。</w:t>
      </w:r>
    </w:p>
    <w:tbl>
      <w:tblPr>
        <w:tblStyle w:val="2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甲方（采购人）：（盖章）温州肯恩大学</w:t>
            </w:r>
          </w:p>
        </w:tc>
        <w:tc>
          <w:tcPr>
            <w:tcW w:w="4678" w:type="dxa"/>
            <w:vAlign w:val="center"/>
          </w:tcPr>
          <w:p>
            <w:pPr>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乙方（中标人）：（盖章）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甲方代表：</w:t>
            </w:r>
          </w:p>
          <w:p>
            <w:pPr>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(签字）</w:t>
            </w:r>
          </w:p>
        </w:tc>
        <w:tc>
          <w:tcPr>
            <w:tcW w:w="4678" w:type="dxa"/>
            <w:vAlign w:val="center"/>
          </w:tcPr>
          <w:p>
            <w:pPr>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乙方代表：</w:t>
            </w:r>
          </w:p>
          <w:p>
            <w:pPr>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地址：</w:t>
            </w:r>
          </w:p>
        </w:tc>
        <w:tc>
          <w:tcPr>
            <w:tcW w:w="4678" w:type="dxa"/>
            <w:vAlign w:val="center"/>
          </w:tcPr>
          <w:p>
            <w:pPr>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邮编：</w:t>
            </w:r>
          </w:p>
        </w:tc>
        <w:tc>
          <w:tcPr>
            <w:tcW w:w="4678" w:type="dxa"/>
            <w:vAlign w:val="center"/>
          </w:tcPr>
          <w:p>
            <w:pPr>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电话：</w:t>
            </w:r>
          </w:p>
        </w:tc>
        <w:tc>
          <w:tcPr>
            <w:tcW w:w="4678" w:type="dxa"/>
            <w:vAlign w:val="center"/>
          </w:tcPr>
          <w:p>
            <w:pPr>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传真：</w:t>
            </w:r>
          </w:p>
        </w:tc>
        <w:tc>
          <w:tcPr>
            <w:tcW w:w="4678" w:type="dxa"/>
            <w:vAlign w:val="center"/>
          </w:tcPr>
          <w:p>
            <w:pPr>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开户银行：</w:t>
            </w:r>
          </w:p>
        </w:tc>
        <w:tc>
          <w:tcPr>
            <w:tcW w:w="4678" w:type="dxa"/>
            <w:vAlign w:val="center"/>
          </w:tcPr>
          <w:p>
            <w:pPr>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帐号：</w:t>
            </w:r>
          </w:p>
        </w:tc>
        <w:tc>
          <w:tcPr>
            <w:tcW w:w="4678" w:type="dxa"/>
            <w:vAlign w:val="center"/>
          </w:tcPr>
          <w:p>
            <w:pPr>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签字日期：      年    月    日</w:t>
            </w:r>
          </w:p>
        </w:tc>
        <w:tc>
          <w:tcPr>
            <w:tcW w:w="4678" w:type="dxa"/>
            <w:vAlign w:val="center"/>
          </w:tcPr>
          <w:p>
            <w:pPr>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签字日期：      年    月    日</w:t>
            </w:r>
          </w:p>
        </w:tc>
      </w:tr>
    </w:tbl>
    <w:p>
      <w:pPr>
        <w:pStyle w:val="73"/>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合同主要条款</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依据《中华人民共和国民法典》等有关法律法规和本合同的招标文件及承诺，经双方友好协商，同意签订本合同，共同遵守。</w:t>
      </w:r>
    </w:p>
    <w:p>
      <w:pPr>
        <w:numPr>
          <w:ilvl w:val="0"/>
          <w:numId w:val="7"/>
        </w:numPr>
        <w:tabs>
          <w:tab w:val="left" w:pos="567"/>
          <w:tab w:val="clear" w:pos="0"/>
        </w:tabs>
        <w:snapToGrid w:val="0"/>
        <w:spacing w:line="360" w:lineRule="exact"/>
        <w:ind w:left="-20" w:firstLine="442"/>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承包内容和承包期限</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根据招标文件第五部分的内容，提供</w:t>
      </w:r>
      <w:r>
        <w:rPr>
          <w:rFonts w:hint="eastAsia" w:ascii="宋体" w:hAnsi="宋体" w:eastAsia="宋体" w:cs="宋体"/>
          <w:color w:val="auto"/>
          <w:sz w:val="22"/>
          <w:highlight w:val="none"/>
        </w:rPr>
        <w:t>温州肯恩大学校园安保服务</w:t>
      </w:r>
      <w:r>
        <w:rPr>
          <w:rFonts w:hint="eastAsia" w:ascii="宋体" w:hAnsi="宋体" w:eastAsia="宋体" w:cs="宋体"/>
          <w:bCs/>
          <w:color w:val="auto"/>
          <w:sz w:val="22"/>
          <w:highlight w:val="none"/>
        </w:rPr>
        <w:t>。</w:t>
      </w:r>
    </w:p>
    <w:p>
      <w:pPr>
        <w:pStyle w:val="16"/>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本次合同承包期为三年，即</w:t>
      </w:r>
      <w:r>
        <w:rPr>
          <w:rFonts w:hint="eastAsia" w:ascii="宋体" w:hAnsi="宋体" w:eastAsia="宋体" w:cs="宋体"/>
          <w:bCs/>
          <w:color w:val="auto"/>
          <w:kern w:val="0"/>
          <w:sz w:val="22"/>
          <w:highlight w:val="none"/>
        </w:rPr>
        <w:t>2022年09月30日至2025年09月29日</w:t>
      </w:r>
      <w:r>
        <w:rPr>
          <w:rFonts w:hint="eastAsia" w:ascii="宋体" w:hAnsi="宋体" w:eastAsia="宋体" w:cs="宋体"/>
          <w:color w:val="auto"/>
          <w:sz w:val="22"/>
          <w:highlight w:val="none"/>
        </w:rPr>
        <w:t>。</w:t>
      </w:r>
    </w:p>
    <w:p>
      <w:pPr>
        <w:numPr>
          <w:ilvl w:val="0"/>
          <w:numId w:val="7"/>
        </w:numPr>
        <w:tabs>
          <w:tab w:val="left" w:pos="567"/>
          <w:tab w:val="clear" w:pos="0"/>
        </w:tabs>
        <w:snapToGrid w:val="0"/>
        <w:spacing w:line="360" w:lineRule="exact"/>
        <w:ind w:left="-20" w:firstLine="442"/>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合同价格</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bCs/>
          <w:color w:val="auto"/>
          <w:sz w:val="22"/>
          <w:highlight w:val="none"/>
        </w:rPr>
      </w:pPr>
      <w:r>
        <w:rPr>
          <w:rFonts w:hint="eastAsia" w:ascii="宋体" w:hAnsi="宋体" w:eastAsia="宋体" w:cs="宋体"/>
          <w:color w:val="auto"/>
          <w:sz w:val="22"/>
          <w:highlight w:val="none"/>
        </w:rPr>
        <w:t>本合同承包总价为人民币万元</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项目承包总价为期限3年的承包费用报价，并采用固定总价承包。承包总价必须在承包区域内提供安保服务及其它服务所需的一切人员工资、奖金、各种加班费、高温费、福利、体检费、员工餐费、夜餐费、各种社会保险、交通、设备及工具、器材、消耗材料、服装、安全、仓储、管理费用、年终考核奖、税费、利润、采购代理服务费、完成合同所需的一切本身和不可或缺的所有工作开支、政策性文件规定及合同包含的所有风险、责任等各项全部费用并承担一切风险责任。</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发生不可抗力的因素造成双方的损失，双方均各自承担</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不应向另一方追偿。</w:t>
      </w:r>
    </w:p>
    <w:p>
      <w:pPr>
        <w:numPr>
          <w:ilvl w:val="0"/>
          <w:numId w:val="7"/>
        </w:numPr>
        <w:tabs>
          <w:tab w:val="left" w:pos="567"/>
          <w:tab w:val="clear" w:pos="0"/>
        </w:tabs>
        <w:snapToGrid w:val="0"/>
        <w:spacing w:line="360" w:lineRule="exact"/>
        <w:ind w:left="-20" w:firstLine="442"/>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甲方的权利义务</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有监督、检查保安员的工作表现情况权利，发现保安员有轻微违纪行为者，给予批评教育，对严重违反有关规章制度者，有权随时退回给乙方，乙方不得以任何理由拒绝；对甲方造成经济和名誉损失的，甲方有权要求乙方予以赔偿，或者从乙方保证金中予以相应扣除。</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乙方指派的保安员，必须听从甲方的工作安排及排班要求。</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保安人员在上述工作范围内执行安全防范任务，确保甲方的正常教学秩序。同时，甲方对保安人员有绝对的管理权。</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甲方与乙方派出的保安人员无劳动合同关系，派出的保安发生劳资纠纷甲方不予受理。</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甲方支持乙方开展校园安保管理服务，提供安保服务所需岗亭、巡逻车、及其他相关用房，为乙方队员提供免费住宿用房，但水、电、网络、伙食等其它费用乙方需自行支付。</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甲方有权对乙方承包工作进行考核管理，可根据对乙方人员的考核情况提出调换要求。</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甲方对该项目投入保安有严格要求，有权随时对乙方投入本项目的岗位人员数量进行考核，乙方应无条件予以配合。如甲方发现乙方提供考勤人数不足，按月考核制度进行处罚。</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甲方如发现乙方员工在外兼职的，发现一次扣除1万元的费用，发现二次扣除3万元费用，发现三次扣除5万元费用，并有权无条件终止合同。</w:t>
      </w:r>
    </w:p>
    <w:p>
      <w:pPr>
        <w:numPr>
          <w:ilvl w:val="0"/>
          <w:numId w:val="7"/>
        </w:numPr>
        <w:tabs>
          <w:tab w:val="left" w:pos="567"/>
          <w:tab w:val="clear" w:pos="0"/>
        </w:tabs>
        <w:snapToGrid w:val="0"/>
        <w:spacing w:line="360" w:lineRule="exact"/>
        <w:ind w:left="-20" w:firstLine="442"/>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乙方的权利义务</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按甲方要求提供保安承担甲方的执勤任务，防止盗窃、抢劫及火灾等事故的发生；维护校园各区域的正常教学秩序；保护甲方资产及校内人员的财产和人身安全。</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在安保护卫的日常管理过程中，对无法解决的事项要及时向甲方反映。</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本合同终止时，乙方必须向甲方移交有关管理的全部档案资料。</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乙方提供的保安人员符合保安人员条件要求。</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校园应急需要临时调配保安人员，乙方应有能力在一小时之内调集甲方要求的人数到达校园执行任务。</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乙方必须提供第一年度不少于54</w:t>
      </w:r>
      <w:r>
        <w:rPr>
          <w:rFonts w:hint="eastAsia" w:ascii="宋体" w:hAnsi="宋体" w:eastAsia="宋体" w:cs="宋体"/>
          <w:b/>
          <w:bCs/>
          <w:color w:val="auto"/>
          <w:sz w:val="22"/>
          <w:highlight w:val="none"/>
        </w:rPr>
        <w:t>名保安人员</w:t>
      </w:r>
      <w:r>
        <w:rPr>
          <w:rFonts w:hint="eastAsia" w:ascii="宋体" w:hAnsi="宋体" w:eastAsia="宋体" w:cs="宋体"/>
          <w:color w:val="auto"/>
          <w:sz w:val="22"/>
          <w:highlight w:val="none"/>
        </w:rPr>
        <w:t>（第二年度不少于60名，第三年度不少于62名），其中包括队长一名，队长在合同实施期内不得更换（除非特殊情况经甲方同意更换符合要求的保安队长外，未征得甲方同意不得更换。）。所有人员均为本项目的专职人员，不得在外兼职，要求全部居住在学校内。</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highlight w:val="none"/>
        </w:rPr>
      </w:pPr>
      <w:r>
        <w:rPr>
          <w:rFonts w:hint="eastAsia" w:ascii="宋体" w:hAnsi="宋体" w:eastAsia="宋体" w:cs="宋体"/>
          <w:color w:val="auto"/>
          <w:sz w:val="22"/>
          <w:highlight w:val="none"/>
        </w:rPr>
        <w:t>乙方必须为保安人员投保社会保险（除必须的养老保险、医疗保险、失业保险、生育保险和工伤保险五险外，还应包括第三者责任保险和员工人身意外保险），如发生意外伤害一切责任由乙方承担。</w:t>
      </w:r>
    </w:p>
    <w:p>
      <w:pPr>
        <w:numPr>
          <w:ilvl w:val="0"/>
          <w:numId w:val="7"/>
        </w:numPr>
        <w:tabs>
          <w:tab w:val="left" w:pos="567"/>
          <w:tab w:val="clear" w:pos="0"/>
        </w:tabs>
        <w:snapToGrid w:val="0"/>
        <w:spacing w:line="360" w:lineRule="exact"/>
        <w:ind w:left="-20" w:firstLine="442"/>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其他约定</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bCs/>
          <w:color w:val="auto"/>
          <w:sz w:val="22"/>
          <w:highlight w:val="none"/>
        </w:rPr>
        <w:t>乙方要实行回访、巡查制度。由专门保安队长负责</w:t>
      </w:r>
      <w:r>
        <w:rPr>
          <w:rFonts w:hint="eastAsia" w:ascii="宋体" w:hAnsi="宋体" w:eastAsia="宋体" w:cs="宋体"/>
          <w:color w:val="auto"/>
          <w:sz w:val="22"/>
          <w:highlight w:val="none"/>
        </w:rPr>
        <w:t>校园</w:t>
      </w:r>
      <w:r>
        <w:rPr>
          <w:rFonts w:hint="eastAsia" w:ascii="宋体" w:hAnsi="宋体" w:eastAsia="宋体" w:cs="宋体"/>
          <w:bCs/>
          <w:color w:val="auto"/>
          <w:sz w:val="22"/>
          <w:highlight w:val="none"/>
        </w:rPr>
        <w:t>保安人员管理，每月至少2-3次到</w:t>
      </w:r>
      <w:r>
        <w:rPr>
          <w:rFonts w:hint="eastAsia" w:ascii="宋体" w:hAnsi="宋体" w:eastAsia="宋体" w:cs="宋体"/>
          <w:color w:val="auto"/>
          <w:sz w:val="22"/>
          <w:highlight w:val="none"/>
        </w:rPr>
        <w:t>校园</w:t>
      </w:r>
      <w:r>
        <w:rPr>
          <w:rFonts w:hint="eastAsia" w:ascii="宋体" w:hAnsi="宋体" w:eastAsia="宋体" w:cs="宋体"/>
          <w:bCs/>
          <w:color w:val="auto"/>
          <w:sz w:val="22"/>
          <w:highlight w:val="none"/>
        </w:rPr>
        <w:t>保卫部门回访保安工作情况，消控室必须24小时执勤，每班不少于2人，及时与</w:t>
      </w:r>
      <w:r>
        <w:rPr>
          <w:rFonts w:hint="eastAsia" w:ascii="宋体" w:hAnsi="宋体" w:eastAsia="宋体" w:cs="宋体"/>
          <w:color w:val="auto"/>
          <w:sz w:val="22"/>
          <w:highlight w:val="none"/>
        </w:rPr>
        <w:t>学校后勤部</w:t>
      </w:r>
      <w:r>
        <w:rPr>
          <w:rFonts w:hint="eastAsia" w:ascii="宋体" w:hAnsi="宋体" w:eastAsia="宋体" w:cs="宋体"/>
          <w:bCs/>
          <w:color w:val="auto"/>
          <w:sz w:val="22"/>
          <w:highlight w:val="none"/>
        </w:rPr>
        <w:t>沟通，发现保安人员违章立即整改、纠正。保安人员更换必须获得甲方同意，对甲方提出的人员调换要求须在5天内予以落实。对无故不落实的予以至少两倍的人员费用予以处罚。</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保安服装、器材、工具配置等由乙方自己负责配备。</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甲方有权根据校园实际投用情况调整安保队员的实际投入人数，按照中标单价结算。</w:t>
      </w:r>
    </w:p>
    <w:p>
      <w:pPr>
        <w:numPr>
          <w:ilvl w:val="0"/>
          <w:numId w:val="7"/>
        </w:numPr>
        <w:tabs>
          <w:tab w:val="left" w:pos="567"/>
          <w:tab w:val="clear" w:pos="0"/>
        </w:tabs>
        <w:snapToGrid w:val="0"/>
        <w:spacing w:line="360" w:lineRule="exact"/>
        <w:ind w:left="-20" w:firstLine="442"/>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考核标准（详见招标文件第五部分）</w:t>
      </w:r>
    </w:p>
    <w:p>
      <w:pPr>
        <w:tabs>
          <w:tab w:val="left" w:pos="567"/>
        </w:tabs>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bCs/>
          <w:color w:val="auto"/>
          <w:sz w:val="22"/>
          <w:highlight w:val="none"/>
        </w:rPr>
        <w:t>甲方对乙方按考核制度每月进行考核。</w:t>
      </w:r>
    </w:p>
    <w:p>
      <w:pPr>
        <w:numPr>
          <w:ilvl w:val="0"/>
          <w:numId w:val="7"/>
        </w:numPr>
        <w:tabs>
          <w:tab w:val="left" w:pos="567"/>
          <w:tab w:val="clear" w:pos="0"/>
        </w:tabs>
        <w:snapToGrid w:val="0"/>
        <w:spacing w:line="360" w:lineRule="exact"/>
        <w:ind w:left="-20" w:firstLine="442"/>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付款方式</w:t>
      </w:r>
    </w:p>
    <w:p>
      <w:pPr>
        <w:spacing w:line="360" w:lineRule="exact"/>
        <w:ind w:firstLine="442" w:firstLineChars="200"/>
        <w:rPr>
          <w:rFonts w:hint="eastAsia" w:ascii="宋体" w:hAnsi="宋体" w:eastAsia="宋体" w:cs="宋体"/>
          <w:color w:val="auto"/>
          <w:sz w:val="22"/>
          <w:highlight w:val="none"/>
          <w:u w:val="single"/>
        </w:rPr>
      </w:pPr>
      <w:r>
        <w:rPr>
          <w:rFonts w:hint="eastAsia" w:ascii="宋体" w:hAnsi="宋体" w:eastAsia="宋体" w:cs="宋体"/>
          <w:b/>
          <w:bCs/>
          <w:color w:val="auto"/>
          <w:sz w:val="22"/>
          <w:highlight w:val="none"/>
        </w:rPr>
        <w:t>7.1履约保证金：</w:t>
      </w:r>
      <w:r>
        <w:rPr>
          <w:rFonts w:hint="eastAsia" w:ascii="宋体" w:hAnsi="宋体" w:eastAsia="宋体" w:cs="宋体"/>
          <w:color w:val="auto"/>
          <w:sz w:val="22"/>
          <w:highlight w:val="none"/>
        </w:rPr>
        <w:t>合同生效以及具备实施条件后7个工作日内，乙方以银行转账/转帐支票/银行汇票/银行、保险公司出具的保函形式向甲方提供合同总价1%的履约保证金。履约保证金用于乙方在履行本合同过程中发生违约行为应支付甲方的违约金、赔偿金等费用。如无任何问题，甲方将在乙方履行完毕本合同项下全部义务（项目验收合格且双方盖章确认）之日起7个工作日内无息退还给乙方。逾期退还的，自逾期之日起，向乙方每日偿付履约保证金的0.05%的违约金，甲乙双方协商的除外。（如提供保函应满足以下几个条件：①为无条件保函：即在乙方没有实施合同或者未履行合同义务时，甲方不需要出具任何证明和理由，若乙方违约，甲方无需通知乙方，即可单方对保函进行收兑；②保函期限：自本合同生效之日起至合同履约完毕之日止；③如果由于服务期延误或银行、保险公司要求分期出具保函的，则在前一份保函有效期届满之日起2个月前必须重新出具相同内容的保函。）</w:t>
      </w:r>
    </w:p>
    <w:p>
      <w:pPr>
        <w:tabs>
          <w:tab w:val="left" w:pos="955"/>
        </w:tabs>
        <w:adjustRightInd w:val="0"/>
        <w:snapToGrid w:val="0"/>
        <w:spacing w:line="360" w:lineRule="exact"/>
        <w:ind w:left="420" w:leftChars="200"/>
        <w:rPr>
          <w:rFonts w:hint="eastAsia" w:ascii="宋体" w:hAnsi="宋体" w:eastAsia="宋体" w:cs="宋体"/>
          <w:snapToGrid w:val="0"/>
          <w:color w:val="auto"/>
          <w:sz w:val="22"/>
          <w:highlight w:val="none"/>
        </w:rPr>
      </w:pPr>
      <w:r>
        <w:rPr>
          <w:rFonts w:hint="eastAsia" w:ascii="宋体" w:hAnsi="宋体" w:eastAsia="宋体" w:cs="宋体"/>
          <w:color w:val="auto"/>
          <w:sz w:val="22"/>
          <w:highlight w:val="none"/>
        </w:rPr>
        <w:t>7.2支付方式</w:t>
      </w:r>
    </w:p>
    <w:p>
      <w:pPr>
        <w:tabs>
          <w:tab w:val="left" w:pos="955"/>
        </w:tabs>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设有年终考核奖，金额为50000元，该笔金额包含在投标总价内，作为不可竞争费用。年终考核得分取月度考核平均值（年终考核得分四舍五入取整数），得分90分及以上的全额发放年终考核奖，得分80（含本数）~90（不含本数）分之间的等比例发放（在90分的基础上每少1分（不足1分的按1分计）扣5000元年终考核奖），80分以下的不发放。</w:t>
      </w:r>
    </w:p>
    <w:p>
      <w:pPr>
        <w:tabs>
          <w:tab w:val="left" w:pos="955"/>
        </w:tabs>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color w:val="auto"/>
          <w:sz w:val="22"/>
          <w:highlight w:val="none"/>
        </w:rPr>
        <w:t>每年安保服务费按月度给付，甲方在当月考核后付给乙方。</w:t>
      </w:r>
    </w:p>
    <w:p>
      <w:pPr>
        <w:tabs>
          <w:tab w:val="left" w:pos="955"/>
        </w:tabs>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每月安保服务费=（单年度投标金额-年终考核奖）/12，中标人需凭开具正式税务发票和员工工资发放凭证复印件（以便甲方确认务工人员劳动报酬已经兑付），要求甲方支付。（每月工资按实结算，安保人员考核缺勤一天，工资按日平均工资扣取。）</w:t>
      </w:r>
    </w:p>
    <w:p>
      <w:pPr>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注：甲方</w:t>
      </w:r>
      <w:r>
        <w:rPr>
          <w:rFonts w:hint="eastAsia" w:ascii="宋体" w:hAnsi="宋体" w:eastAsia="宋体" w:cs="宋体"/>
          <w:color w:val="auto"/>
          <w:sz w:val="22"/>
          <w:highlight w:val="none"/>
          <w:lang w:val="zh-CN"/>
        </w:rPr>
        <w:t>对于满足合同约定支付条件的，自收到相应金额的发票后7个工作日内将资金支付到合同约定的</w:t>
      </w:r>
      <w:r>
        <w:rPr>
          <w:rFonts w:hint="eastAsia" w:ascii="宋体" w:hAnsi="宋体" w:eastAsia="宋体" w:cs="宋体"/>
          <w:color w:val="auto"/>
          <w:sz w:val="22"/>
          <w:highlight w:val="none"/>
        </w:rPr>
        <w:t>乙方</w:t>
      </w:r>
      <w:r>
        <w:rPr>
          <w:rFonts w:hint="eastAsia" w:ascii="宋体" w:hAnsi="宋体" w:eastAsia="宋体" w:cs="宋体"/>
          <w:color w:val="auto"/>
          <w:sz w:val="22"/>
          <w:highlight w:val="none"/>
          <w:lang w:val="zh-CN"/>
        </w:rPr>
        <w:t>账户。</w:t>
      </w:r>
    </w:p>
    <w:p>
      <w:pPr>
        <w:numPr>
          <w:ilvl w:val="0"/>
          <w:numId w:val="7"/>
        </w:numPr>
        <w:tabs>
          <w:tab w:val="left" w:pos="567"/>
          <w:tab w:val="clear" w:pos="0"/>
        </w:tabs>
        <w:snapToGrid w:val="0"/>
        <w:spacing w:line="360" w:lineRule="exact"/>
        <w:ind w:left="-20"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违约中止合同及赔偿</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甲方在乙方存在如下违约情况时，有权单方面终止全部或部分合同，并保留进一步追究乙方责任的权利（包括经济赔偿）。</w:t>
      </w:r>
    </w:p>
    <w:p>
      <w:pPr>
        <w:numPr>
          <w:ilvl w:val="0"/>
          <w:numId w:val="8"/>
        </w:numPr>
        <w:tabs>
          <w:tab w:val="left" w:pos="1287"/>
          <w:tab w:val="clear" w:pos="420"/>
        </w:tabs>
        <w:snapToGrid w:val="0"/>
        <w:spacing w:line="360" w:lineRule="exact"/>
        <w:ind w:left="0"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乙方未能履行合同规定的义务；</w:t>
      </w:r>
    </w:p>
    <w:p>
      <w:pPr>
        <w:numPr>
          <w:ilvl w:val="0"/>
          <w:numId w:val="8"/>
        </w:numPr>
        <w:tabs>
          <w:tab w:val="left" w:pos="1287"/>
          <w:tab w:val="clear" w:pos="42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未征得甲方同意，擅自更换保安队长的</w:t>
      </w:r>
      <w:r>
        <w:rPr>
          <w:rFonts w:hint="eastAsia" w:ascii="宋体" w:hAnsi="宋体" w:eastAsia="宋体" w:cs="宋体"/>
          <w:color w:val="auto"/>
          <w:sz w:val="22"/>
          <w:highlight w:val="none"/>
          <w:lang w:eastAsia="zh-CN"/>
        </w:rPr>
        <w:t>；</w:t>
      </w:r>
    </w:p>
    <w:p>
      <w:pPr>
        <w:numPr>
          <w:ilvl w:val="0"/>
          <w:numId w:val="8"/>
        </w:numPr>
        <w:tabs>
          <w:tab w:val="left" w:pos="1287"/>
          <w:tab w:val="clear" w:pos="42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有安全责任事故发生的</w:t>
      </w:r>
      <w:r>
        <w:rPr>
          <w:rFonts w:hint="eastAsia" w:ascii="宋体" w:hAnsi="宋体" w:eastAsia="宋体" w:cs="宋体"/>
          <w:color w:val="auto"/>
          <w:sz w:val="22"/>
          <w:highlight w:val="none"/>
          <w:lang w:eastAsia="zh-CN"/>
        </w:rPr>
        <w:t>；</w:t>
      </w:r>
    </w:p>
    <w:p>
      <w:pPr>
        <w:numPr>
          <w:ilvl w:val="0"/>
          <w:numId w:val="8"/>
        </w:numPr>
        <w:tabs>
          <w:tab w:val="left" w:pos="1287"/>
          <w:tab w:val="clear" w:pos="42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与招标文件不符合的做法，或不履行其投标文件的承诺</w:t>
      </w:r>
      <w:r>
        <w:rPr>
          <w:rFonts w:hint="eastAsia" w:ascii="宋体" w:hAnsi="宋体" w:eastAsia="宋体" w:cs="宋体"/>
          <w:color w:val="auto"/>
          <w:sz w:val="22"/>
          <w:highlight w:val="none"/>
          <w:lang w:eastAsia="zh-CN"/>
        </w:rPr>
        <w:t>；</w:t>
      </w:r>
    </w:p>
    <w:p>
      <w:pPr>
        <w:numPr>
          <w:ilvl w:val="0"/>
          <w:numId w:val="8"/>
        </w:numPr>
        <w:tabs>
          <w:tab w:val="left" w:pos="1287"/>
          <w:tab w:val="clear" w:pos="42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若发现队员无证上岗，甲方有权要求乙方立即整改，十个工作日内未整改完成，甲方有权终止合同</w:t>
      </w:r>
      <w:r>
        <w:rPr>
          <w:rFonts w:hint="eastAsia" w:ascii="宋体" w:hAnsi="宋体" w:eastAsia="宋体" w:cs="宋体"/>
          <w:color w:val="auto"/>
          <w:sz w:val="22"/>
          <w:highlight w:val="none"/>
          <w:lang w:eastAsia="zh-CN"/>
        </w:rPr>
        <w:t>；</w:t>
      </w:r>
    </w:p>
    <w:p>
      <w:pPr>
        <w:numPr>
          <w:ilvl w:val="0"/>
          <w:numId w:val="8"/>
        </w:numPr>
        <w:tabs>
          <w:tab w:val="left" w:pos="1287"/>
          <w:tab w:val="clear" w:pos="42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考核标准中规定的其他情况。</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除不可抗力外以，如发生乙方不能履行合同义务，或甲方发生中途终止合同等情况，应及时以书面形式通知对方。甲乙双方应本着友好的态度进行协商，妥善解决。如协商无效，按下列规定计算并支付违约金：</w:t>
      </w:r>
    </w:p>
    <w:p>
      <w:pPr>
        <w:numPr>
          <w:ilvl w:val="0"/>
          <w:numId w:val="9"/>
        </w:numPr>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乙方不能履行合同义务，应按未履行部分合同价格的10%向甲方偿付违约金，同时履约保证金不予退还。</w:t>
      </w:r>
    </w:p>
    <w:p>
      <w:pPr>
        <w:numPr>
          <w:ilvl w:val="0"/>
          <w:numId w:val="9"/>
        </w:numPr>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如乙方未能履行合同规定的任何一项义务，甲方均有权从履约保证金中得到补偿。</w:t>
      </w:r>
    </w:p>
    <w:p>
      <w:pPr>
        <w:numPr>
          <w:ilvl w:val="0"/>
          <w:numId w:val="9"/>
        </w:numPr>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在任何时候都有权从履约保证金中扣除用于修复乙方损坏甲方的设备、设施、场地或因乙方违约而导致损失的金额或违约金，且乙方应在接到扣除履约保证金通知后一周内补足扣除差额，保证承包期间履约保证金的完整。</w:t>
      </w:r>
    </w:p>
    <w:p>
      <w:pPr>
        <w:numPr>
          <w:ilvl w:val="0"/>
          <w:numId w:val="9"/>
        </w:numPr>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甲方发生中途终止合同（8.1条原因除外），应向乙方偿付违约金，违约金按未履行部分合同价格的2%计算。</w:t>
      </w:r>
    </w:p>
    <w:p>
      <w:pPr>
        <w:numPr>
          <w:ilvl w:val="0"/>
          <w:numId w:val="9"/>
        </w:numPr>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甲方认为乙方在承包期内没有涉及应付甲方而未付金额或违约行为的，甲方按合同约定退还给乙方，否则，甲方将在扣除乙方应付金额或违约金后退还保证金余额。</w:t>
      </w:r>
    </w:p>
    <w:p>
      <w:pPr>
        <w:numPr>
          <w:ilvl w:val="0"/>
          <w:numId w:val="9"/>
        </w:numPr>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经双方协商可终止部分或全部合同的，无须承担违约责任。</w:t>
      </w:r>
    </w:p>
    <w:p>
      <w:pPr>
        <w:numPr>
          <w:ilvl w:val="0"/>
          <w:numId w:val="7"/>
        </w:numPr>
        <w:tabs>
          <w:tab w:val="left" w:pos="567"/>
          <w:tab w:val="clear" w:pos="0"/>
        </w:tabs>
        <w:snapToGrid w:val="0"/>
        <w:spacing w:line="360" w:lineRule="exact"/>
        <w:ind w:left="-20" w:firstLine="440"/>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知识产权及第三方权利保障</w:t>
      </w:r>
    </w:p>
    <w:p>
      <w:pPr>
        <w:tabs>
          <w:tab w:val="left" w:pos="567"/>
        </w:tabs>
        <w:snapToGrid w:val="0"/>
        <w:spacing w:line="360" w:lineRule="exact"/>
        <w:ind w:firstLine="416"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乙方应保证乙方及乙方员工所提供的本协议之服务内容不会侵犯任何第三方的知识产权、肖像权及其他权利。</w:t>
      </w:r>
    </w:p>
    <w:p>
      <w:pPr>
        <w:numPr>
          <w:ilvl w:val="0"/>
          <w:numId w:val="7"/>
        </w:numPr>
        <w:tabs>
          <w:tab w:val="left" w:pos="567"/>
          <w:tab w:val="clear" w:pos="0"/>
        </w:tabs>
        <w:snapToGrid w:val="0"/>
        <w:spacing w:line="360" w:lineRule="exact"/>
        <w:ind w:left="-20"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验收</w:t>
      </w:r>
    </w:p>
    <w:p>
      <w:pPr>
        <w:adjustRightInd w:val="0"/>
        <w:snapToGrid w:val="0"/>
        <w:spacing w:line="360" w:lineRule="exact"/>
        <w:ind w:firstLine="416"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10.1</w:t>
      </w:r>
      <w:r>
        <w:rPr>
          <w:rFonts w:hint="eastAsia" w:ascii="宋体" w:hAnsi="宋体" w:eastAsia="宋体" w:cs="宋体"/>
          <w:bCs/>
          <w:color w:val="auto"/>
          <w:sz w:val="22"/>
          <w:highlight w:val="none"/>
        </w:rPr>
        <w:t>根据项目特点对服务期内的服务实施情况进行的月考核（</w:t>
      </w:r>
      <w:r>
        <w:rPr>
          <w:rFonts w:hint="eastAsia" w:ascii="宋体" w:hAnsi="宋体" w:eastAsia="宋体" w:cs="宋体"/>
          <w:b/>
          <w:color w:val="auto"/>
          <w:sz w:val="22"/>
          <w:highlight w:val="none"/>
        </w:rPr>
        <w:t>详见招标文件第五部分</w:t>
      </w:r>
      <w:r>
        <w:rPr>
          <w:rFonts w:hint="eastAsia" w:ascii="宋体" w:hAnsi="宋体" w:eastAsia="宋体" w:cs="宋体"/>
          <w:bCs/>
          <w:color w:val="auto"/>
          <w:sz w:val="22"/>
          <w:highlight w:val="none"/>
        </w:rPr>
        <w:t>）作为验收依据。</w:t>
      </w:r>
      <w:r>
        <w:rPr>
          <w:rFonts w:hint="eastAsia" w:ascii="宋体" w:hAnsi="宋体" w:eastAsia="宋体" w:cs="宋体"/>
          <w:color w:val="auto"/>
          <w:spacing w:val="-6"/>
          <w:sz w:val="22"/>
          <w:highlight w:val="none"/>
        </w:rPr>
        <w:t>乙方服务期满后应对服务内容作出全面检查和对验收文件进行整理，并列出清单，作为甲方验收和使用的技术条件依据，检验的结果应交甲方。</w:t>
      </w:r>
    </w:p>
    <w:p>
      <w:pPr>
        <w:adjustRightInd w:val="0"/>
        <w:snapToGrid w:val="0"/>
        <w:spacing w:line="360" w:lineRule="exact"/>
        <w:ind w:firstLine="416" w:firstLineChars="200"/>
        <w:rPr>
          <w:rFonts w:hint="eastAsia" w:ascii="宋体" w:hAnsi="宋体" w:eastAsia="宋体" w:cs="宋体"/>
          <w:bCs/>
          <w:color w:val="auto"/>
          <w:sz w:val="22"/>
          <w:highlight w:val="none"/>
        </w:rPr>
      </w:pPr>
      <w:r>
        <w:rPr>
          <w:rFonts w:hint="eastAsia" w:ascii="宋体" w:hAnsi="宋体" w:eastAsia="宋体" w:cs="宋体"/>
          <w:color w:val="auto"/>
          <w:spacing w:val="-6"/>
          <w:sz w:val="22"/>
          <w:highlight w:val="none"/>
        </w:rPr>
        <w:t>10.2</w:t>
      </w:r>
      <w:r>
        <w:rPr>
          <w:rFonts w:hint="eastAsia" w:ascii="宋体" w:hAnsi="宋体" w:eastAsia="宋体" w:cs="宋体"/>
          <w:bCs/>
          <w:color w:val="auto"/>
          <w:sz w:val="22"/>
          <w:highlight w:val="none"/>
        </w:rPr>
        <w:t>本合同履约验收参照《温州市政府采购履约验收办法》(温财采[2020]6号)相关规定。合同履约达到验收条件时，乙方按冋甲方书面发起验收申请，甲方或者其委托的采购代理机构(以下简称验收组织机构)在收到乙方验收申请五个工作日内启动项目验收。</w:t>
      </w:r>
    </w:p>
    <w:p>
      <w:pPr>
        <w:pStyle w:val="48"/>
        <w:tabs>
          <w:tab w:val="left" w:pos="680"/>
        </w:tabs>
        <w:adjustRightInd w:val="0"/>
        <w:snapToGrid w:val="0"/>
        <w:spacing w:line="360" w:lineRule="exact"/>
        <w:ind w:firstLine="416"/>
        <w:rPr>
          <w:rFonts w:hint="eastAsia" w:ascii="宋体" w:hAnsi="宋体" w:eastAsia="宋体" w:cs="宋体"/>
          <w:bCs/>
          <w:color w:val="auto"/>
          <w:sz w:val="22"/>
          <w:szCs w:val="22"/>
          <w:highlight w:val="none"/>
        </w:rPr>
      </w:pPr>
      <w:r>
        <w:rPr>
          <w:rFonts w:hint="eastAsia" w:ascii="宋体" w:hAnsi="宋体" w:eastAsia="宋体" w:cs="宋体"/>
          <w:color w:val="auto"/>
          <w:spacing w:val="-6"/>
          <w:sz w:val="22"/>
          <w:szCs w:val="22"/>
          <w:highlight w:val="none"/>
        </w:rPr>
        <w:t>10.3</w:t>
      </w:r>
      <w:r>
        <w:rPr>
          <w:rFonts w:hint="eastAsia" w:ascii="宋体" w:hAnsi="宋体" w:eastAsia="宋体" w:cs="宋体"/>
          <w:bCs/>
          <w:color w:val="auto"/>
          <w:sz w:val="22"/>
          <w:szCs w:val="22"/>
          <w:highlight w:val="none"/>
        </w:rPr>
        <w:t>合同金额在采购限额标准以上的，原则上应采用一般程序验收。验收小组应当由五人以上(含本数)单数、熟悉项目需求和标的人员组成，其中相关专业技术人员人数不得少于验收小组人员总数的三分之二。验收组织机构应当按照采购文件、投标文件、采购合同等约定的服务实施情况，结合考核情况和服务效果进行验收。未约定的，应当符合国家强制性规定、政策要求、安全标准、行业或企业有关标准等。</w:t>
      </w:r>
    </w:p>
    <w:p>
      <w:pPr>
        <w:pStyle w:val="48"/>
        <w:tabs>
          <w:tab w:val="left" w:pos="680"/>
        </w:tabs>
        <w:adjustRightInd w:val="0"/>
        <w:snapToGrid w:val="0"/>
        <w:spacing w:line="360" w:lineRule="exact"/>
        <w:ind w:firstLine="416"/>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10.4</w:t>
      </w:r>
      <w:r>
        <w:rPr>
          <w:rFonts w:hint="eastAsia" w:ascii="宋体" w:hAnsi="宋体" w:eastAsia="宋体" w:cs="宋体"/>
          <w:bCs/>
          <w:color w:val="auto"/>
          <w:sz w:val="22"/>
          <w:szCs w:val="22"/>
          <w:highlight w:val="none"/>
        </w:rPr>
        <w:t>甲方依据验收书和乙方其他履约情况，对验收项目作出整体评价和分类评价，形成验收结果，除涉密情形外，甲方应在评价后2个工作日内在浙江政府采购网发布验收结果。</w:t>
      </w:r>
    </w:p>
    <w:p>
      <w:pPr>
        <w:numPr>
          <w:ilvl w:val="0"/>
          <w:numId w:val="7"/>
        </w:numPr>
        <w:tabs>
          <w:tab w:val="left" w:pos="567"/>
          <w:tab w:val="clear" w:pos="0"/>
        </w:tabs>
        <w:snapToGrid w:val="0"/>
        <w:spacing w:line="360" w:lineRule="exact"/>
        <w:ind w:left="-20"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破产终止合同</w:t>
      </w:r>
    </w:p>
    <w:p>
      <w:pPr>
        <w:numPr>
          <w:ilvl w:val="1"/>
          <w:numId w:val="7"/>
        </w:numPr>
        <w:tabs>
          <w:tab w:val="left" w:pos="567"/>
          <w:tab w:val="clear" w:pos="0"/>
        </w:tabs>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如果乙方破产或无清偿能力时，甲方可在任何时候以书面通知乙方终止合同。该终止合同将不损害或影响甲方已经采取或将要采取的补救措施的权利。</w:t>
      </w:r>
    </w:p>
    <w:p>
      <w:pPr>
        <w:numPr>
          <w:ilvl w:val="0"/>
          <w:numId w:val="7"/>
        </w:numPr>
        <w:tabs>
          <w:tab w:val="left" w:pos="567"/>
          <w:tab w:val="clear" w:pos="0"/>
        </w:tabs>
        <w:snapToGrid w:val="0"/>
        <w:spacing w:line="360" w:lineRule="exact"/>
        <w:ind w:left="-20"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不可抗力</w:t>
      </w:r>
    </w:p>
    <w:p>
      <w:pPr>
        <w:pStyle w:val="16"/>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12.1 在承包期间发生地震、火灾及其他双方不能控制的原因，导致承包区域不能正常经营，合同不能或不能全部履行。任何一方可以书面形式终止合同无需做出任何赔偿。因不可抗力导致合同终止，并不影响任何一方对不可抗力先前发生的违约行为合法追偿。</w:t>
      </w:r>
    </w:p>
    <w:p>
      <w:pPr>
        <w:pStyle w:val="16"/>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12.2 遇国家政策性调整，影响合同履行，双方协商解决。</w:t>
      </w:r>
    </w:p>
    <w:p>
      <w:pPr>
        <w:numPr>
          <w:ilvl w:val="0"/>
          <w:numId w:val="7"/>
        </w:numPr>
        <w:tabs>
          <w:tab w:val="left" w:pos="567"/>
          <w:tab w:val="clear" w:pos="0"/>
        </w:tabs>
        <w:snapToGrid w:val="0"/>
        <w:spacing w:line="360" w:lineRule="exact"/>
        <w:ind w:left="-20"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争议的解决</w:t>
      </w:r>
    </w:p>
    <w:p>
      <w:pPr>
        <w:snapToGrid w:val="0"/>
        <w:spacing w:line="36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合同实施或与合同有关的一切争端，甲乙双方首先应通过友好协商解决，如果协商仍得不到解决，任何一方可向甲方所在地申请诉讼。</w:t>
      </w:r>
    </w:p>
    <w:p>
      <w:pPr>
        <w:numPr>
          <w:ilvl w:val="0"/>
          <w:numId w:val="7"/>
        </w:numPr>
        <w:tabs>
          <w:tab w:val="left" w:pos="567"/>
          <w:tab w:val="clear" w:pos="0"/>
        </w:tabs>
        <w:snapToGrid w:val="0"/>
        <w:spacing w:line="360" w:lineRule="exact"/>
        <w:ind w:left="-20"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合同生效及其他</w:t>
      </w:r>
    </w:p>
    <w:p>
      <w:pPr>
        <w:widowControl/>
        <w:adjustRightInd w:val="0"/>
        <w:snapToGrid w:val="0"/>
        <w:spacing w:line="36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14.1 温州肯恩大学项目招标文件以及投标文件、询标记录、温州肯恩大学项目保密协议书和承诺书（如有）是本合同不可分割的组成部分，本合同未尽事宜从其规定。若本合同约定与前述文件约定不一致的，按照下列顺序予以解释：</w:t>
      </w:r>
    </w:p>
    <w:p>
      <w:pPr>
        <w:widowControl/>
        <w:adjustRightInd w:val="0"/>
        <w:snapToGrid w:val="0"/>
        <w:spacing w:line="36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（1）本合同履行过程中双方签署的变更或补充合同（如有）；</w:t>
      </w:r>
    </w:p>
    <w:p>
      <w:pPr>
        <w:widowControl/>
        <w:adjustRightInd w:val="0"/>
        <w:snapToGrid w:val="0"/>
        <w:spacing w:line="36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（2）本合同；</w:t>
      </w:r>
    </w:p>
    <w:p>
      <w:pPr>
        <w:widowControl/>
        <w:adjustRightInd w:val="0"/>
        <w:snapToGrid w:val="0"/>
        <w:spacing w:line="36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（3）温州肯恩大学项目保密协议书和承诺书；</w:t>
      </w:r>
    </w:p>
    <w:p>
      <w:pPr>
        <w:widowControl/>
        <w:adjustRightInd w:val="0"/>
        <w:snapToGrid w:val="0"/>
        <w:spacing w:line="36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（4）投标文件；</w:t>
      </w:r>
    </w:p>
    <w:p>
      <w:pPr>
        <w:widowControl/>
        <w:adjustRightInd w:val="0"/>
        <w:snapToGrid w:val="0"/>
        <w:spacing w:line="36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（5）招标文件；</w:t>
      </w:r>
    </w:p>
    <w:p>
      <w:pPr>
        <w:widowControl/>
        <w:adjustRightInd w:val="0"/>
        <w:snapToGrid w:val="0"/>
        <w:spacing w:line="36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（6）其他合同文件。</w:t>
      </w:r>
    </w:p>
    <w:p>
      <w:pPr>
        <w:widowControl/>
        <w:adjustRightInd w:val="0"/>
        <w:snapToGrid w:val="0"/>
        <w:spacing w:line="36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14.2 本合同经甲乙双方盖章后生效。合同内容如遇国家法律、法规及政策另有规定的，从其规定。</w:t>
      </w:r>
    </w:p>
    <w:p>
      <w:pPr>
        <w:widowControl/>
        <w:adjustRightInd w:val="0"/>
        <w:snapToGrid w:val="0"/>
        <w:spacing w:line="360" w:lineRule="exact"/>
        <w:ind w:firstLine="440" w:firstLineChars="200"/>
        <w:rPr>
          <w:rFonts w:hint="eastAsia" w:ascii="宋体" w:hAnsi="宋体" w:eastAsia="宋体" w:cs="宋体"/>
          <w:b/>
          <w:color w:val="auto"/>
          <w:sz w:val="22"/>
          <w:highlight w:val="none"/>
        </w:rPr>
      </w:pPr>
      <w:r>
        <w:rPr>
          <w:rFonts w:hint="eastAsia" w:ascii="宋体" w:hAnsi="宋体" w:eastAsia="宋体" w:cs="宋体"/>
          <w:snapToGrid w:val="0"/>
          <w:color w:val="auto"/>
          <w:kern w:val="0"/>
          <w:sz w:val="22"/>
          <w:highlight w:val="none"/>
        </w:rPr>
        <w:t>14.3 本合同一式陆份，甲方叁份，乙方贰份，采购代理机构壹份。</w:t>
      </w:r>
    </w:p>
    <w:p>
      <w:pPr>
        <w:pStyle w:val="16"/>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14.4 合同签定地点：合同执行地。</w:t>
      </w:r>
    </w:p>
    <w:p>
      <w:pPr>
        <w:numPr>
          <w:ilvl w:val="0"/>
          <w:numId w:val="7"/>
        </w:numPr>
        <w:tabs>
          <w:tab w:val="left" w:pos="567"/>
          <w:tab w:val="clear" w:pos="0"/>
        </w:tabs>
        <w:snapToGrid w:val="0"/>
        <w:spacing w:line="360" w:lineRule="exact"/>
        <w:ind w:left="-20"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未尽事宜</w:t>
      </w:r>
    </w:p>
    <w:p>
      <w:pPr>
        <w:pStyle w:val="48"/>
        <w:tabs>
          <w:tab w:val="left" w:pos="680"/>
        </w:tabs>
        <w:spacing w:line="36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本合同未尽事宜，双方可以协商解决或另订补充合同。补充合同为本合同不可分割的组成部分。</w:t>
      </w:r>
    </w:p>
    <w:p>
      <w:pPr>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ind w:firstLine="321"/>
        <w:rPr>
          <w:rFonts w:hint="eastAsia" w:ascii="宋体" w:hAnsi="宋体" w:eastAsia="宋体" w:cs="宋体"/>
          <w:color w:val="auto"/>
          <w:highlight w:val="none"/>
        </w:rPr>
      </w:pPr>
    </w:p>
    <w:p>
      <w:pPr>
        <w:pStyle w:val="5"/>
        <w:ind w:firstLine="36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ind w:firstLine="321"/>
        <w:rPr>
          <w:rFonts w:hint="eastAsia" w:ascii="宋体" w:hAnsi="宋体" w:eastAsia="宋体" w:cs="宋体"/>
          <w:color w:val="auto"/>
          <w:highlight w:val="none"/>
        </w:rPr>
      </w:pPr>
    </w:p>
    <w:p>
      <w:pPr>
        <w:pStyle w:val="5"/>
        <w:ind w:firstLine="360"/>
        <w:rPr>
          <w:rFonts w:hint="eastAsia" w:ascii="宋体" w:hAnsi="宋体" w:eastAsia="宋体" w:cs="宋体"/>
          <w:color w:val="auto"/>
          <w:highlight w:val="none"/>
        </w:rPr>
      </w:pPr>
    </w:p>
    <w:p>
      <w:pPr>
        <w:rPr>
          <w:rFonts w:hint="eastAsia" w:ascii="宋体" w:hAnsi="宋体" w:eastAsia="宋体" w:cs="宋体"/>
          <w:color w:val="auto"/>
          <w:highlight w:val="none"/>
        </w:rPr>
      </w:pPr>
    </w:p>
    <w:p>
      <w:pPr>
        <w:tabs>
          <w:tab w:val="left" w:pos="4286"/>
        </w:tabs>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第四部分   附件</w:t>
      </w:r>
    </w:p>
    <w:p>
      <w:pPr>
        <w:snapToGrid w:val="0"/>
        <w:spacing w:beforeLines="50" w:after="50"/>
        <w:jc w:val="center"/>
        <w:outlineLvl w:val="1"/>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一、报价文件部分格式</w:t>
      </w:r>
    </w:p>
    <w:p>
      <w:pPr>
        <w:snapToGrid w:val="0"/>
        <w:spacing w:before="50" w:afterLines="50"/>
        <w:jc w:val="left"/>
        <w:rPr>
          <w:rFonts w:hint="eastAsia" w:ascii="宋体" w:hAnsi="宋体" w:eastAsia="宋体" w:cs="宋体"/>
          <w:b/>
          <w:color w:val="auto"/>
          <w:sz w:val="24"/>
          <w:highlight w:val="none"/>
        </w:rPr>
      </w:pPr>
    </w:p>
    <w:p>
      <w:pPr>
        <w:snapToGrid w:val="0"/>
        <w:spacing w:before="50" w:afterLines="50"/>
        <w:jc w:val="left"/>
        <w:rPr>
          <w:rFonts w:hint="eastAsia" w:ascii="宋体" w:hAnsi="宋体" w:eastAsia="宋体" w:cs="宋体"/>
          <w:b/>
          <w:color w:val="auto"/>
          <w:sz w:val="24"/>
          <w:highlight w:val="none"/>
        </w:rPr>
      </w:pPr>
    </w:p>
    <w:p>
      <w:pPr>
        <w:snapToGrid w:val="0"/>
        <w:spacing w:before="50" w:afterLines="50"/>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highlight w:val="none"/>
        </w:rPr>
        <w:t>投标报价文件封面格式：</w:t>
      </w:r>
    </w:p>
    <w:p>
      <w:pPr>
        <w:pStyle w:val="15"/>
        <w:ind w:left="0" w:leftChars="0" w:right="1470"/>
        <w:rPr>
          <w:rFonts w:hint="eastAsia" w:ascii="宋体" w:hAnsi="宋体" w:eastAsia="宋体" w:cs="宋体"/>
          <w:b/>
          <w:color w:val="auto"/>
          <w:sz w:val="24"/>
          <w:szCs w:val="24"/>
          <w:highlight w:val="none"/>
        </w:rPr>
      </w:pPr>
    </w:p>
    <w:p>
      <w:pPr>
        <w:snapToGrid w:val="0"/>
        <w:spacing w:line="400" w:lineRule="exact"/>
        <w:jc w:val="center"/>
        <w:outlineLvl w:val="1"/>
        <w:rPr>
          <w:rFonts w:hint="eastAsia" w:ascii="宋体" w:hAnsi="宋体" w:eastAsia="宋体" w:cs="宋体"/>
          <w:b/>
          <w:bCs/>
          <w:color w:val="auto"/>
          <w:sz w:val="24"/>
          <w:szCs w:val="20"/>
          <w:highlight w:val="none"/>
        </w:rPr>
      </w:pPr>
    </w:p>
    <w:p>
      <w:pPr>
        <w:snapToGrid w:val="0"/>
        <w:spacing w:line="400" w:lineRule="exact"/>
        <w:jc w:val="center"/>
        <w:rPr>
          <w:rFonts w:hint="eastAsia" w:ascii="宋体" w:hAnsi="宋体" w:eastAsia="宋体" w:cs="宋体"/>
          <w:bCs/>
          <w:color w:val="auto"/>
          <w:sz w:val="24"/>
          <w:szCs w:val="20"/>
          <w:highlight w:val="none"/>
        </w:rPr>
      </w:pPr>
      <w:r>
        <w:rPr>
          <w:rFonts w:hint="eastAsia" w:ascii="宋体" w:hAnsi="宋体" w:eastAsia="宋体" w:cs="宋体"/>
          <w:b/>
          <w:bCs/>
          <w:color w:val="auto"/>
          <w:sz w:val="24"/>
          <w:highlight w:val="none"/>
        </w:rPr>
        <w:pict>
          <v:shape id="1027" o:spid="_x0000_s1026" o:spt="202" type="#_x0000_t202" style="position:absolute;left:0pt;margin-left:30.7pt;margin-top:16pt;height:263.35pt;width:399.75pt;mso-wrap-distance-bottom:0pt;mso-wrap-distance-top:0pt;z-index:251659264;mso-width-relative:page;mso-height-relative:page;" coordsize="21600,21600" o:gfxdata="UEsDBAoAAAAAAIdO4kAAAAAAAAAAAAAAAAAEAAAAZHJzL1BLAwQUAAAACACHTuJAM6LEN9kAAAAJ AQAADwAAAGRycy9kb3ducmV2LnhtbE2Py07DMBRE90j8g3WR2CBqp480DbnpAgkEu1KqsnVjN4nw I9huWv6eywqWoxnNnKnWF2vYqEPsvUPIJgKYdo1XvWsRdu9P9wWwmKRT0ninEb51hHV9fVXJUvmz e9PjNrWMSlwsJUKX0lByHptOWxknftCOvKMPViaSoeUqyDOVW8OnQuTcyt7RQicH/djp5nN7sgjF /GX8iK+zzb7Jj2aV7pbj81dAvL3JxAOwpC/pLwy/+IQONTEd/MmpyAxCns0piTCb0iXyi1ysgB0Q FotiCbyu+P8H9Q9QSwMEFAAAAAgAh07iQP3AiRsPAgAAYQQAAA4AAABkcnMvZTJvRG9jLnhtbK1U TY/TMBC9I/EfLN9p0m67u0RNV4JSLitYsfADXNtJLPwlj9uk/56xU7ph4dADOTjj+Pn5zZtx1g+D 0eQoAyhnazqflZRIy51Qtq3pj++7d/eUQGRWMO2srOlJAn3YvH2z7n0lF65zWshAkMRC1fuadjH6 qiiAd9IwmDkvLS42LhgWcRraQgTWI7vRxaIsb4veBeGD4xIAv27HRXpmDNcQuqZRXG4dPxhp48ga pGYRU4JOeaCbrLZpJI9fmwZkJLqmmGnMIx6C8T6NxWbNqjYw3yl+lsCukfAqJ8OUxUMvVFsWGTkE 9ReVUTw4cE2ccWeKMZHsCGYxL19589wxL3MuaDX4i+nw/2j5l+NTIEpgJ1BimcGCz8vFXfKl91Dh 8rNHQBw+uCFhUo7gHx3/CcS6bw4NnSdwMUGPWwH3JfTQBJPemCtBCjT+dDFeDpFw/Lgq727vFytK OK7d3CyXq+Uqs75s9wHiZ+kMSUFNA1Y2i2HHR4hJAKt+Q7JGp5XYKa3zJLT7jzqQI8Mu2OXnzA5T mLakr+n7VRbCsLUbbCnUZDzaA7Ydk5/ugClxmZ9/ESdhWwbdKCCfmWCsMirKkKNOMvHJChJPHktg 8ebRJMZIQYmWeFFTlJGRKX0NEg3RNh0i8zU4u5TKNFYmRXHYD0iawr0TJyz0wQfVdn9UFTsv23u+ Jam1p/Nc+5c/w+YX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gQQAAFtDb250ZW50X1R5cGVzXS54bWxQSwECFAAKAAAAAACHTuJAAAAAAAAAAAAA AAAABgAAAAAAAAAAABAAAABjAwAAX3JlbHMvUEsBAhQAFAAAAAgAh07iQIoUZjzRAAAAlAEAAAsA AAAAAAAAAQAgAAAAhwMAAF9yZWxzLy5yZWxzUEsBAhQACgAAAAAAh07iQAAAAAAAAAAAAAAAAAQA AAAAAAAAAAAQAAAAAAAAAGRycy9QSwECFAAUAAAACACHTuJAM6LEN9kAAAAJAQAADwAAAAAAAAAB ACAAAAAiAAAAZHJzL2Rvd25yZXYueG1sUEsBAhQAFAAAAAgAh07iQP3AiRsPAgAAYQQAAA4AAAAA AAAAAQAgAAAAKAEAAGRycy9lMm9Eb2MueG1sUEsFBgAAAAAGAAYAWQEAAKkFAAAAAA== ">
            <v:path/>
            <v:fill focussize="0,0"/>
            <v:stroke joinstyle="miter"/>
            <v:imagedata o:title=""/>
            <o:lock v:ext="edit" rotation="t"/>
            <v:textbox>
              <w:txbxContent>
                <w:p>
                  <w:pPr>
                    <w:snapToGrid w:val="0"/>
                    <w:spacing w:beforeLines="50" w:after="50"/>
                    <w:ind w:left="-850" w:leftChars="-405"/>
                    <w:rPr>
                      <w:rFonts w:ascii="宋体" w:hAnsi="宋体"/>
                      <w:sz w:val="24"/>
                      <w:szCs w:val="20"/>
                    </w:rPr>
                  </w:pPr>
                </w:p>
                <w:p>
                  <w:pPr>
                    <w:pStyle w:val="28"/>
                    <w:ind w:hanging="480"/>
                  </w:pPr>
                </w:p>
                <w:p>
                  <w:pPr>
                    <w:snapToGrid w:val="0"/>
                    <w:spacing w:beforeLines="50" w:after="50"/>
                    <w:jc w:val="center"/>
                    <w:rPr>
                      <w:rFonts w:ascii="宋体" w:hAnsi="宋体"/>
                      <w:bCs/>
                      <w:sz w:val="24"/>
                      <w:szCs w:val="20"/>
                    </w:rPr>
                  </w:pPr>
                  <w:r>
                    <w:rPr>
                      <w:rFonts w:hint="eastAsia" w:ascii="宋体" w:hAnsi="宋体"/>
                      <w:bCs/>
                      <w:sz w:val="24"/>
                      <w:szCs w:val="20"/>
                    </w:rPr>
                    <w:t>投标报价文件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ascii="宋体" w:hAnsi="宋体"/>
                      <w:bCs/>
                      <w:sz w:val="24"/>
                    </w:rPr>
                  </w:pPr>
                  <w:r>
                    <w:rPr>
                      <w:rFonts w:hint="eastAsia" w:ascii="宋体" w:hAnsi="宋体"/>
                      <w:bCs/>
                      <w:sz w:val="24"/>
                    </w:rPr>
                    <w:t>项目编号：</w:t>
                  </w:r>
                </w:p>
                <w:p>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snapToGrid w:val="0"/>
                    <w:spacing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w:r>
    </w:p>
    <w:p>
      <w:pPr>
        <w:snapToGrid w:val="0"/>
        <w:spacing w:line="400" w:lineRule="exact"/>
        <w:jc w:val="center"/>
        <w:outlineLvl w:val="1"/>
        <w:rPr>
          <w:rFonts w:hint="eastAsia" w:ascii="宋体" w:hAnsi="宋体" w:eastAsia="宋体" w:cs="宋体"/>
          <w:color w:val="auto"/>
          <w:highlight w:val="none"/>
        </w:rPr>
      </w:pPr>
    </w:p>
    <w:p>
      <w:pPr>
        <w:snapToGrid w:val="0"/>
        <w:spacing w:line="400" w:lineRule="exact"/>
        <w:jc w:val="center"/>
        <w:outlineLvl w:val="1"/>
        <w:rPr>
          <w:rFonts w:hint="eastAsia" w:ascii="宋体" w:hAnsi="宋体" w:eastAsia="宋体" w:cs="宋体"/>
          <w:color w:val="auto"/>
          <w:highlight w:val="none"/>
        </w:rPr>
      </w:pPr>
    </w:p>
    <w:p>
      <w:pPr>
        <w:snapToGrid w:val="0"/>
        <w:spacing w:line="400" w:lineRule="exact"/>
        <w:jc w:val="center"/>
        <w:outlineLvl w:val="1"/>
        <w:rPr>
          <w:rFonts w:hint="eastAsia" w:ascii="宋体" w:hAnsi="宋体" w:eastAsia="宋体" w:cs="宋体"/>
          <w:bCs/>
          <w:color w:val="auto"/>
          <w:sz w:val="24"/>
          <w:szCs w:val="20"/>
          <w:highlight w:val="none"/>
        </w:rPr>
      </w:pPr>
    </w:p>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Cs/>
          <w:color w:val="auto"/>
          <w:sz w:val="24"/>
          <w:szCs w:val="20"/>
          <w:highlight w:val="none"/>
        </w:rPr>
        <w:br w:type="page"/>
      </w: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w:t>
      </w:r>
    </w:p>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开标一览表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                                        单位：人民币（元）</w:t>
      </w:r>
    </w:p>
    <w:tbl>
      <w:tblPr>
        <w:tblStyle w:val="29"/>
        <w:tblW w:w="7744" w:type="dxa"/>
        <w:jc w:val="center"/>
        <w:tblLayout w:type="fixed"/>
        <w:tblCellMar>
          <w:top w:w="0" w:type="dxa"/>
          <w:left w:w="0" w:type="dxa"/>
          <w:bottom w:w="0" w:type="dxa"/>
          <w:right w:w="0" w:type="dxa"/>
        </w:tblCellMar>
      </w:tblPr>
      <w:tblGrid>
        <w:gridCol w:w="2641"/>
        <w:gridCol w:w="2126"/>
        <w:gridCol w:w="2977"/>
      </w:tblGrid>
      <w:tr>
        <w:tblPrEx>
          <w:tblCellMar>
            <w:top w:w="0" w:type="dxa"/>
            <w:left w:w="0" w:type="dxa"/>
            <w:bottom w:w="0" w:type="dxa"/>
            <w:right w:w="0" w:type="dxa"/>
          </w:tblCellMar>
        </w:tblPrEx>
        <w:trPr>
          <w:trHeight w:val="567" w:hRule="atLeast"/>
          <w:jc w:val="center"/>
        </w:trPr>
        <w:tc>
          <w:tcPr>
            <w:tcW w:w="2641"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center"/>
          </w:tcPr>
          <w:p>
            <w:pPr>
              <w:snapToGrid w:val="0"/>
              <w:ind w:right="-2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投标项目</w:t>
            </w:r>
          </w:p>
        </w:tc>
        <w:tc>
          <w:tcPr>
            <w:tcW w:w="2126"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center"/>
          </w:tcPr>
          <w:p>
            <w:pPr>
              <w:snapToGrid w:val="0"/>
              <w:ind w:right="-2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服务承包期</w:t>
            </w:r>
          </w:p>
        </w:tc>
        <w:tc>
          <w:tcPr>
            <w:tcW w:w="2977"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center"/>
          </w:tcPr>
          <w:p>
            <w:pPr>
              <w:snapToGrid w:val="0"/>
              <w:ind w:right="-2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投标总价</w:t>
            </w:r>
          </w:p>
        </w:tc>
      </w:tr>
      <w:tr>
        <w:tblPrEx>
          <w:tblCellMar>
            <w:top w:w="0" w:type="dxa"/>
            <w:left w:w="0" w:type="dxa"/>
            <w:bottom w:w="0" w:type="dxa"/>
            <w:right w:w="0" w:type="dxa"/>
          </w:tblCellMar>
        </w:tblPrEx>
        <w:trPr>
          <w:trHeight w:val="1134" w:hRule="atLeast"/>
          <w:jc w:val="center"/>
        </w:trPr>
        <w:tc>
          <w:tcPr>
            <w:tcW w:w="2641"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center"/>
          </w:tcPr>
          <w:p>
            <w:pPr>
              <w:snapToGrid w:val="0"/>
              <w:ind w:right="-21"/>
              <w:jc w:val="center"/>
              <w:rPr>
                <w:rFonts w:hint="eastAsia" w:ascii="宋体" w:hAnsi="宋体" w:eastAsia="宋体" w:cs="宋体"/>
                <w:color w:val="auto"/>
                <w:sz w:val="24"/>
                <w:highlight w:val="none"/>
              </w:rPr>
            </w:pPr>
          </w:p>
        </w:tc>
        <w:tc>
          <w:tcPr>
            <w:tcW w:w="2126"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center"/>
          </w:tcPr>
          <w:p>
            <w:pPr>
              <w:snapToGrid w:val="0"/>
              <w:ind w:right="-2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w:t>
            </w:r>
          </w:p>
        </w:tc>
        <w:tc>
          <w:tcPr>
            <w:tcW w:w="2977"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center"/>
          </w:tcPr>
          <w:p>
            <w:pPr>
              <w:snapToGrid w:val="0"/>
              <w:ind w:right="-21"/>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p>
            <w:pPr>
              <w:snapToGrid w:val="0"/>
              <w:ind w:right="-21"/>
              <w:rPr>
                <w:rFonts w:hint="eastAsia" w:ascii="宋体" w:hAnsi="宋体" w:eastAsia="宋体" w:cs="宋体"/>
                <w:color w:val="auto"/>
                <w:sz w:val="24"/>
                <w:highlight w:val="none"/>
              </w:rPr>
            </w:pPr>
          </w:p>
          <w:p>
            <w:pPr>
              <w:snapToGrid w:val="0"/>
              <w:ind w:right="-21"/>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r>
    </w:tbl>
    <w:p>
      <w:pPr>
        <w:spacing w:line="400" w:lineRule="exact"/>
        <w:rPr>
          <w:rFonts w:hint="eastAsia" w:ascii="宋体" w:hAnsi="宋体" w:eastAsia="宋体" w:cs="宋体"/>
          <w:color w:val="auto"/>
          <w:sz w:val="22"/>
          <w:highlight w:val="none"/>
        </w:rPr>
      </w:pPr>
    </w:p>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备注：1、</w:t>
      </w:r>
      <w:r>
        <w:rPr>
          <w:rFonts w:hint="eastAsia" w:ascii="宋体" w:hAnsi="宋体" w:eastAsia="宋体" w:cs="宋体"/>
          <w:color w:val="auto"/>
          <w:sz w:val="22"/>
          <w:highlight w:val="none"/>
          <w:u w:val="single"/>
        </w:rPr>
        <w:t>▲不提供此表格将被视为没有满足招标文件的实质性要求。</w:t>
      </w:r>
    </w:p>
    <w:p>
      <w:pPr>
        <w:spacing w:line="380" w:lineRule="exact"/>
        <w:ind w:firstLine="660" w:firstLine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2、此栏内投标总价应与“投标分项报价表”中投标总价相一致。</w:t>
      </w:r>
    </w:p>
    <w:p>
      <w:pPr>
        <w:spacing w:line="380" w:lineRule="exact"/>
        <w:ind w:firstLine="660" w:firstLine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3、客户端填写的报</w:t>
      </w:r>
      <w:r>
        <w:rPr>
          <w:rFonts w:hint="eastAsia" w:ascii="宋体" w:hAnsi="宋体" w:eastAsia="宋体" w:cs="宋体"/>
          <w:color w:val="auto"/>
          <w:spacing w:val="-6"/>
          <w:sz w:val="22"/>
          <w:highlight w:val="none"/>
        </w:rPr>
        <w:t>价与以pdf格式上传文件中的报价不一致的，应以Pdf格式上传文件中的报价为准。</w:t>
      </w:r>
    </w:p>
    <w:p>
      <w:pPr>
        <w:spacing w:line="360" w:lineRule="auto"/>
        <w:ind w:firstLine="440" w:firstLineChars="200"/>
        <w:rPr>
          <w:rFonts w:hint="eastAsia" w:ascii="宋体" w:hAnsi="宋体" w:eastAsia="宋体" w:cs="宋体"/>
          <w:bCs/>
          <w:color w:val="auto"/>
          <w:sz w:val="22"/>
          <w:highlight w:val="none"/>
          <w:u w:val="singl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spacing w:line="400" w:lineRule="exact"/>
        <w:rPr>
          <w:rFonts w:hint="eastAsia" w:ascii="宋体" w:hAnsi="宋体" w:eastAsia="宋体" w:cs="宋体"/>
          <w:b/>
          <w:color w:val="auto"/>
          <w:sz w:val="24"/>
          <w:szCs w:val="24"/>
          <w:highlight w:val="none"/>
        </w:rPr>
      </w:pPr>
    </w:p>
    <w:p>
      <w:pPr>
        <w:pStyle w:val="17"/>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17"/>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17"/>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17"/>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17"/>
        <w:rPr>
          <w:rFonts w:hint="eastAsia" w:ascii="宋体" w:hAnsi="宋体" w:eastAsia="宋体" w:cs="宋体"/>
          <w:b/>
          <w:color w:val="auto"/>
          <w:sz w:val="24"/>
          <w:szCs w:val="24"/>
          <w:highlight w:val="none"/>
        </w:rPr>
      </w:pPr>
    </w:p>
    <w:p>
      <w:pPr>
        <w:rPr>
          <w:rFonts w:hint="eastAsia" w:ascii="宋体" w:hAnsi="宋体" w:eastAsia="宋体" w:cs="宋体"/>
          <w:color w:val="auto"/>
          <w:highlight w:val="none"/>
        </w:rPr>
      </w:pPr>
    </w:p>
    <w:p>
      <w:pPr>
        <w:pStyle w:val="17"/>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17"/>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17"/>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17"/>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17"/>
        <w:rPr>
          <w:rFonts w:hint="eastAsia" w:ascii="宋体" w:hAnsi="宋体" w:eastAsia="宋体" w:cs="宋体"/>
          <w:b/>
          <w:color w:val="auto"/>
          <w:sz w:val="24"/>
          <w:szCs w:val="24"/>
          <w:highlight w:val="none"/>
        </w:rPr>
      </w:pPr>
    </w:p>
    <w:p>
      <w:pPr>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附件2</w:t>
      </w:r>
    </w:p>
    <w:p>
      <w:pPr>
        <w:pStyle w:val="16"/>
        <w:snapToGrid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投标分项报价表</w:t>
      </w:r>
    </w:p>
    <w:p>
      <w:pPr>
        <w:pStyle w:val="16"/>
        <w:snapToGrid w:val="0"/>
        <w:spacing w:line="400" w:lineRule="exact"/>
        <w:jc w:val="center"/>
        <w:rPr>
          <w:rFonts w:hint="eastAsia" w:ascii="宋体" w:hAnsi="宋体" w:eastAsia="宋体" w:cs="宋体"/>
          <w:b/>
          <w:color w:val="auto"/>
          <w:highlight w:val="none"/>
        </w:rPr>
      </w:pP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项目编号：                           （价格单位：人民币元）</w:t>
      </w:r>
    </w:p>
    <w:tbl>
      <w:tblPr>
        <w:tblStyle w:val="2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59"/>
        <w:gridCol w:w="811"/>
        <w:gridCol w:w="2323"/>
        <w:gridCol w:w="1620"/>
        <w:gridCol w:w="1260"/>
        <w:gridCol w:w="1123"/>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28" w:type="dxa"/>
            <w:gridSpan w:val="8"/>
            <w:vAlign w:val="center"/>
          </w:tcPr>
          <w:p>
            <w:pPr>
              <w:tabs>
                <w:tab w:val="left" w:pos="1620"/>
              </w:tabs>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2022年度（2022年09月30 日至2023年09月29日）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序号</w:t>
            </w:r>
          </w:p>
        </w:tc>
        <w:tc>
          <w:tcPr>
            <w:tcW w:w="559" w:type="dxa"/>
            <w:vAlign w:val="center"/>
          </w:tcPr>
          <w:p>
            <w:pPr>
              <w:tabs>
                <w:tab w:val="left" w:pos="1620"/>
              </w:tabs>
              <w:spacing w:line="360" w:lineRule="exact"/>
              <w:jc w:val="center"/>
              <w:rPr>
                <w:rFonts w:hint="eastAsia" w:ascii="宋体" w:hAnsi="宋体" w:eastAsia="宋体" w:cs="宋体"/>
                <w:b/>
                <w:color w:val="auto"/>
                <w:sz w:val="22"/>
                <w:highlight w:val="none"/>
              </w:rPr>
            </w:pPr>
          </w:p>
        </w:tc>
        <w:tc>
          <w:tcPr>
            <w:tcW w:w="3134" w:type="dxa"/>
            <w:gridSpan w:val="2"/>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内    容</w:t>
            </w:r>
          </w:p>
        </w:tc>
        <w:tc>
          <w:tcPr>
            <w:tcW w:w="1620" w:type="dxa"/>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数量/单位</w:t>
            </w:r>
          </w:p>
        </w:tc>
        <w:tc>
          <w:tcPr>
            <w:tcW w:w="1260" w:type="dxa"/>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单价</w:t>
            </w:r>
          </w:p>
        </w:tc>
        <w:tc>
          <w:tcPr>
            <w:tcW w:w="1123" w:type="dxa"/>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合价</w:t>
            </w:r>
          </w:p>
        </w:tc>
        <w:tc>
          <w:tcPr>
            <w:tcW w:w="1397" w:type="dxa"/>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restart"/>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559" w:type="dxa"/>
            <w:vMerge w:val="restart"/>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人员费用</w:t>
            </w:r>
          </w:p>
        </w:tc>
        <w:tc>
          <w:tcPr>
            <w:tcW w:w="811" w:type="dxa"/>
            <w:vMerge w:val="restart"/>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日常人员工资</w:t>
            </w:r>
          </w:p>
        </w:tc>
        <w:tc>
          <w:tcPr>
            <w:tcW w:w="2323" w:type="dxa"/>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保安队长</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门岗人员</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消控人员</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巡逻人员</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节假日补贴</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高温补贴</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620"/>
              </w:tabs>
              <w:spacing w:line="360" w:lineRule="exact"/>
              <w:ind w:right="-107" w:rightChars="-51"/>
              <w:jc w:val="center"/>
              <w:rPr>
                <w:rFonts w:hint="eastAsia" w:ascii="宋体" w:hAnsi="宋体" w:eastAsia="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其他津贴（包括加班费、制服、交通等）</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可分别列出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3693" w:type="dxa"/>
            <w:gridSpan w:val="3"/>
            <w:vAlign w:val="center"/>
          </w:tcPr>
          <w:p>
            <w:pPr>
              <w:tabs>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snapToGrid w:val="0"/>
                <w:color w:val="auto"/>
                <w:sz w:val="22"/>
                <w:highlight w:val="none"/>
              </w:rPr>
              <w:t>进场装备及消耗品（如有）</w:t>
            </w:r>
          </w:p>
        </w:tc>
        <w:tc>
          <w:tcPr>
            <w:tcW w:w="400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369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企业经营管理费</w:t>
            </w:r>
          </w:p>
        </w:tc>
        <w:tc>
          <w:tcPr>
            <w:tcW w:w="400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369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税    金</w:t>
            </w:r>
          </w:p>
        </w:tc>
        <w:tc>
          <w:tcPr>
            <w:tcW w:w="400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369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年终考核奖金</w:t>
            </w:r>
          </w:p>
        </w:tc>
        <w:tc>
          <w:tcPr>
            <w:tcW w:w="400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50000</w:t>
            </w: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固定金额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369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其     他</w:t>
            </w:r>
          </w:p>
        </w:tc>
        <w:tc>
          <w:tcPr>
            <w:tcW w:w="400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28" w:type="dxa"/>
            <w:gridSpan w:val="4"/>
            <w:vAlign w:val="center"/>
          </w:tcPr>
          <w:p>
            <w:pPr>
              <w:tabs>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b/>
                <w:color w:val="auto"/>
                <w:sz w:val="22"/>
                <w:highlight w:val="none"/>
              </w:rPr>
              <w:t>总计价（2022年度）</w:t>
            </w:r>
          </w:p>
        </w:tc>
        <w:tc>
          <w:tcPr>
            <w:tcW w:w="5400" w:type="dxa"/>
            <w:gridSpan w:val="4"/>
            <w:vAlign w:val="center"/>
          </w:tcPr>
          <w:p>
            <w:pPr>
              <w:tabs>
                <w:tab w:val="left" w:pos="1620"/>
              </w:tabs>
              <w:spacing w:line="36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28" w:type="dxa"/>
            <w:gridSpan w:val="8"/>
            <w:vAlign w:val="center"/>
          </w:tcPr>
          <w:p>
            <w:pPr>
              <w:tabs>
                <w:tab w:val="left" w:pos="1620"/>
              </w:tabs>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2023年度（2023年09月30日至2024年09月29日）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序号</w:t>
            </w:r>
          </w:p>
        </w:tc>
        <w:tc>
          <w:tcPr>
            <w:tcW w:w="559" w:type="dxa"/>
            <w:vAlign w:val="center"/>
          </w:tcPr>
          <w:p>
            <w:pPr>
              <w:tabs>
                <w:tab w:val="left" w:pos="1620"/>
              </w:tabs>
              <w:spacing w:line="360" w:lineRule="exact"/>
              <w:jc w:val="center"/>
              <w:rPr>
                <w:rFonts w:hint="eastAsia" w:ascii="宋体" w:hAnsi="宋体" w:eastAsia="宋体" w:cs="宋体"/>
                <w:b/>
                <w:color w:val="auto"/>
                <w:sz w:val="22"/>
                <w:highlight w:val="none"/>
              </w:rPr>
            </w:pPr>
          </w:p>
        </w:tc>
        <w:tc>
          <w:tcPr>
            <w:tcW w:w="3134" w:type="dxa"/>
            <w:gridSpan w:val="2"/>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内    容</w:t>
            </w:r>
          </w:p>
        </w:tc>
        <w:tc>
          <w:tcPr>
            <w:tcW w:w="1620" w:type="dxa"/>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数量/单位</w:t>
            </w:r>
          </w:p>
        </w:tc>
        <w:tc>
          <w:tcPr>
            <w:tcW w:w="1260" w:type="dxa"/>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单价</w:t>
            </w:r>
          </w:p>
        </w:tc>
        <w:tc>
          <w:tcPr>
            <w:tcW w:w="1123" w:type="dxa"/>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合价</w:t>
            </w:r>
          </w:p>
        </w:tc>
        <w:tc>
          <w:tcPr>
            <w:tcW w:w="1397" w:type="dxa"/>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restart"/>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559" w:type="dxa"/>
            <w:vMerge w:val="restart"/>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人员费用</w:t>
            </w:r>
          </w:p>
        </w:tc>
        <w:tc>
          <w:tcPr>
            <w:tcW w:w="811" w:type="dxa"/>
            <w:vMerge w:val="restart"/>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日常人员工资</w:t>
            </w:r>
          </w:p>
        </w:tc>
        <w:tc>
          <w:tcPr>
            <w:tcW w:w="2323" w:type="dxa"/>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保安队长</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门岗人员</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消控人员</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巡逻人员</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节假日补贴</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高温补贴</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620"/>
              </w:tabs>
              <w:spacing w:line="360" w:lineRule="exact"/>
              <w:ind w:right="-107" w:rightChars="-51"/>
              <w:jc w:val="center"/>
              <w:rPr>
                <w:rFonts w:hint="eastAsia" w:ascii="宋体" w:hAnsi="宋体" w:eastAsia="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其他津贴（包括加班费、制服、交通等）</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可分别列出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3693" w:type="dxa"/>
            <w:gridSpan w:val="3"/>
            <w:vAlign w:val="center"/>
          </w:tcPr>
          <w:p>
            <w:pPr>
              <w:tabs>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snapToGrid w:val="0"/>
                <w:color w:val="auto"/>
                <w:sz w:val="22"/>
                <w:highlight w:val="none"/>
              </w:rPr>
              <w:t>进场装备及消耗品（如有）</w:t>
            </w:r>
          </w:p>
        </w:tc>
        <w:tc>
          <w:tcPr>
            <w:tcW w:w="400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369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企业经营管理费</w:t>
            </w:r>
          </w:p>
        </w:tc>
        <w:tc>
          <w:tcPr>
            <w:tcW w:w="400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369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税    金</w:t>
            </w:r>
          </w:p>
        </w:tc>
        <w:tc>
          <w:tcPr>
            <w:tcW w:w="400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369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年终考核奖金</w:t>
            </w:r>
          </w:p>
        </w:tc>
        <w:tc>
          <w:tcPr>
            <w:tcW w:w="400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50000</w:t>
            </w: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固定金额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369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其     他</w:t>
            </w:r>
          </w:p>
        </w:tc>
        <w:tc>
          <w:tcPr>
            <w:tcW w:w="400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28" w:type="dxa"/>
            <w:gridSpan w:val="4"/>
            <w:vAlign w:val="center"/>
          </w:tcPr>
          <w:p>
            <w:pPr>
              <w:tabs>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b/>
                <w:color w:val="auto"/>
                <w:sz w:val="22"/>
                <w:highlight w:val="none"/>
              </w:rPr>
              <w:t>总计价（2023年度）</w:t>
            </w:r>
          </w:p>
        </w:tc>
        <w:tc>
          <w:tcPr>
            <w:tcW w:w="5400" w:type="dxa"/>
            <w:gridSpan w:val="4"/>
            <w:vAlign w:val="center"/>
          </w:tcPr>
          <w:p>
            <w:pPr>
              <w:tabs>
                <w:tab w:val="left" w:pos="1620"/>
              </w:tabs>
              <w:spacing w:line="36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28" w:type="dxa"/>
            <w:gridSpan w:val="8"/>
            <w:vAlign w:val="center"/>
          </w:tcPr>
          <w:p>
            <w:pPr>
              <w:tabs>
                <w:tab w:val="left" w:pos="1620"/>
              </w:tabs>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2024年度（2024年09月30日至2025年09月29日）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序号</w:t>
            </w:r>
          </w:p>
        </w:tc>
        <w:tc>
          <w:tcPr>
            <w:tcW w:w="559" w:type="dxa"/>
            <w:vAlign w:val="center"/>
          </w:tcPr>
          <w:p>
            <w:pPr>
              <w:tabs>
                <w:tab w:val="left" w:pos="1620"/>
              </w:tabs>
              <w:spacing w:line="360" w:lineRule="exact"/>
              <w:jc w:val="center"/>
              <w:rPr>
                <w:rFonts w:hint="eastAsia" w:ascii="宋体" w:hAnsi="宋体" w:eastAsia="宋体" w:cs="宋体"/>
                <w:b/>
                <w:color w:val="auto"/>
                <w:sz w:val="22"/>
                <w:highlight w:val="none"/>
              </w:rPr>
            </w:pPr>
          </w:p>
        </w:tc>
        <w:tc>
          <w:tcPr>
            <w:tcW w:w="3134" w:type="dxa"/>
            <w:gridSpan w:val="2"/>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内    容</w:t>
            </w:r>
          </w:p>
        </w:tc>
        <w:tc>
          <w:tcPr>
            <w:tcW w:w="1620" w:type="dxa"/>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数量/单位</w:t>
            </w:r>
          </w:p>
        </w:tc>
        <w:tc>
          <w:tcPr>
            <w:tcW w:w="1260" w:type="dxa"/>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单价</w:t>
            </w:r>
          </w:p>
        </w:tc>
        <w:tc>
          <w:tcPr>
            <w:tcW w:w="1123" w:type="dxa"/>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合价</w:t>
            </w:r>
          </w:p>
        </w:tc>
        <w:tc>
          <w:tcPr>
            <w:tcW w:w="1397" w:type="dxa"/>
            <w:vAlign w:val="center"/>
          </w:tcPr>
          <w:p>
            <w:pPr>
              <w:tabs>
                <w:tab w:val="left" w:pos="1620"/>
              </w:tabs>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restart"/>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559" w:type="dxa"/>
            <w:vMerge w:val="restart"/>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人员费用</w:t>
            </w:r>
          </w:p>
        </w:tc>
        <w:tc>
          <w:tcPr>
            <w:tcW w:w="811" w:type="dxa"/>
            <w:vMerge w:val="restart"/>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日常人员工资</w:t>
            </w:r>
          </w:p>
        </w:tc>
        <w:tc>
          <w:tcPr>
            <w:tcW w:w="2323" w:type="dxa"/>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保安队长</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门岗人员</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消控人员</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巡逻人员</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节假日补贴</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高温补贴</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hint="eastAsia" w:ascii="宋体" w:hAnsi="宋体" w:eastAsia="宋体" w:cs="宋体"/>
                <w:color w:val="auto"/>
                <w:sz w:val="22"/>
                <w:highlight w:val="none"/>
              </w:rPr>
            </w:pPr>
          </w:p>
        </w:tc>
        <w:tc>
          <w:tcPr>
            <w:tcW w:w="559" w:type="dxa"/>
            <w:vMerge w:val="continue"/>
            <w:vAlign w:val="center"/>
          </w:tcPr>
          <w:p>
            <w:pPr>
              <w:tabs>
                <w:tab w:val="left" w:pos="1620"/>
              </w:tabs>
              <w:spacing w:line="360" w:lineRule="exact"/>
              <w:ind w:right="-107" w:rightChars="-51"/>
              <w:jc w:val="center"/>
              <w:rPr>
                <w:rFonts w:hint="eastAsia" w:ascii="宋体" w:hAnsi="宋体" w:eastAsia="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其他津贴（包括加班费、制服、交通等）</w:t>
            </w:r>
          </w:p>
        </w:tc>
        <w:tc>
          <w:tcPr>
            <w:tcW w:w="162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260"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123" w:type="dxa"/>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可分别列出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3693" w:type="dxa"/>
            <w:gridSpan w:val="3"/>
            <w:vAlign w:val="center"/>
          </w:tcPr>
          <w:p>
            <w:pPr>
              <w:tabs>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snapToGrid w:val="0"/>
                <w:color w:val="auto"/>
                <w:sz w:val="22"/>
                <w:highlight w:val="none"/>
              </w:rPr>
              <w:t>进场装备及消耗品（如有）</w:t>
            </w:r>
          </w:p>
        </w:tc>
        <w:tc>
          <w:tcPr>
            <w:tcW w:w="400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369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企业经营管理费</w:t>
            </w:r>
          </w:p>
        </w:tc>
        <w:tc>
          <w:tcPr>
            <w:tcW w:w="400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369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税    金</w:t>
            </w:r>
          </w:p>
        </w:tc>
        <w:tc>
          <w:tcPr>
            <w:tcW w:w="400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369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年终考核奖金</w:t>
            </w:r>
          </w:p>
        </w:tc>
        <w:tc>
          <w:tcPr>
            <w:tcW w:w="400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50000</w:t>
            </w: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固定金额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369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其     他</w:t>
            </w:r>
          </w:p>
        </w:tc>
        <w:tc>
          <w:tcPr>
            <w:tcW w:w="4003" w:type="dxa"/>
            <w:gridSpan w:val="3"/>
            <w:vAlign w:val="center"/>
          </w:tcPr>
          <w:p>
            <w:pPr>
              <w:tabs>
                <w:tab w:val="left" w:pos="1620"/>
              </w:tabs>
              <w:spacing w:line="360" w:lineRule="exact"/>
              <w:jc w:val="center"/>
              <w:rPr>
                <w:rFonts w:hint="eastAsia" w:ascii="宋体" w:hAnsi="宋体" w:eastAsia="宋体" w:cs="宋体"/>
                <w:color w:val="auto"/>
                <w:sz w:val="22"/>
                <w:highlight w:val="none"/>
              </w:rPr>
            </w:pPr>
          </w:p>
        </w:tc>
        <w:tc>
          <w:tcPr>
            <w:tcW w:w="1397" w:type="dxa"/>
            <w:vAlign w:val="center"/>
          </w:tcPr>
          <w:p>
            <w:pPr>
              <w:tabs>
                <w:tab w:val="left" w:pos="1620"/>
              </w:tabs>
              <w:spacing w:line="36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28" w:type="dxa"/>
            <w:gridSpan w:val="4"/>
            <w:vAlign w:val="center"/>
          </w:tcPr>
          <w:p>
            <w:pPr>
              <w:tabs>
                <w:tab w:val="left" w:pos="1620"/>
              </w:tabs>
              <w:spacing w:line="360" w:lineRule="exact"/>
              <w:ind w:left="-107" w:leftChars="-51" w:right="-107" w:rightChars="-51"/>
              <w:jc w:val="center"/>
              <w:rPr>
                <w:rFonts w:hint="eastAsia" w:ascii="宋体" w:hAnsi="宋体" w:eastAsia="宋体" w:cs="宋体"/>
                <w:color w:val="auto"/>
                <w:sz w:val="22"/>
                <w:highlight w:val="none"/>
              </w:rPr>
            </w:pPr>
            <w:r>
              <w:rPr>
                <w:rFonts w:hint="eastAsia" w:ascii="宋体" w:hAnsi="宋体" w:eastAsia="宋体" w:cs="宋体"/>
                <w:b/>
                <w:color w:val="auto"/>
                <w:sz w:val="22"/>
                <w:highlight w:val="none"/>
              </w:rPr>
              <w:t>总计价（2024年度）</w:t>
            </w:r>
          </w:p>
        </w:tc>
        <w:tc>
          <w:tcPr>
            <w:tcW w:w="5400" w:type="dxa"/>
            <w:gridSpan w:val="4"/>
            <w:vAlign w:val="center"/>
          </w:tcPr>
          <w:p>
            <w:pPr>
              <w:tabs>
                <w:tab w:val="left" w:pos="1620"/>
              </w:tabs>
              <w:spacing w:line="36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28" w:type="dxa"/>
            <w:gridSpan w:val="4"/>
            <w:vAlign w:val="center"/>
          </w:tcPr>
          <w:p>
            <w:pPr>
              <w:spacing w:line="36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投标总价=总计价（2022年度）+总计价（2023年度）+总计价（2024年度）</w:t>
            </w:r>
          </w:p>
        </w:tc>
        <w:tc>
          <w:tcPr>
            <w:tcW w:w="5400" w:type="dxa"/>
            <w:gridSpan w:val="4"/>
            <w:vAlign w:val="center"/>
          </w:tcPr>
          <w:p>
            <w:pPr>
              <w:tabs>
                <w:tab w:val="left" w:pos="1620"/>
              </w:tabs>
              <w:spacing w:line="360" w:lineRule="exact"/>
              <w:jc w:val="center"/>
              <w:rPr>
                <w:rFonts w:hint="eastAsia" w:ascii="宋体" w:hAnsi="宋体" w:eastAsia="宋体" w:cs="宋体"/>
                <w:color w:val="auto"/>
                <w:sz w:val="22"/>
                <w:highlight w:val="none"/>
              </w:rPr>
            </w:pPr>
          </w:p>
        </w:tc>
      </w:tr>
    </w:tbl>
    <w:p>
      <w:pPr>
        <w:spacing w:line="360" w:lineRule="exact"/>
        <w:rPr>
          <w:rFonts w:hint="eastAsia" w:ascii="宋体" w:hAnsi="宋体" w:eastAsia="宋体" w:cs="宋体"/>
          <w:color w:val="auto"/>
          <w:sz w:val="22"/>
          <w:highlight w:val="none"/>
          <w:u w:val="singl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2"/>
          <w:highlight w:val="none"/>
        </w:rPr>
        <w:t>1、</w:t>
      </w:r>
      <w:r>
        <w:rPr>
          <w:rFonts w:hint="eastAsia" w:ascii="宋体" w:hAnsi="宋体" w:eastAsia="宋体" w:cs="宋体"/>
          <w:color w:val="auto"/>
          <w:sz w:val="22"/>
          <w:highlight w:val="none"/>
          <w:u w:val="single"/>
        </w:rPr>
        <w:t>▲没有填写此表视为完全满足招标文件的实质性要求；</w:t>
      </w:r>
    </w:p>
    <w:p>
      <w:pPr>
        <w:spacing w:line="360" w:lineRule="exact"/>
        <w:ind w:firstLine="660" w:firstLineChars="3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lang w:eastAsia="zh-CN"/>
        </w:rPr>
        <w:t>3年总预算金额12610000元，3年最高限价11435960元。每年</w:t>
      </w:r>
      <w:r>
        <w:rPr>
          <w:rFonts w:hint="eastAsia" w:ascii="宋体" w:hAnsi="宋体" w:eastAsia="宋体" w:cs="宋体"/>
          <w:color w:val="auto"/>
          <w:kern w:val="0"/>
          <w:sz w:val="22"/>
          <w:highlight w:val="none"/>
          <w:u w:val="single"/>
          <w:lang w:eastAsia="zh-CN"/>
        </w:rPr>
        <w:t>设置最高限价</w:t>
      </w:r>
      <w:r>
        <w:rPr>
          <w:rFonts w:hint="eastAsia" w:ascii="宋体" w:hAnsi="宋体" w:eastAsia="宋体" w:cs="宋体"/>
          <w:color w:val="auto"/>
          <w:sz w:val="22"/>
          <w:highlight w:val="none"/>
          <w:u w:val="single"/>
          <w:lang w:val="zh-CN"/>
        </w:rPr>
        <w:t>：第一年最高限价金额</w:t>
      </w:r>
      <w:r>
        <w:rPr>
          <w:rFonts w:hint="eastAsia" w:ascii="宋体" w:hAnsi="宋体" w:eastAsia="宋体" w:cs="宋体"/>
          <w:color w:val="auto"/>
          <w:sz w:val="22"/>
          <w:highlight w:val="none"/>
          <w:u w:val="single"/>
        </w:rPr>
        <w:t>3510000元；</w:t>
      </w:r>
      <w:r>
        <w:rPr>
          <w:rFonts w:hint="eastAsia" w:ascii="宋体" w:hAnsi="宋体" w:eastAsia="宋体" w:cs="宋体"/>
          <w:color w:val="auto"/>
          <w:sz w:val="22"/>
          <w:highlight w:val="none"/>
          <w:u w:val="single"/>
          <w:lang w:val="zh-CN"/>
        </w:rPr>
        <w:t>第二年最高限价金额3898690</w:t>
      </w:r>
      <w:r>
        <w:rPr>
          <w:rFonts w:hint="eastAsia" w:ascii="宋体" w:hAnsi="宋体" w:eastAsia="宋体" w:cs="宋体"/>
          <w:color w:val="auto"/>
          <w:sz w:val="22"/>
          <w:highlight w:val="none"/>
          <w:u w:val="single"/>
        </w:rPr>
        <w:t>元；</w:t>
      </w:r>
      <w:r>
        <w:rPr>
          <w:rFonts w:hint="eastAsia" w:ascii="宋体" w:hAnsi="宋体" w:eastAsia="宋体" w:cs="宋体"/>
          <w:color w:val="auto"/>
          <w:sz w:val="22"/>
          <w:highlight w:val="none"/>
          <w:u w:val="single"/>
          <w:lang w:val="zh-CN"/>
        </w:rPr>
        <w:t>第三年最高限价金额4027270</w:t>
      </w:r>
      <w:r>
        <w:rPr>
          <w:rFonts w:hint="eastAsia" w:ascii="宋体" w:hAnsi="宋体" w:eastAsia="宋体" w:cs="宋体"/>
          <w:color w:val="auto"/>
          <w:sz w:val="22"/>
          <w:highlight w:val="none"/>
          <w:u w:val="single"/>
        </w:rPr>
        <w:t>元</w:t>
      </w:r>
      <w:r>
        <w:rPr>
          <w:rFonts w:hint="eastAsia" w:ascii="宋体" w:hAnsi="宋体" w:eastAsia="宋体" w:cs="宋体"/>
          <w:color w:val="auto"/>
          <w:sz w:val="22"/>
          <w:highlight w:val="none"/>
          <w:u w:val="single"/>
          <w:lang w:val="zh-CN"/>
        </w:rPr>
        <w:t>。报价超过</w:t>
      </w:r>
      <w:r>
        <w:rPr>
          <w:rFonts w:hint="eastAsia" w:ascii="宋体" w:hAnsi="宋体" w:eastAsia="宋体" w:cs="宋体"/>
          <w:color w:val="auto"/>
          <w:sz w:val="22"/>
          <w:highlight w:val="none"/>
          <w:u w:val="single"/>
        </w:rPr>
        <w:t>对应</w:t>
      </w:r>
      <w:r>
        <w:rPr>
          <w:rFonts w:hint="eastAsia" w:ascii="宋体" w:hAnsi="宋体" w:eastAsia="宋体" w:cs="宋体"/>
          <w:color w:val="auto"/>
          <w:sz w:val="22"/>
          <w:highlight w:val="none"/>
          <w:u w:val="single"/>
          <w:lang w:val="zh-CN"/>
        </w:rPr>
        <w:t>最高限价金额的投标无效。</w:t>
      </w:r>
    </w:p>
    <w:p>
      <w:pPr>
        <w:spacing w:line="360" w:lineRule="exact"/>
        <w:ind w:firstLine="660" w:firstLine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3、“报价明细表”内“投标总价”应与附件1“开标一览表”中“投标总价”相一致。</w:t>
      </w:r>
    </w:p>
    <w:p>
      <w:pPr>
        <w:spacing w:line="360" w:lineRule="exact"/>
        <w:ind w:firstLine="660" w:firstLine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4、如果含在价格中则填“含”，如无此项内容则填“无”，不留空白。此表投标人可根据实际需求自行编制。</w:t>
      </w:r>
    </w:p>
    <w:p>
      <w:pPr>
        <w:spacing w:line="360" w:lineRule="exact"/>
        <w:ind w:firstLine="663" w:firstLineChars="300"/>
        <w:rPr>
          <w:rFonts w:hint="eastAsia" w:ascii="宋体" w:hAnsi="宋体" w:eastAsia="宋体" w:cs="宋体"/>
          <w:color w:val="auto"/>
          <w:sz w:val="22"/>
          <w:highlight w:val="none"/>
        </w:rPr>
      </w:pPr>
      <w:r>
        <w:rPr>
          <w:rFonts w:hint="eastAsia" w:ascii="宋体" w:hAnsi="宋体" w:eastAsia="宋体" w:cs="宋体"/>
          <w:b/>
          <w:color w:val="auto"/>
          <w:sz w:val="22"/>
          <w:highlight w:val="none"/>
        </w:rPr>
        <w:t>5、</w:t>
      </w:r>
      <w:r>
        <w:rPr>
          <w:rFonts w:hint="eastAsia" w:ascii="宋体" w:hAnsi="宋体" w:eastAsia="宋体" w:cs="宋体"/>
          <w:color w:val="auto"/>
          <w:sz w:val="22"/>
          <w:highlight w:val="none"/>
        </w:rPr>
        <w:t>此表仅提供了表格形式，投标人可按此表格增减分项内容。</w:t>
      </w:r>
    </w:p>
    <w:p>
      <w:pPr>
        <w:spacing w:line="360" w:lineRule="exact"/>
        <w:ind w:firstLine="66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2"/>
          <w:highlight w:val="none"/>
        </w:rPr>
        <w:t>6、根据《中华人民共和国政府采购法实施条例》第四十三条规定，在中标或者成交公告的内容中增加本表，请各投标人认真填写，确保报价数据的真实性、完整性和合</w:t>
      </w:r>
      <w:r>
        <w:rPr>
          <w:rFonts w:hint="eastAsia" w:ascii="宋体" w:hAnsi="宋体" w:eastAsia="宋体" w:cs="宋体"/>
          <w:b/>
          <w:color w:val="auto"/>
          <w:sz w:val="24"/>
          <w:szCs w:val="24"/>
          <w:highlight w:val="none"/>
        </w:rPr>
        <w:t>理性。</w:t>
      </w:r>
    </w:p>
    <w:p>
      <w:pPr>
        <w:spacing w:line="400" w:lineRule="exact"/>
        <w:ind w:firstLine="480" w:firstLineChars="200"/>
        <w:rPr>
          <w:rFonts w:hint="eastAsia" w:ascii="宋体" w:hAnsi="宋体" w:eastAsia="宋体" w:cs="宋体"/>
          <w:color w:val="auto"/>
          <w:sz w:val="24"/>
          <w:szCs w:val="24"/>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日期：    年    月    日</w:t>
      </w: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color w:val="auto"/>
          <w:sz w:val="24"/>
          <w:szCs w:val="24"/>
          <w:highlight w:val="none"/>
        </w:rPr>
      </w:pPr>
    </w:p>
    <w:p>
      <w:pPr>
        <w:pStyle w:val="17"/>
        <w:rPr>
          <w:rFonts w:hint="eastAsia" w:ascii="宋体" w:hAnsi="宋体" w:eastAsia="宋体" w:cs="宋体"/>
          <w:b/>
          <w:color w:val="auto"/>
          <w:sz w:val="24"/>
          <w:szCs w:val="24"/>
          <w:highlight w:val="none"/>
        </w:rPr>
      </w:pPr>
    </w:p>
    <w:p>
      <w:pPr>
        <w:snapToGrid w:val="0"/>
        <w:spacing w:beforeLines="50" w:after="50"/>
        <w:jc w:val="center"/>
        <w:outlineLvl w:val="1"/>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二、资格文件部分封面格式</w:t>
      </w:r>
    </w:p>
    <w:p>
      <w:pPr>
        <w:snapToGrid w:val="0"/>
        <w:spacing w:beforeLines="50" w:after="50"/>
        <w:jc w:val="center"/>
        <w:outlineLvl w:val="1"/>
        <w:rPr>
          <w:rFonts w:hint="eastAsia" w:ascii="宋体" w:hAnsi="宋体" w:eastAsia="宋体" w:cs="宋体"/>
          <w:b/>
          <w:bCs/>
          <w:color w:val="auto"/>
          <w:sz w:val="24"/>
          <w:highlight w:val="none"/>
        </w:rPr>
      </w:pPr>
    </w:p>
    <w:p>
      <w:pPr>
        <w:snapToGrid w:val="0"/>
        <w:spacing w:line="400" w:lineRule="exact"/>
        <w:outlineLvl w:val="1"/>
        <w:rPr>
          <w:rFonts w:hint="eastAsia" w:ascii="宋体" w:hAnsi="宋体" w:eastAsia="宋体" w:cs="宋体"/>
          <w:b/>
          <w:bCs/>
          <w:color w:val="auto"/>
          <w:sz w:val="24"/>
          <w:szCs w:val="20"/>
          <w:highlight w:val="none"/>
        </w:rPr>
      </w:pPr>
    </w:p>
    <w:p>
      <w:pPr>
        <w:snapToGrid w:val="0"/>
        <w:spacing w:line="400" w:lineRule="exact"/>
        <w:jc w:val="center"/>
        <w:rPr>
          <w:rFonts w:hint="eastAsia" w:ascii="宋体" w:hAnsi="宋体" w:eastAsia="宋体" w:cs="宋体"/>
          <w:bCs/>
          <w:color w:val="auto"/>
          <w:sz w:val="24"/>
          <w:szCs w:val="20"/>
          <w:highlight w:val="none"/>
        </w:rPr>
      </w:pPr>
      <w:r>
        <w:rPr>
          <w:rFonts w:hint="eastAsia" w:ascii="宋体" w:hAnsi="宋体" w:eastAsia="宋体" w:cs="宋体"/>
          <w:b/>
          <w:bCs/>
          <w:color w:val="auto"/>
          <w:sz w:val="24"/>
          <w:highlight w:val="none"/>
        </w:rPr>
        <w:pict>
          <v:shape id="1028" o:spid="_x0000_s1030" o:spt="202" type="#_x0000_t202" style="position:absolute;left:0pt;margin-left:30.7pt;margin-top:16pt;height:263.35pt;width:399.75pt;mso-wrap-distance-bottom:0pt;mso-wrap-distance-top:0pt;z-index:251660288;mso-width-relative:page;mso-height-relative:page;" coordsize="21600,21600" o:gfxdata="UEsDBAoAAAAAAIdO4kAAAAAAAAAAAAAAAAAEAAAAZHJzL1BLAwQUAAAACACHTuJAM6LEN9kAAAAJ AQAADwAAAGRycy9kb3ducmV2LnhtbE2Py07DMBRE90j8g3WR2CBqp480DbnpAgkEu1KqsnVjN4nw I9huWv6eywqWoxnNnKnWF2vYqEPsvUPIJgKYdo1XvWsRdu9P9wWwmKRT0ninEb51hHV9fVXJUvmz e9PjNrWMSlwsJUKX0lByHptOWxknftCOvKMPViaSoeUqyDOVW8OnQuTcyt7RQicH/djp5nN7sgjF /GX8iK+zzb7Jj2aV7pbj81dAvL3JxAOwpC/pLwy/+IQONTEd/MmpyAxCns0piTCb0iXyi1ysgB0Q FotiCbyu+P8H9Q9QSwMEFAAAAAgAh07iQGuZ9EUNAgAAYQQAAA4AAABkcnMvZTJvRG9jLnhtbK1U 247TMBB9R+IfLL/TpNl2KVHTlaCUlxUgFj7AtZ3Ewjd53Cb9e8ZO6V4AqQ/kwRlnxmfOnBlnfTca TY4ygHK2ofNZSYm03Allu4b++L57s6IEIrOCaWdlQ08S6N3m9av14GtZud5pIQNBEAv14Bvax+jr ogDeS8Ng5ry06GxdMCziNnSFCGxAdKOLqixvi8EF4YPjEgC/bicnPSOGawBd2yout44fjLRxQg1S s4glQa880E1m27aSxy9tCzIS3VCsNOYVk6C9T2uxWbO6C8z3ip8psGsovKjJMGUx6QVqyyIjh6D+ gDKKBweujTPuTDEVkhXBKublC20eeuZlrgWlBn8RHf4fLP98/BqIEg2tKLHMYMPnZbVKugweanQ/ eAyI43s3oivXCP7e8Z9ArPvmUNB5Ci6eRE9HAc8lRcY2mPTGWglCoPCni/ByjITjx2X59nZVLSnh 6Lu5WSyWi2VGfTzuA8RP0hmSjIYG7Gwmw473EBMBVv8OSdnAaSV2Suu8Cd3+gw7kyHAKdvk5oz8L 05YMDX23zEQYjnaLI4WcjEd5wHZT8f8ELvPzN+BEbMugnwjknCmM1UZFGbLVSyY+WkHiyWMLLN48 msgYKSjREi9qsnJkZEpfE4mCaJuSyHwNziqlNk2dSVYc9yOCJnPvxAkbffBBdf2zruLkZXnPtySN 9tN97v3jn2HzC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H8EAABbQ29udGVudF9UeXBlc10ueG1sUEsBAhQACgAAAAAAh07iQAAAAAAAAAAAAAAA AAYAAAAAAAAAAAAQAAAAYQMAAF9yZWxzL1BLAQIUABQAAAAIAIdO4kCKFGY80QAAAJQBAAALAAAA AAAAAAEAIAAAAIUDAABfcmVscy8ucmVsc1BLAQIUAAoAAAAAAIdO4kAAAAAAAAAAAAAAAAAEAAAA AAAAAAAAEAAAAAAAAABkcnMvUEsBAhQAFAAAAAgAh07iQDOixDfZAAAACQEAAA8AAAAAAAAAAQAg AAAAIgAAAGRycy9kb3ducmV2LnhtbFBLAQIUABQAAAAIAIdO4kBrmfRFDQIAAGEEAAAOAAAAAAAA AAEAIAAAACgBAABkcnMvZTJvRG9jLnhtbFBLBQYAAAAABgAGAFkBAACnBQAAAAA= ">
            <v:path/>
            <v:fill focussize="0,0"/>
            <v:stroke joinstyle="miter"/>
            <v:imagedata o:title=""/>
            <o:lock v:ext="edit" rotation="t"/>
            <v:textbox>
              <w:txbxContent>
                <w:p>
                  <w:pPr>
                    <w:snapToGrid w:val="0"/>
                    <w:spacing w:beforeLines="50" w:after="50"/>
                    <w:jc w:val="right"/>
                    <w:rPr>
                      <w:rFonts w:ascii="宋体" w:hAnsi="宋体"/>
                      <w:b/>
                      <w:bCs/>
                      <w:sz w:val="32"/>
                      <w:szCs w:val="20"/>
                    </w:rPr>
                  </w:pPr>
                </w:p>
                <w:p>
                  <w:pPr>
                    <w:snapToGrid w:val="0"/>
                    <w:spacing w:beforeLines="50" w:after="50"/>
                    <w:ind w:left="-850" w:leftChars="-405"/>
                    <w:rPr>
                      <w:rFonts w:ascii="宋体" w:hAnsi="宋体"/>
                      <w:sz w:val="24"/>
                      <w:szCs w:val="20"/>
                    </w:rPr>
                  </w:pPr>
                </w:p>
                <w:p>
                  <w:pPr>
                    <w:snapToGrid w:val="0"/>
                    <w:spacing w:beforeLines="50" w:after="50"/>
                    <w:jc w:val="center"/>
                    <w:rPr>
                      <w:rFonts w:ascii="宋体" w:hAnsi="宋体"/>
                      <w:bCs/>
                      <w:sz w:val="24"/>
                      <w:szCs w:val="20"/>
                    </w:rPr>
                  </w:pPr>
                  <w:r>
                    <w:rPr>
                      <w:rFonts w:hint="eastAsia" w:ascii="宋体" w:hAnsi="宋体"/>
                      <w:bCs/>
                      <w:sz w:val="24"/>
                      <w:szCs w:val="20"/>
                    </w:rPr>
                    <w:t>资格文件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ascii="宋体" w:hAnsi="宋体"/>
                      <w:bCs/>
                      <w:sz w:val="24"/>
                    </w:rPr>
                  </w:pPr>
                  <w:r>
                    <w:rPr>
                      <w:rFonts w:hint="eastAsia" w:ascii="宋体" w:hAnsi="宋体"/>
                      <w:bCs/>
                      <w:sz w:val="24"/>
                    </w:rPr>
                    <w:t>项目编号：</w:t>
                  </w:r>
                </w:p>
                <w:p>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snapToGrid w:val="0"/>
                    <w:spacing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w:r>
    </w:p>
    <w:p>
      <w:pPr>
        <w:snapToGrid w:val="0"/>
        <w:spacing w:beforeLines="50" w:after="50"/>
        <w:jc w:val="center"/>
        <w:outlineLvl w:val="1"/>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附件3  </w:t>
      </w:r>
    </w:p>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资格文件</w:t>
      </w:r>
    </w:p>
    <w:p>
      <w:pPr>
        <w:pStyle w:val="15"/>
        <w:spacing w:after="0" w:line="400" w:lineRule="exact"/>
        <w:ind w:left="0" w:leftChars="0" w:right="0" w:rightChars="0"/>
        <w:rPr>
          <w:rFonts w:hint="eastAsia" w:ascii="宋体" w:hAnsi="宋体" w:eastAsia="宋体" w:cs="宋体"/>
          <w:color w:val="auto"/>
          <w:highlight w:val="none"/>
        </w:rPr>
      </w:pPr>
    </w:p>
    <w:p>
      <w:pPr>
        <w:spacing w:line="40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附件3-1</w:t>
      </w:r>
    </w:p>
    <w:p>
      <w:pPr>
        <w:spacing w:line="360" w:lineRule="auto"/>
        <w:jc w:val="center"/>
        <w:rPr>
          <w:rFonts w:hint="eastAsia" w:ascii="宋体" w:hAnsi="宋体" w:eastAsia="宋体" w:cs="宋体"/>
          <w:b/>
          <w:color w:val="auto"/>
          <w:sz w:val="22"/>
          <w:highlight w:val="none"/>
        </w:rPr>
      </w:pPr>
    </w:p>
    <w:p>
      <w:pPr>
        <w:spacing w:line="360" w:lineRule="auto"/>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有效的法人或者其他组织的营业执照等证明文件，自然人的身份证明（五选一）</w:t>
      </w:r>
    </w:p>
    <w:p>
      <w:pPr>
        <w:spacing w:line="360" w:lineRule="auto"/>
        <w:rPr>
          <w:rFonts w:hint="eastAsia" w:ascii="宋体" w:hAnsi="宋体" w:eastAsia="宋体" w:cs="宋体"/>
          <w:b/>
          <w:color w:val="auto"/>
          <w:sz w:val="22"/>
          <w:highlight w:val="none"/>
        </w:rPr>
      </w:pPr>
    </w:p>
    <w:p>
      <w:pPr>
        <w:spacing w:line="360" w:lineRule="auto"/>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说明：</w:t>
      </w:r>
    </w:p>
    <w:p>
      <w:pPr>
        <w:pStyle w:val="24"/>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1.如投标人是企业（包括合伙企业），提供有效“企业法人营业执照”或“营业执照”；</w:t>
      </w:r>
    </w:p>
    <w:p>
      <w:pPr>
        <w:pStyle w:val="24"/>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2.如投标人是事业单位，提供有效的“事业单位法人证书”；</w:t>
      </w:r>
    </w:p>
    <w:p>
      <w:pPr>
        <w:pStyle w:val="24"/>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3.如投标人是非企业专业服务机构的，提供执业许可证等证明文件；</w:t>
      </w:r>
    </w:p>
    <w:p>
      <w:pPr>
        <w:pStyle w:val="24"/>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4.如投标人是个体工商户，提供有效的“个体工商户营业执照”；</w:t>
      </w:r>
    </w:p>
    <w:p>
      <w:pPr>
        <w:pStyle w:val="24"/>
        <w:spacing w:line="360" w:lineRule="auto"/>
        <w:ind w:left="418" w:hanging="418"/>
        <w:rPr>
          <w:rFonts w:hint="eastAsia" w:ascii="宋体" w:hAnsi="宋体" w:eastAsia="宋体" w:cs="宋体"/>
          <w:color w:val="auto"/>
          <w:sz w:val="22"/>
          <w:highlight w:val="none"/>
        </w:rPr>
      </w:pPr>
      <w:r>
        <w:rPr>
          <w:rFonts w:hint="eastAsia" w:ascii="宋体" w:hAnsi="宋体" w:eastAsia="宋体" w:cs="宋体"/>
          <w:b/>
          <w:color w:val="auto"/>
          <w:spacing w:val="-6"/>
          <w:sz w:val="22"/>
          <w:highlight w:val="none"/>
        </w:rPr>
        <w:t>5.如投标人是自然人，提供有效的自然人身份证明（居民身份证正反面或公安机关出具的临时居民身份证正反面或港澳台胞证或证照）。</w:t>
      </w:r>
    </w:p>
    <w:p>
      <w:pPr>
        <w:snapToGrid w:val="0"/>
        <w:spacing w:line="400" w:lineRule="exact"/>
        <w:jc w:val="center"/>
        <w:rPr>
          <w:rFonts w:hint="eastAsia" w:ascii="宋体" w:hAnsi="宋体" w:eastAsia="宋体" w:cs="宋体"/>
          <w:b/>
          <w:color w:val="auto"/>
          <w:spacing w:val="-6"/>
          <w:sz w:val="24"/>
          <w:szCs w:val="24"/>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rPr>
          <w:rFonts w:hint="eastAsia" w:ascii="宋体" w:hAnsi="宋体" w:eastAsia="宋体" w:cs="宋体"/>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附件3-2</w:t>
      </w:r>
    </w:p>
    <w:p>
      <w:pPr>
        <w:spacing w:beforeLines="100" w:afterLines="10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关于符合《中华人民共和国政府采购法》第二十二条规定的承诺函</w:t>
      </w:r>
    </w:p>
    <w:p>
      <w:pPr>
        <w:spacing w:beforeLines="100" w:afterLines="100" w:line="360" w:lineRule="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致：</w:t>
      </w:r>
      <w:r>
        <w:rPr>
          <w:rFonts w:hint="eastAsia" w:ascii="宋体" w:hAnsi="宋体" w:eastAsia="宋体" w:cs="宋体"/>
          <w:color w:val="auto"/>
          <w:sz w:val="22"/>
          <w:highlight w:val="none"/>
        </w:rPr>
        <w:t>温州肯恩大学、浙江乐诚工程咨询有限公司</w:t>
      </w:r>
      <w:r>
        <w:rPr>
          <w:rFonts w:hint="eastAsia" w:ascii="宋体" w:hAnsi="宋体" w:eastAsia="宋体" w:cs="宋体"/>
          <w:color w:val="auto"/>
          <w:spacing w:val="-6"/>
          <w:sz w:val="22"/>
          <w:highlight w:val="none"/>
        </w:rPr>
        <w:t>：</w:t>
      </w:r>
    </w:p>
    <w:p>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我单位就</w:t>
      </w:r>
      <w:r>
        <w:rPr>
          <w:rFonts w:hint="eastAsia" w:ascii="宋体" w:hAnsi="宋体" w:eastAsia="宋体" w:cs="宋体"/>
          <w:color w:val="auto"/>
          <w:sz w:val="22"/>
          <w:highlight w:val="none"/>
          <w:u w:val="single"/>
        </w:rPr>
        <w:t xml:space="preserve">            （项目名称）           （项目编号）</w:t>
      </w:r>
      <w:r>
        <w:rPr>
          <w:rFonts w:hint="eastAsia" w:ascii="宋体" w:hAnsi="宋体" w:eastAsia="宋体" w:cs="宋体"/>
          <w:color w:val="auto"/>
          <w:sz w:val="22"/>
          <w:highlight w:val="none"/>
        </w:rPr>
        <w:t>项目承诺具备下列条件：</w:t>
      </w:r>
    </w:p>
    <w:p>
      <w:pPr>
        <w:pStyle w:val="26"/>
        <w:spacing w:before="0" w:beforeAutospacing="0" w:after="0" w:afterAutospacing="0" w:line="360" w:lineRule="auto"/>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（一）具有独立承担民事责任的能力；</w:t>
      </w:r>
    </w:p>
    <w:p>
      <w:pPr>
        <w:pStyle w:val="26"/>
        <w:spacing w:before="0" w:beforeAutospacing="0" w:after="0" w:afterAutospacing="0" w:line="360" w:lineRule="auto"/>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（二）具有良好的商业信誉和健全的财务会计制度；</w:t>
      </w:r>
    </w:p>
    <w:p>
      <w:pPr>
        <w:pStyle w:val="26"/>
        <w:spacing w:before="0" w:beforeAutospacing="0" w:after="0" w:afterAutospacing="0" w:line="360" w:lineRule="auto"/>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（三）具有履行合同所必需的设备和专业技术能力；</w:t>
      </w:r>
    </w:p>
    <w:p>
      <w:pPr>
        <w:pStyle w:val="26"/>
        <w:spacing w:before="0" w:beforeAutospacing="0" w:after="0" w:afterAutospacing="0" w:line="360" w:lineRule="auto"/>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（四）有依法缴纳税收和社会保障资金的良好记录；</w:t>
      </w:r>
    </w:p>
    <w:p>
      <w:pPr>
        <w:pStyle w:val="26"/>
        <w:spacing w:before="0" w:beforeAutospacing="0" w:after="0" w:afterAutospacing="0" w:line="360" w:lineRule="auto"/>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（五）参加政府采购活动前三年内，在经营活动中没有重大违法记录（重大违法记录是指供应商因违法经营受到刑事处罚或者责令停产停业、吊销许可证或者执照、较大数额罚款等行政处罚。）；</w:t>
      </w:r>
    </w:p>
    <w:p>
      <w:pPr>
        <w:pStyle w:val="26"/>
        <w:spacing w:before="0" w:beforeAutospacing="0" w:after="0" w:afterAutospacing="0" w:line="360" w:lineRule="auto"/>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pPr>
        <w:pStyle w:val="26"/>
        <w:spacing w:before="0" w:beforeAutospacing="0" w:after="0" w:afterAutospacing="0" w:line="360" w:lineRule="auto"/>
        <w:ind w:firstLine="442" w:firstLineChars="200"/>
        <w:rPr>
          <w:rStyle w:val="76"/>
          <w:rFonts w:hint="eastAsia" w:ascii="宋体" w:hAnsi="宋体" w:eastAsia="宋体" w:cs="宋体"/>
          <w:color w:val="auto"/>
          <w:sz w:val="22"/>
          <w:highlight w:val="none"/>
        </w:rPr>
      </w:pPr>
      <w:r>
        <w:rPr>
          <w:rStyle w:val="76"/>
          <w:rFonts w:hint="eastAsia" w:ascii="宋体" w:hAnsi="宋体" w:eastAsia="宋体" w:cs="宋体"/>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76"/>
          <w:rFonts w:hint="eastAsia" w:ascii="宋体" w:hAnsi="宋体" w:eastAsia="宋体" w:cs="宋体"/>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pPr>
        <w:pStyle w:val="26"/>
        <w:spacing w:before="0" w:beforeAutospacing="0" w:after="0" w:afterAutospacing="0" w:line="360" w:lineRule="auto"/>
        <w:ind w:firstLine="440" w:firstLineChars="200"/>
        <w:rPr>
          <w:rStyle w:val="76"/>
          <w:rFonts w:hint="eastAsia" w:ascii="宋体" w:hAnsi="宋体" w:eastAsia="宋体" w:cs="宋体"/>
          <w:color w:val="auto"/>
          <w:sz w:val="22"/>
          <w:highlight w:val="none"/>
        </w:rPr>
      </w:pPr>
      <w:r>
        <w:rPr>
          <w:rStyle w:val="76"/>
          <w:rFonts w:hint="eastAsia" w:ascii="宋体" w:hAnsi="宋体" w:eastAsia="宋体" w:cs="宋体"/>
          <w:color w:val="auto"/>
          <w:sz w:val="22"/>
          <w:highlight w:val="none"/>
        </w:rPr>
        <w:t>《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26"/>
        <w:spacing w:before="0" w:beforeAutospacing="0" w:after="0" w:afterAutospacing="0" w:line="360" w:lineRule="auto"/>
        <w:ind w:firstLine="440" w:firstLineChars="200"/>
        <w:rPr>
          <w:rStyle w:val="76"/>
          <w:rFonts w:hint="eastAsia" w:ascii="宋体" w:hAnsi="宋体" w:eastAsia="宋体" w:cs="宋体"/>
          <w:color w:val="auto"/>
          <w:sz w:val="22"/>
          <w:highlight w:val="none"/>
        </w:rPr>
      </w:pPr>
      <w:r>
        <w:rPr>
          <w:rStyle w:val="76"/>
          <w:rFonts w:hint="eastAsia" w:ascii="宋体" w:hAnsi="宋体" w:eastAsia="宋体" w:cs="宋体"/>
          <w:color w:val="auto"/>
          <w:sz w:val="22"/>
          <w:highlight w:val="none"/>
        </w:rPr>
        <w:t>我单位已知晓前述法律规定，对此无任何异议。</w:t>
      </w:r>
    </w:p>
    <w:p>
      <w:pPr>
        <w:spacing w:line="400" w:lineRule="exact"/>
        <w:ind w:firstLine="442" w:firstLineChars="200"/>
        <w:rPr>
          <w:rFonts w:hint="eastAsia" w:ascii="宋体" w:hAnsi="宋体" w:eastAsia="宋体" w:cs="宋体"/>
          <w:snapToGrid w:val="0"/>
          <w:color w:val="auto"/>
          <w:sz w:val="22"/>
          <w:highlight w:val="none"/>
        </w:rPr>
      </w:pPr>
      <w:r>
        <w:rPr>
          <w:rStyle w:val="76"/>
          <w:rFonts w:hint="eastAsia" w:ascii="宋体" w:hAnsi="宋体" w:eastAsia="宋体" w:cs="宋体"/>
          <w:b/>
          <w:bCs/>
          <w:color w:val="auto"/>
          <w:sz w:val="22"/>
          <w:highlight w:val="none"/>
        </w:rPr>
        <w:t>注：</w:t>
      </w:r>
      <w:r>
        <w:rPr>
          <w:rStyle w:val="76"/>
          <w:rFonts w:hint="eastAsia" w:ascii="宋体" w:hAnsi="宋体" w:eastAsia="宋体" w:cs="宋体"/>
          <w:color w:val="auto"/>
          <w:sz w:val="22"/>
          <w:highlight w:val="none"/>
          <w:u w:val="single"/>
        </w:rPr>
        <w:t>▲</w:t>
      </w:r>
      <w:r>
        <w:rPr>
          <w:rStyle w:val="76"/>
          <w:rFonts w:hint="eastAsia" w:ascii="宋体" w:hAnsi="宋体" w:eastAsia="宋体" w:cs="宋体"/>
          <w:b/>
          <w:bCs/>
          <w:color w:val="auto"/>
          <w:sz w:val="22"/>
          <w:highlight w:val="none"/>
          <w:u w:val="single"/>
        </w:rPr>
        <w:t>本承诺函必须提供。</w:t>
      </w:r>
    </w:p>
    <w:p>
      <w:pPr>
        <w:spacing w:line="360" w:lineRule="auto"/>
        <w:ind w:left="4620" w:leftChars="2200"/>
        <w:rPr>
          <w:rFonts w:hint="eastAsia" w:ascii="宋体" w:hAnsi="宋体" w:eastAsia="宋体" w:cs="宋体"/>
          <w:color w:val="auto"/>
          <w:szCs w:val="21"/>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附件3-3</w:t>
      </w:r>
    </w:p>
    <w:p>
      <w:pPr>
        <w:autoSpaceDE w:val="0"/>
        <w:autoSpaceDN w:val="0"/>
        <w:adjustRightIn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kern w:val="0"/>
          <w:sz w:val="22"/>
          <w:highlight w:val="none"/>
        </w:rPr>
        <w:t>中小企业声明函（服务）</w:t>
      </w:r>
    </w:p>
    <w:p>
      <w:pPr>
        <w:pStyle w:val="69"/>
        <w:spacing w:line="381" w:lineRule="exact"/>
        <w:ind w:firstLine="480"/>
        <w:rPr>
          <w:rFonts w:hint="eastAsia" w:ascii="宋体" w:hAnsi="宋体" w:eastAsia="宋体" w:cs="宋体"/>
          <w:color w:val="auto"/>
          <w:sz w:val="24"/>
          <w:szCs w:val="24"/>
          <w:highlight w:val="none"/>
        </w:rPr>
      </w:pPr>
    </w:p>
    <w:p>
      <w:pPr>
        <w:pStyle w:val="69"/>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温州肯恩大学</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单</w:t>
      </w:r>
      <w:r>
        <w:rPr>
          <w:rFonts w:hint="eastAsia" w:ascii="宋体" w:hAnsi="宋体" w:eastAsia="宋体" w:cs="宋体"/>
          <w:color w:val="auto"/>
          <w:sz w:val="24"/>
          <w:szCs w:val="24"/>
          <w:highlight w:val="none"/>
          <w:u w:val="single"/>
        </w:rPr>
        <w:t>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温州肯恩大学2022-2025年度校园安保外包服务(重)</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zh-CN" w:eastAsia="zh-CN" w:bidi="zh-CN"/>
        </w:rPr>
        <w:t>活动，</w:t>
      </w:r>
      <w:r>
        <w:rPr>
          <w:rFonts w:hint="eastAsia" w:ascii="宋体" w:hAnsi="宋体" w:eastAsia="宋体" w:cs="宋体"/>
          <w:color w:val="auto"/>
          <w:sz w:val="24"/>
          <w:szCs w:val="24"/>
          <w:highlight w:val="none"/>
        </w:rPr>
        <w:t>工程的施工单位全部为符合政策要求的中小企业（或者：服务 全部由符合政策要求的中小企业承接）。相关企业（含联合体中的中小企业、签订分包意向协议的中小企业）的具体情况如下：</w:t>
      </w:r>
      <w:bookmarkStart w:id="0" w:name="bookmark0"/>
      <w:bookmarkEnd w:id="0"/>
    </w:p>
    <w:p>
      <w:pPr>
        <w:pStyle w:val="69"/>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1.温州肯恩大学2022-2025年度校园安保外包服务</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租赁和商务服务业</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lang w:val="en-US" w:eastAsia="zh-CN" w:bidi="en-US"/>
        </w:rPr>
        <w:t>；</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z w:val="24"/>
          <w:szCs w:val="24"/>
          <w:highlight w:val="none"/>
        </w:rPr>
        <w:t>万元</w:t>
      </w:r>
      <w:r>
        <w:rPr>
          <w:rStyle w:val="36"/>
          <w:rFonts w:hint="eastAsia" w:ascii="宋体" w:hAnsi="宋体" w:eastAsia="宋体" w:cs="宋体"/>
          <w:color w:val="auto"/>
          <w:sz w:val="24"/>
          <w:szCs w:val="24"/>
          <w:highlight w:val="none"/>
        </w:rPr>
        <w:footnoteReference w:id="0"/>
      </w:r>
      <w:r>
        <w:rPr>
          <w:rFonts w:hint="eastAsia" w:ascii="宋体" w:hAnsi="宋体" w:eastAsia="宋体" w:cs="宋体"/>
          <w:color w:val="auto"/>
          <w:sz w:val="24"/>
          <w:szCs w:val="24"/>
          <w:highlight w:val="none"/>
          <w:lang w:val="en-US" w:eastAsia="zh-CN" w:bidi="en-US"/>
        </w:rPr>
        <w:t>，</w:t>
      </w:r>
      <w:r>
        <w:rPr>
          <w:rFonts w:hint="eastAsia" w:ascii="宋体" w:hAnsi="宋体" w:eastAsia="宋体" w:cs="宋体"/>
          <w:color w:val="auto"/>
          <w:sz w:val="24"/>
          <w:szCs w:val="24"/>
          <w:highlight w:val="none"/>
        </w:rPr>
        <w:t>属于</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lang w:eastAsia="zh-CN"/>
        </w:rPr>
        <w:t>；</w:t>
      </w:r>
    </w:p>
    <w:p>
      <w:pPr>
        <w:pStyle w:val="69"/>
        <w:tabs>
          <w:tab w:val="left" w:pos="879"/>
          <w:tab w:val="left" w:pos="1136"/>
          <w:tab w:val="left" w:pos="3461"/>
        </w:tabs>
        <w:ind w:firstLine="0"/>
        <w:rPr>
          <w:rFonts w:hint="eastAsia" w:ascii="宋体" w:hAnsi="宋体" w:eastAsia="宋体" w:cs="宋体"/>
          <w:color w:val="auto"/>
          <w:sz w:val="24"/>
          <w:szCs w:val="24"/>
          <w:highlight w:val="none"/>
          <w:lang w:val="en-US"/>
        </w:rPr>
      </w:pPr>
      <w:bookmarkStart w:id="1" w:name="bookmark1"/>
      <w:bookmarkEnd w:id="1"/>
      <w:r>
        <w:rPr>
          <w:rFonts w:hint="eastAsia" w:ascii="宋体" w:hAnsi="宋体" w:eastAsia="宋体" w:cs="宋体"/>
          <w:color w:val="auto"/>
          <w:sz w:val="24"/>
          <w:szCs w:val="24"/>
          <w:highlight w:val="none"/>
          <w:lang w:val="en-US" w:eastAsia="zh-CN"/>
        </w:rPr>
        <w:t>……</w:t>
      </w:r>
    </w:p>
    <w:p>
      <w:pPr>
        <w:pStyle w:val="69"/>
        <w:tabs>
          <w:tab w:val="left" w:leader="dot" w:pos="-489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69"/>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69"/>
        <w:ind w:firstLine="0"/>
        <w:jc w:val="center"/>
        <w:rPr>
          <w:rFonts w:hint="eastAsia" w:ascii="宋体" w:hAnsi="宋体" w:eastAsia="宋体" w:cs="宋体"/>
          <w:color w:val="auto"/>
          <w:sz w:val="24"/>
          <w:szCs w:val="24"/>
          <w:highlight w:val="none"/>
        </w:rPr>
      </w:pPr>
    </w:p>
    <w:p>
      <w:pPr>
        <w:pStyle w:val="69"/>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pStyle w:val="69"/>
        <w:spacing w:line="374"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69"/>
        <w:tabs>
          <w:tab w:val="left" w:pos="662"/>
          <w:tab w:val="left" w:pos="908"/>
          <w:tab w:val="left" w:pos="2945"/>
        </w:tabs>
        <w:spacing w:line="370" w:lineRule="exact"/>
        <w:ind w:firstLine="0"/>
        <w:rPr>
          <w:rFonts w:hint="eastAsia" w:ascii="宋体" w:hAnsi="宋体" w:eastAsia="宋体" w:cs="宋体"/>
          <w:b/>
          <w:bCs/>
          <w:color w:val="auto"/>
          <w:highlight w:val="none"/>
        </w:rPr>
      </w:pPr>
    </w:p>
    <w:p>
      <w:pPr>
        <w:pStyle w:val="69"/>
        <w:tabs>
          <w:tab w:val="left" w:pos="662"/>
          <w:tab w:val="left" w:pos="908"/>
          <w:tab w:val="left" w:pos="2945"/>
        </w:tabs>
        <w:spacing w:line="370" w:lineRule="exact"/>
        <w:ind w:firstLine="0"/>
        <w:rPr>
          <w:rFonts w:hint="eastAsia" w:ascii="宋体" w:hAnsi="宋体" w:eastAsia="宋体" w:cs="宋体"/>
          <w:b/>
          <w:bCs/>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从业人员、营业收入、资产总额填报上一年度数据，无上一年度数据的新成立企业可不填报。（无上一年度数据的新成立企业需提供相关证明材料）</w:t>
      </w:r>
    </w:p>
    <w:p>
      <w:pPr>
        <w:pStyle w:val="69"/>
        <w:tabs>
          <w:tab w:val="left" w:pos="662"/>
          <w:tab w:val="left" w:pos="908"/>
          <w:tab w:val="left" w:pos="2945"/>
        </w:tabs>
        <w:spacing w:line="370" w:lineRule="exact"/>
        <w:ind w:firstLine="44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“标的名称”、“采购文件中明确的所属行业”依据招标文件第二部分投标人须知前附表中“</w:t>
      </w:r>
      <w:r>
        <w:rPr>
          <w:rFonts w:hint="eastAsia" w:ascii="宋体" w:hAnsi="宋体" w:eastAsia="宋体" w:cs="宋体"/>
          <w:b/>
          <w:bCs/>
          <w:color w:val="auto"/>
          <w:highlight w:val="none"/>
          <w:lang w:eastAsia="zh-CN"/>
        </w:rPr>
        <w:t>所属行业及标的名称</w:t>
      </w:r>
      <w:r>
        <w:rPr>
          <w:rFonts w:hint="eastAsia" w:ascii="宋体" w:hAnsi="宋体" w:eastAsia="宋体" w:cs="宋体"/>
          <w:b/>
          <w:bCs/>
          <w:color w:val="auto"/>
          <w:highlight w:val="none"/>
        </w:rPr>
        <w:t>”填写，不得缺漏；中型企业、小型企业、微型企业等3种企业类型，结合以上数据，依据《中小企业划型标准规定》（工信部联企业〔2011〕300号）确定；</w:t>
      </w:r>
    </w:p>
    <w:p>
      <w:pPr>
        <w:pStyle w:val="69"/>
        <w:tabs>
          <w:tab w:val="left" w:pos="662"/>
          <w:tab w:val="left" w:pos="908"/>
          <w:tab w:val="left" w:pos="2945"/>
        </w:tabs>
        <w:spacing w:line="370" w:lineRule="exact"/>
        <w:ind w:firstLine="44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pStyle w:val="69"/>
        <w:tabs>
          <w:tab w:val="left" w:pos="662"/>
          <w:tab w:val="left" w:pos="908"/>
          <w:tab w:val="left" w:pos="2945"/>
        </w:tabs>
        <w:spacing w:line="370" w:lineRule="exact"/>
        <w:ind w:firstLine="44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中标、成交供应商享受《政府采购促进中小企业发展管理办法》的通知（财库〔2020〕46号）规定的中小企业扶持政策的，采购人、采购代理机构应当随中标、成交结果公开中标、成交供应商的《中小企业声明函》。</w:t>
      </w:r>
    </w:p>
    <w:p>
      <w:pPr>
        <w:autoSpaceDE w:val="0"/>
        <w:autoSpaceDN w:val="0"/>
        <w:adjustRightInd w:val="0"/>
        <w:spacing w:line="360" w:lineRule="exact"/>
        <w:ind w:left="400"/>
        <w:rPr>
          <w:rFonts w:hint="eastAsia" w:ascii="宋体" w:hAnsi="宋体" w:eastAsia="宋体" w:cs="宋体"/>
          <w:b/>
          <w:bCs/>
          <w:color w:val="auto"/>
          <w:sz w:val="22"/>
          <w:highlight w:val="none"/>
        </w:rPr>
      </w:pPr>
    </w:p>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监狱企业资格证明材料</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（注：符合条件的监狱企业请提供本函，不符合的不提供本函）</w:t>
      </w:r>
    </w:p>
    <w:p>
      <w:pPr>
        <w:pStyle w:val="15"/>
        <w:spacing w:after="0" w:line="400" w:lineRule="exact"/>
        <w:ind w:left="0" w:leftChars="0" w:right="0" w:rightChars="0"/>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（省级以上监狱管理局、戒毒管理局（含新疆生产建设兵团）出具的属于监狱企业的证明文件）</w:t>
      </w:r>
    </w:p>
    <w:p>
      <w:pPr>
        <w:pStyle w:val="15"/>
        <w:spacing w:after="0" w:line="400" w:lineRule="exact"/>
        <w:ind w:left="0" w:leftChars="0" w:right="0" w:rightChars="0"/>
        <w:rPr>
          <w:rFonts w:hint="eastAsia" w:ascii="宋体" w:hAnsi="宋体" w:eastAsia="宋体" w:cs="宋体"/>
          <w:color w:val="auto"/>
          <w:sz w:val="22"/>
          <w:highlight w:val="none"/>
        </w:rPr>
      </w:pPr>
    </w:p>
    <w:p>
      <w:pPr>
        <w:pStyle w:val="15"/>
        <w:spacing w:after="0" w:line="400" w:lineRule="exact"/>
        <w:ind w:left="0" w:leftChars="0" w:right="0" w:rightChars="0"/>
        <w:rPr>
          <w:rFonts w:hint="eastAsia" w:ascii="宋体" w:hAnsi="宋体" w:eastAsia="宋体" w:cs="宋体"/>
          <w:color w:val="auto"/>
          <w:sz w:val="22"/>
          <w:highlight w:val="none"/>
        </w:rPr>
      </w:pPr>
    </w:p>
    <w:p>
      <w:pPr>
        <w:pStyle w:val="15"/>
        <w:spacing w:after="0" w:line="400" w:lineRule="exact"/>
        <w:ind w:left="0" w:leftChars="0" w:right="0" w:rightChars="0"/>
        <w:rPr>
          <w:rFonts w:hint="eastAsia" w:ascii="宋体" w:hAnsi="宋体" w:eastAsia="宋体" w:cs="宋体"/>
          <w:color w:val="auto"/>
          <w:sz w:val="22"/>
          <w:highlight w:val="none"/>
        </w:rPr>
      </w:pPr>
    </w:p>
    <w:p>
      <w:pPr>
        <w:pStyle w:val="15"/>
        <w:spacing w:after="0" w:line="400" w:lineRule="exact"/>
        <w:ind w:left="0" w:leftChars="0" w:right="0" w:rightChars="0"/>
        <w:rPr>
          <w:rFonts w:hint="eastAsia" w:ascii="宋体" w:hAnsi="宋体" w:eastAsia="宋体" w:cs="宋体"/>
          <w:color w:val="auto"/>
          <w:sz w:val="22"/>
          <w:highlight w:val="none"/>
        </w:rPr>
      </w:pPr>
    </w:p>
    <w:p>
      <w:pPr>
        <w:pStyle w:val="15"/>
        <w:spacing w:after="0" w:line="400" w:lineRule="exact"/>
        <w:ind w:left="0" w:leftChars="0" w:right="0" w:rightChars="0"/>
        <w:rPr>
          <w:rFonts w:hint="eastAsia" w:ascii="宋体" w:hAnsi="宋体" w:eastAsia="宋体" w:cs="宋体"/>
          <w:color w:val="auto"/>
          <w:highlight w:val="none"/>
        </w:rPr>
      </w:pPr>
    </w:p>
    <w:p>
      <w:pPr>
        <w:pStyle w:val="15"/>
        <w:spacing w:after="0" w:line="400" w:lineRule="exact"/>
        <w:ind w:left="0" w:leftChars="0" w:right="0" w:rightChars="0"/>
        <w:rPr>
          <w:rFonts w:hint="eastAsia" w:ascii="宋体" w:hAnsi="宋体" w:eastAsia="宋体" w:cs="宋体"/>
          <w:color w:val="auto"/>
          <w:highlight w:val="none"/>
        </w:rPr>
      </w:pPr>
    </w:p>
    <w:p>
      <w:pPr>
        <w:pStyle w:val="15"/>
        <w:spacing w:after="0" w:line="400" w:lineRule="exact"/>
        <w:ind w:left="0" w:leftChars="0" w:right="0" w:rightChars="0"/>
        <w:rPr>
          <w:rFonts w:hint="eastAsia" w:ascii="宋体" w:hAnsi="宋体" w:eastAsia="宋体" w:cs="宋体"/>
          <w:color w:val="auto"/>
          <w:highlight w:val="none"/>
        </w:rPr>
      </w:pPr>
    </w:p>
    <w:p>
      <w:pPr>
        <w:pStyle w:val="15"/>
        <w:spacing w:after="0" w:line="400" w:lineRule="exact"/>
        <w:ind w:left="0" w:leftChars="0" w:right="0" w:rightChars="0"/>
        <w:rPr>
          <w:rFonts w:hint="eastAsia" w:ascii="宋体" w:hAnsi="宋体" w:eastAsia="宋体" w:cs="宋体"/>
          <w:color w:val="auto"/>
          <w:highlight w:val="none"/>
        </w:rPr>
      </w:pPr>
    </w:p>
    <w:p>
      <w:pPr>
        <w:pStyle w:val="15"/>
        <w:spacing w:after="0" w:line="400" w:lineRule="exact"/>
        <w:ind w:left="0" w:leftChars="0" w:right="0" w:rightChars="0"/>
        <w:rPr>
          <w:rFonts w:hint="eastAsia" w:ascii="宋体" w:hAnsi="宋体" w:eastAsia="宋体" w:cs="宋体"/>
          <w:color w:val="auto"/>
          <w:highlight w:val="none"/>
        </w:rPr>
      </w:pPr>
    </w:p>
    <w:p>
      <w:pPr>
        <w:pStyle w:val="15"/>
        <w:spacing w:after="0" w:line="400" w:lineRule="exact"/>
        <w:ind w:left="0" w:leftChars="0" w:right="0" w:rightChars="0"/>
        <w:rPr>
          <w:rFonts w:hint="eastAsia" w:ascii="宋体" w:hAnsi="宋体" w:eastAsia="宋体" w:cs="宋体"/>
          <w:color w:val="auto"/>
          <w:highlight w:val="none"/>
        </w:rPr>
      </w:pPr>
    </w:p>
    <w:p>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残疾人福利性单位声明函</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（注：符合条件的残疾人福利性单位请提供本函，不符合的不提供本函）</w:t>
      </w:r>
    </w:p>
    <w:p>
      <w:pPr>
        <w:spacing w:line="400" w:lineRule="exact"/>
        <w:rPr>
          <w:rFonts w:hint="eastAsia" w:ascii="宋体" w:hAnsi="宋体" w:eastAsia="宋体" w:cs="宋体"/>
          <w:b/>
          <w:color w:val="auto"/>
          <w:spacing w:val="6"/>
          <w:sz w:val="30"/>
          <w:szCs w:val="30"/>
          <w:highlight w:val="none"/>
        </w:rPr>
      </w:pPr>
    </w:p>
    <w:p>
      <w:pPr>
        <w:spacing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spacing w:line="400" w:lineRule="exact"/>
        <w:ind w:firstLine="504" w:firstLineChars="200"/>
        <w:rPr>
          <w:rFonts w:hint="eastAsia" w:ascii="宋体" w:hAnsi="宋体" w:eastAsia="宋体" w:cs="宋体"/>
          <w:color w:val="auto"/>
          <w:spacing w:val="6"/>
          <w:sz w:val="24"/>
          <w:szCs w:val="24"/>
          <w:highlight w:val="none"/>
        </w:rPr>
      </w:pPr>
    </w:p>
    <w:p>
      <w:pPr>
        <w:tabs>
          <w:tab w:val="left" w:pos="4860"/>
        </w:tabs>
        <w:spacing w:line="400" w:lineRule="exact"/>
        <w:ind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单位名称（电子签章）：</w:t>
      </w:r>
    </w:p>
    <w:p>
      <w:pPr>
        <w:tabs>
          <w:tab w:val="left" w:pos="4860"/>
        </w:tabs>
        <w:spacing w:line="400" w:lineRule="exact"/>
        <w:ind w:firstLine="504"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                           日        期：</w:t>
      </w: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投标人不属于残疾人福利性单位的，无需提供此声明函，如提供所引起的后果由投标人承担。中标人为残疾人福利性单位的，采购代理机构将随中标结果同时公告其《残疾人福利性单位声明函》，接受社会监督。</w:t>
      </w:r>
    </w:p>
    <w:p>
      <w:pPr>
        <w:autoSpaceDE w:val="0"/>
        <w:autoSpaceDN w:val="0"/>
        <w:adjustRightInd w:val="0"/>
        <w:spacing w:line="360" w:lineRule="exact"/>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color w:val="auto"/>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附件3-4</w:t>
      </w:r>
    </w:p>
    <w:p>
      <w:pPr>
        <w:autoSpaceDE w:val="0"/>
        <w:autoSpaceDN w:val="0"/>
        <w:adjustRightInd w:val="0"/>
        <w:spacing w:line="360" w:lineRule="exact"/>
        <w:ind w:left="400"/>
        <w:rPr>
          <w:rFonts w:hint="eastAsia" w:ascii="宋体" w:hAnsi="宋体" w:eastAsia="宋体" w:cs="宋体"/>
          <w:b/>
          <w:bCs/>
          <w:color w:val="auto"/>
          <w:sz w:val="22"/>
          <w:highlight w:val="none"/>
        </w:rPr>
      </w:pPr>
    </w:p>
    <w:p>
      <w:pPr>
        <w:snapToGrid w:val="0"/>
        <w:spacing w:beforeLines="50" w:after="50"/>
        <w:jc w:val="center"/>
        <w:outlineLvl w:val="1"/>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提供有效的《保安服务许可证》</w:t>
      </w:r>
    </w:p>
    <w:p>
      <w:pPr>
        <w:snapToGrid w:val="0"/>
        <w:spacing w:beforeLines="50" w:after="50"/>
        <w:jc w:val="center"/>
        <w:outlineLvl w:val="1"/>
        <w:rPr>
          <w:rFonts w:hint="eastAsia" w:ascii="宋体" w:hAnsi="宋体" w:eastAsia="宋体" w:cs="宋体"/>
          <w:b/>
          <w:bCs/>
          <w:color w:val="auto"/>
          <w:sz w:val="22"/>
          <w:highlight w:val="none"/>
        </w:rPr>
      </w:pPr>
    </w:p>
    <w:p>
      <w:pPr>
        <w:snapToGrid w:val="0"/>
        <w:spacing w:beforeLines="50" w:after="50"/>
        <w:jc w:val="center"/>
        <w:outlineLvl w:val="1"/>
        <w:rPr>
          <w:rFonts w:hint="eastAsia" w:ascii="宋体" w:hAnsi="宋体" w:eastAsia="宋体" w:cs="宋体"/>
          <w:b/>
          <w:bCs/>
          <w:color w:val="auto"/>
          <w:sz w:val="22"/>
          <w:highlight w:val="none"/>
        </w:rPr>
      </w:pPr>
    </w:p>
    <w:p>
      <w:pPr>
        <w:snapToGrid w:val="0"/>
        <w:spacing w:beforeLines="50" w:after="50"/>
        <w:jc w:val="center"/>
        <w:outlineLvl w:val="1"/>
        <w:rPr>
          <w:rFonts w:hint="eastAsia" w:ascii="宋体" w:hAnsi="宋体" w:eastAsia="宋体" w:cs="宋体"/>
          <w:b/>
          <w:bCs/>
          <w:color w:val="auto"/>
          <w:sz w:val="22"/>
          <w:highlight w:val="none"/>
        </w:rPr>
      </w:pPr>
    </w:p>
    <w:p>
      <w:pPr>
        <w:snapToGrid w:val="0"/>
        <w:spacing w:beforeLines="50" w:after="50"/>
        <w:jc w:val="center"/>
        <w:outlineLvl w:val="1"/>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b/>
          <w:bCs/>
          <w:color w:val="auto"/>
          <w:sz w:val="22"/>
          <w:highlight w:val="none"/>
        </w:rPr>
      </w:pPr>
    </w:p>
    <w:p>
      <w:pPr>
        <w:pStyle w:val="17"/>
        <w:rPr>
          <w:rFonts w:hint="eastAsia" w:ascii="宋体" w:hAnsi="宋体" w:eastAsia="宋体" w:cs="宋体"/>
          <w:color w:val="auto"/>
          <w:highlight w:val="none"/>
        </w:rPr>
      </w:pPr>
    </w:p>
    <w:p>
      <w:pPr>
        <w:pStyle w:val="17"/>
        <w:rPr>
          <w:rFonts w:hint="eastAsia" w:ascii="宋体" w:hAnsi="宋体" w:eastAsia="宋体" w:cs="宋体"/>
          <w:b/>
          <w:bCs/>
          <w:color w:val="auto"/>
          <w:sz w:val="22"/>
          <w:highlight w:val="none"/>
        </w:rPr>
      </w:pPr>
    </w:p>
    <w:p>
      <w:pPr>
        <w:rPr>
          <w:rFonts w:hint="eastAsia" w:ascii="宋体" w:hAnsi="宋体" w:eastAsia="宋体" w:cs="宋体"/>
          <w:color w:val="auto"/>
          <w:highlight w:val="none"/>
        </w:rPr>
      </w:pPr>
    </w:p>
    <w:p>
      <w:pPr>
        <w:snapToGrid w:val="0"/>
        <w:spacing w:beforeLines="50" w:after="50"/>
        <w:jc w:val="center"/>
        <w:outlineLvl w:val="1"/>
        <w:rPr>
          <w:rFonts w:hint="eastAsia" w:ascii="宋体" w:hAnsi="宋体" w:eastAsia="宋体" w:cs="宋体"/>
          <w:b/>
          <w:bCs/>
          <w:color w:val="auto"/>
          <w:sz w:val="22"/>
          <w:highlight w:val="none"/>
        </w:rPr>
      </w:pPr>
    </w:p>
    <w:p>
      <w:pPr>
        <w:snapToGrid w:val="0"/>
        <w:spacing w:beforeLines="50" w:after="50"/>
        <w:jc w:val="center"/>
        <w:outlineLvl w:val="1"/>
        <w:rPr>
          <w:rFonts w:hint="eastAsia" w:ascii="宋体" w:hAnsi="宋体" w:eastAsia="宋体" w:cs="宋体"/>
          <w:b/>
          <w:bCs/>
          <w:color w:val="auto"/>
          <w:sz w:val="22"/>
          <w:highlight w:val="none"/>
        </w:rPr>
      </w:pPr>
    </w:p>
    <w:p>
      <w:pPr>
        <w:snapToGrid w:val="0"/>
        <w:spacing w:beforeLines="50" w:after="50"/>
        <w:jc w:val="center"/>
        <w:outlineLvl w:val="1"/>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三、商务和技术文件部分封面格式</w:t>
      </w:r>
    </w:p>
    <w:p>
      <w:pPr>
        <w:snapToGrid w:val="0"/>
        <w:spacing w:beforeLines="50" w:after="50"/>
        <w:outlineLvl w:val="1"/>
        <w:rPr>
          <w:rFonts w:hint="eastAsia" w:ascii="宋体" w:hAnsi="宋体" w:eastAsia="宋体" w:cs="宋体"/>
          <w:b/>
          <w:bCs/>
          <w:color w:val="auto"/>
          <w:sz w:val="24"/>
          <w:highlight w:val="none"/>
        </w:rPr>
      </w:pPr>
    </w:p>
    <w:p>
      <w:pPr>
        <w:pStyle w:val="15"/>
        <w:ind w:left="0" w:leftChars="0" w:right="1470"/>
        <w:rPr>
          <w:rFonts w:hint="eastAsia" w:ascii="宋体" w:hAnsi="宋体" w:eastAsia="宋体" w:cs="宋体"/>
          <w:b/>
          <w:color w:val="auto"/>
          <w:sz w:val="24"/>
          <w:szCs w:val="24"/>
          <w:highlight w:val="none"/>
        </w:rPr>
      </w:pPr>
    </w:p>
    <w:p>
      <w:pPr>
        <w:snapToGrid w:val="0"/>
        <w:spacing w:line="400" w:lineRule="exact"/>
        <w:jc w:val="center"/>
        <w:outlineLvl w:val="1"/>
        <w:rPr>
          <w:rFonts w:hint="eastAsia" w:ascii="宋体" w:hAnsi="宋体" w:eastAsia="宋体" w:cs="宋体"/>
          <w:b/>
          <w:bCs/>
          <w:color w:val="auto"/>
          <w:sz w:val="24"/>
          <w:szCs w:val="20"/>
          <w:highlight w:val="none"/>
        </w:rPr>
      </w:pPr>
    </w:p>
    <w:p>
      <w:pPr>
        <w:snapToGrid w:val="0"/>
        <w:spacing w:line="400" w:lineRule="exact"/>
        <w:jc w:val="center"/>
        <w:rPr>
          <w:rFonts w:hint="eastAsia" w:ascii="宋体" w:hAnsi="宋体" w:eastAsia="宋体" w:cs="宋体"/>
          <w:bCs/>
          <w:color w:val="auto"/>
          <w:sz w:val="24"/>
          <w:szCs w:val="20"/>
          <w:highlight w:val="none"/>
        </w:rPr>
      </w:pPr>
      <w:r>
        <w:rPr>
          <w:rFonts w:hint="eastAsia" w:ascii="宋体" w:hAnsi="宋体" w:eastAsia="宋体" w:cs="宋体"/>
          <w:b/>
          <w:bCs/>
          <w:color w:val="auto"/>
          <w:sz w:val="24"/>
          <w:highlight w:val="none"/>
        </w:rPr>
        <w:pict>
          <v:shape id="1029" o:spid="_x0000_s1029" o:spt="202" type="#_x0000_t202" style="position:absolute;left:0pt;margin-left:30.7pt;margin-top:16pt;height:263.35pt;width:399.75pt;mso-wrap-distance-bottom:0pt;mso-wrap-distance-top:0pt;z-index:251661312;mso-width-relative:page;mso-height-relative:page;" coordsize="21600,21600" o:gfxdata="UEsDBAoAAAAAAIdO4kAAAAAAAAAAAAAAAAAEAAAAZHJzL1BLAwQUAAAACACHTuJAM6LEN9kAAAAJ AQAADwAAAGRycy9kb3ducmV2LnhtbE2Py07DMBRE90j8g3WR2CBqp480DbnpAgkEu1KqsnVjN4nw I9huWv6eywqWoxnNnKnWF2vYqEPsvUPIJgKYdo1XvWsRdu9P9wWwmKRT0ninEb51hHV9fVXJUvmz e9PjNrWMSlwsJUKX0lByHptOWxknftCOvKMPViaSoeUqyDOVW8OnQuTcyt7RQicH/djp5nN7sgjF /GX8iK+zzb7Jj2aV7pbj81dAvL3JxAOwpC/pLwy/+IQONTEd/MmpyAxCns0piTCb0iXyi1ysgB0Q FotiCbyu+P8H9Q9QSwMEFAAAAAgAh07iQJ3RYwwOAgAAYQQAAA4AAABkcnMvZTJvRG9jLnhtbK1U 227bMAx9H7B/EPS+2Ll1rRGnwJZlL8VWrOsHKJJsC9MNohI7fz9KztLLViAP84NMmdTh4SHl1e1g NDnIAMrZmk4nJSXScieUbWv6+HP74ZoSiMwKpp2VNT1KoLfr9+9Wva/kzHVOCxkIglioel/TLkZf FQXwThoGE+elRWfjgmERt6EtRGA9ohtdzMryquhdED44LgHw62Z00hNiuATQNY3icuP43kgbR9Qg NYtYEnTKA11ntk0jefzeNCAj0TXFSmNeMQnau7QW6xWr2sB8p/iJAruEwquaDFMWk56hNiwysg/q LyijeHDgmjjhzhRjIVkRrGJavtLmoWNe5lpQavBn0eH/wfJvh/tAlKjpnBLLDDZ8Ws5uki69hwrd Dx4D4vDJDejKNYK/c/wXEOt+OBR0moKLZ9HjUcBzSZGhCSa9sVaCECj88Sy8HCLh+HFZfry6ni0p 4eibzxeL5WKZUZ+O+wDxq3SGJKOmATubybDDHcREgFV/QlI2cFqJrdI6b0K7+6wDOTCcgm1+Tugv wrQlfU1vlpkIw9FucKSQk/EoD9h2LP5N4DI//wJOxDYMupFAzpnCWGVUlCFbnWTiixUkHj22wOLN o4mMkYISLfGiJitHRqb0JZEoiLYpiczX4KRSatPYmWTFYTcgaDJ3Thyx0XsfVNu96CpOXpb3dEvS aD/f594//RnWvwF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CABAAAW0NvbnRlbnRfVHlwZXNdLnhtbFBLAQIUAAoAAAAAAIdO4kAAAAAAAAAAAAAA AAAGAAAAAAAAAAAAEAAAAGIDAABfcmVscy9QSwECFAAUAAAACACHTuJAihRmPNEAAACUAQAACwAA AAAAAAABACAAAACGAwAAX3JlbHMvLnJlbHNQSwECFAAKAAAAAACHTuJAAAAAAAAAAAAAAAAABAAA AAAAAAAAABAAAAAAAAAAZHJzL1BLAQIUABQAAAAIAIdO4kAzosQ32QAAAAkBAAAPAAAAAAAAAAEA IAAAACIAAABkcnMvZG93bnJldi54bWxQSwECFAAUAAAACACHTuJAndFjDA4CAABhBAAADgAAAAAA AAABACAAAAAoAQAAZHJzL2Uyb0RvYy54bWxQSwUGAAAAAAYABgBZAQAAqAUAAAAA ">
            <v:path/>
            <v:fill focussize="0,0"/>
            <v:stroke joinstyle="miter"/>
            <v:imagedata o:title=""/>
            <o:lock v:ext="edit" rotation="t"/>
            <v:textbox>
              <w:txbxContent>
                <w:p>
                  <w:pPr>
                    <w:snapToGrid w:val="0"/>
                    <w:spacing w:beforeLines="50" w:after="50"/>
                    <w:jc w:val="right"/>
                    <w:rPr>
                      <w:rFonts w:ascii="宋体" w:hAnsi="宋体"/>
                      <w:b/>
                      <w:bCs/>
                      <w:sz w:val="32"/>
                      <w:szCs w:val="20"/>
                    </w:rPr>
                  </w:pPr>
                </w:p>
                <w:p>
                  <w:pPr>
                    <w:snapToGrid w:val="0"/>
                    <w:spacing w:beforeLines="50" w:after="50"/>
                    <w:ind w:left="-850" w:leftChars="-405"/>
                    <w:rPr>
                      <w:rFonts w:ascii="宋体" w:hAnsi="宋体"/>
                      <w:sz w:val="24"/>
                      <w:szCs w:val="20"/>
                    </w:rPr>
                  </w:pPr>
                </w:p>
                <w:p>
                  <w:pPr>
                    <w:snapToGrid w:val="0"/>
                    <w:spacing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ascii="宋体" w:hAnsi="宋体"/>
                      <w:bCs/>
                      <w:sz w:val="24"/>
                    </w:rPr>
                  </w:pPr>
                  <w:r>
                    <w:rPr>
                      <w:rFonts w:hint="eastAsia" w:ascii="宋体" w:hAnsi="宋体"/>
                      <w:bCs/>
                      <w:sz w:val="24"/>
                    </w:rPr>
                    <w:t>项目编号：</w:t>
                  </w:r>
                </w:p>
                <w:p>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snapToGrid w:val="0"/>
                    <w:spacing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w:r>
    </w:p>
    <w:p>
      <w:pPr>
        <w:snapToGrid w:val="0"/>
        <w:spacing w:beforeLines="50" w:after="50"/>
        <w:jc w:val="center"/>
        <w:outlineLvl w:val="1"/>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1470" w:right="1470"/>
        <w:rPr>
          <w:rFonts w:hint="eastAsia" w:ascii="宋体" w:hAnsi="宋体" w:eastAsia="宋体" w:cs="宋体"/>
          <w:b/>
          <w:bCs/>
          <w:color w:val="auto"/>
          <w:sz w:val="24"/>
          <w:highlight w:val="none"/>
        </w:rPr>
      </w:pPr>
    </w:p>
    <w:p>
      <w:pPr>
        <w:pStyle w:val="15"/>
        <w:ind w:left="0" w:leftChars="0" w:right="1470"/>
        <w:rPr>
          <w:rFonts w:hint="eastAsia" w:ascii="宋体" w:hAnsi="宋体" w:eastAsia="宋体" w:cs="宋体"/>
          <w:b/>
          <w:bCs/>
          <w:color w:val="auto"/>
          <w:sz w:val="24"/>
          <w:highlight w:val="none"/>
        </w:rPr>
      </w:pPr>
    </w:p>
    <w:p>
      <w:pPr>
        <w:pStyle w:val="15"/>
        <w:ind w:left="0" w:leftChars="0" w:right="1470"/>
        <w:rPr>
          <w:rFonts w:hint="eastAsia" w:ascii="宋体" w:hAnsi="宋体" w:eastAsia="宋体" w:cs="宋体"/>
          <w:b/>
          <w:bCs/>
          <w:color w:val="auto"/>
          <w:sz w:val="24"/>
          <w:highlight w:val="none"/>
        </w:rPr>
      </w:pPr>
    </w:p>
    <w:p>
      <w:pPr>
        <w:pStyle w:val="15"/>
        <w:ind w:left="0" w:leftChars="0" w:right="1470"/>
        <w:rPr>
          <w:rFonts w:hint="eastAsia" w:ascii="宋体" w:hAnsi="宋体" w:eastAsia="宋体" w:cs="宋体"/>
          <w:b/>
          <w:bCs/>
          <w:color w:val="auto"/>
          <w:sz w:val="24"/>
          <w:highlight w:val="none"/>
        </w:rPr>
      </w:pPr>
    </w:p>
    <w:p>
      <w:pPr>
        <w:pStyle w:val="15"/>
        <w:ind w:left="0" w:leftChars="0" w:right="1470"/>
        <w:rPr>
          <w:rFonts w:hint="eastAsia" w:ascii="宋体" w:hAnsi="宋体" w:eastAsia="宋体" w:cs="宋体"/>
          <w:b/>
          <w:bCs/>
          <w:color w:val="auto"/>
          <w:sz w:val="24"/>
          <w:highlight w:val="none"/>
        </w:rPr>
      </w:pPr>
    </w:p>
    <w:p>
      <w:pPr>
        <w:pStyle w:val="15"/>
        <w:ind w:left="0" w:leftChars="0" w:right="1470"/>
        <w:rPr>
          <w:rFonts w:hint="eastAsia" w:ascii="宋体" w:hAnsi="宋体" w:eastAsia="宋体" w:cs="宋体"/>
          <w:b/>
          <w:bCs/>
          <w:color w:val="auto"/>
          <w:sz w:val="24"/>
          <w:highlight w:val="none"/>
        </w:rPr>
      </w:pPr>
    </w:p>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highlight w:val="none"/>
        </w:rPr>
        <w:t>商务和技术文件</w:t>
      </w: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附件4</w:t>
      </w:r>
    </w:p>
    <w:p>
      <w:pPr>
        <w:spacing w:line="40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商务和技术文件投标文件</w:t>
      </w:r>
    </w:p>
    <w:p>
      <w:pPr>
        <w:spacing w:line="40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评分索引表</w:t>
      </w:r>
    </w:p>
    <w:p>
      <w:pPr>
        <w:spacing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为了方便专家评审投标文件，针对招标文件评分细则要求，投标人应制作投标文件索引，置于投标文件首页，格式如下：</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序号</w:t>
            </w:r>
          </w:p>
        </w:tc>
        <w:tc>
          <w:tcPr>
            <w:tcW w:w="6956" w:type="dxa"/>
            <w:vAlign w:val="center"/>
          </w:tcPr>
          <w:p>
            <w:pPr>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评分内容</w:t>
            </w:r>
          </w:p>
        </w:tc>
        <w:tc>
          <w:tcPr>
            <w:tcW w:w="1313" w:type="dxa"/>
            <w:vAlign w:val="center"/>
          </w:tcPr>
          <w:p>
            <w:pPr>
              <w:pStyle w:val="55"/>
              <w:spacing w:line="400" w:lineRule="exact"/>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w:t>
            </w:r>
          </w:p>
        </w:tc>
        <w:tc>
          <w:tcPr>
            <w:tcW w:w="6956" w:type="dxa"/>
            <w:vAlign w:val="center"/>
          </w:tcPr>
          <w:p>
            <w:pPr>
              <w:spacing w:line="400" w:lineRule="exact"/>
              <w:jc w:val="left"/>
              <w:rPr>
                <w:rFonts w:hint="eastAsia" w:ascii="宋体" w:hAnsi="宋体" w:eastAsia="宋体" w:cs="宋体"/>
                <w:color w:val="auto"/>
                <w:kern w:val="0"/>
                <w:sz w:val="24"/>
                <w:szCs w:val="24"/>
                <w:highlight w:val="none"/>
              </w:rPr>
            </w:pPr>
          </w:p>
          <w:p>
            <w:pPr>
              <w:spacing w:line="400" w:lineRule="exact"/>
              <w:jc w:val="left"/>
              <w:rPr>
                <w:rFonts w:hint="eastAsia" w:ascii="宋体" w:hAnsi="宋体" w:eastAsia="宋体" w:cs="宋体"/>
                <w:color w:val="auto"/>
                <w:kern w:val="0"/>
                <w:sz w:val="24"/>
                <w:szCs w:val="24"/>
                <w:highlight w:val="none"/>
              </w:rPr>
            </w:pPr>
          </w:p>
        </w:tc>
        <w:tc>
          <w:tcPr>
            <w:tcW w:w="1313" w:type="dxa"/>
            <w:vAlign w:val="center"/>
          </w:tcPr>
          <w:p>
            <w:pPr>
              <w:pStyle w:val="13"/>
              <w:spacing w:line="400" w:lineRule="exact"/>
              <w:ind w:left="456" w:hanging="456"/>
              <w:rPr>
                <w:rFonts w:hint="eastAsia" w:ascii="宋体" w:hAnsi="宋体" w:eastAsia="宋体" w:cs="宋体"/>
                <w:color w:val="auto"/>
                <w:spacing w:val="-6"/>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2</w:t>
            </w:r>
          </w:p>
        </w:tc>
        <w:tc>
          <w:tcPr>
            <w:tcW w:w="6956" w:type="dxa"/>
            <w:vAlign w:val="center"/>
          </w:tcPr>
          <w:p>
            <w:pPr>
              <w:spacing w:line="400" w:lineRule="exact"/>
              <w:jc w:val="left"/>
              <w:rPr>
                <w:rFonts w:hint="eastAsia" w:ascii="宋体" w:hAnsi="宋体" w:eastAsia="宋体" w:cs="宋体"/>
                <w:color w:val="auto"/>
                <w:kern w:val="0"/>
                <w:sz w:val="24"/>
                <w:szCs w:val="24"/>
                <w:highlight w:val="none"/>
              </w:rPr>
            </w:pPr>
          </w:p>
        </w:tc>
        <w:tc>
          <w:tcPr>
            <w:tcW w:w="1313" w:type="dxa"/>
            <w:vAlign w:val="center"/>
          </w:tcPr>
          <w:p>
            <w:pPr>
              <w:pStyle w:val="13"/>
              <w:spacing w:line="400" w:lineRule="exact"/>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w:t>
            </w:r>
          </w:p>
        </w:tc>
        <w:tc>
          <w:tcPr>
            <w:tcW w:w="6956" w:type="dxa"/>
            <w:vAlign w:val="center"/>
          </w:tcPr>
          <w:p>
            <w:pPr>
              <w:spacing w:line="400" w:lineRule="exac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w:t>
            </w:r>
          </w:p>
        </w:tc>
        <w:tc>
          <w:tcPr>
            <w:tcW w:w="6956" w:type="dxa"/>
            <w:vAlign w:val="center"/>
          </w:tcPr>
          <w:p>
            <w:pPr>
              <w:spacing w:line="400" w:lineRule="exac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w:t>
            </w:r>
          </w:p>
        </w:tc>
        <w:tc>
          <w:tcPr>
            <w:tcW w:w="6956" w:type="dxa"/>
            <w:vAlign w:val="center"/>
          </w:tcPr>
          <w:p>
            <w:pPr>
              <w:spacing w:line="400" w:lineRule="exact"/>
              <w:jc w:val="lef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w:t>
            </w:r>
          </w:p>
        </w:tc>
        <w:tc>
          <w:tcPr>
            <w:tcW w:w="6956" w:type="dxa"/>
            <w:vAlign w:val="center"/>
          </w:tcPr>
          <w:p>
            <w:pPr>
              <w:spacing w:line="400" w:lineRule="exact"/>
              <w:jc w:val="lef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w:t>
            </w:r>
          </w:p>
        </w:tc>
        <w:tc>
          <w:tcPr>
            <w:tcW w:w="6956" w:type="dxa"/>
            <w:vAlign w:val="center"/>
          </w:tcPr>
          <w:p>
            <w:pPr>
              <w:spacing w:line="400" w:lineRule="exact"/>
              <w:jc w:val="lef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8</w:t>
            </w:r>
          </w:p>
        </w:tc>
        <w:tc>
          <w:tcPr>
            <w:tcW w:w="6956" w:type="dxa"/>
            <w:vAlign w:val="center"/>
          </w:tcPr>
          <w:p>
            <w:pPr>
              <w:spacing w:line="400" w:lineRule="exac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9</w:t>
            </w:r>
          </w:p>
        </w:tc>
        <w:tc>
          <w:tcPr>
            <w:tcW w:w="6956" w:type="dxa"/>
            <w:vAlign w:val="center"/>
          </w:tcPr>
          <w:p>
            <w:pPr>
              <w:spacing w:line="400" w:lineRule="exact"/>
              <w:jc w:val="lef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tc>
        <w:tc>
          <w:tcPr>
            <w:tcW w:w="6956" w:type="dxa"/>
            <w:vAlign w:val="center"/>
          </w:tcPr>
          <w:p>
            <w:pPr>
              <w:spacing w:line="400" w:lineRule="exact"/>
              <w:jc w:val="lef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bl>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备注：一.“评分内容”对应“第六部分”评标原则及方法。</w:t>
      </w:r>
    </w:p>
    <w:p>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二.评标内容自行添加。本表可扩展。</w:t>
      </w:r>
    </w:p>
    <w:p>
      <w:pPr>
        <w:spacing w:line="400" w:lineRule="exact"/>
        <w:ind w:firstLine="720" w:firstLineChars="3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三.各投标人在投标文件最前页根据本评标细则制作评分索引表，清楚标注响应内容及证明材料的所在页码。</w:t>
      </w:r>
    </w:p>
    <w:p>
      <w:pPr>
        <w:spacing w:line="400" w:lineRule="exact"/>
        <w:ind w:hanging="1"/>
        <w:rPr>
          <w:rFonts w:hint="eastAsia" w:ascii="宋体" w:hAnsi="宋体" w:eastAsia="宋体" w:cs="宋体"/>
          <w:b/>
          <w:color w:val="auto"/>
          <w:sz w:val="22"/>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附件5</w:t>
      </w:r>
    </w:p>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 标 函</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温州肯恩大学、浙江乐诚工程咨询有限公司</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根据贵方为温州肯恩大学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）的投标邀请，我方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（投标人名称）作为投标人正式授权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（授权代表全名，职务）代表我方处理本次项目中的一切投标相关事宜。</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我方己完全明白招标文件的所有条款要求，并重申以下几点：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（一）本投标文件的有效期自提交投标文件的截止之日起 </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天内有效，如中标，有效期将延至合同终止日为止；</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（三）我方明白并愿意在规定的开标时间之后，投标人在投标有效期内不撤回投标；</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（四）我方同意提供按照贵方可能要求的与投标有关的一切数据或资料；</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（五）我方理解贵方不一定接受最低报价。</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（六）如中标，我方承诺按照招标文件规定向你方递交履约保证金，本投标文件至本项目合同履行完毕止均保持有效，本投标人将按“招标文件”及政府采购法律、法规的规定履行合同责任和义务。</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（七）所有与本投标有关的函件请发往下列地址：</w:t>
      </w:r>
    </w:p>
    <w:p>
      <w:pPr>
        <w:spacing w:line="40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u w:val="single"/>
        </w:rPr>
        <w:t xml:space="preserve">                　　  　　</w:t>
      </w:r>
    </w:p>
    <w:p>
      <w:pPr>
        <w:spacing w:line="40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spacing w:line="400" w:lineRule="exact"/>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pPr>
        <w:spacing w:line="400" w:lineRule="exact"/>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u w:val="single"/>
        </w:rPr>
        <w:t xml:space="preserve">         　　         </w:t>
      </w:r>
    </w:p>
    <w:p>
      <w:pPr>
        <w:spacing w:line="400" w:lineRule="exact"/>
        <w:rPr>
          <w:rFonts w:hint="eastAsia" w:ascii="宋体" w:hAnsi="宋体" w:eastAsia="宋体" w:cs="宋体"/>
          <w:color w:val="auto"/>
          <w:sz w:val="24"/>
          <w:szCs w:val="24"/>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snapToGrid w:val="0"/>
        <w:spacing w:line="400" w:lineRule="exact"/>
        <w:jc w:val="center"/>
        <w:rPr>
          <w:rFonts w:hint="eastAsia" w:ascii="宋体" w:hAnsi="宋体" w:eastAsia="宋体" w:cs="宋体"/>
          <w:b/>
          <w:bCs/>
          <w:color w:val="auto"/>
          <w:sz w:val="28"/>
          <w:szCs w:val="28"/>
          <w:highlight w:val="none"/>
        </w:rPr>
      </w:pPr>
    </w:p>
    <w:p>
      <w:pPr>
        <w:snapToGrid w:val="0"/>
        <w:spacing w:line="400" w:lineRule="exact"/>
        <w:jc w:val="center"/>
        <w:rPr>
          <w:rFonts w:hint="eastAsia" w:ascii="宋体" w:hAnsi="宋体" w:eastAsia="宋体" w:cs="宋体"/>
          <w:b/>
          <w:bCs/>
          <w:color w:val="auto"/>
          <w:sz w:val="28"/>
          <w:szCs w:val="28"/>
          <w:highlight w:val="none"/>
        </w:rPr>
      </w:pPr>
    </w:p>
    <w:p>
      <w:pPr>
        <w:pStyle w:val="13"/>
        <w:ind w:left="562" w:hanging="562"/>
        <w:rPr>
          <w:rFonts w:hint="eastAsia" w:ascii="宋体" w:hAnsi="宋体" w:eastAsia="宋体" w:cs="宋体"/>
          <w:b/>
          <w:bCs/>
          <w:color w:val="auto"/>
          <w:sz w:val="28"/>
          <w:szCs w:val="28"/>
          <w:highlight w:val="none"/>
        </w:rPr>
      </w:pPr>
    </w:p>
    <w:p>
      <w:pPr>
        <w:rPr>
          <w:rFonts w:hint="eastAsia" w:ascii="宋体" w:hAnsi="宋体" w:eastAsia="宋体" w:cs="宋体"/>
          <w:color w:val="auto"/>
          <w:highlight w:val="none"/>
        </w:rPr>
      </w:pPr>
    </w:p>
    <w:p>
      <w:pPr>
        <w:snapToGrid w:val="0"/>
        <w:spacing w:line="400" w:lineRule="exact"/>
        <w:jc w:val="center"/>
        <w:rPr>
          <w:rFonts w:hint="eastAsia" w:ascii="宋体" w:hAnsi="宋体" w:eastAsia="宋体" w:cs="宋体"/>
          <w:b/>
          <w:bCs/>
          <w:color w:val="auto"/>
          <w:sz w:val="28"/>
          <w:szCs w:val="28"/>
          <w:highlight w:val="none"/>
        </w:rPr>
      </w:pPr>
    </w:p>
    <w:p>
      <w:pPr>
        <w:snapToGrid w:val="0"/>
        <w:spacing w:line="400" w:lineRule="exact"/>
        <w:jc w:val="center"/>
        <w:rPr>
          <w:rFonts w:hint="eastAsia" w:ascii="宋体" w:hAnsi="宋体" w:eastAsia="宋体" w:cs="宋体"/>
          <w:b/>
          <w:bCs/>
          <w:color w:val="auto"/>
          <w:sz w:val="28"/>
          <w:szCs w:val="28"/>
          <w:highlight w:val="none"/>
        </w:rPr>
      </w:pPr>
    </w:p>
    <w:p>
      <w:pPr>
        <w:pStyle w:val="15"/>
        <w:ind w:left="1470" w:right="1470"/>
        <w:rPr>
          <w:rFonts w:hint="eastAsia" w:ascii="宋体" w:hAnsi="宋体" w:eastAsia="宋体" w:cs="宋体"/>
          <w:color w:val="auto"/>
          <w:highlight w:val="none"/>
        </w:rPr>
      </w:pPr>
    </w:p>
    <w:p>
      <w:pPr>
        <w:pStyle w:val="2"/>
        <w:ind w:firstLine="0" w:firstLineChars="0"/>
        <w:rPr>
          <w:rFonts w:hint="eastAsia" w:ascii="宋体" w:hAnsi="宋体" w:eastAsia="宋体" w:cs="宋体"/>
          <w:color w:val="auto"/>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附件6</w:t>
      </w:r>
    </w:p>
    <w:p>
      <w:pPr>
        <w:pStyle w:val="13"/>
        <w:ind w:left="0" w:firstLine="0" w:firstLineChars="0"/>
        <w:rPr>
          <w:rFonts w:hint="eastAsia" w:ascii="宋体" w:hAnsi="宋体" w:eastAsia="宋体" w:cs="宋体"/>
          <w:color w:val="auto"/>
          <w:highlight w:val="none"/>
        </w:rPr>
      </w:pPr>
    </w:p>
    <w:p>
      <w:pPr>
        <w:ind w:right="-1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法定代表人资格证明书</w:t>
      </w:r>
    </w:p>
    <w:p>
      <w:pPr>
        <w:spacing w:line="480" w:lineRule="auto"/>
        <w:jc w:val="left"/>
        <w:rPr>
          <w:rFonts w:hint="eastAsia" w:ascii="宋体" w:hAnsi="宋体" w:eastAsia="宋体" w:cs="宋体"/>
          <w:color w:val="auto"/>
          <w:sz w:val="24"/>
          <w:szCs w:val="24"/>
          <w:highlight w:val="none"/>
        </w:rPr>
      </w:pPr>
    </w:p>
    <w:p>
      <w:pPr>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致：温州肯恩大学、浙江乐诚工程咨询有限公司：</w:t>
      </w:r>
    </w:p>
    <w:p>
      <w:pPr>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（姓名、性别、年龄）</w:t>
      </w:r>
      <w:r>
        <w:rPr>
          <w:rFonts w:hint="eastAsia" w:ascii="宋体" w:hAnsi="宋体" w:eastAsia="宋体" w:cs="宋体"/>
          <w:color w:val="auto"/>
          <w:sz w:val="24"/>
          <w:szCs w:val="24"/>
          <w:highlight w:val="none"/>
        </w:rPr>
        <w:t>在我单位任（职务名称）职务，是我单位的法定代表人。</w:t>
      </w:r>
    </w:p>
    <w:p>
      <w:pPr>
        <w:spacing w:line="48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400" w:lineRule="exact"/>
        <w:jc w:val="left"/>
        <w:rPr>
          <w:rFonts w:hint="eastAsia" w:ascii="宋体" w:hAnsi="宋体" w:eastAsia="宋体" w:cs="宋体"/>
          <w:b/>
          <w:bCs/>
          <w:color w:val="auto"/>
          <w:sz w:val="24"/>
          <w:szCs w:val="24"/>
          <w:highlight w:val="none"/>
        </w:rPr>
      </w:pPr>
    </w:p>
    <w:p>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法定代表人身份证号：（身份证复印附后）</w:t>
      </w:r>
    </w:p>
    <w:p>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法定代表人电话：</w:t>
      </w:r>
    </w:p>
    <w:p>
      <w:pPr>
        <w:spacing w:line="400" w:lineRule="exact"/>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投标人全称（电子签章）</w:t>
      </w:r>
    </w:p>
    <w:p>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 期：   年  月  日</w:t>
      </w:r>
    </w:p>
    <w:p>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pict>
          <v:shape id="1030" o:spid="_x0000_s1028" o:spt="202" type="#_x0000_t202" style="position:absolute;left:0pt;margin-left:47.1pt;margin-top:12.45pt;height:187.2pt;width:267.75pt;z-index:251661312;mso-width-relative:page;mso-height-relative:page;" coordsize="21600,21600" o:gfxdata="UEsDBAoAAAAAAIdO4kAAAAAAAAAAAAAAAAAEAAAAZHJzL1BLAwQUAAAACACHTuJA1l8mDtgAAAAJ AQAADwAAAGRycy9kb3ducmV2LnhtbE2PMU/DMBSEdyT+g/WQWBB1mkRpHeJ0QALBRguC1Y1fkwj7 OdhuWv49ZoLxdKe775rN2Ro2ow+jIwnLRQYMqXN6pF7C2+vD7RpYiIq0Mo5QwjcG2LSXF42qtTvR Fudd7FkqoVArCUOMU8156Aa0KizchJS8g/NWxSR9z7VXp1RuDc+zrOJWjZQWBjXh/YDd5+5oJazL p/kjPBcv7111MCLerObHLy/l9dUyuwMW8Rz/wvCLn9ChTUx7dyQdmJEgyjwlJeSlAJb8KhcrYHsJ hRAF8Lbh/x+0P1BLAwQUAAAACACHTuJAl+bBxP8BAAA+BAAADgAAAGRycy9lMm9Eb2MueG1srVNN j9MwEL0j8R8s32nSj2WharoSlHJBgLTwA1x7kljylzxuk/57xm6321049EAOztgzfjPvzXj1MFrD DhBRe9fw6aTmDJz0Sruu4b9/bd994AyTcEoY76DhR0D+sH77ZjWEJcx8742CyAjE4XIIDe9TCsuq QtmDFTjxARw5Wx+tSLSNXaWiGAjdmmpW1++rwUcVopeASKebk5OfEeMtgL5ttYSNl3sLLp1QIxiR iBL2OiBfl2rbFmT60bYIiZmGE9NUVkpC9i6v1Xolll0UodfyXIK4pYRXnKzQjpJeoDYiCbaP+i8o q2X06Ns0kd5WJyJFEWIxrV9p89iLAIULSY3hIjr+P1j5/fAzMq0avuDMCUsNn9bzossQcEnux0AB afzkR3JlvfI50mGmO7bR5j8RYeQnVY8XVWFMTNLhfFHXi9kdZ5J8s/n9/WJR8Kvn6yFi+gresmw0 PFLbipri8A0TpaTQp5CcDb3RaquNKZvY7T6byA6CWrwtX66SrrwIM44NDf94VwoRNLctzQvVZANx R9eVfC9u4DVwXb5/AefCNgL7UwEF4TRVVieIZb56EOqLUywdA+nr6FnxXIwFxZkBeoXZKpFJaHNL JLEzLrOHMuNnlZ47k6007kYCzebOqyN1cR+i7noSuPSxyh4aq6LV+Qnkub3ek3397Nd/AF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HAEAABbQ29u dGVudF9UeXBlc10ueG1sUEsBAhQACgAAAAAAh07iQAAAAAAAAAAAAAAAAAYAAAAAAAAAAAAQAAAA UgMAAF9yZWxzL1BLAQIUABQAAAAIAIdO4kCKFGY80QAAAJQBAAALAAAAAAAAAAEAIAAAAHYDAABf cmVscy8ucmVsc1BLAQIUAAoAAAAAAIdO4kAAAAAAAAAAAAAAAAAEAAAAAAAAAAAAEAAAAAAAAABk cnMvUEsBAhQAFAAAAAgAh07iQNZfJg7YAAAACQEAAA8AAAAAAAAAAQAgAAAAIgAAAGRycy9kb3du cmV2LnhtbFBLAQIUABQAAAAIAIdO4kCX5sHE/wEAAD4EAAAOAAAAAAAAAAEAIAAAACcBAABkcnMv ZTJvRG9jLnhtbFBLBQYAAAAABgAGAFkBAACYBQAAAAA= ">
            <v:path/>
            <v:fill focussize="0,0"/>
            <v:stroke joinstyle="miter"/>
            <v:imagedata o:title=""/>
            <o:lock v:ext="edit"/>
            <v:textbox>
              <w:txbxContent>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法人代表身份证复印件粘贴：</w:t>
                  </w:r>
                </w:p>
              </w:txbxContent>
            </v:textbox>
          </v:shape>
        </w:pict>
      </w: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napToGrid w:val="0"/>
        <w:spacing w:line="400" w:lineRule="exact"/>
        <w:rPr>
          <w:rFonts w:hint="eastAsia" w:ascii="宋体" w:hAnsi="宋体" w:eastAsia="宋体" w:cs="宋体"/>
          <w:color w:val="auto"/>
          <w:sz w:val="24"/>
          <w:szCs w:val="24"/>
          <w:highlight w:val="none"/>
        </w:rPr>
      </w:pPr>
    </w:p>
    <w:p>
      <w:pPr>
        <w:spacing w:line="400" w:lineRule="exac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说明：投标人的法定代表人参加投标，须在投标文件中提供法定代表人资格证明书；投标人的法定代表人委托授权代表参加投标，须在投标文件中提供法定代表人授权委托书。</w:t>
      </w: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napToGrid w:val="0"/>
        <w:spacing w:line="360" w:lineRule="auto"/>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法定代表人授权委托书</w:t>
      </w:r>
    </w:p>
    <w:p>
      <w:pPr>
        <w:snapToGrid w:val="0"/>
        <w:spacing w:line="360" w:lineRule="auto"/>
        <w:rPr>
          <w:rFonts w:hint="eastAsia" w:ascii="宋体" w:hAnsi="宋体" w:eastAsia="宋体" w:cs="宋体"/>
          <w:bCs/>
          <w:color w:val="auto"/>
          <w:spacing w:val="-6"/>
          <w:sz w:val="24"/>
          <w:szCs w:val="24"/>
          <w:highlight w:val="none"/>
        </w:rPr>
      </w:pPr>
    </w:p>
    <w:p>
      <w:pPr>
        <w:snapToGrid w:val="0"/>
        <w:spacing w:line="360" w:lineRule="auto"/>
        <w:rPr>
          <w:rFonts w:hint="eastAsia" w:ascii="宋体" w:hAnsi="宋体" w:eastAsia="宋体" w:cs="宋体"/>
          <w:b/>
          <w:bCs/>
          <w:color w:val="auto"/>
          <w:spacing w:val="-6"/>
          <w:sz w:val="24"/>
          <w:szCs w:val="24"/>
          <w:highlight w:val="none"/>
        </w:rPr>
      </w:pPr>
      <w:r>
        <w:rPr>
          <w:rFonts w:hint="eastAsia" w:ascii="宋体" w:hAnsi="宋体" w:eastAsia="宋体" w:cs="宋体"/>
          <w:bCs/>
          <w:color w:val="auto"/>
          <w:spacing w:val="-6"/>
          <w:sz w:val="24"/>
          <w:szCs w:val="24"/>
          <w:highlight w:val="none"/>
        </w:rPr>
        <w:t>致：</w:t>
      </w:r>
      <w:r>
        <w:rPr>
          <w:rFonts w:hint="eastAsia" w:ascii="宋体" w:hAnsi="宋体" w:eastAsia="宋体" w:cs="宋体"/>
          <w:color w:val="auto"/>
          <w:sz w:val="24"/>
          <w:szCs w:val="24"/>
          <w:highlight w:val="none"/>
        </w:rPr>
        <w:t>温州肯恩大学、浙江乐诚工程咨询有限公司</w:t>
      </w:r>
      <w:r>
        <w:rPr>
          <w:rFonts w:hint="eastAsia" w:ascii="宋体" w:hAnsi="宋体" w:eastAsia="宋体" w:cs="宋体"/>
          <w:color w:val="auto"/>
          <w:spacing w:val="-6"/>
          <w:sz w:val="24"/>
          <w:szCs w:val="24"/>
          <w:highlight w:val="none"/>
        </w:rPr>
        <w:t>：</w:t>
      </w:r>
    </w:p>
    <w:p>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我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（姓名）系</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（投标人名称）的法定代表人，现授权委托本单位在职职工</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 （姓名）</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（身份证号：）以我方的名义参加温州肯恩大学</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（采购项目）</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）的投标活动，并代表我方全权办理针对上述项目的投标、开标、评标、签约等具体事务和签署相关文件。</w:t>
      </w:r>
    </w:p>
    <w:p>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我方对被授权人的签名负全部责任。</w:t>
      </w:r>
    </w:p>
    <w:p>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在撤销授权的书面通知以前，本授权书一直有效。被授权人在授权书有效期内签署的所有文件不因授权的撤销而失效。</w:t>
      </w:r>
    </w:p>
    <w:p>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被授权人无转委托权，特此委托。</w:t>
      </w:r>
    </w:p>
    <w:p>
      <w:pPr>
        <w:snapToGrid w:val="0"/>
        <w:spacing w:line="288" w:lineRule="auto"/>
        <w:rPr>
          <w:rFonts w:hint="eastAsia" w:ascii="宋体" w:hAnsi="宋体" w:eastAsia="宋体" w:cs="宋体"/>
          <w:color w:val="auto"/>
          <w:spacing w:val="-6"/>
          <w:sz w:val="24"/>
          <w:szCs w:val="24"/>
          <w:highlight w:val="none"/>
        </w:rPr>
      </w:pPr>
    </w:p>
    <w:p>
      <w:pPr>
        <w:snapToGrid w:val="0"/>
        <w:spacing w:line="288" w:lineRule="auto"/>
        <w:rPr>
          <w:rFonts w:hint="eastAsia" w:ascii="宋体" w:hAnsi="宋体" w:eastAsia="宋体" w:cs="宋体"/>
          <w:color w:val="auto"/>
          <w:spacing w:val="-6"/>
          <w:sz w:val="24"/>
          <w:szCs w:val="24"/>
          <w:highlight w:val="none"/>
        </w:rPr>
      </w:pPr>
    </w:p>
    <w:p>
      <w:pPr>
        <w:snapToGrid w:val="0"/>
        <w:spacing w:line="288" w:lineRule="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被授权人签字：                              法定代表人签字或签章：</w:t>
      </w:r>
    </w:p>
    <w:p>
      <w:pPr>
        <w:snapToGrid w:val="0"/>
        <w:spacing w:line="288" w:lineRule="auto"/>
        <w:ind w:firstLine="912" w:firstLineChars="4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职务：                               职务：</w:t>
      </w:r>
    </w:p>
    <w:p>
      <w:pPr>
        <w:snapToGrid w:val="0"/>
        <w:spacing w:line="288"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被授权人身份证号码：</w:t>
      </w:r>
    </w:p>
    <w:p>
      <w:pPr>
        <w:snapToGrid w:val="0"/>
        <w:spacing w:line="288"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供应商名称（CA电子公章）：</w:t>
      </w:r>
    </w:p>
    <w:p>
      <w:pPr>
        <w:snapToGrid w:val="0"/>
        <w:spacing w:line="288"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年    月    日</w:t>
      </w:r>
    </w:p>
    <w:p>
      <w:pPr>
        <w:spacing w:line="288" w:lineRule="auto"/>
        <w:rPr>
          <w:rFonts w:hint="eastAsia" w:ascii="宋体" w:hAnsi="宋体" w:eastAsia="宋体" w:cs="宋体"/>
          <w:color w:val="auto"/>
          <w:spacing w:val="-6"/>
          <w:sz w:val="24"/>
          <w:szCs w:val="24"/>
          <w:highlight w:val="none"/>
        </w:rPr>
      </w:pPr>
      <w:r>
        <w:rPr>
          <w:rFonts w:hint="eastAsia" w:ascii="宋体" w:hAnsi="宋体" w:eastAsia="宋体" w:cs="宋体"/>
          <w:color w:val="auto"/>
          <w:highlight w:val="none"/>
        </w:rPr>
        <w:pict>
          <v:shape id="1031" o:spid="_x0000_s1027" o:spt="202" type="#_x0000_t202" style="position:absolute;left:0pt;margin-left:40.35pt;margin-top:11.7pt;height:185.85pt;width:408.75pt;z-index:251662336;mso-width-relative:page;mso-height-relative:page;" coordsize="21600,21600" o:gfxdata="UEsDBAoAAAAAAIdO4kAAAAAAAAAAAAAAAAAEAAAAZHJzL1BLAwQUAAAACACHTuJA00pXydkAAAAJ AQAADwAAAGRycy9kb3ducmV2LnhtbE2PwU7DMBBE70j8g7VIXBC1k5Q2CXF6QALBDQqCqxtvkwh7 HWw3LX+POcFxNaM3b5vNyRo2ow+jIwnZQgBD6pweqZfw9np/XQILUZFWxhFK+MYAm/b8rFG1dkd6 wXkbe5YgFGolYYhxqjkP3YBWhYWbkFK2d96qmE7fc+3VMcGt4bkQK27VSGlhUBPeDdh9bg9WQrl8 nD/CU/H83q32popX6/nhy0t5eZGJW2ART/GvDL/6SR3a5LRzB9KBmcQQ69SUkBdLYCkvqzIHtpNQ VDcZ8Lbh/z9ofwBQSwMEFAAAAAgAh07iQJrXeRr9AQAAPgQAAA4AAABkcnMvZTJvRG9jLnhtbK1T TW/bMAy9D9h/EHRfbKdIsRpxCmxZdhm2Ad1+gCLTtgB9QVRi59+PktM07XbIYT7IlEg98j1S68fJ aHaEgMrZhleLkjOw0rXK9g3//Wv34SNnGIVthXYWGn4C5I+b9+/Wo69h6QanWwiMQCzWo2/4EKOv iwLlAEbgwnmw5OxcMCLSNvRFG8RI6EYXy7K8L0YXWh+cBEQ63c5OfkYMtwC6rlMStk4eDNg4owbQ IhIlHJRHvsnVdh3I+KPrECLTDSemMa+UhOx9WovNWtR9EH5Q8lyCuKWEN5yMUJaSXqC2Igp2COov KKNkcOi6uJDOFDORrAixqMo32jwNwkPmQlKjv4iO/w9Wfj/+DEy1DV9xZoWhhlflXZV0GT3W5H7y FBCnT24i1/M50mGiO3XBpD8RYeQnVU8XVWGKTNLhqnqoqiXBS/It7+7L5cMq4RQv133A+BWcYclo eKC2ZTXF8RvGOfQ5JGVDp1W7U1rnTej3n3VgR0Et3uXvjP4qTFs2NvxhlQsRNLcdzQvVZDxxR9vn fK9u4DVwmb9/AafCtgKHuYCMkMJEbVSEkK0BRPvFtiyePOlr6VnxVIyBljMN9AqTlSOjUPqWSNJO 25QE8oyfVUodmzuTrDjtJwJN5t61J+riwQfVDyRw7mORPDRWuRPnJ5Dm9npP9vWz3/wB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bwQAAFtDb250 ZW50X1R5cGVzXS54bWxQSwECFAAKAAAAAACHTuJAAAAAAAAAAAAAAAAABgAAAAAAAAAAABAAAABR AwAAX3JlbHMvUEsBAhQAFAAAAAgAh07iQIoUZjzRAAAAlAEAAAsAAAAAAAAAAQAgAAAAdQMAAF9y ZWxzLy5yZWxzUEsBAhQACgAAAAAAh07iQAAAAAAAAAAAAAAAAAQAAAAAAAAAAAAQAAAAAAAAAGRy cy9QSwECFAAUAAAACACHTuJA00pXydkAAAAJAQAADwAAAAAAAAABACAAAAAiAAAAZHJzL2Rvd25y ZXYueG1sUEsBAhQAFAAAAAgAh07iQJrXeRr9AQAAPgQAAA4AAAAAAAAAAQAgAAAAKAEAAGRycy9l Mm9Eb2MueG1sUEsFBgAAAAAGAAYAWQEAAJcFAAAAAA== ">
            <v:path/>
            <v:fill focussize="0,0"/>
            <v:stroke joinstyle="miter"/>
            <v:imagedata o:title=""/>
            <o:lock v:ext="edit"/>
            <v:textbox>
              <w:txbxContent>
                <w:p>
                  <w:pPr>
                    <w:rPr>
                      <w:rFonts w:ascii="宋体"/>
                      <w:sz w:val="24"/>
                    </w:rPr>
                  </w:pP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hint="eastAsia" w:ascii="宋体" w:hAnsi="宋体"/>
                      <w:sz w:val="24"/>
                    </w:rPr>
                    <w:t>复印件粘贴处</w:t>
                  </w:r>
                </w:p>
              </w:txbxContent>
            </v:textbox>
          </v:shape>
        </w:pict>
      </w: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法定代表人授权书</w:t>
      </w:r>
    </w:p>
    <w:p>
      <w:pPr>
        <w:spacing w:line="360" w:lineRule="auto"/>
        <w:ind w:firstLine="240" w:firstLineChars="100"/>
        <w:rPr>
          <w:rFonts w:hint="eastAsia" w:ascii="宋体" w:hAnsi="宋体" w:eastAsia="宋体" w:cs="宋体"/>
          <w:color w:val="auto"/>
          <w:sz w:val="24"/>
          <w:szCs w:val="24"/>
          <w:highlight w:val="none"/>
        </w:rPr>
      </w:pPr>
    </w:p>
    <w:p>
      <w:pPr>
        <w:pStyle w:val="15"/>
        <w:spacing w:after="0"/>
        <w:ind w:left="1470" w:right="0" w:rightChars="0"/>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spacing w:line="400" w:lineRule="exact"/>
        <w:rPr>
          <w:rFonts w:hint="eastAsia" w:ascii="宋体" w:hAnsi="宋体" w:eastAsia="宋体" w:cs="宋体"/>
          <w:b/>
          <w:bCs/>
          <w:color w:val="auto"/>
          <w:sz w:val="28"/>
          <w:szCs w:val="28"/>
          <w:highlight w:val="none"/>
        </w:rPr>
      </w:pPr>
      <w:r>
        <w:rPr>
          <w:rFonts w:hint="eastAsia" w:ascii="宋体" w:hAnsi="宋体" w:eastAsia="宋体" w:cs="宋体"/>
          <w:b/>
          <w:color w:val="auto"/>
          <w:sz w:val="24"/>
          <w:szCs w:val="24"/>
          <w:highlight w:val="none"/>
        </w:rPr>
        <w:t>附件7</w:t>
      </w:r>
    </w:p>
    <w:p>
      <w:pPr>
        <w:snapToGrid w:val="0"/>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t>投标声明书</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温州肯恩大学、浙江乐诚工程咨询有限公司</w:t>
      </w:r>
      <w:r>
        <w:rPr>
          <w:rFonts w:hint="eastAsia" w:ascii="宋体" w:hAnsi="宋体" w:eastAsia="宋体" w:cs="宋体"/>
          <w:color w:val="auto"/>
          <w:sz w:val="24"/>
          <w:szCs w:val="24"/>
          <w:highlight w:val="none"/>
        </w:rPr>
        <w:t>：</w:t>
      </w:r>
    </w:p>
    <w:p>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400" w:lineRule="exact"/>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）的投标，为便于贵方公正、择优地确定中标人及其服务，我方就本次投标有关事项郑重声明如下：</w:t>
      </w:r>
    </w:p>
    <w:p>
      <w:pPr>
        <w:spacing w:line="40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1.我方向贵方提交的所有投标文件、资料都是准确的和真实的；</w:t>
      </w:r>
    </w:p>
    <w:p>
      <w:pPr>
        <w:spacing w:line="40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2.我方不是采购人的附属机构；在获知本项目采购信息后，与采购人聘请的为此项目提供咨询服务的公司及其附属机构没有任何联系；</w:t>
      </w:r>
    </w:p>
    <w:p>
      <w:pPr>
        <w:spacing w:line="400" w:lineRule="exact"/>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3.我方在参加政府采购活动前3年内：</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pacing w:val="-6"/>
          <w:sz w:val="24"/>
          <w:szCs w:val="24"/>
          <w:highlight w:val="none"/>
        </w:rPr>
        <w:t>（填写“有”或“没有”，如实填写，如不填写视同未按要求填写）</w:t>
      </w:r>
      <w:r>
        <w:rPr>
          <w:rFonts w:hint="eastAsia" w:ascii="宋体" w:hAnsi="宋体" w:eastAsia="宋体" w:cs="宋体"/>
          <w:color w:val="auto"/>
          <w:spacing w:val="-6"/>
          <w:sz w:val="24"/>
          <w:szCs w:val="24"/>
          <w:highlight w:val="none"/>
        </w:rPr>
        <w:t>因违法经营被禁止在一定期限内参加政府采购活动，且期限未满的情形；</w:t>
      </w:r>
    </w:p>
    <w:p>
      <w:pPr>
        <w:spacing w:line="400" w:lineRule="exact"/>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4.以上事项如有虚假或隐瞒，我方愿意承担一切后果和责任。</w:t>
      </w:r>
    </w:p>
    <w:p>
      <w:pPr>
        <w:pStyle w:val="14"/>
        <w:tabs>
          <w:tab w:val="left" w:pos="939"/>
        </w:tabs>
        <w:snapToGrid w:val="0"/>
        <w:spacing w:line="400" w:lineRule="exact"/>
        <w:ind w:left="458" w:leftChars="0" w:hanging="458" w:hangingChars="191"/>
        <w:rPr>
          <w:rFonts w:hint="eastAsia" w:ascii="宋体" w:hAnsi="宋体" w:eastAsia="宋体" w:cs="宋体"/>
          <w:color w:val="auto"/>
          <w:sz w:val="24"/>
          <w:szCs w:val="24"/>
          <w:highlight w:val="none"/>
        </w:rPr>
      </w:pPr>
    </w:p>
    <w:p>
      <w:pPr>
        <w:pStyle w:val="56"/>
        <w:snapToGrid w:val="0"/>
        <w:spacing w:line="400" w:lineRule="exact"/>
        <w:ind w:firstLine="200"/>
        <w:rPr>
          <w:rFonts w:hint="eastAsia" w:ascii="宋体" w:hAnsi="宋体" w:eastAsia="宋体" w:cs="宋体"/>
          <w:color w:val="auto"/>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spacing w:line="400" w:lineRule="exact"/>
        <w:ind w:firstLine="435"/>
        <w:jc w:val="center"/>
        <w:rPr>
          <w:rFonts w:hint="eastAsia" w:ascii="宋体" w:hAnsi="宋体" w:eastAsia="宋体" w:cs="宋体"/>
          <w:b/>
          <w:color w:val="auto"/>
          <w:spacing w:val="-6"/>
          <w:sz w:val="24"/>
          <w:highlight w:val="none"/>
        </w:rPr>
      </w:pPr>
    </w:p>
    <w:p>
      <w:pPr>
        <w:pStyle w:val="15"/>
        <w:spacing w:after="0" w:line="400" w:lineRule="exact"/>
        <w:ind w:left="0" w:leftChars="0" w:right="0" w:rightChars="0"/>
        <w:rPr>
          <w:rFonts w:hint="eastAsia" w:ascii="宋体" w:hAnsi="宋体" w:eastAsia="宋体" w:cs="宋体"/>
          <w:color w:val="auto"/>
          <w:highlight w:val="none"/>
        </w:rPr>
      </w:pPr>
    </w:p>
    <w:p>
      <w:pPr>
        <w:spacing w:line="400" w:lineRule="exact"/>
        <w:ind w:firstLine="435"/>
        <w:jc w:val="center"/>
        <w:rPr>
          <w:rFonts w:hint="eastAsia" w:ascii="宋体" w:hAnsi="宋体" w:eastAsia="宋体" w:cs="宋体"/>
          <w:b/>
          <w:color w:val="auto"/>
          <w:spacing w:val="-6"/>
          <w:sz w:val="24"/>
          <w:highlight w:val="none"/>
        </w:rPr>
      </w:pPr>
    </w:p>
    <w:p>
      <w:pPr>
        <w:spacing w:line="400" w:lineRule="exact"/>
        <w:ind w:firstLine="435"/>
        <w:jc w:val="center"/>
        <w:rPr>
          <w:rFonts w:hint="eastAsia" w:ascii="宋体" w:hAnsi="宋体" w:eastAsia="宋体" w:cs="宋体"/>
          <w:b/>
          <w:color w:val="auto"/>
          <w:spacing w:val="-6"/>
          <w:sz w:val="24"/>
          <w:highlight w:val="none"/>
        </w:rPr>
      </w:pPr>
    </w:p>
    <w:p>
      <w:pPr>
        <w:spacing w:line="400" w:lineRule="exact"/>
        <w:ind w:firstLine="435"/>
        <w:jc w:val="center"/>
        <w:rPr>
          <w:rFonts w:hint="eastAsia" w:ascii="宋体" w:hAnsi="宋体" w:eastAsia="宋体" w:cs="宋体"/>
          <w:b/>
          <w:color w:val="auto"/>
          <w:spacing w:val="-6"/>
          <w:sz w:val="24"/>
          <w:highlight w:val="none"/>
        </w:rPr>
      </w:pPr>
    </w:p>
    <w:p>
      <w:pPr>
        <w:spacing w:line="400" w:lineRule="exact"/>
        <w:ind w:firstLine="435"/>
        <w:jc w:val="center"/>
        <w:rPr>
          <w:rFonts w:hint="eastAsia" w:ascii="宋体" w:hAnsi="宋体" w:eastAsia="宋体" w:cs="宋体"/>
          <w:b/>
          <w:color w:val="auto"/>
          <w:spacing w:val="-6"/>
          <w:sz w:val="24"/>
          <w:highlight w:val="none"/>
        </w:rPr>
      </w:pPr>
    </w:p>
    <w:p>
      <w:pPr>
        <w:spacing w:line="400" w:lineRule="exact"/>
        <w:ind w:firstLine="435"/>
        <w:jc w:val="center"/>
        <w:rPr>
          <w:rFonts w:hint="eastAsia" w:ascii="宋体" w:hAnsi="宋体" w:eastAsia="宋体" w:cs="宋体"/>
          <w:b/>
          <w:color w:val="auto"/>
          <w:spacing w:val="-6"/>
          <w:sz w:val="24"/>
          <w:highlight w:val="none"/>
        </w:rPr>
      </w:pPr>
    </w:p>
    <w:p>
      <w:pPr>
        <w:spacing w:line="400" w:lineRule="exact"/>
        <w:ind w:firstLine="435"/>
        <w:jc w:val="center"/>
        <w:rPr>
          <w:rFonts w:hint="eastAsia" w:ascii="宋体" w:hAnsi="宋体" w:eastAsia="宋体" w:cs="宋体"/>
          <w:b/>
          <w:color w:val="auto"/>
          <w:spacing w:val="-6"/>
          <w:sz w:val="24"/>
          <w:highlight w:val="none"/>
        </w:rPr>
      </w:pPr>
    </w:p>
    <w:p>
      <w:pPr>
        <w:spacing w:line="400" w:lineRule="exact"/>
        <w:ind w:firstLine="435"/>
        <w:jc w:val="center"/>
        <w:rPr>
          <w:rFonts w:hint="eastAsia" w:ascii="宋体" w:hAnsi="宋体" w:eastAsia="宋体" w:cs="宋体"/>
          <w:b/>
          <w:color w:val="auto"/>
          <w:spacing w:val="-6"/>
          <w:sz w:val="24"/>
          <w:highlight w:val="none"/>
        </w:rPr>
      </w:pPr>
    </w:p>
    <w:p>
      <w:pPr>
        <w:spacing w:line="400" w:lineRule="exact"/>
        <w:ind w:firstLine="435"/>
        <w:jc w:val="center"/>
        <w:rPr>
          <w:rFonts w:hint="eastAsia" w:ascii="宋体" w:hAnsi="宋体" w:eastAsia="宋体" w:cs="宋体"/>
          <w:b/>
          <w:color w:val="auto"/>
          <w:spacing w:val="-6"/>
          <w:sz w:val="24"/>
          <w:highlight w:val="none"/>
        </w:rPr>
      </w:pPr>
    </w:p>
    <w:p>
      <w:pPr>
        <w:spacing w:line="400" w:lineRule="exact"/>
        <w:ind w:firstLine="435"/>
        <w:jc w:val="center"/>
        <w:rPr>
          <w:rFonts w:hint="eastAsia" w:ascii="宋体" w:hAnsi="宋体" w:eastAsia="宋体" w:cs="宋体"/>
          <w:b/>
          <w:color w:val="auto"/>
          <w:spacing w:val="-6"/>
          <w:sz w:val="24"/>
          <w:highlight w:val="none"/>
        </w:rPr>
      </w:pPr>
    </w:p>
    <w:p>
      <w:pPr>
        <w:pStyle w:val="15"/>
        <w:ind w:left="1470" w:right="1470"/>
        <w:rPr>
          <w:rFonts w:hint="eastAsia" w:ascii="宋体" w:hAnsi="宋体" w:eastAsia="宋体" w:cs="宋体"/>
          <w:b/>
          <w:color w:val="auto"/>
          <w:spacing w:val="-6"/>
          <w:sz w:val="24"/>
          <w:highlight w:val="none"/>
        </w:rPr>
      </w:pPr>
    </w:p>
    <w:p>
      <w:pPr>
        <w:pStyle w:val="15"/>
        <w:ind w:left="1470" w:right="1470"/>
        <w:rPr>
          <w:rFonts w:hint="eastAsia" w:ascii="宋体" w:hAnsi="宋体" w:eastAsia="宋体" w:cs="宋体"/>
          <w:b/>
          <w:color w:val="auto"/>
          <w:spacing w:val="-6"/>
          <w:sz w:val="24"/>
          <w:highlight w:val="none"/>
        </w:rPr>
      </w:pPr>
    </w:p>
    <w:p>
      <w:pPr>
        <w:spacing w:line="400" w:lineRule="exact"/>
        <w:rPr>
          <w:rFonts w:hint="eastAsia" w:ascii="宋体" w:hAnsi="宋体" w:eastAsia="宋体" w:cs="宋体"/>
          <w:b/>
          <w:color w:val="auto"/>
          <w:sz w:val="32"/>
          <w:highlight w:val="none"/>
        </w:rPr>
      </w:pP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附件8</w:t>
      </w:r>
    </w:p>
    <w:p>
      <w:pPr>
        <w:spacing w:line="400" w:lineRule="exact"/>
        <w:ind w:firstLine="435"/>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投标人基本情况表</w:t>
      </w:r>
    </w:p>
    <w:tbl>
      <w:tblPr>
        <w:tblStyle w:val="29"/>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w:t>
            </w:r>
          </w:p>
        </w:tc>
        <w:tc>
          <w:tcPr>
            <w:tcW w:w="8490" w:type="dxa"/>
            <w:gridSpan w:val="3"/>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w:t>
            </w:r>
          </w:p>
        </w:tc>
        <w:tc>
          <w:tcPr>
            <w:tcW w:w="8490" w:type="dxa"/>
            <w:gridSpan w:val="3"/>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w:t>
            </w:r>
          </w:p>
        </w:tc>
        <w:tc>
          <w:tcPr>
            <w:tcW w:w="8490" w:type="dxa"/>
            <w:gridSpan w:val="3"/>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w:t>
            </w:r>
          </w:p>
        </w:tc>
        <w:tc>
          <w:tcPr>
            <w:tcW w:w="4305" w:type="dxa"/>
            <w:gridSpan w:val="2"/>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电话：</w:t>
            </w:r>
          </w:p>
        </w:tc>
        <w:tc>
          <w:tcPr>
            <w:tcW w:w="4185" w:type="dxa"/>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w:t>
            </w:r>
          </w:p>
        </w:tc>
        <w:tc>
          <w:tcPr>
            <w:tcW w:w="4305" w:type="dxa"/>
            <w:gridSpan w:val="2"/>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传真：</w:t>
            </w:r>
          </w:p>
        </w:tc>
        <w:tc>
          <w:tcPr>
            <w:tcW w:w="4185" w:type="dxa"/>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6</w:t>
            </w:r>
          </w:p>
        </w:tc>
        <w:tc>
          <w:tcPr>
            <w:tcW w:w="4305" w:type="dxa"/>
            <w:gridSpan w:val="2"/>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注册地：</w:t>
            </w:r>
          </w:p>
        </w:tc>
        <w:tc>
          <w:tcPr>
            <w:tcW w:w="4185" w:type="dxa"/>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7</w:t>
            </w:r>
          </w:p>
        </w:tc>
        <w:tc>
          <w:tcPr>
            <w:tcW w:w="8490" w:type="dxa"/>
            <w:gridSpan w:val="3"/>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8</w:t>
            </w:r>
          </w:p>
        </w:tc>
        <w:tc>
          <w:tcPr>
            <w:tcW w:w="8490" w:type="dxa"/>
            <w:gridSpan w:val="3"/>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9</w:t>
            </w:r>
          </w:p>
        </w:tc>
        <w:tc>
          <w:tcPr>
            <w:tcW w:w="2520" w:type="dxa"/>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作为承包人经历年数</w:t>
            </w:r>
          </w:p>
        </w:tc>
        <w:tc>
          <w:tcPr>
            <w:tcW w:w="5970" w:type="dxa"/>
            <w:gridSpan w:val="2"/>
            <w:vAlign w:val="center"/>
          </w:tcPr>
          <w:p>
            <w:pPr>
              <w:spacing w:line="400" w:lineRule="exact"/>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10</w:t>
            </w:r>
          </w:p>
        </w:tc>
        <w:tc>
          <w:tcPr>
            <w:tcW w:w="2520" w:type="dxa"/>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其他需要说明的情况</w:t>
            </w:r>
          </w:p>
        </w:tc>
        <w:tc>
          <w:tcPr>
            <w:tcW w:w="5970" w:type="dxa"/>
            <w:gridSpan w:val="2"/>
            <w:vAlign w:val="center"/>
          </w:tcPr>
          <w:p>
            <w:pPr>
              <w:spacing w:line="400" w:lineRule="exact"/>
              <w:rPr>
                <w:rFonts w:hint="eastAsia" w:ascii="宋体" w:hAnsi="宋体" w:eastAsia="宋体" w:cs="宋体"/>
                <w:color w:val="auto"/>
                <w:spacing w:val="-6"/>
                <w:sz w:val="24"/>
                <w:highlight w:val="none"/>
              </w:rPr>
            </w:pPr>
          </w:p>
        </w:tc>
      </w:tr>
    </w:tbl>
    <w:p>
      <w:pPr>
        <w:spacing w:line="400" w:lineRule="exact"/>
        <w:rPr>
          <w:rFonts w:hint="eastAsia" w:ascii="宋体" w:hAnsi="宋体" w:eastAsia="宋体" w:cs="宋体"/>
          <w:color w:val="auto"/>
          <w:spacing w:val="-6"/>
          <w:sz w:val="24"/>
          <w:highlight w:val="none"/>
        </w:rPr>
      </w:pP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说明：所有投标人都须填写此表，此表可根据实际情况自行调整。</w:t>
      </w:r>
    </w:p>
    <w:p>
      <w:pPr>
        <w:spacing w:line="400" w:lineRule="exact"/>
        <w:rPr>
          <w:rFonts w:hint="eastAsia" w:ascii="宋体" w:hAnsi="宋体" w:eastAsia="宋体" w:cs="宋体"/>
          <w:color w:val="auto"/>
          <w:spacing w:val="-6"/>
          <w:sz w:val="24"/>
          <w:highlight w:val="none"/>
        </w:rPr>
      </w:pPr>
    </w:p>
    <w:p>
      <w:pPr>
        <w:spacing w:line="400" w:lineRule="exact"/>
        <w:rPr>
          <w:rFonts w:hint="eastAsia" w:ascii="宋体" w:hAnsi="宋体" w:eastAsia="宋体" w:cs="宋体"/>
          <w:color w:val="auto"/>
          <w:spacing w:val="-6"/>
          <w:sz w:val="24"/>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spacing w:line="400" w:lineRule="exact"/>
        <w:jc w:val="center"/>
        <w:rPr>
          <w:rFonts w:hint="eastAsia" w:ascii="宋体" w:hAnsi="宋体" w:eastAsia="宋体" w:cs="宋体"/>
          <w:color w:val="auto"/>
          <w:sz w:val="24"/>
          <w:szCs w:val="24"/>
          <w:highlight w:val="none"/>
        </w:rPr>
      </w:pPr>
    </w:p>
    <w:p>
      <w:pPr>
        <w:spacing w:line="400" w:lineRule="exact"/>
        <w:jc w:val="center"/>
        <w:rPr>
          <w:rFonts w:hint="eastAsia" w:ascii="宋体" w:hAnsi="宋体" w:eastAsia="宋体" w:cs="宋体"/>
          <w:color w:val="auto"/>
          <w:sz w:val="24"/>
          <w:szCs w:val="24"/>
          <w:highlight w:val="none"/>
        </w:rPr>
      </w:pPr>
    </w:p>
    <w:p>
      <w:pPr>
        <w:spacing w:line="400" w:lineRule="exact"/>
        <w:jc w:val="center"/>
        <w:rPr>
          <w:rFonts w:hint="eastAsia" w:ascii="宋体" w:hAnsi="宋体" w:eastAsia="宋体" w:cs="宋体"/>
          <w:color w:val="auto"/>
          <w:sz w:val="24"/>
          <w:szCs w:val="24"/>
          <w:highlight w:val="none"/>
        </w:rPr>
      </w:pPr>
    </w:p>
    <w:p>
      <w:pPr>
        <w:spacing w:line="400" w:lineRule="exact"/>
        <w:jc w:val="center"/>
        <w:rPr>
          <w:rFonts w:hint="eastAsia" w:ascii="宋体" w:hAnsi="宋体" w:eastAsia="宋体" w:cs="宋体"/>
          <w:color w:val="auto"/>
          <w:sz w:val="24"/>
          <w:szCs w:val="24"/>
          <w:highlight w:val="none"/>
        </w:rPr>
      </w:pPr>
    </w:p>
    <w:p>
      <w:pPr>
        <w:spacing w:line="400" w:lineRule="exact"/>
        <w:jc w:val="center"/>
        <w:rPr>
          <w:rFonts w:hint="eastAsia" w:ascii="宋体" w:hAnsi="宋体" w:eastAsia="宋体" w:cs="宋体"/>
          <w:color w:val="auto"/>
          <w:sz w:val="24"/>
          <w:szCs w:val="24"/>
          <w:highlight w:val="none"/>
        </w:rPr>
      </w:pPr>
    </w:p>
    <w:p>
      <w:pPr>
        <w:spacing w:line="400" w:lineRule="exact"/>
        <w:jc w:val="center"/>
        <w:rPr>
          <w:rFonts w:hint="eastAsia" w:ascii="宋体" w:hAnsi="宋体" w:eastAsia="宋体" w:cs="宋体"/>
          <w:color w:val="auto"/>
          <w:sz w:val="24"/>
          <w:szCs w:val="24"/>
          <w:highlight w:val="none"/>
        </w:rPr>
      </w:pPr>
    </w:p>
    <w:p>
      <w:pPr>
        <w:spacing w:line="400" w:lineRule="exact"/>
        <w:jc w:val="center"/>
        <w:rPr>
          <w:rFonts w:hint="eastAsia" w:ascii="宋体" w:hAnsi="宋体" w:eastAsia="宋体" w:cs="宋体"/>
          <w:color w:val="auto"/>
          <w:sz w:val="24"/>
          <w:szCs w:val="24"/>
          <w:highlight w:val="none"/>
        </w:rPr>
      </w:pPr>
    </w:p>
    <w:p>
      <w:pPr>
        <w:spacing w:line="400" w:lineRule="exact"/>
        <w:jc w:val="center"/>
        <w:rPr>
          <w:rFonts w:hint="eastAsia" w:ascii="宋体" w:hAnsi="宋体" w:eastAsia="宋体" w:cs="宋体"/>
          <w:color w:val="auto"/>
          <w:sz w:val="24"/>
          <w:szCs w:val="24"/>
          <w:highlight w:val="none"/>
        </w:rPr>
      </w:pPr>
    </w:p>
    <w:p>
      <w:pPr>
        <w:pStyle w:val="15"/>
        <w:spacing w:after="0" w:line="400" w:lineRule="exact"/>
        <w:ind w:left="0" w:leftChars="0" w:right="0" w:rightChars="0"/>
        <w:rPr>
          <w:rFonts w:hint="eastAsia" w:ascii="宋体" w:hAnsi="宋体" w:eastAsia="宋体" w:cs="宋体"/>
          <w:color w:val="auto"/>
          <w:highlight w:val="none"/>
        </w:rPr>
      </w:pPr>
    </w:p>
    <w:p>
      <w:pPr>
        <w:spacing w:line="400" w:lineRule="exact"/>
        <w:rPr>
          <w:rFonts w:hint="eastAsia" w:ascii="宋体" w:hAnsi="宋体" w:eastAsia="宋体" w:cs="宋体"/>
          <w:color w:val="auto"/>
          <w:sz w:val="24"/>
          <w:szCs w:val="24"/>
          <w:highlight w:val="none"/>
        </w:rPr>
      </w:pPr>
    </w:p>
    <w:p>
      <w:pPr>
        <w:pStyle w:val="38"/>
        <w:rPr>
          <w:rFonts w:hint="eastAsia" w:ascii="宋体" w:hAnsi="宋体" w:eastAsia="宋体" w:cs="宋体"/>
          <w:b/>
          <w:color w:val="auto"/>
          <w:szCs w:val="24"/>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附件9</w:t>
      </w:r>
    </w:p>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投标人同类项目业绩一览表（如有）</w:t>
      </w:r>
    </w:p>
    <w:p>
      <w:pPr>
        <w:spacing w:line="400" w:lineRule="exact"/>
        <w:rPr>
          <w:rFonts w:hint="eastAsia" w:ascii="宋体" w:hAnsi="宋体" w:eastAsia="宋体" w:cs="宋体"/>
          <w:b/>
          <w:bCs/>
          <w:color w:val="auto"/>
          <w:sz w:val="24"/>
          <w:szCs w:val="24"/>
          <w:highlight w:val="none"/>
        </w:rPr>
      </w:pPr>
    </w:p>
    <w:p>
      <w:pPr>
        <w:pStyle w:val="15"/>
        <w:spacing w:after="0" w:line="400" w:lineRule="exact"/>
        <w:ind w:left="0" w:leftChars="0" w:right="0" w:rightChars="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xml:space="preserve">项目名称：                         项目编号：                  </w:t>
      </w:r>
    </w:p>
    <w:tbl>
      <w:tblPr>
        <w:tblStyle w:val="29"/>
        <w:tblW w:w="89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4"/>
        <w:gridCol w:w="1483"/>
        <w:gridCol w:w="1463"/>
        <w:gridCol w:w="1275"/>
        <w:gridCol w:w="1276"/>
        <w:gridCol w:w="25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83" w:type="dxa"/>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用户名称</w:t>
            </w:r>
          </w:p>
        </w:tc>
        <w:tc>
          <w:tcPr>
            <w:tcW w:w="1463" w:type="dxa"/>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275" w:type="dxa"/>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276" w:type="dxa"/>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tc>
        <w:tc>
          <w:tcPr>
            <w:tcW w:w="2535" w:type="dxa"/>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用户联系方式/手机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bl>
    <w:p>
      <w:pPr>
        <w:spacing w:line="400" w:lineRule="exact"/>
        <w:ind w:left="706" w:hanging="705" w:hangingChars="2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备注：证明材料附后</w:t>
      </w:r>
    </w:p>
    <w:p>
      <w:pPr>
        <w:widowControl/>
        <w:spacing w:line="400" w:lineRule="exact"/>
        <w:rPr>
          <w:rFonts w:hint="eastAsia" w:ascii="宋体" w:hAnsi="宋体" w:eastAsia="宋体" w:cs="宋体"/>
          <w:color w:val="auto"/>
          <w:kern w:val="0"/>
          <w:sz w:val="24"/>
          <w:szCs w:val="24"/>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附件10</w:t>
      </w:r>
    </w:p>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采购需求偏离表</w:t>
      </w:r>
    </w:p>
    <w:p>
      <w:pPr>
        <w:pStyle w:val="15"/>
        <w:spacing w:after="0" w:line="400" w:lineRule="exact"/>
        <w:ind w:left="0" w:leftChars="0" w:right="0" w:rightChars="0"/>
        <w:rPr>
          <w:rFonts w:hint="eastAsia" w:ascii="宋体" w:hAnsi="宋体" w:eastAsia="宋体" w:cs="宋体"/>
          <w:color w:val="auto"/>
          <w:highlight w:val="none"/>
        </w:rPr>
      </w:pPr>
      <w:r>
        <w:rPr>
          <w:rFonts w:hint="eastAsia" w:ascii="宋体" w:hAnsi="宋体" w:eastAsia="宋体" w:cs="宋体"/>
          <w:b/>
          <w:color w:val="auto"/>
          <w:sz w:val="24"/>
          <w:szCs w:val="24"/>
          <w:highlight w:val="none"/>
        </w:rPr>
        <w:t xml:space="preserve">项目名称：                       项目编号：                  </w:t>
      </w:r>
    </w:p>
    <w:tbl>
      <w:tblPr>
        <w:tblStyle w:val="29"/>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序号</w:t>
            </w:r>
          </w:p>
        </w:tc>
        <w:tc>
          <w:tcPr>
            <w:tcW w:w="1656" w:type="dxa"/>
            <w:vAlign w:val="center"/>
          </w:tcPr>
          <w:p>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招标文件要求</w:t>
            </w:r>
          </w:p>
        </w:tc>
        <w:tc>
          <w:tcPr>
            <w:tcW w:w="3219" w:type="dxa"/>
            <w:vAlign w:val="center"/>
          </w:tcPr>
          <w:p>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投标文件对应规范</w:t>
            </w:r>
          </w:p>
        </w:tc>
        <w:tc>
          <w:tcPr>
            <w:tcW w:w="1822" w:type="dxa"/>
            <w:vAlign w:val="center"/>
          </w:tcPr>
          <w:p>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是否偏离</w:t>
            </w:r>
          </w:p>
          <w:p>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（提供说明）</w:t>
            </w:r>
          </w:p>
        </w:tc>
        <w:tc>
          <w:tcPr>
            <w:tcW w:w="1676" w:type="dxa"/>
            <w:vAlign w:val="center"/>
          </w:tcPr>
          <w:p>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4" w:type="dxa"/>
            <w:gridSpan w:val="5"/>
            <w:vAlign w:val="center"/>
          </w:tcPr>
          <w:p>
            <w:pPr>
              <w:snapToGrid w:val="0"/>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rPr>
                <w:rFonts w:hint="eastAsia" w:ascii="宋体" w:hAnsi="宋体" w:eastAsia="宋体" w:cs="宋体"/>
                <w:color w:val="auto"/>
                <w:spacing w:val="-6"/>
                <w:sz w:val="24"/>
                <w:highlight w:val="none"/>
              </w:rPr>
            </w:pPr>
          </w:p>
        </w:tc>
        <w:tc>
          <w:tcPr>
            <w:tcW w:w="1656" w:type="dxa"/>
            <w:vAlign w:val="center"/>
          </w:tcPr>
          <w:p>
            <w:pPr>
              <w:snapToGrid w:val="0"/>
              <w:spacing w:line="400" w:lineRule="exact"/>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4" w:type="dxa"/>
            <w:gridSpan w:val="5"/>
            <w:vAlign w:val="center"/>
          </w:tcPr>
          <w:p>
            <w:pPr>
              <w:snapToGrid w:val="0"/>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rPr>
                <w:rFonts w:hint="eastAsia" w:ascii="宋体" w:hAnsi="宋体" w:eastAsia="宋体" w:cs="宋体"/>
                <w:color w:val="auto"/>
                <w:spacing w:val="-6"/>
                <w:sz w:val="24"/>
                <w:highlight w:val="none"/>
              </w:rPr>
            </w:pPr>
          </w:p>
        </w:tc>
        <w:tc>
          <w:tcPr>
            <w:tcW w:w="1656" w:type="dxa"/>
            <w:vAlign w:val="center"/>
          </w:tcPr>
          <w:p>
            <w:pPr>
              <w:snapToGrid w:val="0"/>
              <w:spacing w:line="400" w:lineRule="exact"/>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bl>
    <w:p>
      <w:pPr>
        <w:adjustRightInd w:val="0"/>
        <w:snapToGrid w:val="0"/>
        <w:spacing w:line="400" w:lineRule="exact"/>
        <w:jc w:val="lef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highlight w:val="none"/>
        </w:rPr>
        <w:t>注意：</w:t>
      </w:r>
      <w:r>
        <w:rPr>
          <w:rFonts w:hint="eastAsia" w:ascii="宋体" w:hAnsi="宋体" w:eastAsia="宋体" w:cs="宋体"/>
          <w:b/>
          <w:bCs/>
          <w:color w:val="auto"/>
          <w:spacing w:val="-6"/>
          <w:sz w:val="24"/>
          <w:szCs w:val="24"/>
          <w:highlight w:val="none"/>
        </w:rPr>
        <w:t>1.此表对应本招标文件“第五部分 采购需求”中的商务要求和技术要求，逐项按照招标文件要求填写响应规格；未按采购需求要求提供相应证明材料的视为负偏离。</w:t>
      </w:r>
    </w:p>
    <w:p>
      <w:pPr>
        <w:adjustRightInd w:val="0"/>
        <w:snapToGrid w:val="0"/>
        <w:spacing w:line="400" w:lineRule="exact"/>
        <w:ind w:firstLine="458" w:firstLineChars="200"/>
        <w:jc w:val="lef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2.偏离说明是指对招标文件要求存在不同之处的解释说明。偏离系指：正偏离（高于采购需求）、负偏离（低于采购需求）、无偏离（满足采购需求）；</w:t>
      </w:r>
    </w:p>
    <w:p>
      <w:pPr>
        <w:adjustRightInd w:val="0"/>
        <w:snapToGrid w:val="0"/>
        <w:spacing w:line="400" w:lineRule="exact"/>
        <w:ind w:left="460"/>
        <w:jc w:val="lef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3.</w:t>
      </w:r>
      <w:r>
        <w:rPr>
          <w:rFonts w:hint="eastAsia" w:ascii="宋体" w:hAnsi="宋体" w:eastAsia="宋体" w:cs="宋体"/>
          <w:b/>
          <w:bCs/>
          <w:color w:val="auto"/>
          <w:spacing w:val="-6"/>
          <w:sz w:val="24"/>
          <w:highlight w:val="none"/>
        </w:rPr>
        <w:t>如不填写或留空，则视为完全响应磋商文件的要求</w:t>
      </w:r>
      <w:r>
        <w:rPr>
          <w:rFonts w:hint="eastAsia" w:ascii="宋体" w:hAnsi="宋体" w:eastAsia="宋体" w:cs="宋体"/>
          <w:b/>
          <w:color w:val="auto"/>
          <w:spacing w:val="-6"/>
          <w:sz w:val="24"/>
          <w:highlight w:val="none"/>
        </w:rPr>
        <w:t>，自行承担投标响应风险</w:t>
      </w:r>
      <w:r>
        <w:rPr>
          <w:rFonts w:hint="eastAsia" w:ascii="宋体" w:hAnsi="宋体" w:eastAsia="宋体" w:cs="宋体"/>
          <w:b/>
          <w:bCs/>
          <w:color w:val="auto"/>
          <w:spacing w:val="-6"/>
          <w:sz w:val="24"/>
          <w:szCs w:val="24"/>
          <w:highlight w:val="none"/>
        </w:rPr>
        <w:t>。</w:t>
      </w:r>
    </w:p>
    <w:p>
      <w:pPr>
        <w:adjustRightInd w:val="0"/>
        <w:snapToGrid w:val="0"/>
        <w:spacing w:line="400" w:lineRule="exact"/>
        <w:ind w:firstLine="687" w:firstLineChars="300"/>
        <w:jc w:val="left"/>
        <w:rPr>
          <w:rFonts w:hint="eastAsia" w:ascii="宋体" w:hAnsi="宋体" w:eastAsia="宋体" w:cs="宋体"/>
          <w:b/>
          <w:bCs/>
          <w:color w:val="auto"/>
          <w:spacing w:val="-6"/>
          <w:sz w:val="24"/>
          <w:szCs w:val="24"/>
          <w:highlight w:val="none"/>
        </w:rPr>
      </w:pPr>
    </w:p>
    <w:p>
      <w:pPr>
        <w:widowControl/>
        <w:spacing w:line="400" w:lineRule="exact"/>
        <w:rPr>
          <w:rFonts w:hint="eastAsia" w:ascii="宋体" w:hAnsi="宋体" w:eastAsia="宋体" w:cs="宋体"/>
          <w:color w:val="auto"/>
          <w:kern w:val="0"/>
          <w:sz w:val="24"/>
          <w:szCs w:val="24"/>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附件11</w:t>
      </w:r>
    </w:p>
    <w:p>
      <w:pPr>
        <w:pStyle w:val="62"/>
        <w:snapToGrid w:val="0"/>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政府采购活动现场确认声明书</w:t>
      </w:r>
    </w:p>
    <w:p>
      <w:pPr>
        <w:pStyle w:val="62"/>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u w:val="single"/>
        </w:rPr>
        <w:t>浙江乐诚工程咨询有限公司</w:t>
      </w:r>
      <w:r>
        <w:rPr>
          <w:rFonts w:hint="eastAsia" w:ascii="宋体" w:hAnsi="宋体" w:eastAsia="宋体" w:cs="宋体"/>
          <w:color w:val="auto"/>
          <w:kern w:val="0"/>
          <w:sz w:val="24"/>
          <w:szCs w:val="24"/>
          <w:highlight w:val="none"/>
        </w:rPr>
        <w:t>：</w:t>
      </w:r>
    </w:p>
    <w:p>
      <w:pPr>
        <w:pStyle w:val="62"/>
        <w:snapToGrid w:val="0"/>
        <w:spacing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pacing w:val="6"/>
          <w:sz w:val="24"/>
          <w:szCs w:val="24"/>
          <w:highlight w:val="none"/>
          <w:u w:val="single"/>
        </w:rPr>
        <w:t>单位）</w:t>
      </w:r>
      <w:r>
        <w:rPr>
          <w:rFonts w:hint="eastAsia" w:ascii="宋体" w:hAnsi="宋体" w:eastAsia="宋体" w:cs="宋体"/>
          <w:color w:val="auto"/>
          <w:spacing w:val="6"/>
          <w:sz w:val="24"/>
          <w:szCs w:val="24"/>
          <w:highlight w:val="none"/>
        </w:rPr>
        <w:t>法人代表负责人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pPr>
        <w:pStyle w:val="62"/>
        <w:numPr>
          <w:ilvl w:val="0"/>
          <w:numId w:val="10"/>
        </w:numPr>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本单位与采购人之间□不存在利害关系 □存在下列利害关系：</w:t>
      </w:r>
    </w:p>
    <w:p>
      <w:pPr>
        <w:pStyle w:val="62"/>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A.投资关系    B.行政隶属关系    C.业务指导关系</w:t>
      </w:r>
    </w:p>
    <w:p>
      <w:pPr>
        <w:pStyle w:val="62"/>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pPr>
        <w:pStyle w:val="63"/>
        <w:widowControl/>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p>
    <w:p>
      <w:pPr>
        <w:pStyle w:val="62"/>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pPr>
        <w:pStyle w:val="62"/>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pPr>
        <w:pStyle w:val="62"/>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pPr>
        <w:pStyle w:val="62"/>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pPr>
        <w:pStyle w:val="62"/>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pPr>
        <w:pStyle w:val="62"/>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pPr>
        <w:pStyle w:val="62"/>
        <w:snapToGrid w:val="0"/>
        <w:spacing w:line="400" w:lineRule="exac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pPr>
        <w:pStyle w:val="62"/>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pPr>
        <w:pStyle w:val="62"/>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63"/>
        <w:widowControl/>
        <w:numPr>
          <w:ilvl w:val="0"/>
          <w:numId w:val="11"/>
        </w:numPr>
        <w:snapToGrid w:val="0"/>
        <w:spacing w:line="40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pPr>
        <w:pStyle w:val="63"/>
        <w:widowControl/>
        <w:numPr>
          <w:ilvl w:val="0"/>
          <w:numId w:val="11"/>
        </w:numPr>
        <w:snapToGrid w:val="0"/>
        <w:spacing w:line="40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项利害关系。</w:t>
      </w:r>
    </w:p>
    <w:p>
      <w:pPr>
        <w:pStyle w:val="62"/>
        <w:snapToGrid w:val="0"/>
        <w:spacing w:line="400" w:lineRule="exact"/>
        <w:ind w:firstLine="480" w:firstLineChars="200"/>
        <w:rPr>
          <w:rFonts w:hint="eastAsia" w:ascii="宋体" w:hAnsi="宋体" w:eastAsia="宋体" w:cs="宋体"/>
          <w:color w:val="auto"/>
          <w:sz w:val="24"/>
          <w:szCs w:val="24"/>
          <w:highlight w:val="none"/>
        </w:rPr>
      </w:pPr>
    </w:p>
    <w:p>
      <w:pPr>
        <w:pStyle w:val="62"/>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供应商授权代表签名：</w:t>
      </w:r>
    </w:p>
    <w:p>
      <w:pPr>
        <w:pStyle w:val="62"/>
        <w:snapToGrid w:val="0"/>
        <w:spacing w:line="600" w:lineRule="exact"/>
        <w:jc w:val="right"/>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2022年09月26日</w:t>
      </w:r>
      <w:r>
        <w:rPr>
          <w:rFonts w:hint="eastAsia" w:ascii="宋体" w:hAnsi="宋体" w:eastAsia="宋体" w:cs="宋体"/>
          <w:color w:val="auto"/>
          <w:sz w:val="24"/>
          <w:szCs w:val="24"/>
          <w:highlight w:val="none"/>
        </w:rPr>
        <w:t xml:space="preserve">  </w:t>
      </w:r>
    </w:p>
    <w:p>
      <w:pPr>
        <w:pStyle w:val="15"/>
        <w:ind w:left="1470" w:right="1470"/>
        <w:rPr>
          <w:rFonts w:hint="eastAsia" w:ascii="宋体" w:hAnsi="宋体" w:eastAsia="宋体" w:cs="宋体"/>
          <w:color w:val="auto"/>
          <w:sz w:val="24"/>
          <w:szCs w:val="24"/>
          <w:highlight w:val="none"/>
        </w:rPr>
      </w:pPr>
    </w:p>
    <w:p>
      <w:pPr>
        <w:pStyle w:val="15"/>
        <w:ind w:left="1470" w:right="1470"/>
        <w:rPr>
          <w:rFonts w:hint="eastAsia" w:ascii="宋体" w:hAnsi="宋体" w:eastAsia="宋体" w:cs="宋体"/>
          <w:color w:val="auto"/>
          <w:kern w:val="0"/>
          <w:sz w:val="24"/>
          <w:szCs w:val="24"/>
          <w:highlight w:val="none"/>
        </w:rPr>
      </w:pPr>
    </w:p>
    <w:p>
      <w:pPr>
        <w:pStyle w:val="15"/>
        <w:spacing w:after="0"/>
        <w:ind w:left="0" w:leftChars="0" w:right="0" w:rightChars="0"/>
        <w:jc w:val="center"/>
        <w:rPr>
          <w:rFonts w:hint="eastAsia" w:ascii="宋体" w:hAnsi="宋体" w:eastAsia="宋体" w:cs="宋体"/>
          <w:b/>
          <w:color w:val="auto"/>
          <w:sz w:val="32"/>
          <w:highlight w:val="none"/>
        </w:rPr>
      </w:pPr>
    </w:p>
    <w:p>
      <w:pPr>
        <w:pStyle w:val="15"/>
        <w:spacing w:after="0"/>
        <w:ind w:left="0" w:leftChars="0" w:right="0" w:rightChars="0"/>
        <w:jc w:val="center"/>
        <w:rPr>
          <w:rFonts w:hint="eastAsia" w:ascii="宋体" w:hAnsi="宋体" w:eastAsia="宋体" w:cs="宋体"/>
          <w:b/>
          <w:color w:val="auto"/>
          <w:sz w:val="32"/>
          <w:highlight w:val="none"/>
        </w:rPr>
      </w:pPr>
    </w:p>
    <w:p>
      <w:pPr>
        <w:pStyle w:val="15"/>
        <w:spacing w:after="0"/>
        <w:ind w:left="0" w:leftChars="0" w:right="0" w:rightChars="0"/>
        <w:jc w:val="center"/>
        <w:rPr>
          <w:rFonts w:hint="eastAsia" w:ascii="宋体" w:hAnsi="宋体" w:eastAsia="宋体" w:cs="宋体"/>
          <w:b/>
          <w:color w:val="auto"/>
          <w:sz w:val="32"/>
          <w:highlight w:val="none"/>
        </w:rPr>
      </w:pPr>
    </w:p>
    <w:p>
      <w:pPr>
        <w:pStyle w:val="15"/>
        <w:spacing w:after="0"/>
        <w:ind w:left="0" w:leftChars="0" w:right="0" w:rightChars="0"/>
        <w:jc w:val="center"/>
        <w:rPr>
          <w:rFonts w:hint="eastAsia" w:ascii="宋体" w:hAnsi="宋体" w:eastAsia="宋体" w:cs="宋体"/>
          <w:b/>
          <w:color w:val="auto"/>
          <w:sz w:val="32"/>
          <w:highlight w:val="none"/>
        </w:rPr>
      </w:pPr>
    </w:p>
    <w:p>
      <w:pPr>
        <w:pStyle w:val="15"/>
        <w:spacing w:after="0"/>
        <w:ind w:left="0" w:leftChars="0" w:right="0" w:rightChars="0"/>
        <w:jc w:val="center"/>
        <w:rPr>
          <w:rFonts w:hint="eastAsia" w:ascii="宋体" w:hAnsi="宋体" w:eastAsia="宋体" w:cs="宋体"/>
          <w:b/>
          <w:color w:val="auto"/>
          <w:sz w:val="32"/>
          <w:highlight w:val="none"/>
        </w:rPr>
      </w:pP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附件12</w:t>
      </w:r>
    </w:p>
    <w:p>
      <w:pPr>
        <w:snapToGrid w:val="0"/>
        <w:ind w:right="-10"/>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配置的设备及工具一览表</w:t>
      </w:r>
    </w:p>
    <w:p>
      <w:pPr>
        <w:snapToGrid w:val="0"/>
        <w:spacing w:after="120" w:line="240" w:lineRule="atLeast"/>
        <w:rPr>
          <w:rFonts w:hint="eastAsia" w:ascii="宋体" w:hAnsi="宋体" w:eastAsia="宋体" w:cs="宋体"/>
          <w:color w:val="auto"/>
          <w:highlight w:val="none"/>
        </w:rPr>
      </w:pPr>
    </w:p>
    <w:p>
      <w:pPr>
        <w:snapToGrid w:val="0"/>
        <w:spacing w:after="120"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项目名称：                                                 项目编号： </w:t>
      </w:r>
    </w:p>
    <w:tbl>
      <w:tblPr>
        <w:tblStyle w:val="29"/>
        <w:tblW w:w="9540" w:type="dxa"/>
        <w:tblInd w:w="0" w:type="dxa"/>
        <w:tblLayout w:type="fixed"/>
        <w:tblCellMar>
          <w:top w:w="0" w:type="dxa"/>
          <w:left w:w="0" w:type="dxa"/>
          <w:bottom w:w="0" w:type="dxa"/>
          <w:right w:w="0" w:type="dxa"/>
        </w:tblCellMar>
      </w:tblPr>
      <w:tblGrid>
        <w:gridCol w:w="930"/>
        <w:gridCol w:w="2026"/>
        <w:gridCol w:w="2250"/>
        <w:gridCol w:w="1349"/>
        <w:gridCol w:w="945"/>
        <w:gridCol w:w="1110"/>
        <w:gridCol w:w="930"/>
      </w:tblGrid>
      <w:tr>
        <w:tblPrEx>
          <w:tblCellMar>
            <w:top w:w="0" w:type="dxa"/>
            <w:left w:w="0" w:type="dxa"/>
            <w:bottom w:w="0" w:type="dxa"/>
            <w:right w:w="0" w:type="dxa"/>
          </w:tblCellMar>
        </w:tblPrEx>
        <w:trPr>
          <w:trHeight w:val="831" w:hRule="atLeast"/>
        </w:trPr>
        <w:tc>
          <w:tcPr>
            <w:tcW w:w="930" w:type="dxa"/>
            <w:tcBorders>
              <w:top w:val="single" w:color="000000" w:sz="12" w:space="0"/>
              <w:left w:val="single" w:color="000000" w:sz="12"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序号</w:t>
            </w:r>
          </w:p>
        </w:tc>
        <w:tc>
          <w:tcPr>
            <w:tcW w:w="2026"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设备/工具名称</w:t>
            </w:r>
          </w:p>
        </w:tc>
        <w:tc>
          <w:tcPr>
            <w:tcW w:w="225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型号规格</w:t>
            </w:r>
          </w:p>
        </w:tc>
        <w:tc>
          <w:tcPr>
            <w:tcW w:w="1349"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品牌/产地</w:t>
            </w:r>
          </w:p>
        </w:tc>
        <w:tc>
          <w:tcPr>
            <w:tcW w:w="945"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数量</w:t>
            </w:r>
          </w:p>
        </w:tc>
        <w:tc>
          <w:tcPr>
            <w:tcW w:w="111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价格（元）</w:t>
            </w:r>
          </w:p>
        </w:tc>
        <w:tc>
          <w:tcPr>
            <w:tcW w:w="930" w:type="dxa"/>
            <w:tcBorders>
              <w:top w:val="single" w:color="000000" w:sz="12" w:space="0"/>
              <w:left w:val="single" w:color="000000" w:sz="4" w:space="0"/>
              <w:bottom w:val="single" w:color="000000" w:sz="12" w:space="0"/>
              <w:right w:val="single" w:color="000000" w:sz="12"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备注</w:t>
            </w:r>
          </w:p>
        </w:tc>
      </w:tr>
      <w:tr>
        <w:tblPrEx>
          <w:tblCellMar>
            <w:top w:w="0" w:type="dxa"/>
            <w:left w:w="0" w:type="dxa"/>
            <w:bottom w:w="0" w:type="dxa"/>
            <w:right w:w="0" w:type="dxa"/>
          </w:tblCellMar>
        </w:tblPrEx>
        <w:trPr>
          <w:trHeight w:val="520" w:hRule="atLeast"/>
        </w:trPr>
        <w:tc>
          <w:tcPr>
            <w:tcW w:w="930" w:type="dxa"/>
            <w:tcBorders>
              <w:top w:val="single" w:color="000000" w:sz="12"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12"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12"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bl>
    <w:p>
      <w:pPr>
        <w:snapToGrid w:val="0"/>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附注：1. 本表所列为采购人拟投入的设备及工具。</w:t>
      </w:r>
    </w:p>
    <w:p>
      <w:pPr>
        <w:snapToGrid w:val="0"/>
        <w:spacing w:line="400" w:lineRule="exact"/>
        <w:ind w:firstLine="672"/>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 本表中所列设备价格不计入投标总价。</w:t>
      </w:r>
    </w:p>
    <w:p>
      <w:pPr>
        <w:snapToGrid w:val="0"/>
        <w:spacing w:line="400" w:lineRule="exact"/>
        <w:ind w:firstLine="676"/>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 此表仅提供了表格形式，投标人应根据需要准备足够数量的表格来填写。</w:t>
      </w:r>
    </w:p>
    <w:p>
      <w:pPr>
        <w:snapToGrid w:val="0"/>
        <w:rPr>
          <w:rFonts w:hint="eastAsia" w:ascii="宋体" w:hAnsi="宋体" w:eastAsia="宋体" w:cs="宋体"/>
          <w:color w:val="auto"/>
          <w:sz w:val="22"/>
          <w:highlight w:val="none"/>
        </w:rPr>
      </w:pPr>
    </w:p>
    <w:p>
      <w:pPr>
        <w:widowControl/>
        <w:spacing w:line="400" w:lineRule="exact"/>
        <w:rPr>
          <w:rFonts w:hint="eastAsia" w:ascii="宋体" w:hAnsi="宋体" w:eastAsia="宋体" w:cs="宋体"/>
          <w:color w:val="auto"/>
          <w:kern w:val="0"/>
          <w:sz w:val="24"/>
          <w:szCs w:val="24"/>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pStyle w:val="15"/>
        <w:spacing w:after="0"/>
        <w:ind w:left="0" w:leftChars="0" w:right="0" w:rightChars="0"/>
        <w:jc w:val="center"/>
        <w:rPr>
          <w:rFonts w:hint="eastAsia" w:ascii="宋体" w:hAnsi="宋体" w:eastAsia="宋体" w:cs="宋体"/>
          <w:b/>
          <w:color w:val="auto"/>
          <w:sz w:val="32"/>
          <w:highlight w:val="none"/>
        </w:rPr>
      </w:pPr>
    </w:p>
    <w:p>
      <w:pPr>
        <w:pStyle w:val="15"/>
        <w:spacing w:after="0"/>
        <w:ind w:left="0" w:leftChars="0" w:right="0" w:rightChars="0"/>
        <w:jc w:val="center"/>
        <w:rPr>
          <w:rFonts w:hint="eastAsia" w:ascii="宋体" w:hAnsi="宋体" w:eastAsia="宋体" w:cs="宋体"/>
          <w:b/>
          <w:color w:val="auto"/>
          <w:sz w:val="32"/>
          <w:highlight w:val="none"/>
        </w:rPr>
      </w:pPr>
    </w:p>
    <w:p>
      <w:pPr>
        <w:pStyle w:val="15"/>
        <w:spacing w:after="0"/>
        <w:ind w:left="0" w:leftChars="0" w:right="0" w:rightChars="0"/>
        <w:jc w:val="center"/>
        <w:rPr>
          <w:rFonts w:hint="eastAsia" w:ascii="宋体" w:hAnsi="宋体" w:eastAsia="宋体" w:cs="宋体"/>
          <w:b/>
          <w:color w:val="auto"/>
          <w:sz w:val="32"/>
          <w:highlight w:val="none"/>
        </w:rPr>
      </w:pP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附件13</w:t>
      </w:r>
    </w:p>
    <w:p>
      <w:pPr>
        <w:snapToGrid w:val="0"/>
        <w:ind w:right="-10"/>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耗材配备一览表</w:t>
      </w:r>
    </w:p>
    <w:p>
      <w:pPr>
        <w:snapToGrid w:val="0"/>
        <w:spacing w:after="120" w:line="240" w:lineRule="atLeast"/>
        <w:rPr>
          <w:rFonts w:hint="eastAsia" w:ascii="宋体" w:hAnsi="宋体" w:eastAsia="宋体" w:cs="宋体"/>
          <w:color w:val="auto"/>
          <w:highlight w:val="none"/>
        </w:rPr>
      </w:pPr>
    </w:p>
    <w:p>
      <w:pPr>
        <w:snapToGrid w:val="0"/>
        <w:spacing w:after="120"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项目名称：                                                     项目编号： </w:t>
      </w:r>
    </w:p>
    <w:tbl>
      <w:tblPr>
        <w:tblStyle w:val="29"/>
        <w:tblW w:w="9288" w:type="dxa"/>
        <w:tblInd w:w="0" w:type="dxa"/>
        <w:tblLayout w:type="fixed"/>
        <w:tblCellMar>
          <w:top w:w="0" w:type="dxa"/>
          <w:left w:w="0" w:type="dxa"/>
          <w:bottom w:w="0" w:type="dxa"/>
          <w:right w:w="0" w:type="dxa"/>
        </w:tblCellMar>
      </w:tblPr>
      <w:tblGrid>
        <w:gridCol w:w="678"/>
        <w:gridCol w:w="2026"/>
        <w:gridCol w:w="2250"/>
        <w:gridCol w:w="1349"/>
        <w:gridCol w:w="945"/>
        <w:gridCol w:w="1110"/>
        <w:gridCol w:w="930"/>
      </w:tblGrid>
      <w:tr>
        <w:tblPrEx>
          <w:tblCellMar>
            <w:top w:w="0" w:type="dxa"/>
            <w:left w:w="0" w:type="dxa"/>
            <w:bottom w:w="0" w:type="dxa"/>
            <w:right w:w="0" w:type="dxa"/>
          </w:tblCellMar>
        </w:tblPrEx>
        <w:trPr>
          <w:trHeight w:val="831" w:hRule="atLeast"/>
        </w:trPr>
        <w:tc>
          <w:tcPr>
            <w:tcW w:w="678" w:type="dxa"/>
            <w:tcBorders>
              <w:top w:val="single" w:color="000000" w:sz="12" w:space="0"/>
              <w:left w:val="single" w:color="000000" w:sz="12"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序号</w:t>
            </w:r>
          </w:p>
        </w:tc>
        <w:tc>
          <w:tcPr>
            <w:tcW w:w="2026"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耗材名称</w:t>
            </w:r>
          </w:p>
        </w:tc>
        <w:tc>
          <w:tcPr>
            <w:tcW w:w="225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型号规格</w:t>
            </w:r>
          </w:p>
        </w:tc>
        <w:tc>
          <w:tcPr>
            <w:tcW w:w="1349"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品牌/产地</w:t>
            </w:r>
          </w:p>
        </w:tc>
        <w:tc>
          <w:tcPr>
            <w:tcW w:w="945"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数量</w:t>
            </w:r>
          </w:p>
        </w:tc>
        <w:tc>
          <w:tcPr>
            <w:tcW w:w="111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价格（元）</w:t>
            </w:r>
          </w:p>
        </w:tc>
        <w:tc>
          <w:tcPr>
            <w:tcW w:w="930" w:type="dxa"/>
            <w:tcBorders>
              <w:top w:val="single" w:color="000000" w:sz="12" w:space="0"/>
              <w:left w:val="single" w:color="000000" w:sz="4" w:space="0"/>
              <w:bottom w:val="single" w:color="000000" w:sz="12" w:space="0"/>
              <w:right w:val="single" w:color="000000" w:sz="12"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备注</w:t>
            </w:r>
          </w:p>
        </w:tc>
      </w:tr>
      <w:tr>
        <w:tblPrEx>
          <w:tblCellMar>
            <w:top w:w="0" w:type="dxa"/>
            <w:left w:w="0" w:type="dxa"/>
            <w:bottom w:w="0" w:type="dxa"/>
            <w:right w:w="0" w:type="dxa"/>
          </w:tblCellMar>
        </w:tblPrEx>
        <w:trPr>
          <w:trHeight w:val="520" w:hRule="atLeast"/>
        </w:trPr>
        <w:tc>
          <w:tcPr>
            <w:tcW w:w="678" w:type="dxa"/>
            <w:tcBorders>
              <w:top w:val="single" w:color="000000" w:sz="12"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12"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2250"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349"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45"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1110"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c>
          <w:tcPr>
            <w:tcW w:w="930" w:type="dxa"/>
            <w:tcBorders>
              <w:top w:val="single" w:color="000000" w:sz="4" w:space="0"/>
              <w:left w:val="single" w:color="000000" w:sz="4" w:space="0"/>
              <w:bottom w:val="single" w:color="000000" w:sz="12"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hint="eastAsia" w:ascii="宋体" w:hAnsi="宋体" w:eastAsia="宋体" w:cs="宋体"/>
                <w:color w:val="auto"/>
                <w:sz w:val="22"/>
                <w:highlight w:val="none"/>
              </w:rPr>
            </w:pPr>
          </w:p>
        </w:tc>
      </w:tr>
    </w:tbl>
    <w:p>
      <w:pPr>
        <w:snapToGrid w:val="0"/>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附注： 1. 本表所列为采购人拟投入的消耗材料清单；</w:t>
      </w:r>
    </w:p>
    <w:p>
      <w:pPr>
        <w:snapToGrid w:val="0"/>
        <w:spacing w:line="400" w:lineRule="exact"/>
        <w:ind w:firstLine="73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 本表中所列耗材价格不计入投标总价；</w:t>
      </w:r>
    </w:p>
    <w:p>
      <w:pPr>
        <w:snapToGrid w:val="0"/>
        <w:spacing w:line="400" w:lineRule="exact"/>
        <w:ind w:firstLine="73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 此表仅提供了表格形式，投标人应根据需要准备足够数量的表格来填写。</w:t>
      </w:r>
    </w:p>
    <w:p>
      <w:pPr>
        <w:snapToGrid w:val="0"/>
        <w:rPr>
          <w:rFonts w:hint="eastAsia" w:ascii="宋体" w:hAnsi="宋体" w:eastAsia="宋体" w:cs="宋体"/>
          <w:color w:val="auto"/>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附件14</w:t>
      </w:r>
    </w:p>
    <w:p>
      <w:pPr>
        <w:snapToGrid w:val="0"/>
        <w:spacing w:after="120"/>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拟派保安队长情况表</w:t>
      </w:r>
    </w:p>
    <w:p>
      <w:pPr>
        <w:snapToGrid w:val="0"/>
        <w:rPr>
          <w:rFonts w:hint="eastAsia" w:ascii="宋体" w:hAnsi="宋体" w:eastAsia="宋体" w:cs="宋体"/>
          <w:color w:val="auto"/>
          <w:sz w:val="22"/>
          <w:highlight w:val="none"/>
        </w:rPr>
      </w:pPr>
    </w:p>
    <w:p>
      <w:pPr>
        <w:snapToGrid w:val="0"/>
        <w:rPr>
          <w:rFonts w:hint="eastAsia" w:ascii="宋体" w:hAnsi="宋体" w:eastAsia="宋体" w:cs="宋体"/>
          <w:b/>
          <w:color w:val="auto"/>
          <w:sz w:val="22"/>
          <w:highlight w:val="none"/>
        </w:rPr>
      </w:pPr>
      <w:r>
        <w:rPr>
          <w:rFonts w:hint="eastAsia" w:ascii="宋体" w:hAnsi="宋体" w:eastAsia="宋体" w:cs="宋体"/>
          <w:color w:val="auto"/>
          <w:sz w:val="22"/>
          <w:highlight w:val="none"/>
        </w:rPr>
        <w:t>项目名称：                                                  项目编号：</w:t>
      </w:r>
    </w:p>
    <w:tbl>
      <w:tblPr>
        <w:tblStyle w:val="29"/>
        <w:tblW w:w="9000" w:type="dxa"/>
        <w:tblInd w:w="0" w:type="dxa"/>
        <w:tblLayout w:type="fixed"/>
        <w:tblCellMar>
          <w:top w:w="0" w:type="dxa"/>
          <w:left w:w="0" w:type="dxa"/>
          <w:bottom w:w="0" w:type="dxa"/>
          <w:right w:w="0" w:type="dxa"/>
        </w:tblCellMar>
      </w:tblPr>
      <w:tblGrid>
        <w:gridCol w:w="1974"/>
        <w:gridCol w:w="2451"/>
        <w:gridCol w:w="4575"/>
      </w:tblGrid>
      <w:tr>
        <w:tblPrEx>
          <w:tblCellMar>
            <w:top w:w="0" w:type="dxa"/>
            <w:left w:w="0" w:type="dxa"/>
            <w:bottom w:w="0" w:type="dxa"/>
            <w:right w:w="0" w:type="dxa"/>
          </w:tblCellMar>
        </w:tblPrEx>
        <w:trPr>
          <w:trHeight w:val="930" w:hRule="atLeast"/>
        </w:trPr>
        <w:tc>
          <w:tcPr>
            <w:tcW w:w="1974" w:type="dxa"/>
            <w:tcBorders>
              <w:top w:val="single" w:color="000000" w:sz="12"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姓名</w:t>
            </w:r>
          </w:p>
        </w:tc>
        <w:tc>
          <w:tcPr>
            <w:tcW w:w="2451"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hint="eastAsia" w:ascii="宋体" w:hAnsi="宋体" w:eastAsia="宋体" w:cs="宋体"/>
                <w:color w:val="auto"/>
                <w:sz w:val="22"/>
                <w:highlight w:val="none"/>
              </w:rPr>
            </w:pPr>
          </w:p>
        </w:tc>
        <w:tc>
          <w:tcPr>
            <w:tcW w:w="4575" w:type="dxa"/>
            <w:tcBorders>
              <w:top w:val="single" w:color="000000" w:sz="12"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近年来主要工作业绩</w:t>
            </w:r>
          </w:p>
        </w:tc>
      </w:tr>
      <w:tr>
        <w:tblPrEx>
          <w:tblCellMar>
            <w:top w:w="0" w:type="dxa"/>
            <w:left w:w="0" w:type="dxa"/>
            <w:bottom w:w="0" w:type="dxa"/>
            <w:right w:w="0" w:type="dxa"/>
          </w:tblCellMar>
        </w:tblPrEx>
        <w:trPr>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性别</w:t>
            </w:r>
          </w:p>
        </w:tc>
        <w:tc>
          <w:tcPr>
            <w:tcW w:w="24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hint="eastAsia" w:ascii="宋体" w:hAnsi="宋体" w:eastAsia="宋体" w:cs="宋体"/>
                <w:color w:val="auto"/>
                <w:sz w:val="22"/>
                <w:highlight w:val="none"/>
              </w:rPr>
            </w:pPr>
          </w:p>
        </w:tc>
        <w:tc>
          <w:tcPr>
            <w:tcW w:w="4575" w:type="dxa"/>
            <w:vMerge w:val="restart"/>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注：业绩证明应提供旁证材料</w:t>
            </w:r>
          </w:p>
          <w:p>
            <w:pPr>
              <w:autoSpaceDE w:val="0"/>
              <w:autoSpaceDN w:val="0"/>
              <w:snapToGrid w:val="0"/>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（合同）</w:t>
            </w:r>
          </w:p>
        </w:tc>
      </w:tr>
      <w:tr>
        <w:tblPrEx>
          <w:tblCellMar>
            <w:top w:w="0" w:type="dxa"/>
            <w:left w:w="0" w:type="dxa"/>
            <w:bottom w:w="0" w:type="dxa"/>
            <w:right w:w="0" w:type="dxa"/>
          </w:tblCellMar>
        </w:tblPrEx>
        <w:trPr>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年龄</w:t>
            </w:r>
          </w:p>
        </w:tc>
        <w:tc>
          <w:tcPr>
            <w:tcW w:w="24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hint="eastAsia" w:ascii="宋体" w:hAnsi="宋体" w:eastAsia="宋体" w:cs="宋体"/>
                <w:color w:val="auto"/>
                <w:sz w:val="22"/>
                <w:highlight w:val="none"/>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职称</w:t>
            </w:r>
          </w:p>
        </w:tc>
        <w:tc>
          <w:tcPr>
            <w:tcW w:w="24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hint="eastAsia" w:ascii="宋体" w:hAnsi="宋体" w:eastAsia="宋体" w:cs="宋体"/>
                <w:color w:val="auto"/>
                <w:sz w:val="22"/>
                <w:highlight w:val="none"/>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毕业时间</w:t>
            </w:r>
          </w:p>
        </w:tc>
        <w:tc>
          <w:tcPr>
            <w:tcW w:w="24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hint="eastAsia" w:ascii="宋体" w:hAnsi="宋体" w:eastAsia="宋体" w:cs="宋体"/>
                <w:color w:val="auto"/>
                <w:sz w:val="22"/>
                <w:highlight w:val="none"/>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学校专业</w:t>
            </w:r>
          </w:p>
        </w:tc>
        <w:tc>
          <w:tcPr>
            <w:tcW w:w="24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hint="eastAsia" w:ascii="宋体" w:hAnsi="宋体" w:eastAsia="宋体" w:cs="宋体"/>
                <w:color w:val="auto"/>
                <w:sz w:val="22"/>
                <w:highlight w:val="none"/>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联系电话</w:t>
            </w:r>
          </w:p>
        </w:tc>
        <w:tc>
          <w:tcPr>
            <w:tcW w:w="24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hint="eastAsia" w:ascii="宋体" w:hAnsi="宋体" w:eastAsia="宋体" w:cs="宋体"/>
                <w:color w:val="auto"/>
                <w:sz w:val="22"/>
                <w:highlight w:val="none"/>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最近一年工作状况</w:t>
            </w:r>
          </w:p>
        </w:tc>
        <w:tc>
          <w:tcPr>
            <w:tcW w:w="24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hint="eastAsia" w:ascii="宋体" w:hAnsi="宋体" w:eastAsia="宋体" w:cs="宋体"/>
                <w:color w:val="auto"/>
                <w:sz w:val="22"/>
                <w:highlight w:val="none"/>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930" w:hRule="atLeast"/>
        </w:trPr>
        <w:tc>
          <w:tcPr>
            <w:tcW w:w="1974" w:type="dxa"/>
            <w:tcBorders>
              <w:top w:val="single" w:color="000000" w:sz="4" w:space="0"/>
              <w:left w:val="single" w:color="000000" w:sz="12" w:space="0"/>
              <w:bottom w:val="single" w:color="000000" w:sz="12"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拟在本项目中担任主要工作</w:t>
            </w:r>
          </w:p>
        </w:tc>
        <w:tc>
          <w:tcPr>
            <w:tcW w:w="7026" w:type="dxa"/>
            <w:gridSpan w:val="2"/>
            <w:tcBorders>
              <w:top w:val="single" w:color="000000" w:sz="4" w:space="0"/>
              <w:left w:val="single" w:color="000000" w:sz="4" w:space="0"/>
              <w:bottom w:val="single" w:color="000000" w:sz="12"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hint="eastAsia" w:ascii="宋体" w:hAnsi="宋体" w:eastAsia="宋体" w:cs="宋体"/>
                <w:color w:val="auto"/>
                <w:sz w:val="22"/>
                <w:highlight w:val="none"/>
              </w:rPr>
            </w:pPr>
          </w:p>
        </w:tc>
      </w:tr>
    </w:tbl>
    <w:p>
      <w:pPr>
        <w:snapToGrid w:val="0"/>
        <w:spacing w:line="360" w:lineRule="exact"/>
        <w:ind w:left="718" w:hanging="718"/>
        <w:rPr>
          <w:rFonts w:hint="eastAsia" w:ascii="宋体" w:hAnsi="宋体" w:eastAsia="宋体" w:cs="宋体"/>
          <w:color w:val="auto"/>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4"/>
          <w:szCs w:val="24"/>
          <w:highlight w:val="none"/>
        </w:rPr>
        <w:t>附件15</w:t>
      </w:r>
    </w:p>
    <w:p>
      <w:pPr>
        <w:snapToGrid w:val="0"/>
        <w:spacing w:line="380" w:lineRule="exact"/>
        <w:rPr>
          <w:rFonts w:hint="eastAsia" w:ascii="宋体" w:hAnsi="宋体" w:eastAsia="宋体" w:cs="宋体"/>
          <w:b/>
          <w:color w:val="auto"/>
          <w:highlight w:val="none"/>
        </w:rPr>
      </w:pPr>
    </w:p>
    <w:p>
      <w:pPr>
        <w:snapToGrid w:val="0"/>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项目服务人员汇总表</w:t>
      </w:r>
    </w:p>
    <w:p>
      <w:pPr>
        <w:snapToGrid w:val="0"/>
        <w:jc w:val="center"/>
        <w:rPr>
          <w:rFonts w:hint="eastAsia" w:ascii="宋体" w:hAnsi="宋体" w:eastAsia="宋体" w:cs="宋体"/>
          <w:b/>
          <w:color w:val="auto"/>
          <w:sz w:val="32"/>
          <w:highlight w:val="none"/>
        </w:rPr>
      </w:pPr>
    </w:p>
    <w:p>
      <w:pPr>
        <w:snapToGrid w:val="0"/>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项目名称：                                                   项目编号： </w:t>
      </w:r>
    </w:p>
    <w:tbl>
      <w:tblPr>
        <w:tblStyle w:val="29"/>
        <w:tblW w:w="9736" w:type="dxa"/>
        <w:tblInd w:w="0" w:type="dxa"/>
        <w:tblLayout w:type="fixed"/>
        <w:tblCellMar>
          <w:top w:w="0" w:type="dxa"/>
          <w:left w:w="0" w:type="dxa"/>
          <w:bottom w:w="0" w:type="dxa"/>
          <w:right w:w="0" w:type="dxa"/>
        </w:tblCellMar>
      </w:tblPr>
      <w:tblGrid>
        <w:gridCol w:w="1470"/>
        <w:gridCol w:w="1126"/>
        <w:gridCol w:w="690"/>
        <w:gridCol w:w="690"/>
        <w:gridCol w:w="750"/>
        <w:gridCol w:w="810"/>
        <w:gridCol w:w="870"/>
        <w:gridCol w:w="1304"/>
        <w:gridCol w:w="2026"/>
      </w:tblGrid>
      <w:tr>
        <w:tblPrEx>
          <w:tblCellMar>
            <w:top w:w="0" w:type="dxa"/>
            <w:left w:w="0" w:type="dxa"/>
            <w:bottom w:w="0" w:type="dxa"/>
            <w:right w:w="0" w:type="dxa"/>
          </w:tblCellMar>
        </w:tblPrEx>
        <w:trPr>
          <w:trHeight w:val="396" w:hRule="atLeast"/>
        </w:trPr>
        <w:tc>
          <w:tcPr>
            <w:tcW w:w="1470" w:type="dxa"/>
            <w:tcBorders>
              <w:top w:val="single" w:color="000000" w:sz="12" w:space="0"/>
              <w:left w:val="single" w:color="000000" w:sz="12"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姓名</w:t>
            </w:r>
          </w:p>
        </w:tc>
        <w:tc>
          <w:tcPr>
            <w:tcW w:w="1126"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本项目主要工作</w:t>
            </w:r>
          </w:p>
        </w:tc>
        <w:tc>
          <w:tcPr>
            <w:tcW w:w="69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年龄</w:t>
            </w:r>
          </w:p>
        </w:tc>
        <w:tc>
          <w:tcPr>
            <w:tcW w:w="69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性别</w:t>
            </w:r>
          </w:p>
        </w:tc>
        <w:tc>
          <w:tcPr>
            <w:tcW w:w="75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职称/职务</w:t>
            </w:r>
          </w:p>
        </w:tc>
        <w:tc>
          <w:tcPr>
            <w:tcW w:w="81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专业/</w:t>
            </w:r>
          </w:p>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年限</w:t>
            </w:r>
          </w:p>
        </w:tc>
        <w:tc>
          <w:tcPr>
            <w:tcW w:w="87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承诺</w:t>
            </w:r>
          </w:p>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到位率</w:t>
            </w:r>
          </w:p>
        </w:tc>
        <w:tc>
          <w:tcPr>
            <w:tcW w:w="1304"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到现场服务起止时间</w:t>
            </w:r>
          </w:p>
        </w:tc>
        <w:tc>
          <w:tcPr>
            <w:tcW w:w="2026" w:type="dxa"/>
            <w:tcBorders>
              <w:top w:val="single" w:color="000000" w:sz="12" w:space="0"/>
              <w:left w:val="single" w:color="000000" w:sz="4" w:space="0"/>
              <w:bottom w:val="single" w:color="000000" w:sz="12" w:space="0"/>
              <w:right w:val="single" w:color="000000" w:sz="12" w:space="0"/>
            </w:tcBorders>
            <w:shd w:val="clear" w:color="auto" w:fill="auto"/>
            <w:tcMar>
              <w:top w:w="0" w:type="dxa"/>
              <w:left w:w="108" w:type="dxa"/>
              <w:bottom w:w="0" w:type="dxa"/>
              <w:right w:w="108" w:type="dxa"/>
            </w:tcMar>
            <w:vAlign w:val="center"/>
          </w:tcPr>
          <w:p>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类似服务的经历、业绩、是否有上岗证等介绍（或另附简历）</w:t>
            </w:r>
          </w:p>
        </w:tc>
      </w:tr>
      <w:tr>
        <w:tblPrEx>
          <w:tblCellMar>
            <w:top w:w="0" w:type="dxa"/>
            <w:left w:w="0" w:type="dxa"/>
            <w:bottom w:w="0" w:type="dxa"/>
            <w:right w:w="0" w:type="dxa"/>
          </w:tblCellMar>
        </w:tblPrEx>
        <w:trPr>
          <w:trHeight w:val="525" w:hRule="atLeast"/>
        </w:trPr>
        <w:tc>
          <w:tcPr>
            <w:tcW w:w="1470" w:type="dxa"/>
            <w:tcBorders>
              <w:top w:val="single" w:color="000000" w:sz="12"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126"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75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1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7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304"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2026" w:type="dxa"/>
            <w:tcBorders>
              <w:top w:val="single" w:color="000000" w:sz="12"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ind w:left="5250"/>
              <w:rPr>
                <w:rFonts w:hint="eastAsia" w:ascii="宋体" w:hAnsi="宋体" w:eastAsia="宋体" w:cs="宋体"/>
                <w:color w:val="auto"/>
                <w:spacing w:val="12"/>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619" w:hRule="atLeast"/>
        </w:trPr>
        <w:tc>
          <w:tcPr>
            <w:tcW w:w="9736" w:type="dxa"/>
            <w:gridSpan w:val="9"/>
            <w:tcBorders>
              <w:top w:val="single" w:color="000000" w:sz="4"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vAlign w:val="center"/>
          </w:tcPr>
          <w:p>
            <w:pPr>
              <w:snapToGrid w:val="0"/>
              <w:rPr>
                <w:rFonts w:hint="eastAsia" w:ascii="宋体" w:hAnsi="宋体" w:eastAsia="宋体" w:cs="宋体"/>
                <w:color w:val="auto"/>
                <w:sz w:val="22"/>
                <w:highlight w:val="none"/>
              </w:rPr>
            </w:pPr>
            <w:r>
              <w:rPr>
                <w:rFonts w:hint="eastAsia" w:ascii="宋体" w:hAnsi="宋体" w:eastAsia="宋体" w:cs="宋体"/>
                <w:color w:val="auto"/>
                <w:sz w:val="22"/>
                <w:highlight w:val="none"/>
              </w:rPr>
              <w:t>一旦我单位中标，将实行保安队长负责制，我方保证并配备上述项目管理机构。上述填报内容真实，若不真实，愿按有关规定接受处理。</w:t>
            </w:r>
          </w:p>
        </w:tc>
      </w:tr>
    </w:tbl>
    <w:p>
      <w:pPr>
        <w:snapToGrid w:val="0"/>
        <w:spacing w:line="360" w:lineRule="exact"/>
        <w:ind w:left="991" w:hanging="991"/>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附注：1. 我方拟派驻本项目的保安队长、服务、质量、安全、材料、财务、合同以及各主要专业工种负责人均已列入；</w:t>
      </w:r>
    </w:p>
    <w:p>
      <w:pPr>
        <w:snapToGrid w:val="0"/>
        <w:spacing w:line="360" w:lineRule="exact"/>
        <w:ind w:left="-2" w:firstLine="663"/>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 本表人员有资格证书的应随表提交职称、资格证书复印件（加盖公章）。</w:t>
      </w:r>
    </w:p>
    <w:p>
      <w:pPr>
        <w:snapToGrid w:val="0"/>
        <w:spacing w:line="36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 xml:space="preserve">      3. 列入本表人员如要更换，需经采购单位同意；擅自更换或不到位属违约行为。</w:t>
      </w:r>
    </w:p>
    <w:p>
      <w:pPr>
        <w:snapToGrid w:val="0"/>
        <w:spacing w:before="120" w:after="120"/>
        <w:ind w:right="-21"/>
        <w:rPr>
          <w:rFonts w:hint="eastAsia" w:ascii="宋体" w:hAnsi="宋体" w:eastAsia="宋体" w:cs="宋体"/>
          <w:color w:val="auto"/>
          <w:sz w:val="22"/>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4"/>
          <w:szCs w:val="24"/>
          <w:highlight w:val="none"/>
        </w:rPr>
        <w:t>附件16</w:t>
      </w:r>
    </w:p>
    <w:p>
      <w:pPr>
        <w:snapToGrid w:val="0"/>
        <w:spacing w:before="240" w:after="120"/>
        <w:jc w:val="center"/>
        <w:rPr>
          <w:rFonts w:hint="eastAsia" w:ascii="宋体" w:hAnsi="宋体" w:eastAsia="宋体" w:cs="宋体"/>
          <w:color w:val="auto"/>
          <w:sz w:val="36"/>
          <w:highlight w:val="none"/>
        </w:rPr>
      </w:pPr>
      <w:r>
        <w:rPr>
          <w:rFonts w:hint="eastAsia" w:ascii="宋体" w:hAnsi="宋体" w:eastAsia="宋体" w:cs="宋体"/>
          <w:b/>
          <w:color w:val="auto"/>
          <w:sz w:val="36"/>
          <w:highlight w:val="none"/>
        </w:rPr>
        <w:t>岗位员工配置计划表</w:t>
      </w:r>
    </w:p>
    <w:p>
      <w:pPr>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项目编号：</w:t>
      </w:r>
    </w:p>
    <w:tbl>
      <w:tblPr>
        <w:tblStyle w:val="29"/>
        <w:tblW w:w="9108" w:type="dxa"/>
        <w:tblInd w:w="0" w:type="dxa"/>
        <w:tblLayout w:type="fixed"/>
        <w:tblCellMar>
          <w:top w:w="0" w:type="dxa"/>
          <w:left w:w="0" w:type="dxa"/>
          <w:bottom w:w="0" w:type="dxa"/>
          <w:right w:w="0" w:type="dxa"/>
        </w:tblCellMar>
      </w:tblPr>
      <w:tblGrid>
        <w:gridCol w:w="2132"/>
        <w:gridCol w:w="2132"/>
        <w:gridCol w:w="3044"/>
        <w:gridCol w:w="1800"/>
      </w:tblGrid>
      <w:tr>
        <w:tblPrEx>
          <w:tblCellMar>
            <w:top w:w="0" w:type="dxa"/>
            <w:left w:w="0" w:type="dxa"/>
            <w:bottom w:w="0" w:type="dxa"/>
            <w:right w:w="0" w:type="dxa"/>
          </w:tblCellMar>
        </w:tblPrEx>
        <w:trPr>
          <w:trHeight w:val="510" w:hRule="exact"/>
        </w:trPr>
        <w:tc>
          <w:tcPr>
            <w:tcW w:w="2132" w:type="dxa"/>
            <w:tcBorders>
              <w:top w:val="single" w:color="000000" w:sz="12"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岗位</w:t>
            </w:r>
          </w:p>
        </w:tc>
        <w:tc>
          <w:tcPr>
            <w:tcW w:w="2132"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人数</w:t>
            </w:r>
          </w:p>
        </w:tc>
        <w:tc>
          <w:tcPr>
            <w:tcW w:w="3044"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现 场 承 担 工 作</w:t>
            </w:r>
          </w:p>
        </w:tc>
        <w:tc>
          <w:tcPr>
            <w:tcW w:w="1800" w:type="dxa"/>
            <w:tcBorders>
              <w:top w:val="single" w:color="000000" w:sz="12"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2132"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3044"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c>
          <w:tcPr>
            <w:tcW w:w="1800"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pPr>
              <w:snapToGrid w:val="0"/>
              <w:spacing w:line="400" w:lineRule="exact"/>
              <w:rPr>
                <w:rFonts w:hint="eastAsia" w:ascii="宋体" w:hAnsi="宋体" w:eastAsia="宋体" w:cs="宋体"/>
                <w:color w:val="auto"/>
                <w:sz w:val="22"/>
                <w:highlight w:val="none"/>
              </w:rPr>
            </w:pPr>
          </w:p>
        </w:tc>
      </w:tr>
    </w:tbl>
    <w:p>
      <w:pPr>
        <w:snapToGrid w:val="0"/>
        <w:spacing w:line="360" w:lineRule="exact"/>
        <w:ind w:left="760" w:hanging="72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附注：此表仅提供了表格形式，投标人可按此表格复制。</w:t>
      </w:r>
    </w:p>
    <w:p>
      <w:pPr>
        <w:snapToGrid w:val="0"/>
        <w:spacing w:before="120" w:after="120"/>
        <w:ind w:right="-10"/>
        <w:rPr>
          <w:rFonts w:hint="eastAsia" w:ascii="宋体" w:hAnsi="宋体" w:eastAsia="宋体" w:cs="宋体"/>
          <w:color w:val="auto"/>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pStyle w:val="15"/>
        <w:spacing w:after="0"/>
        <w:ind w:left="0" w:leftChars="0" w:right="0" w:right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第五部分 采购需求</w:t>
      </w:r>
    </w:p>
    <w:p>
      <w:pPr>
        <w:pStyle w:val="16"/>
        <w:overflowPunct/>
        <w:autoSpaceDE/>
        <w:autoSpaceDN/>
        <w:adjustRightInd/>
        <w:snapToGrid w:val="0"/>
        <w:spacing w:line="360" w:lineRule="exact"/>
        <w:textAlignment w:val="auto"/>
        <w:outlineLvl w:val="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一、采购内容及数量</w:t>
      </w:r>
    </w:p>
    <w:tbl>
      <w:tblPr>
        <w:tblStyle w:val="29"/>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830"/>
        <w:gridCol w:w="1088"/>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序号</w:t>
            </w:r>
          </w:p>
        </w:tc>
        <w:tc>
          <w:tcPr>
            <w:tcW w:w="4830"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内容</w:t>
            </w:r>
          </w:p>
        </w:tc>
        <w:tc>
          <w:tcPr>
            <w:tcW w:w="1088"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数量</w:t>
            </w:r>
          </w:p>
        </w:tc>
        <w:tc>
          <w:tcPr>
            <w:tcW w:w="970"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4830" w:type="dxa"/>
            <w:vAlign w:val="center"/>
          </w:tcPr>
          <w:p>
            <w:pPr>
              <w:pStyle w:val="16"/>
              <w:overflowPunct/>
              <w:autoSpaceDE/>
              <w:autoSpaceDN/>
              <w:adjustRightInd/>
              <w:snapToGrid w:val="0"/>
              <w:spacing w:line="360" w:lineRule="exact"/>
              <w:jc w:val="center"/>
              <w:textAlignment w:val="auto"/>
              <w:outlineLvl w:val="0"/>
              <w:rPr>
                <w:rFonts w:hint="eastAsia" w:ascii="宋体" w:hAnsi="宋体" w:eastAsia="宋体" w:cs="宋体"/>
                <w:color w:val="auto"/>
                <w:sz w:val="22"/>
                <w:highlight w:val="none"/>
                <w:lang w:eastAsia="zh-CN"/>
              </w:rPr>
            </w:pPr>
            <w:r>
              <w:rPr>
                <w:rFonts w:hint="eastAsia" w:ascii="宋体" w:hAnsi="宋体" w:eastAsia="宋体" w:cs="宋体"/>
                <w:b/>
                <w:bCs/>
                <w:color w:val="auto"/>
                <w:spacing w:val="-6"/>
                <w:sz w:val="22"/>
                <w:highlight w:val="none"/>
                <w:lang w:eastAsia="zh-CN"/>
              </w:rPr>
              <w:t>温州肯恩大学2022-2025年度校园安保外包服务(重)</w:t>
            </w:r>
          </w:p>
        </w:tc>
        <w:tc>
          <w:tcPr>
            <w:tcW w:w="1088" w:type="dxa"/>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3年</w:t>
            </w:r>
          </w:p>
        </w:tc>
        <w:tc>
          <w:tcPr>
            <w:tcW w:w="970" w:type="dxa"/>
            <w:vAlign w:val="center"/>
          </w:tcPr>
          <w:p>
            <w:pPr>
              <w:widowControl/>
              <w:snapToGrid w:val="0"/>
              <w:spacing w:line="360" w:lineRule="exact"/>
              <w:jc w:val="center"/>
              <w:rPr>
                <w:rFonts w:hint="eastAsia" w:ascii="宋体" w:hAnsi="宋体" w:eastAsia="宋体" w:cs="宋体"/>
                <w:color w:val="auto"/>
                <w:sz w:val="22"/>
                <w:highlight w:val="none"/>
              </w:rPr>
            </w:pPr>
          </w:p>
        </w:tc>
      </w:tr>
    </w:tbl>
    <w:p>
      <w:pPr>
        <w:widowControl/>
        <w:adjustRightInd w:val="0"/>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二.为落实政府采购政策需满足的要求：</w:t>
      </w:r>
    </w:p>
    <w:tbl>
      <w:tblPr>
        <w:tblStyle w:val="29"/>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866"/>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866"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政策名称</w:t>
            </w:r>
          </w:p>
        </w:tc>
        <w:tc>
          <w:tcPr>
            <w:tcW w:w="5898"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2866"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政府采购促进中小企业发展</w:t>
            </w:r>
          </w:p>
        </w:tc>
        <w:tc>
          <w:tcPr>
            <w:tcW w:w="5898"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2866"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政府采购支持监狱企业发展</w:t>
            </w:r>
          </w:p>
        </w:tc>
        <w:tc>
          <w:tcPr>
            <w:tcW w:w="5898" w:type="dxa"/>
            <w:vAlign w:val="center"/>
          </w:tcPr>
          <w:p>
            <w:pPr>
              <w:widowControl/>
              <w:adjustRightInd w:val="0"/>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2866"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政府采购促进残疾人就业</w:t>
            </w:r>
          </w:p>
        </w:tc>
        <w:tc>
          <w:tcPr>
            <w:tcW w:w="5898"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2866"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政府采购节能环保产品</w:t>
            </w:r>
          </w:p>
        </w:tc>
        <w:tc>
          <w:tcPr>
            <w:tcW w:w="5898"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2866"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政府采购进口产品</w:t>
            </w:r>
          </w:p>
        </w:tc>
        <w:tc>
          <w:tcPr>
            <w:tcW w:w="5898"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不允许</w:t>
            </w:r>
          </w:p>
        </w:tc>
      </w:tr>
    </w:tbl>
    <w:p>
      <w:pPr>
        <w:widowControl/>
        <w:adjustRightInd w:val="0"/>
        <w:snapToGrid w:val="0"/>
        <w:spacing w:line="360" w:lineRule="exact"/>
        <w:rPr>
          <w:rFonts w:hint="eastAsia" w:ascii="宋体" w:hAnsi="宋体" w:eastAsia="宋体" w:cs="宋体"/>
          <w:b/>
          <w:bCs/>
          <w:color w:val="auto"/>
          <w:spacing w:val="-6"/>
          <w:sz w:val="22"/>
          <w:highlight w:val="none"/>
        </w:rPr>
      </w:pPr>
      <w:r>
        <w:rPr>
          <w:rFonts w:hint="eastAsia" w:ascii="宋体" w:hAnsi="宋体" w:eastAsia="宋体" w:cs="宋体"/>
          <w:b/>
          <w:bCs/>
          <w:color w:val="auto"/>
          <w:kern w:val="0"/>
          <w:sz w:val="22"/>
          <w:highlight w:val="none"/>
        </w:rPr>
        <w:t>三.</w:t>
      </w:r>
      <w:r>
        <w:rPr>
          <w:rFonts w:hint="eastAsia" w:ascii="宋体" w:hAnsi="宋体" w:eastAsia="宋体" w:cs="宋体"/>
          <w:b/>
          <w:bCs/>
          <w:color w:val="auto"/>
          <w:spacing w:val="-6"/>
          <w:sz w:val="22"/>
          <w:highlight w:val="none"/>
        </w:rPr>
        <w:t>服务要求</w:t>
      </w:r>
    </w:p>
    <w:p>
      <w:pPr>
        <w:pStyle w:val="7"/>
        <w:numPr>
          <w:ilvl w:val="1"/>
          <w:numId w:val="0"/>
        </w:numPr>
        <w:spacing w:line="360" w:lineRule="exact"/>
        <w:ind w:firstLine="442" w:firstLineChars="200"/>
        <w:rPr>
          <w:rFonts w:hint="eastAsia" w:ascii="宋体" w:hAnsi="宋体" w:eastAsia="宋体" w:cs="宋体"/>
          <w:color w:val="auto"/>
          <w:sz w:val="22"/>
          <w:szCs w:val="22"/>
          <w:highlight w:val="none"/>
        </w:rPr>
      </w:pPr>
      <w:bookmarkStart w:id="2" w:name="_Toc486540095"/>
      <w:r>
        <w:rPr>
          <w:rFonts w:hint="eastAsia" w:ascii="宋体" w:hAnsi="宋体" w:eastAsia="宋体" w:cs="宋体"/>
          <w:color w:val="auto"/>
          <w:sz w:val="22"/>
          <w:szCs w:val="22"/>
          <w:highlight w:val="none"/>
        </w:rPr>
        <w:t>（一）概述</w:t>
      </w:r>
      <w:bookmarkEnd w:id="2"/>
    </w:p>
    <w:p>
      <w:pPr>
        <w:pStyle w:val="19"/>
        <w:tabs>
          <w:tab w:val="left" w:pos="540"/>
        </w:tabs>
        <w:spacing w:after="0" w:line="360" w:lineRule="exact"/>
        <w:ind w:left="0" w:leftChars="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1.温州肯恩大学地点位于温州市瓯海区丽岙街道大学路88号，校园规划占地面积约3000亩。</w:t>
      </w:r>
    </w:p>
    <w:p>
      <w:pPr>
        <w:widowControl/>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2.学校建筑物概况：</w:t>
      </w:r>
    </w:p>
    <w:tbl>
      <w:tblPr>
        <w:tblStyle w:val="29"/>
        <w:tblW w:w="9067" w:type="dxa"/>
        <w:jc w:val="center"/>
        <w:tblLayout w:type="autofit"/>
        <w:tblCellMar>
          <w:top w:w="0" w:type="dxa"/>
          <w:left w:w="108" w:type="dxa"/>
          <w:bottom w:w="0" w:type="dxa"/>
          <w:right w:w="108" w:type="dxa"/>
        </w:tblCellMar>
      </w:tblPr>
      <w:tblGrid>
        <w:gridCol w:w="846"/>
        <w:gridCol w:w="3833"/>
        <w:gridCol w:w="1416"/>
        <w:gridCol w:w="2972"/>
      </w:tblGrid>
      <w:tr>
        <w:tblPrEx>
          <w:tblCellMar>
            <w:top w:w="0" w:type="dxa"/>
            <w:left w:w="108" w:type="dxa"/>
            <w:bottom w:w="0" w:type="dxa"/>
            <w:right w:w="108" w:type="dxa"/>
          </w:tblCellMar>
        </w:tblPrEx>
        <w:trPr>
          <w:trHeight w:val="397" w:hRule="atLeast"/>
          <w:jc w:val="center"/>
        </w:trPr>
        <w:tc>
          <w:tcPr>
            <w:tcW w:w="90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建筑名称及面积</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名称</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建筑面积（平方米）</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一号食堂、培训楼</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15010</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公共教学楼、陈天龙美术馆</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26930</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商学院</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13290</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梅、兰、竹、菊学生宿舍、二号食堂</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55171</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综合球馆</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4114</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榕楼学生宿舍</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13922</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杏、柑、枫学生宿舍</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43744</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葛和凯楼</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16188</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综合实验室</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1860</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田径场及地下室</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23944</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后勤楼</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16000</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预计2022年09月投入使用</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学生活动中心</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24498</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预计2022年10月投入使用</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理工楼</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16600</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预计2023年底投用</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留学生楼</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13800</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预计2023年9月投入使用</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理工楼地下室</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2802</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预计2023年底投用</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合计</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287873</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bl>
    <w:p>
      <w:pPr>
        <w:pStyle w:val="7"/>
        <w:numPr>
          <w:ilvl w:val="1"/>
          <w:numId w:val="0"/>
        </w:numPr>
        <w:spacing w:line="360" w:lineRule="exact"/>
        <w:ind w:firstLine="442" w:firstLineChars="200"/>
        <w:rPr>
          <w:rFonts w:hint="eastAsia" w:ascii="宋体" w:hAnsi="宋体" w:eastAsia="宋体" w:cs="宋体"/>
          <w:color w:val="auto"/>
          <w:sz w:val="22"/>
          <w:szCs w:val="22"/>
          <w:highlight w:val="none"/>
        </w:rPr>
      </w:pPr>
      <w:bookmarkStart w:id="3" w:name="_Toc486540096"/>
      <w:r>
        <w:rPr>
          <w:rFonts w:hint="eastAsia" w:ascii="宋体" w:hAnsi="宋体" w:eastAsia="宋体" w:cs="宋体"/>
          <w:color w:val="auto"/>
          <w:sz w:val="22"/>
          <w:szCs w:val="22"/>
          <w:highlight w:val="none"/>
        </w:rPr>
        <w:t>（二）服务期限</w:t>
      </w:r>
      <w:bookmarkEnd w:id="3"/>
    </w:p>
    <w:p>
      <w:pPr>
        <w:adjustRightInd w:val="0"/>
        <w:snapToGrid w:val="0"/>
        <w:spacing w:line="36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本轮招标服务管理期限采用3年模式（2022年09月30日至2025年09月29日）。</w:t>
      </w:r>
    </w:p>
    <w:p>
      <w:pPr>
        <w:pStyle w:val="7"/>
        <w:numPr>
          <w:ilvl w:val="1"/>
          <w:numId w:val="0"/>
        </w:numPr>
        <w:spacing w:line="360" w:lineRule="exact"/>
        <w:ind w:firstLine="442" w:firstLineChars="200"/>
        <w:rPr>
          <w:rFonts w:hint="eastAsia" w:ascii="宋体" w:hAnsi="宋体" w:eastAsia="宋体" w:cs="宋体"/>
          <w:color w:val="auto"/>
          <w:sz w:val="22"/>
          <w:szCs w:val="22"/>
          <w:highlight w:val="none"/>
        </w:rPr>
      </w:pPr>
      <w:bookmarkStart w:id="4" w:name="_Toc486540097"/>
      <w:r>
        <w:rPr>
          <w:rFonts w:hint="eastAsia" w:ascii="宋体" w:hAnsi="宋体" w:eastAsia="宋体" w:cs="宋体"/>
          <w:color w:val="auto"/>
          <w:sz w:val="22"/>
          <w:szCs w:val="22"/>
          <w:highlight w:val="none"/>
        </w:rPr>
        <w:t>（三）服务内容及要求</w:t>
      </w:r>
      <w:bookmarkEnd w:id="4"/>
    </w:p>
    <w:p>
      <w:pPr>
        <w:adjustRightInd w:val="0"/>
        <w:snapToGrid w:val="0"/>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1.工作范围及时间：</w:t>
      </w:r>
    </w:p>
    <w:p>
      <w:pPr>
        <w:adjustRightInd w:val="0"/>
        <w:snapToGrid w:val="0"/>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1.1 工作范围</w:t>
      </w:r>
    </w:p>
    <w:p>
      <w:pPr>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负责校内消防安全、治安安全，安全检查登记、校内摆渡车接送及管理、车辆管理、门卫管理、纠纷及突发事件的处置工作和防恐怖、防破坏、防灾害事故的防御工作及采购人临时交代的其他任务。</w:t>
      </w:r>
    </w:p>
    <w:p>
      <w:pPr>
        <w:adjustRightInd w:val="0"/>
        <w:snapToGrid w:val="0"/>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1.2 工作时间要求</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全年365天，每天24小时不定时、不定点地对整个校园加强消防安全和治安安全巡逻，确保校园平安。</w:t>
      </w:r>
    </w:p>
    <w:p>
      <w:pPr>
        <w:adjustRightInd w:val="0"/>
        <w:snapToGrid w:val="0"/>
        <w:spacing w:line="360" w:lineRule="exact"/>
        <w:ind w:firstLine="442" w:firstLineChars="200"/>
        <w:rPr>
          <w:rFonts w:hint="eastAsia" w:ascii="宋体" w:hAnsi="宋体" w:eastAsia="宋体" w:cs="宋体"/>
          <w:b/>
          <w:snapToGrid w:val="0"/>
          <w:color w:val="auto"/>
          <w:sz w:val="22"/>
          <w:highlight w:val="none"/>
        </w:rPr>
      </w:pPr>
      <w:r>
        <w:rPr>
          <w:rFonts w:hint="eastAsia" w:ascii="宋体" w:hAnsi="宋体" w:eastAsia="宋体" w:cs="宋体"/>
          <w:b/>
          <w:snapToGrid w:val="0"/>
          <w:color w:val="auto"/>
          <w:sz w:val="22"/>
          <w:highlight w:val="none"/>
        </w:rPr>
        <w:t>2.岗位配置要求</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 xml:space="preserve">2.1 岗亭： </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目前学校共有12个移动岗亭和1个固定岗亭，每个岗亭至少配备1个人（其中大门口岗亭配备2个人同时在岗），全天24小时执勤。（服务期内如有变动的，按变动后的执行）</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 xml:space="preserve">2.2 校内巡逻： </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负责温州肯恩大学校内巡逻，2小时巡逻一个周期，分南北2班，每班至少2人，全天24小时巡逻。</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2.3 消控室及消防室：</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负责消控室内监控及消防室管理等工作，每班至少2人，全天24小时执勤。</w:t>
      </w:r>
    </w:p>
    <w:p>
      <w:pPr>
        <w:adjustRightInd w:val="0"/>
        <w:snapToGrid w:val="0"/>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2.4其他人员：</w:t>
      </w:r>
    </w:p>
    <w:p>
      <w:pPr>
        <w:pStyle w:val="2"/>
        <w:spacing w:after="0" w:line="360" w:lineRule="exact"/>
        <w:ind w:firstLine="220"/>
        <w:rPr>
          <w:rFonts w:hint="eastAsia" w:ascii="宋体" w:hAnsi="宋体" w:eastAsia="宋体" w:cs="宋体"/>
          <w:b w:val="0"/>
          <w:bCs/>
          <w:snapToGrid w:val="0"/>
          <w:color w:val="auto"/>
          <w:sz w:val="22"/>
          <w:szCs w:val="22"/>
          <w:highlight w:val="none"/>
        </w:rPr>
      </w:pPr>
      <w:r>
        <w:rPr>
          <w:rFonts w:hint="eastAsia" w:ascii="宋体" w:hAnsi="宋体" w:eastAsia="宋体" w:cs="宋体"/>
          <w:b w:val="0"/>
          <w:bCs/>
          <w:snapToGrid w:val="0"/>
          <w:color w:val="auto"/>
          <w:sz w:val="22"/>
          <w:szCs w:val="22"/>
          <w:highlight w:val="none"/>
        </w:rPr>
        <w:t>美术馆值班人员（每班至少1人，按照馆内要求配备），综合实验室值班人员（每班至少1人，全天24小时执勤）等。</w:t>
      </w:r>
    </w:p>
    <w:p>
      <w:pPr>
        <w:adjustRightInd w:val="0"/>
        <w:snapToGrid w:val="0"/>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2.5安保人员驻楼岗位要求：</w:t>
      </w:r>
    </w:p>
    <w:p>
      <w:pPr>
        <w:adjustRightInd w:val="0"/>
        <w:snapToGrid w:val="0"/>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（1）晚班站岗（晚6：30至晚11：00）</w:t>
      </w:r>
    </w:p>
    <w:p>
      <w:pPr>
        <w:numPr>
          <w:ilvl w:val="0"/>
          <w:numId w:val="12"/>
        </w:numPr>
        <w:adjustRightInd w:val="0"/>
        <w:snapToGrid w:val="0"/>
        <w:spacing w:line="36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关闭楼宇所有大门（主要出入口除外），负责主要出入口的安全警戒工作。</w:t>
      </w:r>
    </w:p>
    <w:p>
      <w:pPr>
        <w:numPr>
          <w:ilvl w:val="0"/>
          <w:numId w:val="12"/>
        </w:numPr>
        <w:adjustRightInd w:val="0"/>
        <w:snapToGrid w:val="0"/>
        <w:spacing w:line="36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负责晚11：00按时锁门，关闭楼宇。</w:t>
      </w:r>
    </w:p>
    <w:p>
      <w:pPr>
        <w:adjustRightInd w:val="0"/>
        <w:snapToGrid w:val="0"/>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（2）晚班巡逻（晚11：00至次日早6：30，11：30分开始巡逻，每隔2小时巡逻一次）</w:t>
      </w:r>
    </w:p>
    <w:p>
      <w:pPr>
        <w:numPr>
          <w:ilvl w:val="0"/>
          <w:numId w:val="13"/>
        </w:numPr>
        <w:adjustRightInd w:val="0"/>
        <w:snapToGrid w:val="0"/>
        <w:spacing w:line="36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巡查教室、楼道内应关的照明灯、门是否及时关闭，加班人员的检查与登记工作，并做好各个环节巡查记录及楼层巡逻签到工作。</w:t>
      </w:r>
    </w:p>
    <w:p>
      <w:pPr>
        <w:numPr>
          <w:ilvl w:val="0"/>
          <w:numId w:val="13"/>
        </w:numPr>
        <w:adjustRightInd w:val="0"/>
        <w:snapToGrid w:val="0"/>
        <w:spacing w:line="36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巡查楼宇内有无消防、治安隐患，不留“死角”、“偏角”，发现安全隐患的应进行应急处置，并汇报给相关部门。</w:t>
      </w:r>
    </w:p>
    <w:p>
      <w:pPr>
        <w:numPr>
          <w:ilvl w:val="0"/>
          <w:numId w:val="13"/>
        </w:numPr>
        <w:adjustRightInd w:val="0"/>
        <w:snapToGrid w:val="0"/>
        <w:spacing w:line="36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按要求学习消防知识，熟悉学校的应急电话以及应急处理流程，在危机发生时，做好应急处置工作。</w:t>
      </w:r>
    </w:p>
    <w:p>
      <w:pPr>
        <w:adjustRightInd w:val="0"/>
        <w:snapToGrid w:val="0"/>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3.保安人员数量及条件要求：</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3.1 保安人数配置：在校园内设立保安中队，</w:t>
      </w:r>
      <w:r>
        <w:rPr>
          <w:rFonts w:hint="eastAsia" w:ascii="宋体" w:hAnsi="宋体" w:eastAsia="宋体" w:cs="宋体"/>
          <w:color w:val="auto"/>
          <w:sz w:val="22"/>
          <w:highlight w:val="none"/>
          <w:u w:val="single"/>
        </w:rPr>
        <w:t>▲</w:t>
      </w:r>
      <w:r>
        <w:rPr>
          <w:rFonts w:hint="eastAsia" w:ascii="宋体" w:hAnsi="宋体" w:eastAsia="宋体" w:cs="宋体"/>
          <w:snapToGrid w:val="0"/>
          <w:color w:val="auto"/>
          <w:sz w:val="22"/>
          <w:highlight w:val="none"/>
          <w:u w:val="single"/>
        </w:rPr>
        <w:t>投入的人数第一年度不得少于54人（第二年度不少于60名，第三年度不少于62名），中队至少配备保安队长1人、指导员1人，班长2人，持证消控员4人（不含保安队长）、保安队员若干人）</w:t>
      </w:r>
      <w:r>
        <w:rPr>
          <w:rFonts w:hint="eastAsia" w:ascii="宋体" w:hAnsi="宋体" w:eastAsia="宋体" w:cs="宋体"/>
          <w:snapToGrid w:val="0"/>
          <w:color w:val="auto"/>
          <w:sz w:val="22"/>
          <w:highlight w:val="none"/>
        </w:rPr>
        <w:t>，负责校园内安全防范管理，开展防盗、防火、防破坏、防灾害事故等工作，维护校园正常秩序，确保师生、教职员工的人身和财产安全。保安岗位人员必须由温州肯恩大学负责审查，审查通过方可录用。</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3.2 保安人员条件</w:t>
      </w:r>
    </w:p>
    <w:p>
      <w:pPr>
        <w:adjustRightInd w:val="0"/>
        <w:snapToGrid w:val="0"/>
        <w:spacing w:line="360" w:lineRule="exact"/>
        <w:ind w:firstLine="440" w:firstLineChars="200"/>
        <w:rPr>
          <w:rFonts w:hint="eastAsia" w:ascii="宋体" w:hAnsi="宋体" w:eastAsia="宋体" w:cs="宋体"/>
          <w:snapToGrid w:val="0"/>
          <w:color w:val="auto"/>
          <w:sz w:val="22"/>
          <w:highlight w:val="none"/>
          <w:lang w:eastAsia="zh-CN"/>
        </w:rPr>
      </w:pPr>
      <w:r>
        <w:rPr>
          <w:rFonts w:hint="eastAsia" w:ascii="宋体" w:hAnsi="宋体" w:eastAsia="宋体" w:cs="宋体"/>
          <w:snapToGrid w:val="0"/>
          <w:color w:val="auto"/>
          <w:sz w:val="22"/>
          <w:highlight w:val="none"/>
        </w:rPr>
        <w:t>（1）保安队长：男性公民，年龄要求30-50周岁，身高170cm以上，高中及以上学历</w:t>
      </w:r>
      <w:r>
        <w:rPr>
          <w:rFonts w:hint="eastAsia" w:ascii="宋体" w:hAnsi="宋体" w:eastAsia="宋体" w:cs="宋体"/>
          <w:snapToGrid w:val="0"/>
          <w:color w:val="auto"/>
          <w:sz w:val="22"/>
          <w:highlight w:val="none"/>
          <w:lang w:eastAsia="zh-CN"/>
        </w:rPr>
        <w:t>。</w:t>
      </w:r>
    </w:p>
    <w:p>
      <w:pPr>
        <w:adjustRightInd w:val="0"/>
        <w:snapToGrid w:val="0"/>
        <w:spacing w:line="360" w:lineRule="exact"/>
        <w:ind w:firstLine="440" w:firstLineChars="200"/>
        <w:rPr>
          <w:rFonts w:hint="eastAsia" w:ascii="宋体" w:hAnsi="宋体" w:eastAsia="宋体" w:cs="宋体"/>
          <w:snapToGrid w:val="0"/>
          <w:color w:val="auto"/>
          <w:sz w:val="22"/>
          <w:highlight w:val="none"/>
          <w:lang w:eastAsia="zh-CN"/>
        </w:rPr>
      </w:pPr>
      <w:r>
        <w:rPr>
          <w:rFonts w:hint="eastAsia" w:ascii="宋体" w:hAnsi="宋体" w:eastAsia="宋体" w:cs="宋体"/>
          <w:snapToGrid w:val="0"/>
          <w:color w:val="auto"/>
          <w:sz w:val="22"/>
          <w:highlight w:val="none"/>
        </w:rPr>
        <w:t>（2）形象岗：45周岁以内，不少于6人，男身高175cm及以上，女身高16</w:t>
      </w:r>
      <w:r>
        <w:rPr>
          <w:rFonts w:hint="eastAsia" w:ascii="宋体" w:hAnsi="宋体" w:eastAsia="宋体" w:cs="宋体"/>
          <w:snapToGrid w:val="0"/>
          <w:color w:val="auto"/>
          <w:sz w:val="22"/>
          <w:highlight w:val="none"/>
          <w:lang w:val="en-US" w:eastAsia="zh-CN"/>
        </w:rPr>
        <w:t>3</w:t>
      </w:r>
      <w:r>
        <w:rPr>
          <w:rFonts w:hint="eastAsia" w:ascii="宋体" w:hAnsi="宋体" w:eastAsia="宋体" w:cs="宋体"/>
          <w:snapToGrid w:val="0"/>
          <w:color w:val="auto"/>
          <w:sz w:val="22"/>
          <w:highlight w:val="none"/>
        </w:rPr>
        <w:t>cm及以上，</w:t>
      </w:r>
      <w:r>
        <w:rPr>
          <w:rFonts w:hint="eastAsia" w:ascii="宋体" w:hAnsi="宋体" w:eastAsia="宋体" w:cs="宋体"/>
          <w:snapToGrid w:val="0"/>
          <w:color w:val="auto"/>
          <w:sz w:val="22"/>
          <w:highlight w:val="none"/>
          <w:lang w:eastAsia="zh-CN"/>
        </w:rPr>
        <w:t>高</w:t>
      </w:r>
      <w:r>
        <w:rPr>
          <w:rFonts w:hint="eastAsia" w:ascii="宋体" w:hAnsi="宋体" w:eastAsia="宋体" w:cs="宋体"/>
          <w:snapToGrid w:val="0"/>
          <w:color w:val="auto"/>
          <w:sz w:val="22"/>
          <w:highlight w:val="none"/>
        </w:rPr>
        <w:t>中及以上学历，有一定的英语口语表达能力</w:t>
      </w:r>
      <w:r>
        <w:rPr>
          <w:rFonts w:hint="eastAsia" w:ascii="宋体" w:hAnsi="宋体" w:eastAsia="宋体" w:cs="宋体"/>
          <w:snapToGrid w:val="0"/>
          <w:color w:val="auto"/>
          <w:sz w:val="22"/>
          <w:highlight w:val="none"/>
          <w:lang w:eastAsia="zh-CN"/>
        </w:rPr>
        <w:t>。</w:t>
      </w:r>
    </w:p>
    <w:p>
      <w:pPr>
        <w:adjustRightInd w:val="0"/>
        <w:snapToGrid w:val="0"/>
        <w:spacing w:line="360" w:lineRule="exact"/>
        <w:ind w:firstLine="440" w:firstLineChars="200"/>
        <w:rPr>
          <w:rFonts w:hint="eastAsia" w:ascii="宋体" w:hAnsi="宋体" w:eastAsia="宋体" w:cs="宋体"/>
          <w:snapToGrid w:val="0"/>
          <w:color w:val="auto"/>
          <w:sz w:val="22"/>
          <w:highlight w:val="none"/>
          <w:lang w:eastAsia="zh-CN"/>
        </w:rPr>
      </w:pPr>
      <w:r>
        <w:rPr>
          <w:rFonts w:hint="eastAsia" w:ascii="宋体" w:hAnsi="宋体" w:eastAsia="宋体" w:cs="宋体"/>
          <w:snapToGrid w:val="0"/>
          <w:color w:val="auto"/>
          <w:sz w:val="22"/>
          <w:highlight w:val="none"/>
        </w:rPr>
        <w:t>（3）其他队员：初中毕业以上文化程度，年龄在50周岁以内，身高168cm以上</w:t>
      </w:r>
      <w:r>
        <w:rPr>
          <w:rFonts w:hint="eastAsia" w:ascii="宋体" w:hAnsi="宋体" w:eastAsia="宋体" w:cs="宋体"/>
          <w:snapToGrid w:val="0"/>
          <w:color w:val="auto"/>
          <w:sz w:val="22"/>
          <w:highlight w:val="none"/>
          <w:lang w:eastAsia="zh-CN"/>
        </w:rPr>
        <w:t>。</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（4）全部队员五官端庄、视（裸）力1.0以上；身体健康（经医院体检合格），责任心强，体貌端正、无残疾、无明显疤痕或标志、普通话流利。</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（5）遵纪守法、品行良好，无违法犯罪记录。</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（6）经公安机关批准设立的培训机构培训合格，</w:t>
      </w:r>
      <w:r>
        <w:rPr>
          <w:rFonts w:hint="eastAsia" w:ascii="宋体" w:hAnsi="宋体" w:eastAsia="宋体" w:cs="宋体"/>
          <w:b/>
          <w:color w:val="auto"/>
          <w:sz w:val="22"/>
          <w:highlight w:val="none"/>
          <w:u w:val="single"/>
        </w:rPr>
        <w:t>▲</w:t>
      </w:r>
      <w:r>
        <w:rPr>
          <w:rFonts w:hint="eastAsia" w:ascii="宋体" w:hAnsi="宋体" w:eastAsia="宋体" w:cs="宋体"/>
          <w:snapToGrid w:val="0"/>
          <w:color w:val="auto"/>
          <w:sz w:val="22"/>
          <w:highlight w:val="none"/>
          <w:u w:val="single"/>
        </w:rPr>
        <w:t>取得《浙江省保安从业人员资格证》或保安专业《上岗证》，消控人员必须取得相应的消防设施操作员证。</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（7）保安员须熟悉保安业务管理相关知识。</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（8）保安人员要求比较固定，半年内不能更换，确因特殊原因须更换人员，须提前与采购人协商，经同意才能更换。</w:t>
      </w:r>
      <w:r>
        <w:rPr>
          <w:rFonts w:hint="eastAsia" w:ascii="宋体" w:hAnsi="宋体" w:eastAsia="宋体" w:cs="宋体"/>
          <w:b/>
          <w:color w:val="auto"/>
          <w:sz w:val="22"/>
          <w:highlight w:val="none"/>
          <w:u w:val="single"/>
        </w:rPr>
        <w:t>▲</w:t>
      </w:r>
      <w:r>
        <w:rPr>
          <w:rFonts w:hint="eastAsia" w:ascii="宋体" w:hAnsi="宋体" w:eastAsia="宋体" w:cs="宋体"/>
          <w:snapToGrid w:val="0"/>
          <w:color w:val="auto"/>
          <w:sz w:val="22"/>
          <w:highlight w:val="none"/>
          <w:u w:val="single"/>
        </w:rPr>
        <w:t>退伍军人占总保安人数20%以上</w:t>
      </w:r>
      <w:r>
        <w:rPr>
          <w:rFonts w:hint="eastAsia" w:ascii="宋体" w:hAnsi="宋体" w:eastAsia="宋体" w:cs="宋体"/>
          <w:snapToGrid w:val="0"/>
          <w:color w:val="auto"/>
          <w:sz w:val="22"/>
          <w:highlight w:val="none"/>
        </w:rPr>
        <w:t>。</w:t>
      </w:r>
    </w:p>
    <w:p>
      <w:pPr>
        <w:adjustRightInd w:val="0"/>
        <w:snapToGrid w:val="0"/>
        <w:spacing w:line="360" w:lineRule="exact"/>
        <w:ind w:firstLine="440" w:firstLineChars="200"/>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（9）</w:t>
      </w:r>
      <w:r>
        <w:rPr>
          <w:rFonts w:hint="eastAsia" w:ascii="宋体" w:hAnsi="宋体" w:eastAsia="宋体" w:cs="宋体"/>
          <w:b/>
          <w:color w:val="auto"/>
          <w:sz w:val="22"/>
          <w:highlight w:val="none"/>
          <w:u w:val="single"/>
        </w:rPr>
        <w:t>▲</w:t>
      </w:r>
      <w:r>
        <w:rPr>
          <w:rFonts w:hint="eastAsia" w:ascii="宋体" w:hAnsi="宋体" w:eastAsia="宋体" w:cs="宋体"/>
          <w:bCs/>
          <w:color w:val="auto"/>
          <w:sz w:val="22"/>
          <w:highlight w:val="none"/>
          <w:u w:val="single"/>
        </w:rPr>
        <w:t>保安队长和消控员必须按中标人承诺到岗。</w:t>
      </w:r>
    </w:p>
    <w:p>
      <w:pPr>
        <w:adjustRightInd w:val="0"/>
        <w:snapToGrid w:val="0"/>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4.温州肯恩大学校园安保秩序维护要求</w:t>
      </w:r>
    </w:p>
    <w:p>
      <w:pPr>
        <w:adjustRightInd w:val="0"/>
        <w:snapToGrid w:val="0"/>
        <w:spacing w:line="360" w:lineRule="exact"/>
        <w:ind w:firstLine="442" w:firstLineChars="200"/>
        <w:rPr>
          <w:rFonts w:hint="eastAsia" w:ascii="宋体" w:hAnsi="宋体" w:eastAsia="宋体" w:cs="宋体"/>
          <w:b/>
          <w:snapToGrid w:val="0"/>
          <w:color w:val="auto"/>
          <w:sz w:val="22"/>
          <w:highlight w:val="none"/>
        </w:rPr>
      </w:pPr>
      <w:r>
        <w:rPr>
          <w:rFonts w:hint="eastAsia" w:ascii="宋体" w:hAnsi="宋体" w:eastAsia="宋体" w:cs="宋体"/>
          <w:b/>
          <w:snapToGrid w:val="0"/>
          <w:color w:val="auto"/>
          <w:sz w:val="22"/>
          <w:highlight w:val="none"/>
        </w:rPr>
        <w:t>4.1安全管理目标</w:t>
      </w:r>
    </w:p>
    <w:p>
      <w:pPr>
        <w:numPr>
          <w:ilvl w:val="0"/>
          <w:numId w:val="14"/>
        </w:num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管理区域及周边秩序井然</w:t>
      </w:r>
    </w:p>
    <w:p>
      <w:pPr>
        <w:numPr>
          <w:ilvl w:val="0"/>
          <w:numId w:val="14"/>
        </w:num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日常活动、办公环境安全、安定、舒适</w:t>
      </w:r>
    </w:p>
    <w:p>
      <w:pPr>
        <w:numPr>
          <w:ilvl w:val="0"/>
          <w:numId w:val="14"/>
        </w:num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重大活动顺利进行</w:t>
      </w:r>
    </w:p>
    <w:p>
      <w:pPr>
        <w:numPr>
          <w:ilvl w:val="0"/>
          <w:numId w:val="14"/>
        </w:num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突发事件迅速得到解决</w:t>
      </w:r>
    </w:p>
    <w:p>
      <w:pPr>
        <w:numPr>
          <w:ilvl w:val="0"/>
          <w:numId w:val="14"/>
        </w:num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安全责任事故发生率为 0</w:t>
      </w:r>
    </w:p>
    <w:p>
      <w:pPr>
        <w:adjustRightInd w:val="0"/>
        <w:snapToGrid w:val="0"/>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4.2消防管理方案</w:t>
      </w:r>
    </w:p>
    <w:p>
      <w:pPr>
        <w:numPr>
          <w:ilvl w:val="0"/>
          <w:numId w:val="15"/>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主要工作方法</w:t>
      </w:r>
    </w:p>
    <w:p>
      <w:pPr>
        <w:numPr>
          <w:ilvl w:val="0"/>
          <w:numId w:val="16"/>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实行三级消防检查制度：消防管理员每日抽检消防安全情况，项目部每月组织一次消防大检查，安保公司每季组织一次消防全面检查，对检查发现的消防隐患定人、定责、限时整改。</w:t>
      </w:r>
    </w:p>
    <w:p>
      <w:pPr>
        <w:numPr>
          <w:ilvl w:val="0"/>
          <w:numId w:val="16"/>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消防监控实行二十四小时值班制，制订消防监控中心管理规程，严守工作岗位，严格履行工作职责，如实记录监控设备各参数及报警情况、处理情况。</w:t>
      </w:r>
    </w:p>
    <w:p>
      <w:pPr>
        <w:numPr>
          <w:ilvl w:val="0"/>
          <w:numId w:val="16"/>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根据消防管理规章制度，实现规范化、科学化管理。</w:t>
      </w:r>
    </w:p>
    <w:p>
      <w:pPr>
        <w:numPr>
          <w:ilvl w:val="0"/>
          <w:numId w:val="16"/>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制定火警、火灾应急方案，并按方案要求进行消防应急处理演练。</w:t>
      </w:r>
    </w:p>
    <w:p>
      <w:pPr>
        <w:numPr>
          <w:ilvl w:val="0"/>
          <w:numId w:val="15"/>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消防工作的重点措施 消防管理将是日常管理服务工作的重中之重。为此，拟采取如下有针对性的消防管理措施。</w:t>
      </w:r>
    </w:p>
    <w:p>
      <w:pPr>
        <w:numPr>
          <w:ilvl w:val="0"/>
          <w:numId w:val="17"/>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建立消防安全责任制。在消防管理方面，采取中央集中调度与“三级检查”相结合，即充分发挥管理处调度指挥功能的基础上，消防工作立足于“预防为主、防消结合”，建立快速反应义务消防队。平时火警预防工作，采取分级检查制度，第一级由值班消防管理员负责日检工作，第二级由安保公司组织消防月检工作，第三级由学校安保中心组织季检工作。此外，落实消防工作责任制，从检查、 整改、验收各个环节落实责任人，做到环环相扣，责任清晰。按工作岗位的不同，把消防管理工作责任落实到每一位员工，制定不同岗位的消防责任书并与责任人签订落实；消防管理员划定分片消防安全责任区，定人定责负责消防治安工作。</w:t>
      </w:r>
    </w:p>
    <w:p>
      <w:pPr>
        <w:numPr>
          <w:ilvl w:val="0"/>
          <w:numId w:val="17"/>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落实好相关部门的文件精神和学校消防安全管理制度。</w:t>
      </w:r>
    </w:p>
    <w:p>
      <w:pPr>
        <w:numPr>
          <w:ilvl w:val="0"/>
          <w:numId w:val="18"/>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用火安全管理制度；用电安全管理制度；易燃、易爆品管理制度；</w:t>
      </w:r>
    </w:p>
    <w:p>
      <w:pPr>
        <w:numPr>
          <w:ilvl w:val="0"/>
          <w:numId w:val="18"/>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消防设施、设备、器材管理制度；火灾事故处理制度；</w:t>
      </w:r>
    </w:p>
    <w:p>
      <w:pPr>
        <w:numPr>
          <w:ilvl w:val="0"/>
          <w:numId w:val="18"/>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防火守则；防火安全操作规程 防火责任制。</w:t>
      </w:r>
    </w:p>
    <w:p>
      <w:pPr>
        <w:numPr>
          <w:ilvl w:val="0"/>
          <w:numId w:val="17"/>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控制火灾隐患要点。鉴于大部分火灾是由于没有控制火源及易燃材料而酿成，所以日常严格控制火灾事故的隐患是最有效的消防管理。日常防火工作应注意如下几个要点：首先要控制火源；其次要监视可能引起火灾的区域；其三要增强人的防范意识。</w:t>
      </w:r>
    </w:p>
    <w:p>
      <w:pPr>
        <w:numPr>
          <w:ilvl w:val="0"/>
          <w:numId w:val="17"/>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加强宣传，勤演勤练。通过印发有关宣传手册和利用网络等方式，广泛宣传消防知识和四个能力建设，特别是秋冬季节更要重点宣传与预防；同时加强以消防管理员为主体的义务消防队伍的培训与演练，勤练基本功，定时进行消防演飞，并组织实地消防演习。义务消防队员须做到“三知”、 “三能”、“三会”。</w:t>
      </w:r>
    </w:p>
    <w:p>
      <w:pPr>
        <w:numPr>
          <w:ilvl w:val="0"/>
          <w:numId w:val="17"/>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消防火灾应急处理火灾报警程序</w:t>
      </w:r>
    </w:p>
    <w:p>
      <w:pPr>
        <w:numPr>
          <w:ilvl w:val="0"/>
          <w:numId w:val="19"/>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发现火警时，立即用消防电话或普通电话向控制中心报警，也可启动手动报警器，通过楼层警铃、火灾报警器的信号传到监控中心。</w:t>
      </w:r>
    </w:p>
    <w:p>
      <w:pPr>
        <w:numPr>
          <w:ilvl w:val="0"/>
          <w:numId w:val="19"/>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用电话报警时，必须讲清下列事项：火灾发生的具体地点、火势大小、燃烧物质、 报警人的姓名和身份。</w:t>
      </w:r>
    </w:p>
    <w:p>
      <w:pPr>
        <w:numPr>
          <w:ilvl w:val="0"/>
          <w:numId w:val="17"/>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接到报警后的处理办法</w:t>
      </w:r>
    </w:p>
    <w:p>
      <w:pPr>
        <w:numPr>
          <w:ilvl w:val="0"/>
          <w:numId w:val="20"/>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消监控中心接到人工或自动火灾报警信号后，利用对讲机通知巡视员立刻前往现场。 如巡视员在现场确定属火警误报，通知监控中心复位；如证实火警，应立即通知监控中心启动报警设施并通知相关人员到场施救，巡视员应利用就近现有设施进行灭火。如火警严重，消防监控中心在组织前期扑救的同时向 119 报警。</w:t>
      </w:r>
    </w:p>
    <w:p>
      <w:pPr>
        <w:numPr>
          <w:ilvl w:val="0"/>
          <w:numId w:val="20"/>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监控中心利用消防广播，引导人群利用消防楼梯向安全地点疏散；技术人员将电梯降至首层；切除火灾区域电源；</w:t>
      </w:r>
    </w:p>
    <w:p>
      <w:pPr>
        <w:numPr>
          <w:ilvl w:val="0"/>
          <w:numId w:val="20"/>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消防管理员向有关部门报告，并协助指挥灭火，其他人员要立即到现场参与灭火，设备值班人员则坚守岗位，随时听从指挥，管理员负责疏散人群，帮助护理伤者。</w:t>
      </w:r>
    </w:p>
    <w:p>
      <w:pPr>
        <w:numPr>
          <w:ilvl w:val="0"/>
          <w:numId w:val="20"/>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消防管理员派人到门口引导消防队进入火场，指示消防栓位置。</w:t>
      </w:r>
    </w:p>
    <w:p>
      <w:pPr>
        <w:numPr>
          <w:ilvl w:val="0"/>
          <w:numId w:val="20"/>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组织义务消防队员迅速扑灭早期火灾，引导、组织群众疏散、转移，抢救重要物资。</w:t>
      </w:r>
    </w:p>
    <w:p>
      <w:pPr>
        <w:numPr>
          <w:ilvl w:val="0"/>
          <w:numId w:val="17"/>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消防工作质量标准</w:t>
      </w:r>
    </w:p>
    <w:p>
      <w:pPr>
        <w:numPr>
          <w:ilvl w:val="0"/>
          <w:numId w:val="21"/>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设施器材完好，消防通道畅通，无消防隐患；</w:t>
      </w:r>
    </w:p>
    <w:p>
      <w:pPr>
        <w:numPr>
          <w:ilvl w:val="0"/>
          <w:numId w:val="21"/>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结果有记录，整改及时到位；</w:t>
      </w:r>
    </w:p>
    <w:p>
      <w:pPr>
        <w:numPr>
          <w:ilvl w:val="0"/>
          <w:numId w:val="21"/>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进行消防检查，检查结果及整改有记录；</w:t>
      </w:r>
    </w:p>
    <w:p>
      <w:pPr>
        <w:numPr>
          <w:ilvl w:val="0"/>
          <w:numId w:val="21"/>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监控 24 小时有人按规定值班、有记录；正确执行消防应急处理程序；</w:t>
      </w:r>
    </w:p>
    <w:p>
      <w:pPr>
        <w:numPr>
          <w:ilvl w:val="0"/>
          <w:numId w:val="21"/>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举行消防训练和消防知识培训；</w:t>
      </w:r>
    </w:p>
    <w:p>
      <w:pPr>
        <w:numPr>
          <w:ilvl w:val="0"/>
          <w:numId w:val="21"/>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消防突发事件，反应迅速，尽快赶赴现场灭火，组织得当，方法正确；</w:t>
      </w:r>
    </w:p>
    <w:p>
      <w:pPr>
        <w:numPr>
          <w:ilvl w:val="0"/>
          <w:numId w:val="15"/>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消监控中心管理</w:t>
      </w:r>
    </w:p>
    <w:p>
      <w:pPr>
        <w:numPr>
          <w:ilvl w:val="0"/>
          <w:numId w:val="22"/>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消监控员必须对消监控所有设备操作熟练，对所有监控点及报警点了如指掌。</w:t>
      </w:r>
    </w:p>
    <w:p>
      <w:pPr>
        <w:numPr>
          <w:ilvl w:val="0"/>
          <w:numId w:val="22"/>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未经值班人员批准，外来人员不得进入消监控室。</w:t>
      </w:r>
    </w:p>
    <w:p>
      <w:pPr>
        <w:numPr>
          <w:ilvl w:val="0"/>
          <w:numId w:val="22"/>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发现可疑人员或有报警，应立即用对讲机呼叫就近巡逻队员及时去查看或处理，并作好相应记录。</w:t>
      </w:r>
    </w:p>
    <w:p>
      <w:pPr>
        <w:numPr>
          <w:ilvl w:val="0"/>
          <w:numId w:val="22"/>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未经批准，任何人不得随意查看监控设备和录像回放。</w:t>
      </w:r>
    </w:p>
    <w:p>
      <w:pPr>
        <w:numPr>
          <w:ilvl w:val="0"/>
          <w:numId w:val="22"/>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遇到突发事件，例如火警或电梯故障应及时通知相关单位或人员，并做好记录。</w:t>
      </w:r>
    </w:p>
    <w:p>
      <w:pPr>
        <w:numPr>
          <w:ilvl w:val="0"/>
          <w:numId w:val="15"/>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消防设施管理</w:t>
      </w:r>
    </w:p>
    <w:p>
      <w:pPr>
        <w:numPr>
          <w:ilvl w:val="0"/>
          <w:numId w:val="23"/>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对大楼每楼层及地下车库，包括消防供配电设施、火灾自动报警系统、消防供水设施、消火栓灭火系统、自动喷水灭火系统、泡沫灭火系统、气体灭火系统、防烟排烟系统、应急照明和疏散指示标志、应急广播系统、消防专用电话、消防电梯、防火分隔设施、灭火器等做好对应标识和登记，做好定期巡查记录工作；任何单位和个人未经主管同意，不得动用消防设施。</w:t>
      </w:r>
    </w:p>
    <w:p>
      <w:pPr>
        <w:numPr>
          <w:ilvl w:val="0"/>
          <w:numId w:val="23"/>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所有消防管理员对消控室主机上所有报警点，须熟知其所对应楼层中的具体位置。 </w:t>
      </w:r>
    </w:p>
    <w:p>
      <w:pPr>
        <w:numPr>
          <w:ilvl w:val="0"/>
          <w:numId w:val="23"/>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每月对所有灭火器、水带、水枪的完好性和有效性进行1次检查，并作好记录，由班长执行，队长抽查、汇总。 </w:t>
      </w:r>
    </w:p>
    <w:p>
      <w:pPr>
        <w:numPr>
          <w:ilvl w:val="0"/>
          <w:numId w:val="23"/>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每季度对使用人办公区域及公共区域内的烟感、温感设施进行1次抽查。</w:t>
      </w:r>
    </w:p>
    <w:p>
      <w:pPr>
        <w:numPr>
          <w:ilvl w:val="0"/>
          <w:numId w:val="23"/>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每季对排烟、送风阀、防水门进行1次试验，并记录。</w:t>
      </w:r>
    </w:p>
    <w:p>
      <w:pPr>
        <w:numPr>
          <w:ilvl w:val="0"/>
          <w:numId w:val="23"/>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每半年对所有消防设施进行1次联动检查（消防维保单位负责），确保消控室运行有效。</w:t>
      </w:r>
    </w:p>
    <w:p>
      <w:pPr>
        <w:numPr>
          <w:ilvl w:val="0"/>
          <w:numId w:val="23"/>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凡是用过的灭火器，应及时充装。</w:t>
      </w:r>
    </w:p>
    <w:p>
      <w:pPr>
        <w:numPr>
          <w:ilvl w:val="0"/>
          <w:numId w:val="15"/>
        </w:numPr>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消防系统管理</w:t>
      </w:r>
    </w:p>
    <w:p>
      <w:pPr>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本系统主要有火灾自动报警系统（FAS）、消防水系统（含消火栓水系统、喷淋水系 统等）、防排烟系统、气体消防系统等。</w:t>
      </w:r>
    </w:p>
    <w:p>
      <w:pPr>
        <w:numPr>
          <w:ilvl w:val="0"/>
          <w:numId w:val="24"/>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消防控制及消防系统设施配备齐全，完好无损，随时可启用。</w:t>
      </w:r>
    </w:p>
    <w:p>
      <w:pPr>
        <w:numPr>
          <w:ilvl w:val="0"/>
          <w:numId w:val="24"/>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落实区域消防安全责任人、义务消防人员，定期进行演练，开展消防知识及法规的宣传教育，保证火灾发生率为“0”。</w:t>
      </w:r>
    </w:p>
    <w:p>
      <w:pPr>
        <w:numPr>
          <w:ilvl w:val="0"/>
          <w:numId w:val="24"/>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制定突发性火灾等应急方案，设立消防疏散示意图，紧急疏散通道畅通，照明设备、 引路标志完好。</w:t>
      </w:r>
    </w:p>
    <w:p>
      <w:pPr>
        <w:numPr>
          <w:ilvl w:val="0"/>
          <w:numId w:val="24"/>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无火灾及其它安全隐患。</w:t>
      </w:r>
    </w:p>
    <w:p>
      <w:pPr>
        <w:spacing w:line="360" w:lineRule="exact"/>
        <w:ind w:firstLine="440" w:firstLineChars="200"/>
        <w:rPr>
          <w:rFonts w:hint="eastAsia" w:ascii="宋体" w:hAnsi="宋体" w:eastAsia="宋体" w:cs="宋体"/>
          <w:b/>
          <w:color w:val="auto"/>
          <w:sz w:val="22"/>
          <w:highlight w:val="none"/>
        </w:rPr>
      </w:pPr>
      <w:r>
        <w:rPr>
          <w:rFonts w:hint="eastAsia" w:ascii="宋体" w:hAnsi="宋体" w:eastAsia="宋体" w:cs="宋体"/>
          <w:color w:val="auto"/>
          <w:sz w:val="22"/>
          <w:highlight w:val="none"/>
        </w:rPr>
        <w:t>4.3</w:t>
      </w:r>
      <w:r>
        <w:rPr>
          <w:rFonts w:hint="eastAsia" w:ascii="宋体" w:hAnsi="宋体" w:eastAsia="宋体" w:cs="宋体"/>
          <w:b/>
          <w:color w:val="auto"/>
          <w:sz w:val="22"/>
          <w:highlight w:val="none"/>
        </w:rPr>
        <w:t>治安安全和秩序管理方案</w:t>
      </w:r>
    </w:p>
    <w:p>
      <w:pPr>
        <w:numPr>
          <w:ilvl w:val="0"/>
          <w:numId w:val="25"/>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主要任务与整体方案策划 </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安全防范与公共秩序管理的主要任务是：对本项目办公场所财产的安全实施防范性保护，维护服务区域内良好的公共秩序，包括办公秩序、会议秩序、人员与物资进出秩序等，严格实施治安管理，杜绝安全隐患和事故，加强不安全因素的管理，防止意外伤害事故的发生。</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根据安防智能化程度高的特点，本项目的安全管理实施“人防为主，技防、物防为辅， 三防结合，全面防范”的整体防范模式。</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在治安防范与公共秩序维护方面，制定并严格实施突发事件应急处理规程、交接班制度等工作制度体系，实行准军事化管理，展示学校良好的服务形象和建立良好的公共秩序。</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在突发事件防范与处理方面，制定各类可能发生突发事件的应急方案，实施先进的“三级”阶梯式推进体系。第一梯队以当安保队员人员为主，组成快速反应分队，在发生突发事件时，在第一时间（2分钟内）赶赴现场处理；第二梯队为快速增援分队，在事态较严重时，全体安保队员快速行动随时召集，实施对第一分队有效增援；第三分队由公司整体调度，当遇到较大的突发事件、事态较严重时，随时调集安保公司附近管辖人员紧急支援。此外，安保公司通过加强与当地***和校安保中心的联系，积极配合、协同作战，加大综合治理的力度。</w:t>
      </w:r>
    </w:p>
    <w:p>
      <w:pPr>
        <w:numPr>
          <w:ilvl w:val="0"/>
          <w:numId w:val="25"/>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重点管理措施</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建立一支高素质的安保队伍。安保公司将按高标准、严要求的指导思想，严抓招聘、培训、上岗、考核等关键环节，实施“准军事化管理”。管理人员招聘挑选具有良好的思想品质、纪律意识和精湛的业务技能的优秀青年。建立业务、绩效考核与工资、职位挂钩的机制。安保内部（可任学校意见调整）上岗，在年终考评中，实行末位淘汰制，保持安保人员的高素质和战斗力。</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强化训练与培训。对消防管理员队伍实行准军事化管理和训练，不断提高消防管理员的思想觉悟、业务技能，规范服务行为，强化技能和体能训练。</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制定高标准安保管理员工作质量标准。根据本项目的特点和学校的工作要求，将在导入ISO9001质量管理体系时，有针对性地制定安保工作作业指导书、各岗位作业标准和管理人员综合工作质量标准，并按标准实施严格的检查、考核制度，每一项工作做好原始记录，实现环环相扣，互相约束、互相监督。</w:t>
      </w:r>
    </w:p>
    <w:p>
      <w:pPr>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4.4出入管理</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为维护校园秩序，确保学校教学科研活动正常进行，保障师生员工正常的生活秩序和人身、财产安全，特制订以下管理制度。 </w:t>
      </w:r>
    </w:p>
    <w:p>
      <w:pPr>
        <w:numPr>
          <w:ilvl w:val="0"/>
          <w:numId w:val="26"/>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学校入口和门岗对外体现着学校的形象，全校师生员工应积极主动地加以配合和维护。门卫执勤人员应严格按照学校管理制度，坚守岗位，认真负责，做到态度和气、文明礼貌。问明来访客人的事由，尽可能与受访领导或老师的通电话确认，出示有效证件，做好登记，向来访客人指引来访的位置，做到“一问、二登记、三放行”。</w:t>
      </w:r>
    </w:p>
    <w:p>
      <w:pPr>
        <w:numPr>
          <w:ilvl w:val="0"/>
          <w:numId w:val="26"/>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学校师生员工凭工作牌、学生证、校园卡（一卡通） 等有效证件入校；校外来访人员凭身份证等有效证件登记入校，必要时应主动出示有效证件，自觉接受门卫人员的查验。来校务工人员与学校暂住人员凭工作牌或临时出入证（由后勤部安保中心办理），进出学校时应主动出示。门卫对于未登记的不确定来客应密切观察直到出校。             </w:t>
      </w:r>
    </w:p>
    <w:p>
      <w:pPr>
        <w:numPr>
          <w:ilvl w:val="0"/>
          <w:numId w:val="26"/>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因教学或举办相关活动等需要进入校园的校外人员（或单位团体），应事先经学校邀请部门或学校主办部门同意方可进入校园；进入校园的采访活动需经学校办公室批准。 </w:t>
      </w:r>
    </w:p>
    <w:p>
      <w:pPr>
        <w:numPr>
          <w:ilvl w:val="0"/>
          <w:numId w:val="26"/>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所有机动车车辆原则上不能进校，进入校园的车辆必须是拉货车辆或其他特殊车辆，并做好登记，以驾驶证（或其他有效证件）换取车辆进校通行证并提醒校园内车速不能超过15码，并按指定位置停放，同时车主应妥善保管好自己的车辆和财物。其他车辆一律不得进入校园。施工车辆的查验与询问，先问明需要进校的情况具体送货地址，查看车上是否有施工货物(如是施工物品需先去学校后勤部开取施工单)再电话确认后方可进校。不用登记的车辆：已经办理过学校出入证的车辆，凭证出入（但出来时，车上的物品还需查验）；已经有学校人员迎接，因工作需要进出的车辆；上级部门检查车辆，因工作需要进出的车辆（必须是电话确认后放行）。</w:t>
      </w:r>
    </w:p>
    <w:p>
      <w:pPr>
        <w:numPr>
          <w:ilvl w:val="0"/>
          <w:numId w:val="26"/>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禁止一切社会闲杂人员和未经许可的小商小贩进入校内。禁止散发宣传品或广告宣传人员进入校园活动。学校入口前禁止停放各种车辆。严禁携带易燃、易爆、危险品、 管制械具者进入校园。</w:t>
      </w:r>
    </w:p>
    <w:p>
      <w:pPr>
        <w:numPr>
          <w:ilvl w:val="0"/>
          <w:numId w:val="26"/>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禁止翻越校园护栏等不文明行为，门卫或巡逻人员发现后有权进行制止和批评教育，对不听劝阻或不接受批评教育者，交学校后勤部安保中心处理。 </w:t>
      </w:r>
    </w:p>
    <w:p>
      <w:pPr>
        <w:numPr>
          <w:ilvl w:val="0"/>
          <w:numId w:val="26"/>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学校教学楼、公寓楼等楼房的出入口门禁授权于全体师生及物业人员，授权人员凭校园卡（一卡通）出入，人员进出门后要随时关门，防止无关人员进出。如遇火灾、 地震等突发事件，门禁系统将自动断电开放，可自由进出。</w:t>
      </w:r>
    </w:p>
    <w:p>
      <w:pPr>
        <w:numPr>
          <w:ilvl w:val="0"/>
          <w:numId w:val="26"/>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学校停车场管理，已经录入学校车牌识别系统的车辆进入学校停车场，安保人员要协助客户读卡，做好车辆交通引导工作。对临时进入校内停车场的车辆，要询问车上人员进入校内的去向，并做好人员（来访）登记和通知相关岗位人员予以跟踪监控，并在《机动车辆进出登记本》上做好车牌号码、车况和进入时间等记录。同时留意车内人员和物品，防止载有易燃易爆、危险品的车辆进入校内以免带来安全隐患。巡逻人员在车辆泊位在指挥、引导车辆泊位时，要密切注意泊位车辆谨防碰伤场内其他车辆。经常检查车场内所停车辆状况，若发现停放车辆有漏水、漏油或由碰划痕等情况时，要及时报告队长，通知相关人员到现场处理，并做好记录。</w:t>
      </w:r>
    </w:p>
    <w:p>
      <w:pPr>
        <w:numPr>
          <w:ilvl w:val="0"/>
          <w:numId w:val="26"/>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重大活动或会议期间车辆管理</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根据情况，提前预留车位。增设交通指挥引导岗。如有必要，来宾到达前几分钟或活动结束时临时管制进出车辆。</w:t>
      </w:r>
    </w:p>
    <w:p>
      <w:pPr>
        <w:numPr>
          <w:ilvl w:val="0"/>
          <w:numId w:val="26"/>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外来施工单位在校施工期间，应办理《临时施工许可证》，人员和车辆把物品带出学校，原则上要凭出门单或学校相关当事人电话确认。</w:t>
      </w:r>
    </w:p>
    <w:p>
      <w:pPr>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4.5门禁管理</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为了科学规范使用门禁系统，完善学校的管理制度，保障师生的人身、财产安全，特制订以下管理制度。 </w:t>
      </w:r>
    </w:p>
    <w:p>
      <w:pPr>
        <w:numPr>
          <w:ilvl w:val="0"/>
          <w:numId w:val="27"/>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学校门禁系统包括学校办公区、教学区、生活区以及各通道出入口门禁等。 </w:t>
      </w:r>
    </w:p>
    <w:p>
      <w:pPr>
        <w:numPr>
          <w:ilvl w:val="0"/>
          <w:numId w:val="27"/>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学校后勤与资产管理部和信息中心是学校门禁系统管理职能部门，负责门禁管理等工作。其中后勤与资产管理部主要负责门禁卡的日常管理，信息中心主要负责门禁的前期建设和后期技术支持。 </w:t>
      </w:r>
    </w:p>
    <w:p>
      <w:pPr>
        <w:numPr>
          <w:ilvl w:val="0"/>
          <w:numId w:val="27"/>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门禁卡分师生门禁卡、来宾门禁卡、临时门禁卡。来校访问、交流、讲学的学者或教职工亲属需使用门禁卡时，持有效证件，办理来宾门禁卡。短期工作的校外人员需要办理门禁卡时，由所涉部门出具证明</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 xml:space="preserve">持有效证件，办理临时门禁卡。 </w:t>
      </w:r>
    </w:p>
    <w:p>
      <w:pPr>
        <w:numPr>
          <w:ilvl w:val="0"/>
          <w:numId w:val="27"/>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持卡人要妥善保管门禁卡，门禁卡同时作为本人身份证明，一般情况下不得转借。若门禁卡遗失，持卡人应及时到一卡通管理办公室挂失补办。</w:t>
      </w:r>
    </w:p>
    <w:p>
      <w:pPr>
        <w:numPr>
          <w:ilvl w:val="0"/>
          <w:numId w:val="27"/>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持卡人要遵守学校相关规定，树立良好的道德风尚，不得伪造、违规使用门禁卡或借助门禁卡进行违法违纪行为，一经发现，按学校有关规定追究当事者责任，情节严重的移交公安机关处理。 </w:t>
      </w:r>
    </w:p>
    <w:p>
      <w:pPr>
        <w:numPr>
          <w:ilvl w:val="0"/>
          <w:numId w:val="27"/>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如人为破坏门禁系统的机具、网络等设备或改变设置，修改他人的信息等，影响门禁系统正常工作的，将严肃查处，并按学校有关规定追究当事者责任，情节严重的移交公安机关处理。 </w:t>
      </w:r>
    </w:p>
    <w:p>
      <w:pPr>
        <w:numPr>
          <w:ilvl w:val="0"/>
          <w:numId w:val="27"/>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如遇火灾、地震等突发事件，门禁系统将自动断电开放，可自由进出。 </w:t>
      </w:r>
    </w:p>
    <w:p>
      <w:pPr>
        <w:numPr>
          <w:ilvl w:val="0"/>
          <w:numId w:val="27"/>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门禁授权的区域划分 </w:t>
      </w:r>
    </w:p>
    <w:p>
      <w:pPr>
        <w:numPr>
          <w:ilvl w:val="0"/>
          <w:numId w:val="28"/>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各部门负责本部门人员的办公室门禁授权管理。 </w:t>
      </w:r>
    </w:p>
    <w:p>
      <w:pPr>
        <w:numPr>
          <w:ilvl w:val="0"/>
          <w:numId w:val="28"/>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其他区域门禁授权管理按部门划分。 </w:t>
      </w:r>
    </w:p>
    <w:p>
      <w:pPr>
        <w:numPr>
          <w:ilvl w:val="0"/>
          <w:numId w:val="27"/>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门禁授权的审批流程 </w:t>
      </w:r>
    </w:p>
    <w:p>
      <w:pPr>
        <w:numPr>
          <w:ilvl w:val="0"/>
          <w:numId w:val="29"/>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师生门禁卡：分别由学校人力资源部和学生事务中心提供人员信息，设置门禁。师生门禁授权需要调整的，根据区域划分，填写《温州肯恩大学门禁权限申请单》，到一卡通管理办公室办理。 </w:t>
      </w:r>
    </w:p>
    <w:p>
      <w:pPr>
        <w:numPr>
          <w:ilvl w:val="0"/>
          <w:numId w:val="29"/>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来宾门禁卡：由所涉部门填写好《温州肯恩大学门禁权限申请单》，同时到一卡通管理办公室办理。 </w:t>
      </w:r>
    </w:p>
    <w:p>
      <w:pPr>
        <w:numPr>
          <w:ilvl w:val="0"/>
          <w:numId w:val="29"/>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临时门禁卡：由经办人填写好《温州肯恩大学门禁权限申请单》，由主管部门签署意见，到一卡通管理办公室办理。</w:t>
      </w:r>
    </w:p>
    <w:p>
      <w:pPr>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4.6安保巡逻方案</w:t>
      </w:r>
    </w:p>
    <w:p>
      <w:pPr>
        <w:numPr>
          <w:ilvl w:val="0"/>
          <w:numId w:val="30"/>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工作职责</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巡逻人员应有礼貌地与师生打招呼，做到微笑服务，遇到师生提问，做好首问责任制，并及时反馈。不间断的巡查车库、各楼层及学校外围，不得遗漏和提前结束巡查，巡查内容包括有无消防、治安隐患，消防设施设备有无缺损，有无闲杂人员和推销人员，卫生状况，装修人员的装修手续，现场装修情况，关闭应关的照明灯，门是否关闭，加班人员的检查和登记工作，外围情况及其它情况，发现问题及时处理，并做好各个环节巡查记录及楼层巡逻签到工作。服从班长临时调配。</w:t>
      </w:r>
    </w:p>
    <w:p>
      <w:pPr>
        <w:numPr>
          <w:ilvl w:val="0"/>
          <w:numId w:val="30"/>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工作程序</w:t>
      </w:r>
    </w:p>
    <w:p>
      <w:pPr>
        <w:numPr>
          <w:ilvl w:val="0"/>
          <w:numId w:val="31"/>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巡逻岗实行 24 小时值班制；大厅岗下岗后顺序先地下室—外围—电瓶车、自行车棚；</w:t>
      </w:r>
    </w:p>
    <w:p>
      <w:pPr>
        <w:numPr>
          <w:ilvl w:val="0"/>
          <w:numId w:val="31"/>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巡逻规律：先从顶楼，自上而下呈 S 型巡楼，从每层楼依次巡逻到地下室，最后到室外。不留“死角”、“偏角”；</w:t>
      </w:r>
    </w:p>
    <w:p>
      <w:pPr>
        <w:numPr>
          <w:ilvl w:val="0"/>
          <w:numId w:val="31"/>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查各岗位值勤情况：日常巡视检查值勤情况由主管和班长负责；</w:t>
      </w:r>
    </w:p>
    <w:p>
      <w:pPr>
        <w:numPr>
          <w:ilvl w:val="0"/>
          <w:numId w:val="31"/>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交接班时，交接双方班长要到各岗位检查：交接是否认真，手续是否办妥，仪容仪表是否符合有关规定等，发现问题，及时纠正，并做好记录；</w:t>
      </w:r>
    </w:p>
    <w:p>
      <w:pPr>
        <w:numPr>
          <w:ilvl w:val="0"/>
          <w:numId w:val="31"/>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班长巡视检查班内队员是否进行早班签到 1 次、中班 2 次、夜班 3 次的签到工作，是否认真填写《楼层巡逻签到表》； </w:t>
      </w:r>
    </w:p>
    <w:p>
      <w:pPr>
        <w:numPr>
          <w:ilvl w:val="0"/>
          <w:numId w:val="31"/>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巡查时，发现不认真或违纪等情况，要及时纠正，做好记录并上报；</w:t>
      </w:r>
    </w:p>
    <w:p>
      <w:pPr>
        <w:numPr>
          <w:ilvl w:val="0"/>
          <w:numId w:val="31"/>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本班值勤中遇到疑难问题时，应及时报告消控室和班长，按有关规定程序处理。</w:t>
      </w:r>
    </w:p>
    <w:p>
      <w:pPr>
        <w:numPr>
          <w:ilvl w:val="0"/>
          <w:numId w:val="30"/>
        </w:numPr>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服务要求 </w:t>
      </w:r>
    </w:p>
    <w:p>
      <w:pPr>
        <w:numPr>
          <w:ilvl w:val="0"/>
          <w:numId w:val="32"/>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维持车辆进出秩序保证车道畅通；</w:t>
      </w:r>
    </w:p>
    <w:p>
      <w:pPr>
        <w:numPr>
          <w:ilvl w:val="0"/>
          <w:numId w:val="32"/>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不间断对大楼进行巡逻，在巡逻中突发事件及时处理；</w:t>
      </w:r>
    </w:p>
    <w:p>
      <w:pPr>
        <w:numPr>
          <w:ilvl w:val="0"/>
          <w:numId w:val="32"/>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每月负责对消防设施、设备检查一次并做好登记；</w:t>
      </w:r>
    </w:p>
    <w:p>
      <w:pPr>
        <w:numPr>
          <w:ilvl w:val="0"/>
          <w:numId w:val="32"/>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大楼内巡视过程中遇到有需维修的物品做好登记并及时报告；</w:t>
      </w:r>
    </w:p>
    <w:p>
      <w:pPr>
        <w:numPr>
          <w:ilvl w:val="0"/>
          <w:numId w:val="32"/>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接到报警及时前往查看报告、做好记录。</w:t>
      </w:r>
    </w:p>
    <w:p>
      <w:pPr>
        <w:adjustRightInd w:val="0"/>
        <w:snapToGrid w:val="0"/>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 考核标准</w:t>
      </w:r>
    </w:p>
    <w:p>
      <w:pPr>
        <w:numPr>
          <w:ilvl w:val="0"/>
          <w:numId w:val="33"/>
        </w:numPr>
        <w:adjustRightInd w:val="0"/>
        <w:snapToGrid w:val="0"/>
        <w:spacing w:line="360" w:lineRule="exact"/>
        <w:ind w:left="0" w:firstLine="440" w:firstLineChars="200"/>
        <w:rPr>
          <w:rFonts w:hint="eastAsia" w:ascii="宋体" w:hAnsi="宋体" w:eastAsia="宋体" w:cs="宋体"/>
          <w:snapToGrid w:val="0"/>
          <w:color w:val="auto"/>
          <w:sz w:val="22"/>
          <w:highlight w:val="none"/>
        </w:rPr>
      </w:pPr>
      <w:r>
        <w:rPr>
          <w:rFonts w:hint="eastAsia" w:ascii="宋体" w:hAnsi="宋体" w:eastAsia="宋体" w:cs="宋体"/>
          <w:bCs/>
          <w:color w:val="auto"/>
          <w:sz w:val="22"/>
          <w:highlight w:val="none"/>
        </w:rPr>
        <w:t>月考核标准要求表</w:t>
      </w:r>
    </w:p>
    <w:tbl>
      <w:tblPr>
        <w:tblStyle w:val="29"/>
        <w:tblW w:w="9536" w:type="dxa"/>
        <w:jc w:val="center"/>
        <w:tblLayout w:type="fixed"/>
        <w:tblCellMar>
          <w:top w:w="0" w:type="dxa"/>
          <w:left w:w="108" w:type="dxa"/>
          <w:bottom w:w="0" w:type="dxa"/>
          <w:right w:w="108" w:type="dxa"/>
        </w:tblCellMar>
      </w:tblPr>
      <w:tblGrid>
        <w:gridCol w:w="496"/>
        <w:gridCol w:w="964"/>
        <w:gridCol w:w="4408"/>
        <w:gridCol w:w="2475"/>
        <w:gridCol w:w="705"/>
        <w:gridCol w:w="488"/>
      </w:tblGrid>
      <w:tr>
        <w:tblPrEx>
          <w:tblCellMar>
            <w:top w:w="0" w:type="dxa"/>
            <w:left w:w="108" w:type="dxa"/>
            <w:bottom w:w="0" w:type="dxa"/>
            <w:right w:w="108" w:type="dxa"/>
          </w:tblCellMar>
        </w:tblPrEx>
        <w:trPr>
          <w:trHeight w:val="39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9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内 容</w:t>
            </w:r>
          </w:p>
        </w:tc>
        <w:tc>
          <w:tcPr>
            <w:tcW w:w="440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目标要求</w:t>
            </w:r>
          </w:p>
        </w:tc>
        <w:tc>
          <w:tcPr>
            <w:tcW w:w="24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考评标准</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考核分</w:t>
            </w:r>
          </w:p>
        </w:tc>
        <w:tc>
          <w:tcPr>
            <w:tcW w:w="48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CellMar>
            <w:top w:w="0" w:type="dxa"/>
            <w:left w:w="108" w:type="dxa"/>
            <w:bottom w:w="0" w:type="dxa"/>
            <w:right w:w="108" w:type="dxa"/>
          </w:tblCellMar>
        </w:tblPrEx>
        <w:trPr>
          <w:trHeight w:val="397" w:hRule="atLeast"/>
          <w:jc w:val="center"/>
        </w:trPr>
        <w:tc>
          <w:tcPr>
            <w:tcW w:w="49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96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人员配备及基本要求</w:t>
            </w: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1、派驻消控监控中心的人员经审查后上岗，并能够熟悉掌握操作规程，及时排除故障；</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不满足一项扣1分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2、人员编制满员</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整个队伍保持稳定，人员流动率小于20%/年；</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不满足一项扣1分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3、所有人员进出有登记；</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不满足扣2分</w:t>
            </w:r>
          </w:p>
        </w:tc>
        <w:tc>
          <w:tcPr>
            <w:tcW w:w="70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4、聘用的工作人员符合劳动部门有关用工规定，并在岗位时佩带双证件上岗；</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不满足一项扣0.5分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5、所有队员持证上岗；</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不满足扣10分/每人</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snapToGrid w:val="0"/>
                <w:color w:val="auto"/>
                <w:sz w:val="22"/>
                <w:highlight w:val="none"/>
              </w:rPr>
              <w:t>6、安保人员全勤；</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缺勤扣0.5分/每人每天</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adjustRightInd w:val="0"/>
              <w:snapToGrid w:val="0"/>
              <w:spacing w:line="360" w:lineRule="exact"/>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7、文明仪表考核。</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snapToGrid w:val="0"/>
                <w:color w:val="auto"/>
                <w:sz w:val="22"/>
                <w:highlight w:val="none"/>
              </w:rPr>
              <w:t>见附表1</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96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制度建设</w:t>
            </w:r>
          </w:p>
        </w:tc>
        <w:tc>
          <w:tcPr>
            <w:tcW w:w="440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1、消控保安、消防安全管理、巡逻保安、门卫管理等制度建设情况；</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不满足一项扣0.5分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2、人员定岗制度建设及备案情况；</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不满足一项扣0.5分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3、岗位职责是否明确并附书面备案；</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不满足一项扣0.5分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4、所有保安人员守则制度、人员纪律建设、保安员权限制度、保安员保密原则等制度建设是否完善；</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不满足一项扣0.5分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5、保安员的交接班制度、考勤制度、公共管理巡逻制度是否建立，实行记录情况；</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不满足一项扣0.5分</w:t>
            </w:r>
          </w:p>
        </w:tc>
        <w:tc>
          <w:tcPr>
            <w:tcW w:w="70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6、监控室制度、电视监控系统的维护方案等建设情况；</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不满足一项扣0.5分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96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管</w:t>
            </w:r>
          </w:p>
          <w:p>
            <w:pPr>
              <w:pStyle w:val="2"/>
              <w:rPr>
                <w:rFonts w:hint="eastAsia" w:ascii="宋体" w:hAnsi="宋体" w:eastAsia="宋体" w:cs="宋体"/>
                <w:color w:val="auto"/>
                <w:highlight w:val="none"/>
                <w:lang w:eastAsia="zh-CN"/>
              </w:rPr>
            </w:pPr>
          </w:p>
          <w:p>
            <w:pPr>
              <w:widowControl/>
              <w:jc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理</w:t>
            </w:r>
          </w:p>
          <w:p>
            <w:pPr>
              <w:pStyle w:val="2"/>
              <w:rPr>
                <w:rFonts w:hint="eastAsia" w:ascii="宋体" w:hAnsi="宋体" w:eastAsia="宋体" w:cs="宋体"/>
                <w:color w:val="auto"/>
                <w:highlight w:val="none"/>
                <w:lang w:eastAsia="zh-CN"/>
              </w:rPr>
            </w:pPr>
          </w:p>
          <w:p>
            <w:pPr>
              <w:widowControl/>
              <w:jc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质</w:t>
            </w:r>
          </w:p>
          <w:p>
            <w:pPr>
              <w:pStyle w:val="2"/>
              <w:rPr>
                <w:rFonts w:hint="eastAsia" w:ascii="宋体" w:hAnsi="宋体" w:eastAsia="宋体" w:cs="宋体"/>
                <w:color w:val="auto"/>
                <w:highlight w:val="none"/>
                <w:lang w:eastAsia="zh-CN"/>
              </w:rPr>
            </w:pPr>
          </w:p>
          <w:p>
            <w:pPr>
              <w:widowControl/>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量</w:t>
            </w: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1、在承包区域的各项服务，其工作时间满足学校的要求，包括公众假期，做到无论有什么理由，都不可以停止服务；是否做到全天二十四小时服务；</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不满足一项扣1分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2、在承包期内保证区域内的设施、设备良好的运营状况和环境状况及后勤中心提供设备、设施、工具的完好性（正常折旧除外）；</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不满足一项扣1分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3、工作人员不准向学校大楼内相关人员索取小费或物品等；在承包区域住宿不准从事非法活动；不准安装任何可能造成电缆负载过大的电器设备；未获书面同意，不准在承包区域存放易燃物品或气味浓烈的液体等；</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不满足一项扣0.5分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4、对发现问题没有及时处理或没有及时上报情况；</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不满足一项扣1分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5、遇突发事件或安全检查时，有配合有关部门执行任务，并指定专职人员协助工作，直至完成好任务；</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不满足一项扣1分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6、对学校交办的临时性任务，及时完成；</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不满足一项扣1分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7、管理层是否以身作则，管理人员对队员的工作是否经常性认真检查和指导，在遵守保安制度外并能否遵守公检法的有关规定；</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不满足扣1分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96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日常服务情况</w:t>
            </w: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1、保证学校的工作生活秩序正常；</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不满足扣2分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2、安全保卫工作有序；</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不满足扣3分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3、监控工作到位；</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不满足扣3分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4、消防处理是否及时；</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不满足扣3分</w:t>
            </w:r>
          </w:p>
        </w:tc>
        <w:tc>
          <w:tcPr>
            <w:tcW w:w="70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5、维持停车秩序（含周边路段）</w:t>
            </w:r>
          </w:p>
        </w:tc>
        <w:tc>
          <w:tcPr>
            <w:tcW w:w="247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r>
              <w:rPr>
                <w:rFonts w:hint="eastAsia" w:ascii="宋体" w:hAnsi="宋体" w:eastAsia="宋体" w:cs="宋体"/>
                <w:color w:val="auto"/>
                <w:sz w:val="22"/>
                <w:highlight w:val="none"/>
              </w:rPr>
              <w:t>不满足扣1分</w:t>
            </w:r>
          </w:p>
        </w:tc>
        <w:tc>
          <w:tcPr>
            <w:tcW w:w="7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8343" w:type="dxa"/>
            <w:gridSpan w:val="4"/>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2"/>
                <w:highlight w:val="none"/>
              </w:rPr>
            </w:pPr>
            <w:r>
              <w:rPr>
                <w:rFonts w:hint="eastAsia" w:ascii="宋体" w:hAnsi="宋体" w:eastAsia="宋体" w:cs="宋体"/>
                <w:bCs/>
                <w:color w:val="auto"/>
                <w:sz w:val="22"/>
                <w:highlight w:val="none"/>
              </w:rPr>
              <w:t>得分</w:t>
            </w:r>
          </w:p>
        </w:tc>
        <w:tc>
          <w:tcPr>
            <w:tcW w:w="70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sz w:val="22"/>
                <w:highlight w:val="none"/>
              </w:rPr>
            </w:pPr>
          </w:p>
        </w:tc>
      </w:tr>
    </w:tbl>
    <w:p>
      <w:pPr>
        <w:adjustRightInd w:val="0"/>
        <w:snapToGrid w:val="0"/>
        <w:spacing w:line="360" w:lineRule="exact"/>
        <w:rPr>
          <w:rFonts w:hint="eastAsia" w:ascii="宋体" w:hAnsi="宋体" w:eastAsia="宋体" w:cs="宋体"/>
          <w:snapToGrid w:val="0"/>
          <w:color w:val="auto"/>
          <w:sz w:val="22"/>
          <w:highlight w:val="none"/>
        </w:rPr>
      </w:pPr>
      <w:bookmarkStart w:id="5" w:name="_Toc486540098"/>
      <w:r>
        <w:rPr>
          <w:rFonts w:hint="eastAsia" w:ascii="宋体" w:hAnsi="宋体" w:eastAsia="宋体" w:cs="宋体"/>
          <w:snapToGrid w:val="0"/>
          <w:color w:val="auto"/>
          <w:sz w:val="22"/>
          <w:highlight w:val="none"/>
        </w:rPr>
        <w:t>备注</w:t>
      </w:r>
    </w:p>
    <w:p>
      <w:pPr>
        <w:numPr>
          <w:ilvl w:val="0"/>
          <w:numId w:val="34"/>
        </w:numPr>
        <w:tabs>
          <w:tab w:val="left" w:pos="360"/>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采购人在合同期内有权根据实际考核需求对月考核标准要求表进行调整。合同期内有调整的按照调整后的要求表进行考核。</w:t>
      </w:r>
    </w:p>
    <w:p>
      <w:pPr>
        <w:numPr>
          <w:ilvl w:val="0"/>
          <w:numId w:val="34"/>
        </w:numPr>
        <w:tabs>
          <w:tab w:val="left" w:pos="360"/>
        </w:tabs>
        <w:spacing w:line="360" w:lineRule="exact"/>
        <w:rPr>
          <w:rFonts w:hint="eastAsia" w:ascii="宋体" w:hAnsi="宋体" w:eastAsia="宋体" w:cs="宋体"/>
          <w:color w:val="auto"/>
          <w:sz w:val="22"/>
          <w:highlight w:val="none"/>
        </w:rPr>
      </w:pPr>
      <w:r>
        <w:rPr>
          <w:rFonts w:hint="eastAsia" w:ascii="宋体" w:hAnsi="宋体" w:eastAsia="宋体" w:cs="宋体"/>
          <w:bCs/>
          <w:color w:val="auto"/>
          <w:sz w:val="22"/>
          <w:highlight w:val="none"/>
        </w:rPr>
        <w:t>考核采用百</w:t>
      </w:r>
      <w:r>
        <w:rPr>
          <w:rFonts w:hint="eastAsia" w:ascii="宋体" w:hAnsi="宋体" w:eastAsia="宋体" w:cs="宋体"/>
          <w:color w:val="auto"/>
          <w:sz w:val="22"/>
          <w:highlight w:val="none"/>
        </w:rPr>
        <w:t>分制，总分不超过100分，考核总分月度考核90分及以上的按合同约定支付月服务费；89分及以下的按处罚方法进行处罚（</w:t>
      </w:r>
      <w:r>
        <w:rPr>
          <w:rFonts w:hint="eastAsia" w:ascii="宋体" w:hAnsi="宋体" w:eastAsia="宋体" w:cs="宋体"/>
          <w:bCs/>
          <w:color w:val="auto"/>
          <w:sz w:val="22"/>
          <w:highlight w:val="none"/>
        </w:rPr>
        <w:t>所涉及到的处罚，采购人均有权从服务费</w:t>
      </w:r>
      <w:r>
        <w:rPr>
          <w:rFonts w:hint="eastAsia" w:ascii="宋体" w:hAnsi="宋体" w:eastAsia="宋体" w:cs="宋体"/>
          <w:color w:val="auto"/>
          <w:sz w:val="22"/>
          <w:highlight w:val="none"/>
        </w:rPr>
        <w:t>或履约保证金</w:t>
      </w:r>
      <w:r>
        <w:rPr>
          <w:rFonts w:hint="eastAsia" w:ascii="宋体" w:hAnsi="宋体" w:eastAsia="宋体" w:cs="宋体"/>
          <w:bCs/>
          <w:color w:val="auto"/>
          <w:sz w:val="22"/>
          <w:highlight w:val="none"/>
        </w:rPr>
        <w:t>中直接予以扣除，</w:t>
      </w:r>
      <w:r>
        <w:rPr>
          <w:rFonts w:hint="eastAsia" w:ascii="宋体" w:hAnsi="宋体" w:eastAsia="宋体" w:cs="宋体"/>
          <w:color w:val="auto"/>
          <w:sz w:val="22"/>
          <w:highlight w:val="none"/>
        </w:rPr>
        <w:t>从履约保证金中扣除的，中标人应在接到扣除履约保证金通知后一周内补足扣除差额，保证承包期间履约保证金的完整。）。月度考核得分四舍五入取整数。</w:t>
      </w:r>
    </w:p>
    <w:p>
      <w:pPr>
        <w:numPr>
          <w:ilvl w:val="0"/>
          <w:numId w:val="34"/>
        </w:numPr>
        <w:tabs>
          <w:tab w:val="left" w:pos="360"/>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每月由采购人组织人员与中标人共同对中标人的服务进行检查、评分，具体方案由甲乙双方共同协商确定。</w:t>
      </w:r>
    </w:p>
    <w:p>
      <w:pPr>
        <w:numPr>
          <w:ilvl w:val="0"/>
          <w:numId w:val="34"/>
        </w:numPr>
        <w:tabs>
          <w:tab w:val="left" w:pos="360"/>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合同期内发现队员未持证上岗的，按采购人要求进行整改，整改期为五个工作日，整改期满后仍未办理相关证件的，该人员不得录用且按上述考核标准进行扣分。</w:t>
      </w:r>
    </w:p>
    <w:p>
      <w:pPr>
        <w:numPr>
          <w:ilvl w:val="0"/>
          <w:numId w:val="34"/>
        </w:numPr>
        <w:tabs>
          <w:tab w:val="left" w:pos="360"/>
        </w:tabs>
        <w:spacing w:line="360" w:lineRule="exact"/>
        <w:rPr>
          <w:rFonts w:hint="eastAsia" w:ascii="宋体" w:hAnsi="宋体" w:eastAsia="宋体" w:cs="宋体"/>
          <w:color w:val="auto"/>
          <w:sz w:val="22"/>
          <w:highlight w:val="none"/>
        </w:rPr>
      </w:pPr>
      <w:r>
        <w:rPr>
          <w:rFonts w:hint="eastAsia" w:ascii="宋体" w:hAnsi="宋体" w:eastAsia="宋体" w:cs="宋体"/>
          <w:snapToGrid w:val="0"/>
          <w:color w:val="auto"/>
          <w:sz w:val="22"/>
          <w:highlight w:val="none"/>
        </w:rPr>
        <w:t>附表1</w:t>
      </w:r>
    </w:p>
    <w:p>
      <w:pPr>
        <w:tabs>
          <w:tab w:val="left" w:pos="360"/>
        </w:tabs>
        <w:spacing w:line="360" w:lineRule="exact"/>
        <w:ind w:left="400"/>
        <w:jc w:val="center"/>
        <w:rPr>
          <w:rFonts w:hint="eastAsia" w:ascii="宋体" w:hAnsi="宋体" w:eastAsia="宋体" w:cs="宋体"/>
          <w:color w:val="auto"/>
          <w:sz w:val="22"/>
          <w:highlight w:val="none"/>
        </w:rPr>
      </w:pPr>
      <w:r>
        <w:rPr>
          <w:rFonts w:hint="eastAsia" w:ascii="宋体" w:hAnsi="宋体" w:eastAsia="宋体" w:cs="宋体"/>
          <w:snapToGrid w:val="0"/>
          <w:color w:val="auto"/>
          <w:sz w:val="22"/>
          <w:highlight w:val="none"/>
        </w:rPr>
        <w:t>文明仪表考核</w:t>
      </w:r>
    </w:p>
    <w:p>
      <w:pPr>
        <w:pStyle w:val="57"/>
        <w:adjustRightInd w:val="0"/>
        <w:snapToGrid w:val="0"/>
        <w:spacing w:line="360" w:lineRule="exact"/>
        <w:ind w:left="425" w:firstLine="44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采购人每月采取定时或抽查形式进行日常考核，如发现下列情况，将对中标人进行相应的扣分；如情节严重，采购人可加重经济处罚并追究中标人相应责任。</w:t>
      </w:r>
    </w:p>
    <w:p>
      <w:pPr>
        <w:pStyle w:val="57"/>
        <w:numPr>
          <w:ilvl w:val="0"/>
          <w:numId w:val="35"/>
        </w:numPr>
        <w:adjustRightInd w:val="0"/>
        <w:snapToGrid w:val="0"/>
        <w:spacing w:line="360" w:lineRule="exact"/>
        <w:ind w:firstLineChars="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有下列行为之一的扣除0.5分</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a) 上班时未穿保安服或服饰不整；</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b）在大楼内乱扔杂物；</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c) 当班时行为不检点，如嘻皮笑脸，大声喧哗，追逐打闹，勾肩搭背等；</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d）上班无故迟到，早退，串岗或擅离岗位10分钟以内；</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e) 违反电话使用规定，打私人电话聊天。</w:t>
      </w:r>
    </w:p>
    <w:p>
      <w:pPr>
        <w:adjustRightInd w:val="0"/>
        <w:snapToGrid w:val="0"/>
        <w:spacing w:line="360" w:lineRule="exact"/>
        <w:ind w:left="44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3）有下列行为之一的扣除1分</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a) 在禁止吸烟区域吸烟或使用明火；</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b）未经许可使用校园内设施、设备、仪表、仪器或其他财物；</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c) 使用不文明语言对待师生和访客；</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d) 工作中经常拖拖拉拉，出工不出力，故意消极怠工，屡教不改；</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e）当班时睡觉、听收录机或干私事等；</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f) 违反保安人员工作制度操作规程，造成轻微损失；</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hint="eastAsia" w:ascii="宋体" w:hAnsi="宋体" w:eastAsia="宋体" w:cs="宋体"/>
          <w:snapToGrid w:val="0"/>
          <w:color w:val="auto"/>
          <w:sz w:val="22"/>
          <w:highlight w:val="none"/>
        </w:rPr>
      </w:pPr>
      <w:r>
        <w:rPr>
          <w:rFonts w:hint="eastAsia" w:ascii="宋体" w:hAnsi="宋体" w:eastAsia="宋体" w:cs="宋体"/>
          <w:color w:val="auto"/>
          <w:sz w:val="22"/>
          <w:highlight w:val="none"/>
        </w:rPr>
        <w:t>g）没有正当理由或未经部门领导同意而擅自离开工作岗位10分钟以上1天以内。</w:t>
      </w:r>
    </w:p>
    <w:p>
      <w:pPr>
        <w:adjustRightInd w:val="0"/>
        <w:snapToGrid w:val="0"/>
        <w:spacing w:line="360" w:lineRule="exact"/>
        <w:ind w:left="44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3）有下列违规行为之一的扣除中标人5分</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 xml:space="preserve">     a) 不服从上级指令，甚至拒绝或有意不完成指派工作任务，紧急情况下不听从指挥的；</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 xml:space="preserve">     b）故意损坏公共财物、设备、工具造成经济损失的；</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 xml:space="preserve">     c) 在校园内进行任何形式的赌博；</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 xml:space="preserve">     d) 玩忽职守，违章指挥或隐瞒工作过失造成事故或损失的；</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 xml:space="preserve">     e）服务态度差，造成客户投诉，经核实后，确为事实的；</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 xml:space="preserve">     f) 发现校园财物丢失、损坏时，置若罔闻，无动于衷，在被调查时提供假情况；</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 xml:space="preserve">     g）旷工一至三天，同时按照采购人的要求更换相关保安人员；</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 xml:space="preserve">     h）用威胁手段当众侮辱客人及上级管理人员和同事等；</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 xml:space="preserve">     i) 严重玩忽职守，导致公共利益损失，后果严重的；</w:t>
      </w:r>
    </w:p>
    <w:p>
      <w:pPr>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 xml:space="preserve">     j) 因违反国家法律被公安机关拘留或处以拘留以上处罚的；</w:t>
      </w:r>
    </w:p>
    <w:p>
      <w:pPr>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snapToGrid w:val="0"/>
          <w:color w:val="auto"/>
          <w:sz w:val="22"/>
          <w:highlight w:val="none"/>
        </w:rPr>
        <w:t xml:space="preserve">     k) 发现有私自收取费用，如停车费等，经查属实的；</w:t>
      </w:r>
    </w:p>
    <w:p>
      <w:pPr>
        <w:numPr>
          <w:ilvl w:val="0"/>
          <w:numId w:val="34"/>
        </w:numPr>
        <w:tabs>
          <w:tab w:val="left" w:pos="360"/>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处罚方法（满分100分）：</w:t>
      </w:r>
    </w:p>
    <w:tbl>
      <w:tblPr>
        <w:tblStyle w:val="29"/>
        <w:tblW w:w="936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4320"/>
        <w:gridCol w:w="32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spacing w:line="360" w:lineRule="exact"/>
              <w:ind w:firstLine="331" w:firstLineChars="1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每月得分</w:t>
            </w:r>
          </w:p>
        </w:tc>
        <w:tc>
          <w:tcPr>
            <w:tcW w:w="4320" w:type="dxa"/>
          </w:tcPr>
          <w:p>
            <w:pPr>
              <w:spacing w:line="360" w:lineRule="exact"/>
              <w:ind w:left="440" w:hanging="44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处 罚 标 准</w:t>
            </w:r>
          </w:p>
        </w:tc>
        <w:tc>
          <w:tcPr>
            <w:tcW w:w="3243" w:type="dxa"/>
          </w:tcPr>
          <w:p>
            <w:pPr>
              <w:spacing w:line="360" w:lineRule="exact"/>
              <w:ind w:firstLine="1104" w:firstLineChars="5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 xml:space="preserve">备  注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89分</w:t>
            </w:r>
          </w:p>
        </w:tc>
        <w:tc>
          <w:tcPr>
            <w:tcW w:w="432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扣除500元/当月</w:t>
            </w:r>
          </w:p>
        </w:tc>
        <w:tc>
          <w:tcPr>
            <w:tcW w:w="3243" w:type="dxa"/>
            <w:vMerge w:val="restart"/>
            <w:vAlign w:val="center"/>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1个年度内连续3个月低于80分或评分累计4个月低于80分，则采购人有权终止承包合同。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88分</w:t>
            </w:r>
          </w:p>
        </w:tc>
        <w:tc>
          <w:tcPr>
            <w:tcW w:w="432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扣除1000元/当月</w:t>
            </w:r>
          </w:p>
        </w:tc>
        <w:tc>
          <w:tcPr>
            <w:tcW w:w="3243" w:type="dxa"/>
            <w:vMerge w:val="continue"/>
          </w:tcPr>
          <w:p>
            <w:pPr>
              <w:spacing w:line="360" w:lineRule="exact"/>
              <w:ind w:left="440" w:hanging="440"/>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87分</w:t>
            </w:r>
          </w:p>
        </w:tc>
        <w:tc>
          <w:tcPr>
            <w:tcW w:w="432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扣除1500元/当月</w:t>
            </w:r>
          </w:p>
        </w:tc>
        <w:tc>
          <w:tcPr>
            <w:tcW w:w="3243" w:type="dxa"/>
            <w:vMerge w:val="continue"/>
          </w:tcPr>
          <w:p>
            <w:pPr>
              <w:spacing w:line="360" w:lineRule="exact"/>
              <w:ind w:left="440" w:hanging="440"/>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86分</w:t>
            </w:r>
          </w:p>
        </w:tc>
        <w:tc>
          <w:tcPr>
            <w:tcW w:w="432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扣除2000元/当月</w:t>
            </w:r>
          </w:p>
        </w:tc>
        <w:tc>
          <w:tcPr>
            <w:tcW w:w="3243" w:type="dxa"/>
            <w:vMerge w:val="continue"/>
          </w:tcPr>
          <w:p>
            <w:pPr>
              <w:spacing w:line="360" w:lineRule="exact"/>
              <w:ind w:left="440" w:hanging="440"/>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85分</w:t>
            </w:r>
          </w:p>
        </w:tc>
        <w:tc>
          <w:tcPr>
            <w:tcW w:w="432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扣除3000元/当月</w:t>
            </w:r>
          </w:p>
        </w:tc>
        <w:tc>
          <w:tcPr>
            <w:tcW w:w="3243" w:type="dxa"/>
            <w:vMerge w:val="continue"/>
          </w:tcPr>
          <w:p>
            <w:pPr>
              <w:spacing w:line="360" w:lineRule="exact"/>
              <w:ind w:left="440" w:hanging="440"/>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84分</w:t>
            </w:r>
          </w:p>
        </w:tc>
        <w:tc>
          <w:tcPr>
            <w:tcW w:w="432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扣除4000元/当月</w:t>
            </w:r>
          </w:p>
        </w:tc>
        <w:tc>
          <w:tcPr>
            <w:tcW w:w="3243" w:type="dxa"/>
            <w:vMerge w:val="continue"/>
          </w:tcPr>
          <w:p>
            <w:pPr>
              <w:spacing w:line="360" w:lineRule="exact"/>
              <w:ind w:left="440" w:hanging="440"/>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83分</w:t>
            </w:r>
          </w:p>
        </w:tc>
        <w:tc>
          <w:tcPr>
            <w:tcW w:w="432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扣除5000元/当月</w:t>
            </w:r>
          </w:p>
        </w:tc>
        <w:tc>
          <w:tcPr>
            <w:tcW w:w="3243" w:type="dxa"/>
            <w:vMerge w:val="continue"/>
          </w:tcPr>
          <w:p>
            <w:pPr>
              <w:spacing w:line="360" w:lineRule="exact"/>
              <w:ind w:left="440" w:hanging="440"/>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0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82分</w:t>
            </w:r>
          </w:p>
        </w:tc>
        <w:tc>
          <w:tcPr>
            <w:tcW w:w="432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扣除6000元/当月</w:t>
            </w:r>
          </w:p>
        </w:tc>
        <w:tc>
          <w:tcPr>
            <w:tcW w:w="3243" w:type="dxa"/>
            <w:vMerge w:val="continue"/>
          </w:tcPr>
          <w:p>
            <w:pPr>
              <w:spacing w:line="360" w:lineRule="exact"/>
              <w:ind w:left="440" w:hanging="440"/>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0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81分</w:t>
            </w:r>
          </w:p>
        </w:tc>
        <w:tc>
          <w:tcPr>
            <w:tcW w:w="432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扣除7000元/当月</w:t>
            </w:r>
          </w:p>
        </w:tc>
        <w:tc>
          <w:tcPr>
            <w:tcW w:w="3243" w:type="dxa"/>
            <w:vMerge w:val="continue"/>
          </w:tcPr>
          <w:p>
            <w:pPr>
              <w:spacing w:line="360" w:lineRule="exact"/>
              <w:ind w:left="440" w:hanging="440"/>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80分</w:t>
            </w:r>
          </w:p>
        </w:tc>
        <w:tc>
          <w:tcPr>
            <w:tcW w:w="432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扣除8000元/当月</w:t>
            </w:r>
          </w:p>
        </w:tc>
        <w:tc>
          <w:tcPr>
            <w:tcW w:w="3243" w:type="dxa"/>
            <w:vMerge w:val="continue"/>
          </w:tcPr>
          <w:p>
            <w:pPr>
              <w:spacing w:line="360" w:lineRule="exact"/>
              <w:ind w:left="440" w:hanging="440"/>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低于80分</w:t>
            </w:r>
          </w:p>
        </w:tc>
        <w:tc>
          <w:tcPr>
            <w:tcW w:w="4320" w:type="dxa"/>
            <w:vAlign w:val="center"/>
          </w:tcPr>
          <w:p>
            <w:pPr>
              <w:spacing w:line="360" w:lineRule="exact"/>
              <w:ind w:left="440" w:hanging="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扣除10000元/当月</w:t>
            </w:r>
          </w:p>
        </w:tc>
        <w:tc>
          <w:tcPr>
            <w:tcW w:w="3243" w:type="dxa"/>
            <w:vMerge w:val="continue"/>
          </w:tcPr>
          <w:p>
            <w:pPr>
              <w:spacing w:line="360" w:lineRule="exact"/>
              <w:ind w:left="440" w:hanging="440"/>
              <w:rPr>
                <w:rFonts w:hint="eastAsia" w:ascii="宋体" w:hAnsi="宋体" w:eastAsia="宋体" w:cs="宋体"/>
                <w:color w:val="auto"/>
                <w:sz w:val="22"/>
                <w:highlight w:val="none"/>
              </w:rPr>
            </w:pPr>
          </w:p>
        </w:tc>
      </w:tr>
    </w:tbl>
    <w:p>
      <w:pPr>
        <w:numPr>
          <w:ilvl w:val="0"/>
          <w:numId w:val="34"/>
        </w:numPr>
        <w:tabs>
          <w:tab w:val="left" w:pos="360"/>
        </w:tabs>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设有年终考核奖，金额为50000元，该笔金额包含在投标总价内，作为不可竞争费用。年终考核得分取月度考核平均值（年终考核得分四舍五入取整数），得分90分及以上的全额发放年终考核奖，得分80（含本数）~90（不含本数）分之间的等比例发放（在90分的基础上每少1分（不足1分的按1分计）扣5000元年终考核奖），80分以下的不发放。</w:t>
      </w:r>
    </w:p>
    <w:p>
      <w:pPr>
        <w:pStyle w:val="7"/>
        <w:numPr>
          <w:ilvl w:val="1"/>
          <w:numId w:val="0"/>
        </w:numPr>
        <w:spacing w:line="3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（四）报价要求</w:t>
      </w:r>
      <w:bookmarkEnd w:id="5"/>
    </w:p>
    <w:p>
      <w:pPr>
        <w:numPr>
          <w:ilvl w:val="0"/>
          <w:numId w:val="36"/>
        </w:numPr>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供应商应考虑企业自身实力、经验及项目实施过程中的各种因素，根据采购要求，详细说明所能提供的各项具体服务内容，自主确定报价</w:t>
      </w:r>
      <w:r>
        <w:rPr>
          <w:rFonts w:hint="eastAsia" w:ascii="宋体" w:hAnsi="宋体" w:eastAsia="宋体" w:cs="宋体"/>
          <w:b/>
          <w:bCs/>
          <w:color w:val="auto"/>
          <w:sz w:val="22"/>
          <w:highlight w:val="none"/>
        </w:rPr>
        <w:t>（按3年年服务期进行报价，分项报价表按年度填报）</w:t>
      </w:r>
      <w:r>
        <w:rPr>
          <w:rFonts w:hint="eastAsia" w:ascii="宋体" w:hAnsi="宋体" w:eastAsia="宋体" w:cs="宋体"/>
          <w:color w:val="auto"/>
          <w:sz w:val="22"/>
          <w:highlight w:val="none"/>
        </w:rPr>
        <w:t>，实行总价包干，并按服务的内容分别独立报价</w:t>
      </w:r>
      <w:r>
        <w:rPr>
          <w:rFonts w:hint="eastAsia" w:ascii="宋体" w:hAnsi="宋体" w:eastAsia="宋体" w:cs="宋体"/>
          <w:bCs/>
          <w:color w:val="auto"/>
          <w:sz w:val="22"/>
          <w:highlight w:val="none"/>
        </w:rPr>
        <w:t>并提供报价组成与成本分析</w:t>
      </w:r>
      <w:r>
        <w:rPr>
          <w:rFonts w:hint="eastAsia" w:ascii="宋体" w:hAnsi="宋体" w:eastAsia="宋体" w:cs="宋体"/>
          <w:color w:val="auto"/>
          <w:sz w:val="22"/>
          <w:highlight w:val="none"/>
        </w:rPr>
        <w:t>。</w:t>
      </w:r>
    </w:p>
    <w:p>
      <w:pPr>
        <w:numPr>
          <w:ilvl w:val="0"/>
          <w:numId w:val="36"/>
        </w:numPr>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供应商的报价应包括为完成本项目服务可能发生的全部费用及供应商的利润和应交纳的税金等（包括</w:t>
      </w:r>
      <w:r>
        <w:rPr>
          <w:rFonts w:hint="eastAsia" w:ascii="宋体" w:hAnsi="宋体" w:eastAsia="宋体" w:cs="宋体"/>
          <w:snapToGrid w:val="0"/>
          <w:color w:val="auto"/>
          <w:sz w:val="22"/>
          <w:highlight w:val="none"/>
        </w:rPr>
        <w:t>在承包区域内提供安保服务及其它服务所需的一切人员工资、奖金、各种加班费、高温费、福利、体检费、员工餐费、夜餐费、各种社会保险、交通、设备及工具、器材、消耗材料、服装、安全、仓储、管理费用、年终考核奖、税费、利润、采购代理服务费、完成合同所需的一切本身和不可或缺的所有工作开支、政策性文件规定及合同包含的所有风险、责任等各项全部费用</w:t>
      </w:r>
      <w:r>
        <w:rPr>
          <w:rFonts w:hint="eastAsia" w:ascii="宋体" w:hAnsi="宋体" w:eastAsia="宋体" w:cs="宋体"/>
          <w:color w:val="auto"/>
          <w:sz w:val="22"/>
          <w:highlight w:val="none"/>
        </w:rPr>
        <w:t>）。供应商对合同内容的费用、质量、安全、文明服务等实行全面承包。</w:t>
      </w:r>
    </w:p>
    <w:p>
      <w:pPr>
        <w:numPr>
          <w:ilvl w:val="0"/>
          <w:numId w:val="36"/>
        </w:numPr>
        <w:adjustRightInd w:val="0"/>
        <w:snapToGrid w:val="0"/>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以下是本项目相关报价要求，供应商需按本条要求报价：</w:t>
      </w:r>
    </w:p>
    <w:p>
      <w:pPr>
        <w:numPr>
          <w:ilvl w:val="0"/>
          <w:numId w:val="37"/>
        </w:numPr>
        <w:tabs>
          <w:tab w:val="left" w:pos="540"/>
          <w:tab w:val="clear" w:pos="840"/>
        </w:tabs>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结合本项目具体情况，要求本次投标人一般保安队员工资最低不得低于浙江省规定的最低标准，（每月最低工资不包括下列四项收入：延长工作时间的工资；中班、夜班、高温、低温、有毒有害等特殊工作环境、条件下的津贴；贴补伙食、住房等支付给劳动者的非货币性收入、企业应承担的社保及法律、法规和国家规定的劳动者福利待遇等）。</w:t>
      </w:r>
    </w:p>
    <w:p>
      <w:pPr>
        <w:numPr>
          <w:ilvl w:val="0"/>
          <w:numId w:val="37"/>
        </w:numPr>
        <w:tabs>
          <w:tab w:val="left" w:pos="540"/>
          <w:tab w:val="clear" w:pos="840"/>
        </w:tabs>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高温补贴按相关规定标准发放。 </w:t>
      </w:r>
    </w:p>
    <w:p>
      <w:pPr>
        <w:numPr>
          <w:ilvl w:val="0"/>
          <w:numId w:val="37"/>
        </w:numPr>
        <w:tabs>
          <w:tab w:val="left" w:pos="540"/>
          <w:tab w:val="clear" w:pos="840"/>
        </w:tabs>
        <w:adjustRightInd w:val="0"/>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供应商拟派参与本项目的人数多于招标文件要求的人数时，须按拟派人员数量报价。</w:t>
      </w:r>
    </w:p>
    <w:p>
      <w:pPr>
        <w:numPr>
          <w:ilvl w:val="0"/>
          <w:numId w:val="36"/>
        </w:numPr>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在合同执行期间，如采购人发现中标人未按上述规定及投标承诺提供员工相关待遇及其他福利发放的，采购人有权拒付合同款，且可以终止服务合同。采购人有权随时进行检查核实。</w:t>
      </w:r>
    </w:p>
    <w:p>
      <w:pPr>
        <w:pStyle w:val="7"/>
        <w:numPr>
          <w:ilvl w:val="1"/>
          <w:numId w:val="0"/>
        </w:numPr>
        <w:spacing w:line="360" w:lineRule="exact"/>
        <w:ind w:firstLine="442" w:firstLineChars="200"/>
        <w:rPr>
          <w:rFonts w:hint="eastAsia" w:ascii="宋体" w:hAnsi="宋体" w:eastAsia="宋体" w:cs="宋体"/>
          <w:color w:val="auto"/>
          <w:sz w:val="22"/>
          <w:szCs w:val="22"/>
          <w:highlight w:val="none"/>
        </w:rPr>
      </w:pPr>
      <w:bookmarkStart w:id="6" w:name="_Toc486540099"/>
      <w:bookmarkStart w:id="7" w:name="_Toc420567047"/>
      <w:bookmarkStart w:id="8" w:name="_Toc420567008"/>
      <w:r>
        <w:rPr>
          <w:rFonts w:hint="eastAsia" w:ascii="宋体" w:hAnsi="宋体" w:eastAsia="宋体" w:cs="宋体"/>
          <w:color w:val="auto"/>
          <w:sz w:val="22"/>
          <w:szCs w:val="22"/>
          <w:highlight w:val="none"/>
        </w:rPr>
        <w:t>（五）保安管理费用</w:t>
      </w:r>
      <w:bookmarkEnd w:id="6"/>
    </w:p>
    <w:bookmarkEnd w:id="7"/>
    <w:bookmarkEnd w:id="8"/>
    <w:p>
      <w:pPr>
        <w:numPr>
          <w:ilvl w:val="0"/>
          <w:numId w:val="38"/>
        </w:numPr>
        <w:tabs>
          <w:tab w:val="left" w:pos="955"/>
        </w:tabs>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保安费用以投标人的中标价为准，采购人按月分期拨付。采用包干制，除双方在合同或补充协议中明确约定可以另行收取的费用外，所有保安及服务费用均包括在内。中标人不得另行向采购人收取任何费用。</w:t>
      </w:r>
    </w:p>
    <w:p>
      <w:pPr>
        <w:numPr>
          <w:ilvl w:val="0"/>
          <w:numId w:val="38"/>
        </w:numPr>
        <w:tabs>
          <w:tab w:val="left" w:pos="955"/>
        </w:tabs>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采购人提供免费住宿场地，水电、网络、伙食等费用由中标人自理。</w:t>
      </w:r>
    </w:p>
    <w:p>
      <w:pPr>
        <w:numPr>
          <w:ilvl w:val="0"/>
          <w:numId w:val="38"/>
        </w:numPr>
        <w:tabs>
          <w:tab w:val="left" w:pos="955"/>
        </w:tabs>
        <w:adjustRightInd w:val="0"/>
        <w:snapToGrid w:val="0"/>
        <w:spacing w:line="360" w:lineRule="exact"/>
        <w:ind w:firstLine="440" w:firstLineChars="200"/>
        <w:rPr>
          <w:rFonts w:hint="eastAsia" w:ascii="宋体" w:hAnsi="宋体" w:eastAsia="宋体" w:cs="宋体"/>
          <w:snapToGrid w:val="0"/>
          <w:color w:val="auto"/>
          <w:sz w:val="22"/>
          <w:highlight w:val="none"/>
          <w:u w:val="single"/>
          <w:lang w:eastAsia="zh-CN"/>
        </w:rPr>
      </w:pPr>
      <w:r>
        <w:rPr>
          <w:rFonts w:hint="eastAsia" w:ascii="宋体" w:hAnsi="宋体" w:eastAsia="宋体" w:cs="宋体"/>
          <w:color w:val="auto"/>
          <w:sz w:val="22"/>
          <w:highlight w:val="none"/>
          <w:u w:val="single"/>
        </w:rPr>
        <w:t>▲</w:t>
      </w:r>
      <w:r>
        <w:rPr>
          <w:rFonts w:hint="eastAsia" w:ascii="宋体" w:hAnsi="宋体" w:eastAsia="宋体" w:cs="宋体"/>
          <w:snapToGrid w:val="0"/>
          <w:color w:val="auto"/>
          <w:sz w:val="22"/>
          <w:highlight w:val="none"/>
          <w:u w:val="single"/>
        </w:rPr>
        <w:t>所有从事保安服务所需的设备、器具（包括但不限于保安八件套），单价金额低于1000元的由中标人负责提供，单价金额超过1000元的由采购人负责提供</w:t>
      </w:r>
      <w:r>
        <w:rPr>
          <w:rFonts w:hint="eastAsia" w:ascii="宋体" w:hAnsi="宋体" w:eastAsia="宋体" w:cs="宋体"/>
          <w:snapToGrid w:val="0"/>
          <w:color w:val="auto"/>
          <w:sz w:val="22"/>
          <w:highlight w:val="none"/>
          <w:u w:val="single"/>
          <w:lang w:eastAsia="zh-CN"/>
        </w:rPr>
        <w:t>（单价金额超过1000元的除中标人承诺购买的以外）。</w:t>
      </w:r>
    </w:p>
    <w:p>
      <w:pPr>
        <w:numPr>
          <w:ilvl w:val="0"/>
          <w:numId w:val="38"/>
        </w:numPr>
        <w:tabs>
          <w:tab w:val="left" w:pos="955"/>
        </w:tabs>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color w:val="auto"/>
          <w:sz w:val="22"/>
          <w:highlight w:val="none"/>
          <w:u w:val="single"/>
        </w:rPr>
        <w:t>▲支付方式</w:t>
      </w:r>
    </w:p>
    <w:p>
      <w:pPr>
        <w:tabs>
          <w:tab w:val="left" w:pos="955"/>
        </w:tabs>
        <w:adjustRightInd w:val="0"/>
        <w:snapToGrid w:val="0"/>
        <w:spacing w:line="360" w:lineRule="exact"/>
        <w:ind w:firstLine="440" w:firstLineChars="200"/>
        <w:rPr>
          <w:rFonts w:hint="eastAsia" w:ascii="宋体" w:hAnsi="宋体" w:eastAsia="宋体" w:cs="宋体"/>
          <w:snapToGrid w:val="0"/>
          <w:color w:val="auto"/>
          <w:sz w:val="22"/>
          <w:highlight w:val="none"/>
        </w:rPr>
      </w:pPr>
      <w:r>
        <w:rPr>
          <w:rFonts w:hint="eastAsia" w:ascii="宋体" w:hAnsi="宋体" w:eastAsia="宋体" w:cs="宋体"/>
          <w:color w:val="auto"/>
          <w:sz w:val="22"/>
          <w:highlight w:val="none"/>
          <w:u w:val="single"/>
        </w:rPr>
        <w:t>每年安保服务费按月度给付，采购人在当月考核后付给中标人。</w:t>
      </w:r>
    </w:p>
    <w:p>
      <w:pPr>
        <w:tabs>
          <w:tab w:val="left" w:pos="955"/>
        </w:tabs>
        <w:adjustRightInd w:val="0"/>
        <w:snapToGrid w:val="0"/>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每月安保服务费=（单年度投标金额-年终考核奖）/12，中标人需凭开具正式税务发票和员工工资发放凭证复印件（以便采购人确认务工人员劳动报酬已经兑付），要求采购人支付。（每月工资按实结算，安保人员考核缺勤一天，工资按日平均工资扣取。）</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注：采购人</w:t>
      </w:r>
      <w:r>
        <w:rPr>
          <w:rFonts w:hint="eastAsia" w:ascii="宋体" w:hAnsi="宋体" w:eastAsia="宋体" w:cs="宋体"/>
          <w:color w:val="auto"/>
          <w:sz w:val="22"/>
          <w:highlight w:val="none"/>
          <w:u w:val="single"/>
          <w:lang w:val="zh-CN"/>
        </w:rPr>
        <w:t>对于满足合同约定支付条件的，自收到相应金额的发票后7个工作日内将资金支付到合同约定的</w:t>
      </w:r>
      <w:r>
        <w:rPr>
          <w:rFonts w:hint="eastAsia" w:ascii="宋体" w:hAnsi="宋体" w:eastAsia="宋体" w:cs="宋体"/>
          <w:color w:val="auto"/>
          <w:sz w:val="22"/>
          <w:highlight w:val="none"/>
          <w:u w:val="single"/>
        </w:rPr>
        <w:t>中标人</w:t>
      </w:r>
      <w:r>
        <w:rPr>
          <w:rFonts w:hint="eastAsia" w:ascii="宋体" w:hAnsi="宋体" w:eastAsia="宋体" w:cs="宋体"/>
          <w:color w:val="auto"/>
          <w:sz w:val="22"/>
          <w:highlight w:val="none"/>
          <w:u w:val="single"/>
          <w:lang w:val="zh-CN"/>
        </w:rPr>
        <w:t>账户。</w:t>
      </w:r>
      <w:bookmarkStart w:id="9" w:name="_Toc486540100"/>
    </w:p>
    <w:p>
      <w:pPr>
        <w:numPr>
          <w:ilvl w:val="0"/>
          <w:numId w:val="38"/>
        </w:numPr>
        <w:spacing w:line="360" w:lineRule="exact"/>
        <w:ind w:firstLine="442" w:firstLineChars="200"/>
        <w:rPr>
          <w:rFonts w:hint="eastAsia" w:ascii="宋体" w:hAnsi="宋体" w:eastAsia="宋体" w:cs="宋体"/>
          <w:color w:val="auto"/>
          <w:sz w:val="22"/>
          <w:highlight w:val="none"/>
          <w:u w:val="single"/>
        </w:rPr>
      </w:pPr>
      <w:r>
        <w:rPr>
          <w:rFonts w:hint="eastAsia" w:ascii="宋体" w:hAnsi="宋体" w:eastAsia="宋体" w:cs="宋体"/>
          <w:b/>
          <w:bCs/>
          <w:color w:val="auto"/>
          <w:sz w:val="22"/>
          <w:highlight w:val="none"/>
        </w:rPr>
        <w:t>履约保证金：</w:t>
      </w:r>
      <w:r>
        <w:rPr>
          <w:rFonts w:hint="eastAsia" w:ascii="宋体" w:hAnsi="宋体" w:eastAsia="宋体" w:cs="宋体"/>
          <w:color w:val="auto"/>
          <w:sz w:val="22"/>
          <w:highlight w:val="none"/>
          <w:u w:val="single"/>
        </w:rPr>
        <w:t>▲合同生效以及具备实施条件后7个工作日内，中标人以银行转账/转帐支票/银行汇票/银行、保险公司出具的保函形式向采购人提供合同总价1%的履约保证金。履约保证金用于中标人在履行本合同过程中发生违约行为应支付采购人的违约金、赔偿金等费用。如无任何问题，采购人将在中标人履行完毕本合同项下全部义务（项目验收合格且双方盖章确认）之日起7个工作日内无息退还给中标人。逾期退还的，自逾期之日起，向中标人每日偿付履约保证金金额的0.05%的违约金，甲乙双方协商的除外。（如提供保函应满足以下几个条件：①为无条件保函：即在中标人没有实施合同或者未履行合同义务时，采购人不需要出具任何证明和理由，若中标人违约，采购人无需通知中标人，即可单方对保函进行收兑；②保函期限：自本合同生效之日起至合同履约完毕之日止；③如果由于服务期延误或银行、保险公司要求分期出具保函的，则在前一份保函有效期届满之日起2个月前必须重新出具相同内容的保函。）</w:t>
      </w:r>
    </w:p>
    <w:p>
      <w:pPr>
        <w:pStyle w:val="7"/>
        <w:numPr>
          <w:ilvl w:val="1"/>
          <w:numId w:val="0"/>
        </w:numPr>
        <w:spacing w:line="3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（六）其他说明及要求</w:t>
      </w:r>
      <w:bookmarkEnd w:id="9"/>
    </w:p>
    <w:p>
      <w:pPr>
        <w:widowControl/>
        <w:numPr>
          <w:ilvl w:val="0"/>
          <w:numId w:val="39"/>
        </w:num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投标人可根据以上内容及要求进行管理机构设置、资源配置、质量管理控制及制订管理方案。</w:t>
      </w:r>
    </w:p>
    <w:p>
      <w:pPr>
        <w:widowControl/>
        <w:numPr>
          <w:ilvl w:val="0"/>
          <w:numId w:val="39"/>
        </w:num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中标人应根据国家、省市的有关法律、法规，按照招标文件、投标文件和保安委托管理合同对本服务实施统一管理、综合服务、自主经营、自负盈亏。</w:t>
      </w:r>
    </w:p>
    <w:p>
      <w:pPr>
        <w:widowControl/>
        <w:numPr>
          <w:ilvl w:val="0"/>
          <w:numId w:val="39"/>
        </w:num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未达到管理合同中服务质量标准的，业主有权提出整改意见和限期改进并通报行政主管部门，当整改期限满后仍无明显改善的，将依据法律法规及政策规定，按法定程序解除保安委托管理合同。</w:t>
      </w:r>
    </w:p>
    <w:p>
      <w:pPr>
        <w:widowControl/>
        <w:numPr>
          <w:ilvl w:val="0"/>
          <w:numId w:val="39"/>
        </w:num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中标人在与采购人签订《中标合同》后的一个星期内，应派相关人员进驻管理现场，并履行下列职责：</w:t>
      </w:r>
    </w:p>
    <w:p>
      <w:pPr>
        <w:widowControl/>
        <w:numPr>
          <w:ilvl w:val="0"/>
          <w:numId w:val="40"/>
        </w:numPr>
        <w:snapToGrid w:val="0"/>
        <w:spacing w:line="360" w:lineRule="exact"/>
        <w:ind w:left="0" w:firstLine="440" w:firstLineChars="200"/>
        <w:rPr>
          <w:rFonts w:hint="eastAsia" w:ascii="宋体" w:hAnsi="宋体" w:eastAsia="宋体" w:cs="宋体"/>
          <w:color w:val="auto"/>
          <w:highlight w:val="none"/>
        </w:rPr>
      </w:pPr>
      <w:r>
        <w:rPr>
          <w:rFonts w:hint="eastAsia" w:ascii="宋体" w:hAnsi="宋体" w:eastAsia="宋体" w:cs="宋体"/>
          <w:color w:val="auto"/>
          <w:sz w:val="22"/>
          <w:highlight w:val="none"/>
        </w:rPr>
        <w:t>熟悉服务区域的地理位置、环境条件、设施的配置、使用，服务区域保安用房的配置和设施配套情况；</w:t>
      </w:r>
    </w:p>
    <w:p>
      <w:pPr>
        <w:widowControl/>
        <w:numPr>
          <w:ilvl w:val="0"/>
          <w:numId w:val="40"/>
        </w:numPr>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办理保安承接手续时，要与业主交接所有与保安相关的资料和档案材料，并由双方授权代表签字。</w:t>
      </w:r>
    </w:p>
    <w:p>
      <w:pPr>
        <w:widowControl/>
        <w:numPr>
          <w:ilvl w:val="0"/>
          <w:numId w:val="39"/>
        </w:num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社会保险（除必须的养老保险、医疗保险、失业保险、生育保险和工伤保险五险外，还应包括第三者责任保险和员工人身意外保险）。</w:t>
      </w:r>
    </w:p>
    <w:p>
      <w:pPr>
        <w:widowControl/>
        <w:numPr>
          <w:ilvl w:val="0"/>
          <w:numId w:val="41"/>
        </w:numPr>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第三者责任保险：承包方应为参与承包区域经营的工作人员（包括人员以及第三方）投保，以保证在承包期间人员和财产以外遭受损失时得到补偿。</w:t>
      </w:r>
    </w:p>
    <w:p>
      <w:pPr>
        <w:widowControl/>
        <w:numPr>
          <w:ilvl w:val="0"/>
          <w:numId w:val="41"/>
        </w:numPr>
        <w:snapToGrid w:val="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员工人身意外保险：在承包期内，承包方应为其员工投保人身意外险，以保证业主在承包方工作人员索偿时不受任何责任的约束。</w:t>
      </w:r>
    </w:p>
    <w:p>
      <w:pPr>
        <w:widowControl/>
        <w:numPr>
          <w:ilvl w:val="0"/>
          <w:numId w:val="39"/>
        </w:num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所有人员必须为本项目的专职人员，不得在外兼职，并且全部居住在学校内。所有人员必须按照学校的要求打卡上班。</w:t>
      </w:r>
    </w:p>
    <w:p>
      <w:pPr>
        <w:widowControl/>
        <w:numPr>
          <w:ilvl w:val="0"/>
          <w:numId w:val="39"/>
        </w:num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中标人工作人员工作期间发生的一切安全事故由中标人自行负责，采购人不承担任何责任。 </w:t>
      </w:r>
    </w:p>
    <w:p>
      <w:pPr>
        <w:widowControl/>
        <w:numPr>
          <w:ilvl w:val="0"/>
          <w:numId w:val="39"/>
        </w:numPr>
        <w:snapToGrid w:val="0"/>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 xml:space="preserve">▲保安人员执勤期间因失职造成的损失，经相关职能部门认定，由中标人承担赔偿及法律责任。因保安人员违反规定在执勤期间造成他人损伤，导致采购人遭受第三方索赔或起诉，中标人应自费就上述索赔或起诉为采购人答辩，并承担采购人因此遭受的全部损失和费用。 </w:t>
      </w:r>
    </w:p>
    <w:p>
      <w:pPr>
        <w:widowControl/>
        <w:numPr>
          <w:ilvl w:val="0"/>
          <w:numId w:val="39"/>
        </w:num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要求投标人拟投入本项目的保安队长进行项目讲解，以录制一段带音频的视频（真人视频）形式进行，讲解的主要内容为本项目的重点难点具体实施方案。投标人必需派与投标文件中显示的人员一致的保安队长录制视频。</w:t>
      </w:r>
    </w:p>
    <w:p>
      <w:pPr>
        <w:widowControl/>
        <w:numPr>
          <w:ilvl w:val="0"/>
          <w:numId w:val="39"/>
        </w:num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对于表现良好的保安队员，可以参评温州肯恩大学校长年度奖项，入选人员奖励5000元（该项费用按学校相关规定另行支付）。</w:t>
      </w:r>
    </w:p>
    <w:p>
      <w:pPr>
        <w:widowControl/>
        <w:numPr>
          <w:ilvl w:val="0"/>
          <w:numId w:val="39"/>
        </w:num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校园岗亭值班保安（除校园出入口岗亭外），每天晚上八点至早晨八点期间安排再楼宇值班。</w:t>
      </w:r>
    </w:p>
    <w:p>
      <w:pPr>
        <w:widowControl/>
        <w:numPr>
          <w:ilvl w:val="0"/>
          <w:numId w:val="39"/>
        </w:numPr>
        <w:snapToGrid w:val="0"/>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投入本项目的保安队长必须专职于本项目，除非特殊情况，未征得采购人同意，不得更换，否则采购人有权单方解除合同。</w:t>
      </w:r>
    </w:p>
    <w:p>
      <w:pPr>
        <w:widowControl/>
        <w:numPr>
          <w:ilvl w:val="0"/>
          <w:numId w:val="39"/>
        </w:num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▲投标人必须完成招标内容和合同（基本要求、价格和服务）规定义务，不允许只对部分内容进行投标。</w:t>
      </w:r>
    </w:p>
    <w:p>
      <w:pPr>
        <w:widowControl/>
        <w:numPr>
          <w:ilvl w:val="0"/>
          <w:numId w:val="39"/>
        </w:numPr>
        <w:snapToGrid w:val="0"/>
        <w:spacing w:line="3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sz w:val="22"/>
          <w:highlight w:val="none"/>
        </w:rPr>
        <w:t>本次项目服务的标准、规范，应符合国家有关条例及规范。</w:t>
      </w:r>
    </w:p>
    <w:p>
      <w:pPr>
        <w:widowControl/>
        <w:numPr>
          <w:ilvl w:val="0"/>
          <w:numId w:val="39"/>
        </w:numPr>
        <w:snapToGrid w:val="0"/>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在投标之前，投标人须仔细阅读招标文件，如发现有任何疑问、冲突或问题，投标人须在答疑截止时间前以书面形式向招标采购机构提出。逾期投标人不再作答复，有关风险及责任由投标人自行承担</w:t>
      </w:r>
      <w:r>
        <w:rPr>
          <w:rFonts w:hint="eastAsia" w:ascii="宋体" w:hAnsi="宋体" w:eastAsia="宋体" w:cs="宋体"/>
          <w:color w:val="auto"/>
          <w:highlight w:val="none"/>
        </w:rPr>
        <w:t>。</w:t>
      </w:r>
    </w:p>
    <w:p>
      <w:pPr>
        <w:widowControl/>
        <w:numPr>
          <w:ilvl w:val="0"/>
          <w:numId w:val="39"/>
        </w:numPr>
        <w:snapToGrid w:val="0"/>
        <w:spacing w:line="35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验收</w:t>
      </w:r>
    </w:p>
    <w:p>
      <w:pPr>
        <w:adjustRightInd w:val="0"/>
        <w:snapToGrid w:val="0"/>
        <w:spacing w:line="350" w:lineRule="exact"/>
        <w:ind w:firstLine="416"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16.1</w:t>
      </w:r>
      <w:r>
        <w:rPr>
          <w:rFonts w:hint="eastAsia" w:ascii="宋体" w:hAnsi="宋体" w:eastAsia="宋体" w:cs="宋体"/>
          <w:bCs/>
          <w:color w:val="auto"/>
          <w:sz w:val="22"/>
          <w:highlight w:val="none"/>
        </w:rPr>
        <w:t>根据项目特点对服务期内的服务实施情况进行的月考核（</w:t>
      </w:r>
      <w:r>
        <w:rPr>
          <w:rFonts w:hint="eastAsia" w:ascii="宋体" w:hAnsi="宋体" w:eastAsia="宋体" w:cs="宋体"/>
          <w:b/>
          <w:color w:val="auto"/>
          <w:sz w:val="22"/>
          <w:highlight w:val="none"/>
        </w:rPr>
        <w:t>详见招标文件第五部分</w:t>
      </w:r>
      <w:r>
        <w:rPr>
          <w:rFonts w:hint="eastAsia" w:ascii="宋体" w:hAnsi="宋体" w:eastAsia="宋体" w:cs="宋体"/>
          <w:bCs/>
          <w:color w:val="auto"/>
          <w:sz w:val="22"/>
          <w:highlight w:val="none"/>
        </w:rPr>
        <w:t>）作为验收依据。</w:t>
      </w:r>
      <w:r>
        <w:rPr>
          <w:rFonts w:hint="eastAsia" w:ascii="宋体" w:hAnsi="宋体" w:eastAsia="宋体" w:cs="宋体"/>
          <w:color w:val="auto"/>
          <w:spacing w:val="-6"/>
          <w:sz w:val="22"/>
          <w:highlight w:val="none"/>
        </w:rPr>
        <w:t>中标人服务期满后应对服务内容作出全面检查和对验收文件进行整理，并列出清单，作为采购人验收和使用的技术条件依据，检验的结果应交采购人。</w:t>
      </w:r>
    </w:p>
    <w:p>
      <w:pPr>
        <w:adjustRightInd w:val="0"/>
        <w:snapToGrid w:val="0"/>
        <w:spacing w:line="350" w:lineRule="exact"/>
        <w:ind w:firstLine="416" w:firstLineChars="200"/>
        <w:rPr>
          <w:rFonts w:hint="eastAsia" w:ascii="宋体" w:hAnsi="宋体" w:eastAsia="宋体" w:cs="宋体"/>
          <w:bCs/>
          <w:color w:val="auto"/>
          <w:sz w:val="22"/>
          <w:highlight w:val="none"/>
        </w:rPr>
      </w:pPr>
      <w:r>
        <w:rPr>
          <w:rFonts w:hint="eastAsia" w:ascii="宋体" w:hAnsi="宋体" w:eastAsia="宋体" w:cs="宋体"/>
          <w:color w:val="auto"/>
          <w:spacing w:val="-6"/>
          <w:sz w:val="22"/>
          <w:highlight w:val="none"/>
        </w:rPr>
        <w:t>16.2</w:t>
      </w:r>
      <w:r>
        <w:rPr>
          <w:rFonts w:hint="eastAsia" w:ascii="宋体" w:hAnsi="宋体" w:eastAsia="宋体" w:cs="宋体"/>
          <w:bCs/>
          <w:color w:val="auto"/>
          <w:sz w:val="22"/>
          <w:highlight w:val="none"/>
        </w:rPr>
        <w:t>本合同履约验收参照《温州市政府采购履约验收办法》(温财采[2020]6号)相关规定。合同履约达到验收条件时，中标人按冋采购人书面发起验收申请，采购人或者其委托的采购代理机构(以下简称验收组织机构)在收到中标人验收申请五个工作日内启动项目验收。</w:t>
      </w:r>
    </w:p>
    <w:p>
      <w:pPr>
        <w:pStyle w:val="48"/>
        <w:tabs>
          <w:tab w:val="left" w:pos="680"/>
        </w:tabs>
        <w:adjustRightInd w:val="0"/>
        <w:snapToGrid w:val="0"/>
        <w:spacing w:line="350" w:lineRule="exact"/>
        <w:ind w:firstLine="416"/>
        <w:rPr>
          <w:rFonts w:hint="eastAsia" w:ascii="宋体" w:hAnsi="宋体" w:eastAsia="宋体" w:cs="宋体"/>
          <w:bCs/>
          <w:color w:val="auto"/>
          <w:sz w:val="22"/>
          <w:szCs w:val="22"/>
          <w:highlight w:val="none"/>
        </w:rPr>
      </w:pPr>
      <w:r>
        <w:rPr>
          <w:rFonts w:hint="eastAsia" w:ascii="宋体" w:hAnsi="宋体" w:eastAsia="宋体" w:cs="宋体"/>
          <w:color w:val="auto"/>
          <w:spacing w:val="-6"/>
          <w:sz w:val="22"/>
          <w:szCs w:val="22"/>
          <w:highlight w:val="none"/>
        </w:rPr>
        <w:t>16.3</w:t>
      </w:r>
      <w:r>
        <w:rPr>
          <w:rFonts w:hint="eastAsia" w:ascii="宋体" w:hAnsi="宋体" w:eastAsia="宋体" w:cs="宋体"/>
          <w:bCs/>
          <w:color w:val="auto"/>
          <w:sz w:val="22"/>
          <w:szCs w:val="22"/>
          <w:highlight w:val="none"/>
        </w:rPr>
        <w:t>合同金额在采购限额标准以上的，原则上应采用一般程序验收。验收小组应当由五人以上(含本数)单数、熟悉项目需求和标的人员组成，其中相关专业技术人员人数不得少于验收小组人员总数的三分之二。验收组织机构应当按照采购文件、投标文件、采购合同等约定的服务实施情况，结合考核情况和服务效果进行验收。未约定的，应当符合国家强制性规定、政策要求、安全标准、行业或企业有关标准等。</w:t>
      </w:r>
    </w:p>
    <w:p>
      <w:pPr>
        <w:pStyle w:val="48"/>
        <w:tabs>
          <w:tab w:val="left" w:pos="680"/>
        </w:tabs>
        <w:adjustRightInd w:val="0"/>
        <w:snapToGrid w:val="0"/>
        <w:spacing w:line="350" w:lineRule="exact"/>
        <w:ind w:firstLine="416"/>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16.4</w:t>
      </w:r>
      <w:r>
        <w:rPr>
          <w:rFonts w:hint="eastAsia" w:ascii="宋体" w:hAnsi="宋体" w:eastAsia="宋体" w:cs="宋体"/>
          <w:bCs/>
          <w:color w:val="auto"/>
          <w:sz w:val="22"/>
          <w:szCs w:val="22"/>
          <w:highlight w:val="none"/>
        </w:rPr>
        <w:t>采购人依据验收书和中标人其他履约情况，对验收项目作出整体评价和分类评价，形成验收结果，除涉密情形外，采购人应在评价后2个工作日内在浙江政府采购网发布验收结果。</w:t>
      </w:r>
    </w:p>
    <w:p>
      <w:pPr>
        <w:widowControl/>
        <w:adjustRightInd w:val="0"/>
        <w:snapToGrid w:val="0"/>
        <w:spacing w:line="350" w:lineRule="exact"/>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四．其他</w:t>
      </w:r>
    </w:p>
    <w:p>
      <w:pPr>
        <w:widowControl/>
        <w:adjustRightInd w:val="0"/>
        <w:snapToGrid w:val="0"/>
        <w:spacing w:line="35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pPr>
        <w:widowControl/>
        <w:adjustRightInd w:val="0"/>
        <w:snapToGrid w:val="0"/>
        <w:spacing w:line="35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2.带“▲且加下划线”的有关技术和商务条款为实质性条款，投标人必须做出实质性响应，否则视为投标无效。</w:t>
      </w:r>
    </w:p>
    <w:p>
      <w:pPr>
        <w:widowControl/>
        <w:adjustRightInd w:val="0"/>
        <w:snapToGrid w:val="0"/>
        <w:spacing w:line="35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3.如技术要求中未特别注明需执行的国家相关标准、行业标准、地方标准或者其他标准、规范，则统一执行最新标准、规范。</w:t>
      </w:r>
    </w:p>
    <w:p>
      <w:pPr>
        <w:widowControl/>
        <w:adjustRightInd w:val="0"/>
        <w:snapToGrid w:val="0"/>
        <w:spacing w:line="35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4.技术部分中需要提供的证明材料有有效期的必须在有效期内，否则视为未提供。</w:t>
      </w: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第六部分   评标原则及方法</w:t>
      </w:r>
    </w:p>
    <w:p>
      <w:pPr>
        <w:pStyle w:val="3"/>
        <w:adjustRightInd w:val="0"/>
        <w:snapToGrid w:val="0"/>
        <w:spacing w:after="0"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根据《中华人民共和国政府采购法》等相关法规特制定以下评标办法。</w:t>
      </w:r>
    </w:p>
    <w:p>
      <w:pPr>
        <w:numPr>
          <w:ilvl w:val="0"/>
          <w:numId w:val="42"/>
        </w:num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总  则</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二.评标组织</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评标工作由采购人依法组建的评标委员会负责，评标全过程由有关部门指导监督。</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三.评标程序</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采购人或者采购代理机构对各投标人的投标资格进行审查；然后评标委员会对合格投标人进行符合性审查，对审查通过的商务和技术文件进行评审；商务和技术文件评审结束之后对报价文件评审，综合评审结果，提交评审报告。</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四.评标办法</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本评标办法采用百分制综合评分法。最大限度地满足招标文件中规定的各项综合评价标准且综合得分最高的投标人，将被推荐为中标候选人。</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评分细则</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1.商务和技术分的评定（80分）</w:t>
      </w:r>
    </w:p>
    <w:p>
      <w:pPr>
        <w:pStyle w:val="57"/>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合计算术平均值为各投标人商务和技术分得分（小数点后按四舍五入保留2位）。</w:t>
      </w:r>
    </w:p>
    <w:tbl>
      <w:tblPr>
        <w:tblStyle w:val="29"/>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426"/>
        <w:gridCol w:w="678"/>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评分标准及细则</w:t>
            </w: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分值</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投标人实力：</w:t>
            </w:r>
          </w:p>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投标人是否具有有效质量管理体系认证、职业健康安全管理体系认证、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CDATA[ HYPERLINK "http://e.so.com/search/eclk?p=446fj0jybFxIl6KZjmgTpS5gMPNqHaiuah_1fA7t0B1wTlD6FeyfIjz3d7PIgDlHb4XZP1PwXWJntskoepZUjqsMLC83N-0lpwCB-1K5Jf5mQ6bBbHHU3N1u8jUPQrEXYvnOvnrhYTeaJjzLRuZIhEc7M0NX28zE769E5E_XLaybxzi5awZOY9QE7gGWxNKUUvwmWBv3OWOrdhNbzNmejpWZXOiQzoKrH9ZqnGNptQwJt6U-y0H7RbFvwfDz5i7Gw-c-1z2tOQetNL2H0BD5aLWQQOQXC6kfwQSBxoYkFEueWuPtYhVhNj_DgxrdN-5moaVRPtXyPM6h0kNSIrn6lP5oTC0UNHoqo6_7MJytIWDGxyi7_y7G-_dHWV6iz-rXyHZ4JxEticYHXGnJDSOPGW2XK7llkfDFUOUlrOWir54_MPau8_0ZfYKH2iYzkGERfXKbSlO5QAhzj5WB-Ie9ae9_dCSBK9QiU8oG0R0jFgtT2DupCghASSz1b5Tt1SRwRi1eI0yJXfyLIuh9FCjDozo6qu1FoFJ21lgXJkHXMnl99Yk3eQurPSov7-3PxMVSRFDnrMQ7bo3URTiHHCsV6GZmUu296LPWE9K4nYQtbdQzjqjbeV5gLjUBGQ7stmmrid1VL8rZzVW_CZjvWV829yHYgTK8s-dVKFn74DFBQbduJHViXePHp4_qM5DErS6MvT1IlSsKLx4BDmDmXe1lAFeFfxsqpyw2Uh2ugz5IHEC1UAPKQBy4HSsKdFkcvlLoxpcJ6PDfFZ4-2BQFhVcQG0XvH3y2SYind1W3s97Q2akylCGYa2aW79sXkOnq4xhM5HBWwKrjcwU3XdGwr_kxmaH0ZXAGdJIQu53ccdYI8VMj6wOg8eXU86YfBXQOgA&ns=0&v=2&at=AeeOr-Wig-S9k-ezu-iupOivgQIB546v5aKD5L2T57O76K6k6K-BAi1pc28B5L2T57O76K6k6K-BAi035aSp5ou_6K-B&aurl=aHR0cDovLzkwMDEuY3FzY2tqMDIuY29t&sig=e44a&bt=1&ud=1659322231939&ud=1659322236554" \t "https://www.so.com/_blank"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2"/>
                <w:highlight w:val="none"/>
              </w:rPr>
              <w:t>环境体系认证环境体系认证</w:t>
            </w:r>
            <w:r>
              <w:rPr>
                <w:rFonts w:hint="eastAsia" w:ascii="宋体" w:hAnsi="宋体" w:eastAsia="宋体" w:cs="宋体"/>
                <w:color w:val="auto"/>
                <w:spacing w:val="-6"/>
                <w:sz w:val="22"/>
                <w:highlight w:val="none"/>
              </w:rPr>
              <w:fldChar w:fldCharType="end"/>
            </w:r>
            <w:r>
              <w:rPr>
                <w:rFonts w:hint="eastAsia" w:ascii="宋体" w:hAnsi="宋体" w:eastAsia="宋体" w:cs="宋体"/>
                <w:color w:val="auto"/>
                <w:spacing w:val="-6"/>
                <w:sz w:val="22"/>
                <w:highlight w:val="none"/>
              </w:rPr>
              <w:t>、信息安全管理体系认证，每具有一项有效认证的可得1分，最高得4分。注：提供有效证明材料，否则不得分。</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eastAsia" w:ascii="宋体" w:hAnsi="宋体" w:eastAsia="宋体" w:cs="宋体"/>
                <w:color w:val="auto"/>
                <w:spacing w:val="-6"/>
                <w:sz w:val="22"/>
                <w:highlight w:val="none"/>
                <w:lang w:val="zh-CN"/>
              </w:rPr>
            </w:pPr>
            <w:r>
              <w:rPr>
                <w:rFonts w:hint="eastAsia" w:ascii="宋体" w:hAnsi="宋体" w:eastAsia="宋体" w:cs="宋体"/>
                <w:color w:val="auto"/>
                <w:spacing w:val="-6"/>
                <w:sz w:val="22"/>
                <w:highlight w:val="none"/>
              </w:rPr>
              <w:t>投标供应商同类</w:t>
            </w:r>
            <w:r>
              <w:rPr>
                <w:rFonts w:hint="eastAsia" w:ascii="宋体" w:hAnsi="宋体" w:eastAsia="宋体" w:cs="宋体"/>
                <w:color w:val="auto"/>
                <w:spacing w:val="-6"/>
                <w:sz w:val="22"/>
                <w:highlight w:val="none"/>
                <w:lang w:val="zh-CN"/>
              </w:rPr>
              <w:t>业绩</w:t>
            </w:r>
          </w:p>
          <w:p>
            <w:pPr>
              <w:autoSpaceDE w:val="0"/>
              <w:autoSpaceDN w:val="0"/>
              <w:adjustRightInd w:val="0"/>
              <w:spacing w:line="360" w:lineRule="exact"/>
              <w:jc w:val="left"/>
              <w:rPr>
                <w:rFonts w:hint="eastAsia" w:ascii="宋体" w:hAnsi="宋体" w:eastAsia="宋体" w:cs="宋体"/>
                <w:color w:val="auto"/>
                <w:spacing w:val="-6"/>
                <w:sz w:val="22"/>
                <w:highlight w:val="none"/>
                <w:lang w:val="zh-CN"/>
              </w:rPr>
            </w:pPr>
            <w:r>
              <w:rPr>
                <w:rFonts w:hint="eastAsia" w:ascii="宋体" w:hAnsi="宋体" w:eastAsia="宋体" w:cs="宋体"/>
                <w:color w:val="auto"/>
                <w:spacing w:val="-6"/>
                <w:sz w:val="22"/>
                <w:highlight w:val="none"/>
                <w:lang w:val="zh-CN"/>
              </w:rPr>
              <w:t>自</w:t>
            </w:r>
            <w:r>
              <w:rPr>
                <w:rFonts w:hint="eastAsia" w:ascii="宋体" w:hAnsi="宋体" w:eastAsia="宋体" w:cs="宋体"/>
                <w:color w:val="auto"/>
                <w:spacing w:val="-6"/>
                <w:sz w:val="22"/>
                <w:highlight w:val="none"/>
              </w:rPr>
              <w:t>2019年1月1日以来（以合同签订时间为准）承接过同类安保服务项目业绩的</w:t>
            </w:r>
            <w:r>
              <w:rPr>
                <w:rFonts w:hint="eastAsia" w:ascii="宋体" w:hAnsi="宋体" w:eastAsia="宋体" w:cs="宋体"/>
                <w:color w:val="auto"/>
                <w:spacing w:val="-6"/>
                <w:sz w:val="22"/>
                <w:highlight w:val="none"/>
                <w:lang w:val="zh-CN"/>
              </w:rPr>
              <w:t>，每</w:t>
            </w:r>
            <w:r>
              <w:rPr>
                <w:rFonts w:hint="eastAsia" w:ascii="宋体" w:hAnsi="宋体" w:eastAsia="宋体" w:cs="宋体"/>
                <w:color w:val="auto"/>
                <w:spacing w:val="-6"/>
                <w:sz w:val="22"/>
                <w:highlight w:val="none"/>
              </w:rPr>
              <w:t>提供</w:t>
            </w:r>
            <w:r>
              <w:rPr>
                <w:rFonts w:hint="eastAsia" w:ascii="宋体" w:hAnsi="宋体" w:eastAsia="宋体" w:cs="宋体"/>
                <w:color w:val="auto"/>
                <w:spacing w:val="-6"/>
                <w:sz w:val="22"/>
                <w:highlight w:val="none"/>
                <w:lang w:val="zh-CN"/>
              </w:rPr>
              <w:t>一个项目</w:t>
            </w:r>
            <w:r>
              <w:rPr>
                <w:rFonts w:hint="eastAsia" w:ascii="宋体" w:hAnsi="宋体" w:eastAsia="宋体" w:cs="宋体"/>
                <w:color w:val="auto"/>
                <w:spacing w:val="-6"/>
                <w:sz w:val="22"/>
                <w:highlight w:val="none"/>
              </w:rPr>
              <w:t>合同</w:t>
            </w:r>
            <w:r>
              <w:rPr>
                <w:rFonts w:hint="eastAsia" w:ascii="宋体" w:hAnsi="宋体" w:eastAsia="宋体" w:cs="宋体"/>
                <w:color w:val="auto"/>
                <w:spacing w:val="-6"/>
                <w:sz w:val="22"/>
                <w:highlight w:val="none"/>
                <w:lang w:val="zh-CN"/>
              </w:rPr>
              <w:t>得</w:t>
            </w:r>
            <w:r>
              <w:rPr>
                <w:rFonts w:hint="eastAsia" w:ascii="宋体" w:hAnsi="宋体" w:eastAsia="宋体" w:cs="宋体"/>
                <w:color w:val="auto"/>
                <w:spacing w:val="-6"/>
                <w:sz w:val="22"/>
                <w:highlight w:val="none"/>
              </w:rPr>
              <w:t>1</w:t>
            </w:r>
            <w:r>
              <w:rPr>
                <w:rFonts w:hint="eastAsia" w:ascii="宋体" w:hAnsi="宋体" w:eastAsia="宋体" w:cs="宋体"/>
                <w:color w:val="auto"/>
                <w:spacing w:val="-6"/>
                <w:sz w:val="22"/>
                <w:highlight w:val="none"/>
                <w:lang w:val="zh-CN"/>
              </w:rPr>
              <w:t>分，最多</w:t>
            </w:r>
            <w:r>
              <w:rPr>
                <w:rFonts w:hint="eastAsia" w:ascii="宋体" w:hAnsi="宋体" w:eastAsia="宋体" w:cs="宋体"/>
                <w:color w:val="auto"/>
                <w:spacing w:val="-6"/>
                <w:sz w:val="22"/>
                <w:highlight w:val="none"/>
              </w:rPr>
              <w:t>2</w:t>
            </w:r>
            <w:r>
              <w:rPr>
                <w:rFonts w:hint="eastAsia" w:ascii="宋体" w:hAnsi="宋体" w:eastAsia="宋体" w:cs="宋体"/>
                <w:color w:val="auto"/>
                <w:spacing w:val="-6"/>
                <w:sz w:val="22"/>
                <w:highlight w:val="none"/>
                <w:lang w:val="zh-CN"/>
              </w:rPr>
              <w:t>分。</w:t>
            </w:r>
          </w:p>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lang w:val="zh-CN"/>
              </w:rPr>
              <w:t>注：提供合同及客户满意证明材料，缺一不可， 否则不得分。续签的合同按一份合同认定。</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拟派保安队长相关情况：</w:t>
            </w:r>
          </w:p>
          <w:p>
            <w:pPr>
              <w:numPr>
                <w:ilvl w:val="0"/>
                <w:numId w:val="43"/>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大专学历的得0.5分，本科学历的得1分；</w:t>
            </w:r>
          </w:p>
          <w:p>
            <w:pPr>
              <w:numPr>
                <w:ilvl w:val="0"/>
                <w:numId w:val="43"/>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取得保安员二级/技师（原保安师）证的得1分，保安员一级/高级技师（原高级保安师）证的得2分； </w:t>
            </w:r>
          </w:p>
          <w:p>
            <w:pPr>
              <w:numPr>
                <w:ilvl w:val="0"/>
                <w:numId w:val="43"/>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获得省级政府机关及以上颁发的荣誉得2分，获得市级政府机关颁发的荣誉得1分，累计最高得2分；</w:t>
            </w:r>
          </w:p>
          <w:p>
            <w:pPr>
              <w:numPr>
                <w:ilvl w:val="0"/>
                <w:numId w:val="43"/>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是消防设施操作员的得1分； </w:t>
            </w:r>
          </w:p>
          <w:p>
            <w:pPr>
              <w:numPr>
                <w:ilvl w:val="0"/>
                <w:numId w:val="43"/>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是退伍军人的得1分；</w:t>
            </w:r>
          </w:p>
          <w:p>
            <w:pPr>
              <w:numPr>
                <w:ilvl w:val="0"/>
                <w:numId w:val="43"/>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是中共党员的得1分。</w:t>
            </w:r>
          </w:p>
          <w:p>
            <w:pPr>
              <w:autoSpaceDE w:val="0"/>
              <w:autoSpaceDN w:val="0"/>
              <w:adjustRightIn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注：1.“消防设施操作员”的认定说明：由公安部消防局、应急管理部消防救援局统一颁发的建（构）筑物消防员、消防设施操作员证书，均为有效证件。</w:t>
            </w:r>
          </w:p>
          <w:p>
            <w:pPr>
              <w:autoSpaceDE w:val="0"/>
              <w:autoSpaceDN w:val="0"/>
              <w:adjustRightIn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2.“保安员”的认定说明：由人力资源和社会保障部门、公安部门颁发或授权第三方认证机构鉴定（须提供授权部门相关文件）的证件，均为有效证件。</w:t>
            </w:r>
          </w:p>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3.以上提供证明材料和保安队长在投标人近3个月任意一个月的社保证明文件，二者缺一不可，否则对应项不得分。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项目其他服务人员（除保安队长外）：</w:t>
            </w:r>
          </w:p>
          <w:p>
            <w:pPr>
              <w:autoSpaceDE w:val="0"/>
              <w:autoSpaceDN w:val="0"/>
              <w:adjustRightIn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1.具有</w:t>
            </w:r>
            <w:r>
              <w:rPr>
                <w:rFonts w:hint="eastAsia" w:ascii="宋体" w:hAnsi="宋体" w:eastAsia="宋体" w:cs="宋体"/>
                <w:color w:val="auto"/>
                <w:sz w:val="22"/>
                <w:highlight w:val="none"/>
              </w:rPr>
              <w:t>保安员二级/技师（原保安师）及以上证书</w:t>
            </w:r>
            <w:r>
              <w:rPr>
                <w:rFonts w:hint="eastAsia" w:ascii="宋体" w:hAnsi="宋体" w:eastAsia="宋体" w:cs="宋体"/>
                <w:color w:val="auto"/>
                <w:kern w:val="0"/>
                <w:sz w:val="22"/>
                <w:highlight w:val="none"/>
              </w:rPr>
              <w:t>的每人得1分，</w:t>
            </w:r>
            <w:r>
              <w:rPr>
                <w:rFonts w:hint="eastAsia" w:ascii="宋体" w:hAnsi="宋体" w:eastAsia="宋体" w:cs="宋体"/>
                <w:color w:val="auto"/>
                <w:sz w:val="22"/>
                <w:highlight w:val="none"/>
              </w:rPr>
              <w:t>累计最高得8分。</w:t>
            </w:r>
          </w:p>
          <w:p>
            <w:pPr>
              <w:autoSpaceDE w:val="0"/>
              <w:autoSpaceDN w:val="0"/>
              <w:adjustRightInd w:val="0"/>
              <w:spacing w:line="360" w:lineRule="exact"/>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2.</w:t>
            </w:r>
            <w:r>
              <w:rPr>
                <w:rFonts w:hint="eastAsia" w:ascii="宋体" w:hAnsi="宋体" w:eastAsia="宋体" w:cs="宋体"/>
                <w:snapToGrid w:val="0"/>
                <w:color w:val="auto"/>
                <w:sz w:val="22"/>
                <w:highlight w:val="none"/>
              </w:rPr>
              <w:t>消控人员</w:t>
            </w:r>
            <w:r>
              <w:rPr>
                <w:rFonts w:hint="eastAsia" w:ascii="宋体" w:hAnsi="宋体" w:eastAsia="宋体" w:cs="宋体"/>
                <w:color w:val="auto"/>
                <w:sz w:val="22"/>
                <w:highlight w:val="none"/>
              </w:rPr>
              <w:t>具有中级及以上消防设施操作员的每人得1分，累计最高得2分。</w:t>
            </w:r>
          </w:p>
          <w:p>
            <w:pPr>
              <w:autoSpaceDE w:val="0"/>
              <w:autoSpaceDN w:val="0"/>
              <w:adjustRightIn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3.形象岗人员具有英语能力的每人得1分，累计最高得6分。</w:t>
            </w:r>
          </w:p>
          <w:p>
            <w:pPr>
              <w:autoSpaceDE w:val="0"/>
              <w:autoSpaceDN w:val="0"/>
              <w:adjustRightIn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r>
              <w:rPr>
                <w:rFonts w:hint="eastAsia" w:ascii="宋体" w:hAnsi="宋体" w:eastAsia="宋体" w:cs="宋体"/>
                <w:color w:val="auto"/>
                <w:sz w:val="22"/>
                <w:highlight w:val="none"/>
                <w:lang w:val="en-US" w:eastAsia="zh-CN"/>
              </w:rPr>
              <w:t>.</w:t>
            </w:r>
            <w:r>
              <w:rPr>
                <w:rFonts w:hint="eastAsia" w:ascii="宋体" w:hAnsi="宋体" w:eastAsia="宋体" w:cs="宋体"/>
                <w:color w:val="auto"/>
                <w:sz w:val="22"/>
                <w:highlight w:val="none"/>
              </w:rPr>
              <w:t>形象岗人员</w:t>
            </w:r>
            <w:r>
              <w:rPr>
                <w:rFonts w:hint="eastAsia" w:ascii="宋体" w:hAnsi="宋体" w:eastAsia="宋体" w:cs="宋体"/>
                <w:color w:val="auto"/>
                <w:sz w:val="22"/>
                <w:highlight w:val="none"/>
                <w:lang w:eastAsia="zh-CN"/>
              </w:rPr>
              <w:t>具有大专及以上学历的</w:t>
            </w:r>
            <w:r>
              <w:rPr>
                <w:rFonts w:hint="eastAsia" w:ascii="宋体" w:hAnsi="宋体" w:eastAsia="宋体" w:cs="宋体"/>
                <w:color w:val="auto"/>
                <w:sz w:val="22"/>
                <w:highlight w:val="none"/>
              </w:rPr>
              <w:t>每人得1分，累计最高得</w:t>
            </w: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分。</w:t>
            </w:r>
          </w:p>
          <w:p>
            <w:pPr>
              <w:autoSpaceDE w:val="0"/>
              <w:autoSpaceDN w:val="0"/>
              <w:adjustRightIn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注：1.“保安员”的认定说明：由人力资源和社会保障部门、公安部门颁发或授权第三方认证机构鉴定（须提供授权部门相关文件）的证件，均为有效证件。</w:t>
            </w:r>
          </w:p>
          <w:p>
            <w:pPr>
              <w:autoSpaceDE w:val="0"/>
              <w:autoSpaceDN w:val="0"/>
              <w:adjustRightIn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 “消防设施操作员”的认定说明：由公安部消防局、应急管理部消防救援局统一颁发的建（构）筑物消防员、消防设施操作员证书，均为有效证件。</w:t>
            </w:r>
          </w:p>
          <w:p>
            <w:pPr>
              <w:autoSpaceDE w:val="0"/>
              <w:autoSpaceDN w:val="0"/>
              <w:adjustRightIn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3.“英语能力”的认定说明：提供人员英语三级及以上、雅思、托福或其他认可的能证明具有英语能力证明材料。</w:t>
            </w:r>
          </w:p>
          <w:p>
            <w:pPr>
              <w:autoSpaceDE w:val="0"/>
              <w:autoSpaceDN w:val="0"/>
              <w:adjustRightIn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4.以上提供证明材料和</w:t>
            </w:r>
            <w:r>
              <w:rPr>
                <w:rFonts w:hint="eastAsia" w:ascii="宋体" w:hAnsi="宋体" w:eastAsia="宋体" w:cs="宋体"/>
                <w:color w:val="auto"/>
                <w:kern w:val="0"/>
                <w:sz w:val="22"/>
                <w:highlight w:val="none"/>
              </w:rPr>
              <w:t>服务人员</w:t>
            </w:r>
            <w:r>
              <w:rPr>
                <w:rFonts w:hint="eastAsia" w:ascii="宋体" w:hAnsi="宋体" w:eastAsia="宋体" w:cs="宋体"/>
                <w:color w:val="auto"/>
                <w:sz w:val="22"/>
                <w:highlight w:val="none"/>
              </w:rPr>
              <w:t>在投标人近3个月任意一个月的社保证明文件，二者缺一不可，否则对应项不得分。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18</w:t>
            </w: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根据本项目所能提供的相关工具设备情况优劣评分：</w:t>
            </w:r>
          </w:p>
          <w:p>
            <w:pPr>
              <w:autoSpaceDE w:val="0"/>
              <w:autoSpaceDN w:val="0"/>
              <w:adjustRightInd w:val="0"/>
              <w:spacing w:line="360" w:lineRule="exact"/>
              <w:jc w:val="left"/>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无人机（0-2分）:</w:t>
            </w:r>
            <w:r>
              <w:rPr>
                <w:rFonts w:hint="eastAsia" w:ascii="宋体" w:hAnsi="宋体" w:eastAsia="宋体" w:cs="宋体"/>
                <w:color w:val="auto"/>
                <w:sz w:val="22"/>
                <w:highlight w:val="none"/>
              </w:rPr>
              <w:t>先进性和适用性强的得2分；先进性和适用性较强的得1.5分；先进性和适用性一般的得1分；先进性和适用性不强的得0.5分；不提供不得分。</w:t>
            </w:r>
          </w:p>
          <w:p>
            <w:pPr>
              <w:autoSpaceDE w:val="0"/>
              <w:autoSpaceDN w:val="0"/>
              <w:adjustRightInd w:val="0"/>
              <w:spacing w:line="360" w:lineRule="exact"/>
              <w:jc w:val="left"/>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对讲机（0-2分）:</w:t>
            </w:r>
            <w:r>
              <w:rPr>
                <w:rFonts w:hint="eastAsia" w:ascii="宋体" w:hAnsi="宋体" w:eastAsia="宋体" w:cs="宋体"/>
                <w:color w:val="auto"/>
                <w:sz w:val="22"/>
                <w:highlight w:val="none"/>
              </w:rPr>
              <w:t>先进性和适用性强的得2分；先进性和适用性较强的得1.5分；先进性和适用性一般的得1分；先进性和适用性不强的得0.5分；不提供不得分。</w:t>
            </w:r>
          </w:p>
          <w:p>
            <w:pPr>
              <w:autoSpaceDE w:val="0"/>
              <w:autoSpaceDN w:val="0"/>
              <w:adjustRightInd w:val="0"/>
              <w:spacing w:line="360" w:lineRule="exact"/>
              <w:jc w:val="left"/>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执法仪（0-2分）:</w:t>
            </w:r>
            <w:r>
              <w:rPr>
                <w:rFonts w:hint="eastAsia" w:ascii="宋体" w:hAnsi="宋体" w:eastAsia="宋体" w:cs="宋体"/>
                <w:color w:val="auto"/>
                <w:sz w:val="22"/>
                <w:highlight w:val="none"/>
              </w:rPr>
              <w:t>先进性和适用性强的得2分；先进性和适用性较强的得1.5分；先进性和适用性一般的得1分；先进性和适用性不强的得0.5分；不提供不得分。</w:t>
            </w:r>
          </w:p>
          <w:p>
            <w:pPr>
              <w:autoSpaceDE w:val="0"/>
              <w:autoSpaceDN w:val="0"/>
              <w:adjustRightInd w:val="0"/>
              <w:spacing w:line="360" w:lineRule="exact"/>
              <w:jc w:val="left"/>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其他设备（0-2分）：</w:t>
            </w:r>
            <w:r>
              <w:rPr>
                <w:rFonts w:hint="eastAsia" w:ascii="宋体" w:hAnsi="宋体" w:eastAsia="宋体" w:cs="宋体"/>
                <w:color w:val="auto"/>
                <w:sz w:val="22"/>
                <w:highlight w:val="none"/>
                <w:shd w:val="clear" w:color="auto" w:fill="FFFFFF"/>
              </w:rPr>
              <w:t>相关性强</w:t>
            </w:r>
            <w:r>
              <w:rPr>
                <w:rFonts w:hint="eastAsia" w:ascii="宋体" w:hAnsi="宋体" w:eastAsia="宋体" w:cs="宋体"/>
                <w:color w:val="auto"/>
                <w:spacing w:val="-6"/>
                <w:sz w:val="22"/>
                <w:highlight w:val="none"/>
              </w:rPr>
              <w:t>的得2分；</w:t>
            </w:r>
            <w:r>
              <w:rPr>
                <w:rFonts w:hint="eastAsia" w:ascii="宋体" w:hAnsi="宋体" w:eastAsia="宋体" w:cs="宋体"/>
                <w:color w:val="auto"/>
                <w:sz w:val="22"/>
                <w:highlight w:val="none"/>
                <w:shd w:val="clear" w:color="auto" w:fill="FFFFFF"/>
              </w:rPr>
              <w:t>相关性</w:t>
            </w:r>
            <w:r>
              <w:rPr>
                <w:rFonts w:hint="eastAsia" w:ascii="宋体" w:hAnsi="宋体" w:eastAsia="宋体" w:cs="宋体"/>
                <w:color w:val="auto"/>
                <w:spacing w:val="-6"/>
                <w:sz w:val="22"/>
                <w:highlight w:val="none"/>
              </w:rPr>
              <w:t>较强的得1.5分；</w:t>
            </w:r>
            <w:r>
              <w:rPr>
                <w:rFonts w:hint="eastAsia" w:ascii="宋体" w:hAnsi="宋体" w:eastAsia="宋体" w:cs="宋体"/>
                <w:color w:val="auto"/>
                <w:sz w:val="22"/>
                <w:highlight w:val="none"/>
                <w:shd w:val="clear" w:color="auto" w:fill="FFFFFF"/>
              </w:rPr>
              <w:t>相关性</w:t>
            </w:r>
            <w:r>
              <w:rPr>
                <w:rFonts w:hint="eastAsia" w:ascii="宋体" w:hAnsi="宋体" w:eastAsia="宋体" w:cs="宋体"/>
                <w:color w:val="auto"/>
                <w:spacing w:val="-6"/>
                <w:sz w:val="22"/>
                <w:highlight w:val="none"/>
              </w:rPr>
              <w:t>一般的得1分；</w:t>
            </w:r>
            <w:r>
              <w:rPr>
                <w:rFonts w:hint="eastAsia" w:ascii="宋体" w:hAnsi="宋体" w:eastAsia="宋体" w:cs="宋体"/>
                <w:color w:val="auto"/>
                <w:sz w:val="22"/>
                <w:highlight w:val="none"/>
                <w:shd w:val="clear" w:color="auto" w:fill="FFFFFF"/>
              </w:rPr>
              <w:t>相关性</w:t>
            </w:r>
            <w:r>
              <w:rPr>
                <w:rFonts w:hint="eastAsia" w:ascii="宋体" w:hAnsi="宋体" w:eastAsia="宋体" w:cs="宋体"/>
                <w:color w:val="auto"/>
                <w:spacing w:val="-6"/>
                <w:sz w:val="22"/>
                <w:highlight w:val="none"/>
              </w:rPr>
              <w:t>差的得0.5分；未提供的0分。</w:t>
            </w:r>
          </w:p>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snapToGrid w:val="0"/>
                <w:color w:val="auto"/>
                <w:kern w:val="0"/>
                <w:sz w:val="22"/>
                <w:highlight w:val="none"/>
              </w:rPr>
              <w:t>注：提供购买发票或租赁合同，否</w:t>
            </w:r>
            <w:r>
              <w:rPr>
                <w:rFonts w:hint="eastAsia" w:ascii="宋体" w:hAnsi="宋体" w:eastAsia="宋体" w:cs="宋体"/>
                <w:color w:val="auto"/>
                <w:kern w:val="0"/>
                <w:sz w:val="22"/>
                <w:highlight w:val="none"/>
              </w:rPr>
              <w:t>则不得分。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8</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根据投标人对各岗位人员的基本福利、社会保险、职业安全等保障措施和方案的科学性、合理性和可操作性等综合打分。</w:t>
            </w:r>
          </w:p>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(1)保障措施和方案的科学性、合理性和可操作性强的得2分；(2)保障措施和方案的科学性、合理性和可操作性较强的得1.5分；(3)保障措施和方案的科学性、合理性和可操作性一般的得1分；(4)保障措施和方案的科学性、合理性和可操作性差的得0.5分；(5)未提供的0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根据投标人对各岗位投入人员的详细配置方案的合理性、科学性、专业性、针对性及经验方法综合打分。</w:t>
            </w:r>
          </w:p>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(1)方案的合理性、科学性、专业性、针对性及经验方法强的得4分；(2)方案的合理性、科学性、专业性、针对性及经验方法较强的得3分；(3)方案的合理性、科学性、专业性、针对性及经验方法一般的得2分；(4)方案的合理性、科学性、专业性、针对性及经验方法差的得1分；(5)未提供的0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4</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各项管理、服务实施方案：</w:t>
            </w:r>
          </w:p>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根据投标人针对本项目是否有具体的管理、针对性服务实施方案综合打分。</w:t>
            </w:r>
          </w:p>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1、校园秩序总体维护方案：3-0分（(1)针对性强的得3分；(2)针对性较强的得2分；(3)针对性一般的得1分；(4)针对性差的得0.5分；(5)未提供的0分。）</w:t>
            </w:r>
          </w:p>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2、门岗的主要实施方案、注意事项及工作要点：2-0分（(1)针对性强的得2分；(2)针对性较强的得1.5分；(3)针对性一般的得1分；(4)针对性差的得0.5分；(5)未提供的0分。）</w:t>
            </w:r>
          </w:p>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3、巡逻岗位的主要实施方案、注意事项及工作要点：2-0分（(1)方案详尽，针对性强的得2分；(2)方案较详尽，针对性较强的得1.5分；(3)方案基本详尽，针对性一般的得1分；(4)方案针对性差的得0.5分；(5)未提供的0分。）</w:t>
            </w:r>
          </w:p>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4、消控岗位的主要实施方案、注意事项及工作要点：2-0分（(1)方案详尽，针对性强的得2分；(2)方案较详尽，针对性较强的得1.5分；(3)方案基本详尽，针对性一般的得1分；(4)方案针对性差的得0.5分；(5)未提供的0分。）</w:t>
            </w:r>
          </w:p>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5、校园车辆管理实施方案、注意事项及工作要点：1-0分（(1)方案详尽，针对性强的得1分；(2)方案基本详尽，针对性一般的得0.5分；(3)方案针对性差的或未提供的0分。）</w:t>
            </w:r>
          </w:p>
        </w:tc>
        <w:tc>
          <w:tcPr>
            <w:tcW w:w="678" w:type="dxa"/>
            <w:tcBorders>
              <w:top w:val="single" w:color="auto" w:sz="4" w:space="0"/>
              <w:left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10</w:t>
            </w:r>
          </w:p>
        </w:tc>
        <w:tc>
          <w:tcPr>
            <w:tcW w:w="1024" w:type="dxa"/>
            <w:tcBorders>
              <w:top w:val="single" w:color="auto" w:sz="4" w:space="0"/>
              <w:left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9</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突发事件应急处理措施：</w:t>
            </w:r>
          </w:p>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根据投标人投标文件中详细说明针对本项目突发事件、校园暴力、重大活动、刑事案件、消防事故等制定的紧急预案是否具有可行性等综合打分。(1)方案的可行性强的得4分；(2)方案的可行性较强的得3分；(3)方案的可行性一般的得2分；(4)方案的可行性差的得1分；(5)未提供的0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4</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10</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管理措施</w:t>
            </w:r>
          </w:p>
          <w:p>
            <w:pPr>
              <w:autoSpaceDE w:val="0"/>
              <w:autoSpaceDN w:val="0"/>
              <w:adjustRightIn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1.根据投标人针对本项目详细说明整体保障措施、专业化管理及规范的管理手段</w:t>
            </w:r>
            <w:r>
              <w:rPr>
                <w:rFonts w:hint="eastAsia" w:ascii="宋体" w:hAnsi="宋体" w:eastAsia="宋体" w:cs="宋体"/>
                <w:color w:val="auto"/>
                <w:sz w:val="22"/>
                <w:highlight w:val="none"/>
              </w:rPr>
              <w:t>。(1)措施完善、合理性强的得2分；(2)措施较完善、合理性较强的得1.5分；(3)措施基本完善、合理性一般的得1分；(4)措施不够完善、合理性差的得0.5分；(5)未提供的0分。</w:t>
            </w:r>
          </w:p>
          <w:p>
            <w:pPr>
              <w:autoSpaceDE w:val="0"/>
              <w:autoSpaceDN w:val="0"/>
              <w:adjustRightIn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根据投标人的内部制度和约束各方的公共契约，各项制度、各项服务质量考核。(1)制度完善、合理性强的得2分；(2)制度较完善、合理性较强的得1.5分；(3)制度基本完善、合理性一般的得1分；(4)制度不够完善、合理性差的得0.5分；(5)未提供的0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4</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11</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根据员工培训计划及质量保证措施的完善性、合理性打分。</w:t>
            </w:r>
          </w:p>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(1)完善性、合理性强的得2分；(2)完善性、合理性较强的得1.5分；(3)完善性、合理性一般的得1分；(4)完善性、合理性差的得0.5分</w:t>
            </w:r>
            <w:r>
              <w:rPr>
                <w:rFonts w:hint="eastAsia" w:ascii="宋体" w:hAnsi="宋体" w:eastAsia="宋体" w:cs="宋体"/>
                <w:color w:val="auto"/>
                <w:sz w:val="22"/>
                <w:highlight w:val="none"/>
              </w:rPr>
              <w:t>；(5)未提供的0分。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12</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现场讲解</w:t>
            </w:r>
          </w:p>
          <w:p>
            <w:pPr>
              <w:autoSpaceDE w:val="0"/>
              <w:autoSpaceDN w:val="0"/>
              <w:adjustRightIn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一、交接、过渡方案（5分）</w:t>
            </w:r>
          </w:p>
          <w:p>
            <w:pPr>
              <w:autoSpaceDE w:val="0"/>
              <w:autoSpaceDN w:val="0"/>
              <w:adjustRightIn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拟派保安队长现场对本项目前期介入、承接查验和交接过渡方案及相应预案的具体实施步骤讲解情况。讲解脉络清晰、贴合采购需求的5分；讲解脉络比较清晰、比较贴合采购需求的4分；讲解脉络基本清晰、基本贴合采购需求的3分；讲解脉络不清、不能体现采购需求的1分；没有讲解的不得分。</w:t>
            </w:r>
          </w:p>
          <w:p>
            <w:pPr>
              <w:autoSpaceDE w:val="0"/>
              <w:autoSpaceDN w:val="0"/>
              <w:adjustRightIn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二、重难点分析及具体实施方案（5分）</w:t>
            </w:r>
          </w:p>
          <w:p>
            <w:pPr>
              <w:autoSpaceDE w:val="0"/>
              <w:autoSpaceDN w:val="0"/>
              <w:adjustRightIn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拟派保安队长现场对本项目的重点难点分析及具体实施方案讲解情况。讲解脉络清晰、贴合采购需求的5分；讲解脉络比较清晰、比较贴合采购需求的4分；讲解脉络基本清晰、基本贴合采购需求的3分；讲解脉络不清、不能体现采购需求的1分；没有讲解的不得分。</w:t>
            </w:r>
          </w:p>
          <w:p>
            <w:pPr>
              <w:autoSpaceDE w:val="0"/>
              <w:autoSpaceDN w:val="0"/>
              <w:adjustRightIn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注：本评分项要求的现场讲解以保安队长（投标文件中提供保安队长的身份证正反面扫描件和近照1张供验证）录制一段带音频的视频（真人视频）形式进行，在投标截止时间前以</w:t>
            </w:r>
            <w:r>
              <w:rPr>
                <w:rFonts w:hint="eastAsia" w:ascii="宋体" w:hAnsi="宋体" w:eastAsia="宋体" w:cs="宋体"/>
                <w:color w:val="auto"/>
                <w:sz w:val="22"/>
                <w:highlight w:val="none"/>
                <w:lang w:val="zh-CN"/>
              </w:rPr>
              <w:t>电子邮件方式传送至浙江乐诚工程咨询有限公司电子邮箱</w:t>
            </w:r>
            <w:r>
              <w:rPr>
                <w:rFonts w:hint="eastAsia" w:ascii="宋体" w:hAnsi="宋体" w:eastAsia="宋体" w:cs="宋体"/>
                <w:color w:val="auto"/>
                <w:sz w:val="22"/>
                <w:highlight w:val="none"/>
              </w:rPr>
              <w:t>2812799762@qq.com，递</w:t>
            </w:r>
            <w:r>
              <w:rPr>
                <w:rFonts w:hint="eastAsia" w:ascii="宋体" w:hAnsi="宋体" w:eastAsia="宋体" w:cs="宋体"/>
                <w:color w:val="auto"/>
                <w:sz w:val="22"/>
                <w:highlight w:val="none"/>
                <w:lang w:val="zh-CN"/>
              </w:rPr>
              <w:t>交</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zh-CN"/>
              </w:rPr>
              <w:t>传送的</w:t>
            </w:r>
            <w:r>
              <w:rPr>
                <w:rFonts w:hint="eastAsia" w:ascii="宋体" w:hAnsi="宋体" w:eastAsia="宋体" w:cs="宋体"/>
                <w:color w:val="auto"/>
                <w:sz w:val="22"/>
                <w:highlight w:val="none"/>
              </w:rPr>
              <w:t>视频</w:t>
            </w:r>
            <w:r>
              <w:rPr>
                <w:rFonts w:hint="eastAsia" w:ascii="宋体" w:hAnsi="宋体" w:eastAsia="宋体" w:cs="宋体"/>
                <w:color w:val="auto"/>
                <w:sz w:val="22"/>
                <w:highlight w:val="none"/>
                <w:lang w:val="zh-CN"/>
              </w:rPr>
              <w:t>需打包压缩并加密</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zh-CN"/>
              </w:rPr>
              <w:t>加密密码由投标人自行保管</w:t>
            </w:r>
            <w:r>
              <w:rPr>
                <w:rFonts w:hint="eastAsia" w:ascii="宋体" w:hAnsi="宋体" w:eastAsia="宋体" w:cs="宋体"/>
                <w:color w:val="auto"/>
                <w:sz w:val="22"/>
                <w:highlight w:val="none"/>
              </w:rPr>
              <w:t>，未加密导致投标信息泄露的风险由投标人自行承担</w:t>
            </w:r>
            <w:r>
              <w:rPr>
                <w:rStyle w:val="32"/>
                <w:rFonts w:hint="eastAsia" w:ascii="宋体" w:hAnsi="宋体" w:eastAsia="宋体" w:cs="宋体"/>
                <w:b w:val="0"/>
                <w:color w:val="auto"/>
                <w:sz w:val="22"/>
                <w:highlight w:val="none"/>
              </w:rPr>
              <w:t>。加密密码投标人在解密完成后发送至</w:t>
            </w:r>
            <w:r>
              <w:rPr>
                <w:rFonts w:hint="eastAsia" w:ascii="宋体" w:hAnsi="宋体" w:eastAsia="宋体" w:cs="宋体"/>
                <w:color w:val="auto"/>
                <w:sz w:val="22"/>
                <w:highlight w:val="none"/>
              </w:rPr>
              <w:t>2812799762@qq.com邮箱。未按规定时间发送视频的视为无现场讲解，以上讲解时间每家不超过10分钟，不是保安队长进行讲解得不得分或讲解的对应性不得分。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10</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13</w:t>
            </w:r>
          </w:p>
        </w:tc>
        <w:tc>
          <w:tcPr>
            <w:tcW w:w="7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防疫方案</w:t>
            </w:r>
          </w:p>
          <w:p>
            <w:pPr>
              <w:adjustRightInd w:val="0"/>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投标人在服务区域内对各种防疫情况的处置能力。</w:t>
            </w:r>
            <w:r>
              <w:rPr>
                <w:rFonts w:hint="eastAsia" w:ascii="宋体" w:hAnsi="宋体" w:eastAsia="宋体" w:cs="宋体"/>
                <w:color w:val="auto"/>
                <w:spacing w:val="-6"/>
                <w:sz w:val="22"/>
                <w:highlight w:val="none"/>
              </w:rPr>
              <w:t>(1)方案的合理性、科学性、专业性、针对性强的得2分；(2)方案的合理性、科学性、专业性、针对性较强的得1.5分；(3)方案的合理性、科学性、专业性、针对性一般的得1分；(4)方案的合理性、科学性、专业性、针对性差的得0.5分</w:t>
            </w:r>
            <w:r>
              <w:rPr>
                <w:rFonts w:hint="eastAsia" w:ascii="宋体" w:hAnsi="宋体" w:eastAsia="宋体" w:cs="宋体"/>
                <w:color w:val="auto"/>
                <w:sz w:val="22"/>
                <w:highlight w:val="none"/>
              </w:rPr>
              <w:t>；(5)未提供的0分。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14</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优惠条件：</w:t>
            </w:r>
          </w:p>
          <w:p>
            <w:pPr>
              <w:autoSpaceDE w:val="0"/>
              <w:autoSpaceDN w:val="0"/>
              <w:adjustRightInd w:val="0"/>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投标人承诺给予采购人的各种实质性优惠条件的实用性、可行性情况由评标委员会判定评分，包括但不限于配件及耗材优惠情况。(1)优惠实用性强的得得2分；(2)优惠实用性较强的得1.5分；(3)优惠实用性一般的得1分；(4)优惠实用性差的得0.5分；</w:t>
            </w:r>
            <w:r>
              <w:rPr>
                <w:rFonts w:hint="eastAsia" w:ascii="宋体" w:hAnsi="宋体" w:eastAsia="宋体" w:cs="宋体"/>
                <w:color w:val="auto"/>
                <w:sz w:val="22"/>
                <w:highlight w:val="none"/>
              </w:rPr>
              <w:t>(5)未提供的0分。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w:t>
            </w: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主观分</w:t>
            </w:r>
          </w:p>
        </w:tc>
      </w:tr>
    </w:tbl>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2.报价评分（20分）：</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2.1资格及符合性审查通过的有效投标人进入商务报价评分。</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报价评分采用低价优先法计算，即满足招标文件要求且评审价格最低的为评标基准价，其他投标人的报价分按照下列公式计算：</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报价分=（评标基准价/评审价格）×20。</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注：以上四舍五入后保留小数2位</w:t>
      </w:r>
    </w:p>
    <w:p>
      <w:pPr>
        <w:spacing w:line="360" w:lineRule="exact"/>
        <w:ind w:left="420" w:leftChars="200"/>
        <w:rPr>
          <w:rFonts w:hint="eastAsia" w:ascii="宋体" w:hAnsi="宋体" w:eastAsia="宋体" w:cs="宋体"/>
          <w:color w:val="auto"/>
          <w:highlight w:val="none"/>
        </w:rPr>
      </w:pPr>
      <w:r>
        <w:rPr>
          <w:rFonts w:hint="eastAsia" w:ascii="宋体" w:hAnsi="宋体" w:eastAsia="宋体" w:cs="宋体"/>
          <w:color w:val="auto"/>
          <w:sz w:val="22"/>
          <w:highlight w:val="none"/>
        </w:rPr>
        <w:t>3.投标人的综合评分为“商务和技术分”和“报价分”的的总计。</w:t>
      </w:r>
    </w:p>
    <w:sectPr>
      <w:headerReference r:id="rId4" w:type="default"/>
      <w:footerReference r:id="rId5" w:type="default"/>
      <w:pgSz w:w="11906" w:h="16838"/>
      <w:pgMar w:top="1440" w:right="1080" w:bottom="1440" w:left="1080" w:header="454" w:footer="709"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59" w:rightChars="171"/>
    </w:pPr>
    <w:r>
      <w:pict>
        <v:shape id="4099" o:spid="_x0000_s2049" o:spt="202" type="#_x0000_t202" style="position:absolute;left:0pt;margin-top:0pt;height:11.65pt;width:31.6pt;mso-position-horizontal:center;mso-position-horizontal-relative:margin;mso-wrap-style:none;z-index:251663360;mso-width-relative:page;mso-height-relative:page;" filled="f" stroked="f" coordsize="21600,21600" o:gfxdata="UEsDBAoAAAAAAIdO4kAAAAAAAAAAAAAAAAAEAAAAZHJzL1BLAwQUAAAACACHTuJA2YeFiNUAAAAD AQAADwAAAGRycy9kb3ducmV2LnhtbE2PQUvDQBCF74L/YRnBS2l3m0hpYyYFhd4UbBW8brNjkpqd DbvbtPrrXb3Uy8DjPd77plyfbS9G8qFzjDCfKRDEtTMdNwhvr5vpEkSImo3uHRPCFwVYV9dXpS6M O/GWxl1sRCrhUGiENsahkDLULVkdZm4gTt6H81bHJH0jjdenVG57mSm1kFZ3nBZaPdBjS/Xn7mgR 3p++ibbLh8lkvDscvNqsXmr5jHh7M1f3ICKd4yUMv/gJHarEtHdHNkH0COmR+HeTt8gzEHuELM9B VqX8z179AFBLAwQUAAAACACHTuJAAf68BsoBAACoAwAADgAAAGRycy9lMm9Eb2MueG1srVNNb9sw DL0P2H8QdF9sZ0nbGHGKFUGLAsM2oNsPUGQpFqAviErs/PtSsp0O3aWHXWSKpB75Hunt/WA0OYsA ytmGVouSEmG5a5U9NvTP78cvd5RAZLZl2lnR0IsAer/7/Gnb+1osXed0KwJBEAt17xvaxejrogDe CcNg4bywGJQuGBbxGo5FG1iP6EYXy7K8KXoXWh8cFwDo3Y9BOiGGjwA6KRUXe8dPRtg4ogahWURK 0CkPdJe7lVLw+FNKEJHohiLTmE8sgvYhncVuy+pjYL5TfGqBfaSFd5wMUxaLXqH2LDJyCuofKKN4 cOBkXHBnipFIVgRZVOU7bV465kXmglKDv4oO/w+W/zj/CkS1Db2hxDKDA1+Vm03SpfdQY/jFY0Ic HtyA2zL7AZ2J7iCDSV8kQjCOql6uqoohEo7OVVl9XWKEY6ha3W7W64RSvD32AeKTcIYko6EBh5a1 ZOfvEMfUOSXVsu5RaZ0Hpy3pEXR9d7vOL64hRNc2JYu8AxNOYjR2nqw4HIaJ5sG1F2TZ4x401OLa U6KfLcqcVmY2wmwcZuPkgzp22HKVq4P/dorYXO45VRhhkWu64AAz62nZ0ob8fc9Zbz/Y7hV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DZh4WI1QAAAAMBAAAPAAAAAAAAAAEAIAAAACIAAABkcnMvZG93 bnJldi54bWxQSwECFAAUAAAACACHTuJAAf68BsoBAACoAwAADgAAAAAAAAABACAAAAAkAQAAZHJz L2Uyb0RvYy54bWxQSwUGAAAAAAYABgBZAQAAYAUAAAAA ">
          <v:path/>
          <v:fill on="f" focussize="0,0"/>
          <v:stroke on="f" weight="1.2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66</w:t>
                </w:r>
                <w:r>
                  <w:rPr>
                    <w:rFonts w:hint="eastAsia"/>
                    <w:sz w:val="18"/>
                  </w:rPr>
                  <w:fldChar w:fldCharType="end"/>
                </w:r>
                <w:r>
                  <w:rPr>
                    <w:rFonts w:hint="eastAsia"/>
                    <w:sz w:val="18"/>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clear" w:pos="4153"/>
        <w:tab w:val="clear" w:pos="8306"/>
      </w:tabs>
      <w:ind w:right="360"/>
      <w:jc w:val="right"/>
    </w:pPr>
    <w:r>
      <w:rPr>
        <w:rFonts w:hint="eastAsia"/>
      </w:rPr>
      <w:t>浙江乐诚工程咨询有限公司招标文件</w:t>
    </w:r>
    <w:r>
      <w:rPr>
        <w:rFonts w:hint="eastAsia" w:ascii="Arial" w:hAnsi="宋体" w:cs="Arial"/>
        <w:b/>
        <w:szCs w:val="21"/>
      </w:rPr>
      <w:drawing>
        <wp:inline distT="0" distB="0" distL="0" distR="0">
          <wp:extent cx="381000" cy="342900"/>
          <wp:effectExtent l="19050" t="0" r="0" b="0"/>
          <wp:docPr id="4097" name="图片 494" descr="1e5075ce6ac53c691def6ed2744ae6b"/>
          <wp:cNvGraphicFramePr/>
          <a:graphic xmlns:a="http://schemas.openxmlformats.org/drawingml/2006/main">
            <a:graphicData uri="http://schemas.openxmlformats.org/drawingml/2006/picture">
              <pic:pic xmlns:pic="http://schemas.openxmlformats.org/drawingml/2006/picture">
                <pic:nvPicPr>
                  <pic:cNvPr id="4097" name="图片 494" descr="1e5075ce6ac53c691def6ed2744ae6b"/>
                  <pic:cNvPicPr/>
                </pic:nvPicPr>
                <pic:blipFill>
                  <a:blip r:embed="rId1" cstate="print"/>
                  <a:srcRect/>
                  <a:stretch>
                    <a:fillRect/>
                  </a:stretch>
                </pic:blipFill>
                <pic:spPr>
                  <a:xfrm>
                    <a:off x="0" y="0"/>
                    <a:ext cx="381000" cy="342900"/>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43557"/>
    <w:multiLevelType w:val="singleLevel"/>
    <w:tmpl w:val="81043557"/>
    <w:lvl w:ilvl="0" w:tentative="0">
      <w:start w:val="1"/>
      <w:numFmt w:val="decimalEnclosedCircleChinese"/>
      <w:suff w:val="nothing"/>
      <w:lvlText w:val="%1　"/>
      <w:lvlJc w:val="left"/>
      <w:pPr>
        <w:ind w:left="0" w:firstLine="400"/>
      </w:pPr>
      <w:rPr>
        <w:rFonts w:hint="eastAsia"/>
      </w:rPr>
    </w:lvl>
  </w:abstractNum>
  <w:abstractNum w:abstractNumId="1">
    <w:nsid w:val="8997BCB9"/>
    <w:multiLevelType w:val="singleLevel"/>
    <w:tmpl w:val="8997BCB9"/>
    <w:lvl w:ilvl="0" w:tentative="0">
      <w:start w:val="1"/>
      <w:numFmt w:val="decimalEnclosedCircleChinese"/>
      <w:suff w:val="nothing"/>
      <w:lvlText w:val="%1　"/>
      <w:lvlJc w:val="left"/>
      <w:pPr>
        <w:ind w:left="0" w:firstLine="400"/>
      </w:pPr>
      <w:rPr>
        <w:rFonts w:hint="eastAsia"/>
      </w:rPr>
    </w:lvl>
  </w:abstractNum>
  <w:abstractNum w:abstractNumId="2">
    <w:nsid w:val="8A008A94"/>
    <w:multiLevelType w:val="singleLevel"/>
    <w:tmpl w:val="8A008A94"/>
    <w:lvl w:ilvl="0" w:tentative="0">
      <w:start w:val="1"/>
      <w:numFmt w:val="decimal"/>
      <w:suff w:val="nothing"/>
      <w:lvlText w:val="%1）"/>
      <w:lvlJc w:val="left"/>
    </w:lvl>
  </w:abstractNum>
  <w:abstractNum w:abstractNumId="3">
    <w:nsid w:val="9273A867"/>
    <w:multiLevelType w:val="singleLevel"/>
    <w:tmpl w:val="9273A867"/>
    <w:lvl w:ilvl="0" w:tentative="0">
      <w:start w:val="1"/>
      <w:numFmt w:val="decimalEnclosedCircleChinese"/>
      <w:suff w:val="nothing"/>
      <w:lvlText w:val="%1　"/>
      <w:lvlJc w:val="left"/>
      <w:pPr>
        <w:ind w:left="0" w:firstLine="400"/>
      </w:pPr>
      <w:rPr>
        <w:rFonts w:hint="eastAsia"/>
      </w:rPr>
    </w:lvl>
  </w:abstractNum>
  <w:abstractNum w:abstractNumId="4">
    <w:nsid w:val="94907C7F"/>
    <w:multiLevelType w:val="singleLevel"/>
    <w:tmpl w:val="94907C7F"/>
    <w:lvl w:ilvl="0" w:tentative="0">
      <w:start w:val="1"/>
      <w:numFmt w:val="decimal"/>
      <w:lvlText w:val="%1)"/>
      <w:lvlJc w:val="left"/>
      <w:pPr>
        <w:ind w:left="425" w:hanging="425"/>
      </w:pPr>
      <w:rPr>
        <w:rFonts w:hint="default"/>
      </w:rPr>
    </w:lvl>
  </w:abstractNum>
  <w:abstractNum w:abstractNumId="5">
    <w:nsid w:val="9541CCF4"/>
    <w:multiLevelType w:val="singleLevel"/>
    <w:tmpl w:val="9541CCF4"/>
    <w:lvl w:ilvl="0" w:tentative="0">
      <w:start w:val="1"/>
      <w:numFmt w:val="decimalEnclosedCircleChinese"/>
      <w:suff w:val="nothing"/>
      <w:lvlText w:val="%1　"/>
      <w:lvlJc w:val="left"/>
      <w:pPr>
        <w:ind w:left="0" w:firstLine="400"/>
      </w:pPr>
      <w:rPr>
        <w:rFonts w:hint="eastAsia"/>
      </w:rPr>
    </w:lvl>
  </w:abstractNum>
  <w:abstractNum w:abstractNumId="6">
    <w:nsid w:val="95EFB912"/>
    <w:multiLevelType w:val="singleLevel"/>
    <w:tmpl w:val="95EFB912"/>
    <w:lvl w:ilvl="0" w:tentative="0">
      <w:start w:val="1"/>
      <w:numFmt w:val="decimal"/>
      <w:lvlText w:val="(%1)"/>
      <w:lvlJc w:val="left"/>
      <w:pPr>
        <w:ind w:left="425" w:hanging="425"/>
      </w:pPr>
      <w:rPr>
        <w:rFonts w:hint="default"/>
      </w:rPr>
    </w:lvl>
  </w:abstractNum>
  <w:abstractNum w:abstractNumId="7">
    <w:nsid w:val="96510366"/>
    <w:multiLevelType w:val="singleLevel"/>
    <w:tmpl w:val="96510366"/>
    <w:lvl w:ilvl="0" w:tentative="0">
      <w:start w:val="1"/>
      <w:numFmt w:val="decimal"/>
      <w:lvlText w:val="(%1)"/>
      <w:lvlJc w:val="left"/>
      <w:pPr>
        <w:ind w:left="425" w:hanging="425"/>
      </w:pPr>
      <w:rPr>
        <w:rFonts w:hint="default"/>
      </w:rPr>
    </w:lvl>
  </w:abstractNum>
  <w:abstractNum w:abstractNumId="8">
    <w:nsid w:val="981C63BB"/>
    <w:multiLevelType w:val="singleLevel"/>
    <w:tmpl w:val="981C63BB"/>
    <w:lvl w:ilvl="0" w:tentative="0">
      <w:start w:val="1"/>
      <w:numFmt w:val="decimalEnclosedCircleChinese"/>
      <w:suff w:val="nothing"/>
      <w:lvlText w:val="%1　"/>
      <w:lvlJc w:val="left"/>
      <w:pPr>
        <w:ind w:left="0" w:firstLine="400"/>
      </w:pPr>
      <w:rPr>
        <w:rFonts w:hint="eastAsia"/>
      </w:rPr>
    </w:lvl>
  </w:abstractNum>
  <w:abstractNum w:abstractNumId="9">
    <w:nsid w:val="9B48317B"/>
    <w:multiLevelType w:val="singleLevel"/>
    <w:tmpl w:val="9B48317B"/>
    <w:lvl w:ilvl="0" w:tentative="0">
      <w:start w:val="1"/>
      <w:numFmt w:val="decimal"/>
      <w:lvlText w:val="(%1)"/>
      <w:lvlJc w:val="left"/>
      <w:pPr>
        <w:ind w:left="425" w:hanging="425"/>
      </w:pPr>
      <w:rPr>
        <w:rFonts w:hint="default"/>
      </w:rPr>
    </w:lvl>
  </w:abstractNum>
  <w:abstractNum w:abstractNumId="10">
    <w:nsid w:val="A81580BE"/>
    <w:multiLevelType w:val="singleLevel"/>
    <w:tmpl w:val="A81580BE"/>
    <w:lvl w:ilvl="0" w:tentative="0">
      <w:start w:val="1"/>
      <w:numFmt w:val="decimalEnclosedCircleChinese"/>
      <w:suff w:val="nothing"/>
      <w:lvlText w:val="%1　"/>
      <w:lvlJc w:val="left"/>
      <w:pPr>
        <w:ind w:left="0" w:firstLine="400"/>
      </w:pPr>
      <w:rPr>
        <w:rFonts w:hint="eastAsia"/>
      </w:rPr>
    </w:lvl>
  </w:abstractNum>
  <w:abstractNum w:abstractNumId="11">
    <w:nsid w:val="AF5F4354"/>
    <w:multiLevelType w:val="singleLevel"/>
    <w:tmpl w:val="AF5F4354"/>
    <w:lvl w:ilvl="0" w:tentative="0">
      <w:start w:val="1"/>
      <w:numFmt w:val="decimal"/>
      <w:lvlText w:val="(%1)"/>
      <w:lvlJc w:val="left"/>
      <w:pPr>
        <w:ind w:left="425" w:hanging="425"/>
      </w:pPr>
      <w:rPr>
        <w:rFonts w:hint="default"/>
      </w:rPr>
    </w:lvl>
  </w:abstractNum>
  <w:abstractNum w:abstractNumId="12">
    <w:nsid w:val="BE4D0069"/>
    <w:multiLevelType w:val="singleLevel"/>
    <w:tmpl w:val="BE4D0069"/>
    <w:lvl w:ilvl="0" w:tentative="0">
      <w:start w:val="1"/>
      <w:numFmt w:val="decimalEnclosedCircleChinese"/>
      <w:suff w:val="nothing"/>
      <w:lvlText w:val="%1　"/>
      <w:lvlJc w:val="left"/>
      <w:pPr>
        <w:ind w:left="0" w:firstLine="400"/>
      </w:pPr>
      <w:rPr>
        <w:rFonts w:hint="eastAsia"/>
      </w:rPr>
    </w:lvl>
  </w:abstractNum>
  <w:abstractNum w:abstractNumId="13">
    <w:nsid w:val="CF63AD35"/>
    <w:multiLevelType w:val="singleLevel"/>
    <w:tmpl w:val="CF63AD35"/>
    <w:lvl w:ilvl="0" w:tentative="0">
      <w:start w:val="1"/>
      <w:numFmt w:val="decimalEnclosedCircleChinese"/>
      <w:suff w:val="nothing"/>
      <w:lvlText w:val="%1　"/>
      <w:lvlJc w:val="left"/>
      <w:pPr>
        <w:ind w:left="0" w:firstLine="400"/>
      </w:pPr>
      <w:rPr>
        <w:rFonts w:hint="eastAsia"/>
      </w:rPr>
    </w:lvl>
  </w:abstractNum>
  <w:abstractNum w:abstractNumId="14">
    <w:nsid w:val="E51D1823"/>
    <w:multiLevelType w:val="singleLevel"/>
    <w:tmpl w:val="E51D1823"/>
    <w:lvl w:ilvl="0" w:tentative="0">
      <w:start w:val="1"/>
      <w:numFmt w:val="decimalEnclosedCircleChinese"/>
      <w:suff w:val="nothing"/>
      <w:lvlText w:val="%1　"/>
      <w:lvlJc w:val="left"/>
      <w:pPr>
        <w:ind w:left="0" w:firstLine="400"/>
      </w:pPr>
      <w:rPr>
        <w:rFonts w:hint="eastAsia"/>
      </w:rPr>
    </w:lvl>
  </w:abstractNum>
  <w:abstractNum w:abstractNumId="15">
    <w:nsid w:val="E721DC60"/>
    <w:multiLevelType w:val="singleLevel"/>
    <w:tmpl w:val="E721DC60"/>
    <w:lvl w:ilvl="0" w:tentative="0">
      <w:start w:val="1"/>
      <w:numFmt w:val="decimalEnclosedCircleChinese"/>
      <w:suff w:val="nothing"/>
      <w:lvlText w:val="%1　"/>
      <w:lvlJc w:val="left"/>
      <w:pPr>
        <w:ind w:left="0" w:firstLine="400"/>
      </w:pPr>
      <w:rPr>
        <w:rFonts w:hint="eastAsia"/>
      </w:rPr>
    </w:lvl>
  </w:abstractNum>
  <w:abstractNum w:abstractNumId="16">
    <w:nsid w:val="F0F9FB32"/>
    <w:multiLevelType w:val="singleLevel"/>
    <w:tmpl w:val="F0F9FB32"/>
    <w:lvl w:ilvl="0" w:tentative="0">
      <w:start w:val="1"/>
      <w:numFmt w:val="decimal"/>
      <w:lvlText w:val="(%1)"/>
      <w:lvlJc w:val="left"/>
      <w:pPr>
        <w:ind w:left="425" w:hanging="425"/>
      </w:pPr>
      <w:rPr>
        <w:rFonts w:hint="default"/>
      </w:rPr>
    </w:lvl>
  </w:abstractNum>
  <w:abstractNum w:abstractNumId="17">
    <w:nsid w:val="F5B55072"/>
    <w:multiLevelType w:val="singleLevel"/>
    <w:tmpl w:val="F5B55072"/>
    <w:lvl w:ilvl="0" w:tentative="0">
      <w:start w:val="1"/>
      <w:numFmt w:val="decimal"/>
      <w:lvlText w:val="%1)"/>
      <w:lvlJc w:val="left"/>
      <w:pPr>
        <w:ind w:left="425" w:hanging="425"/>
      </w:pPr>
      <w:rPr>
        <w:rFonts w:hint="default"/>
      </w:rPr>
    </w:lvl>
  </w:abstractNum>
  <w:abstractNum w:abstractNumId="18">
    <w:nsid w:val="F9EC2A9F"/>
    <w:multiLevelType w:val="singleLevel"/>
    <w:tmpl w:val="F9EC2A9F"/>
    <w:lvl w:ilvl="0" w:tentative="0">
      <w:start w:val="1"/>
      <w:numFmt w:val="decimal"/>
      <w:lvlText w:val="%1."/>
      <w:lvlJc w:val="left"/>
      <w:pPr>
        <w:tabs>
          <w:tab w:val="left" w:pos="312"/>
        </w:tabs>
      </w:pPr>
    </w:lvl>
  </w:abstractNum>
  <w:abstractNum w:abstractNumId="19">
    <w:nsid w:val="FD04CF72"/>
    <w:multiLevelType w:val="singleLevel"/>
    <w:tmpl w:val="FD04CF72"/>
    <w:lvl w:ilvl="0" w:tentative="0">
      <w:start w:val="1"/>
      <w:numFmt w:val="decimal"/>
      <w:lvlText w:val="%1)"/>
      <w:lvlJc w:val="left"/>
      <w:pPr>
        <w:ind w:left="425" w:hanging="425"/>
      </w:pPr>
      <w:rPr>
        <w:rFonts w:hint="default"/>
      </w:rPr>
    </w:lvl>
  </w:abstractNum>
  <w:abstractNum w:abstractNumId="20">
    <w:nsid w:val="00000001"/>
    <w:multiLevelType w:val="multilevel"/>
    <w:tmpl w:val="00000001"/>
    <w:lvl w:ilvl="0" w:tentative="0">
      <w:start w:val="1"/>
      <w:numFmt w:val="decimal"/>
      <w:lvlText w:val="%1."/>
      <w:lvlJc w:val="left"/>
      <w:pPr>
        <w:ind w:left="432" w:hanging="432"/>
      </w:pPr>
      <w:rPr>
        <w:rFonts w:hint="default"/>
      </w:rPr>
    </w:lvl>
    <w:lvl w:ilvl="1" w:tentative="0">
      <w:start w:val="1"/>
      <w:numFmt w:val="decimal"/>
      <w:pStyle w:val="7"/>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1">
    <w:nsid w:val="00000002"/>
    <w:multiLevelType w:val="singleLevel"/>
    <w:tmpl w:val="00000002"/>
    <w:lvl w:ilvl="0" w:tentative="0">
      <w:start w:val="1"/>
      <w:numFmt w:val="chineseCounting"/>
      <w:suff w:val="nothing"/>
      <w:lvlText w:val="%1、"/>
      <w:lvlJc w:val="left"/>
      <w:rPr>
        <w:rFonts w:hint="eastAsia"/>
      </w:rPr>
    </w:lvl>
  </w:abstractNum>
  <w:abstractNum w:abstractNumId="22">
    <w:nsid w:val="00000005"/>
    <w:multiLevelType w:val="singleLevel"/>
    <w:tmpl w:val="00000005"/>
    <w:lvl w:ilvl="0" w:tentative="0">
      <w:start w:val="1"/>
      <w:numFmt w:val="chineseCounting"/>
      <w:lvlText w:val="%1."/>
      <w:lvlJc w:val="left"/>
      <w:pPr>
        <w:tabs>
          <w:tab w:val="left" w:pos="312"/>
        </w:tabs>
      </w:pPr>
      <w:rPr>
        <w:rFonts w:hint="eastAsia"/>
      </w:rPr>
    </w:lvl>
  </w:abstractNum>
  <w:abstractNum w:abstractNumId="23">
    <w:nsid w:val="00000006"/>
    <w:multiLevelType w:val="singleLevel"/>
    <w:tmpl w:val="00000006"/>
    <w:lvl w:ilvl="0" w:tentative="0">
      <w:start w:val="3"/>
      <w:numFmt w:val="chineseCounting"/>
      <w:suff w:val="nothing"/>
      <w:lvlText w:val="%1、"/>
      <w:lvlJc w:val="left"/>
      <w:rPr>
        <w:rFonts w:cs="Times New Roman"/>
      </w:rPr>
    </w:lvl>
  </w:abstractNum>
  <w:abstractNum w:abstractNumId="24">
    <w:nsid w:val="00000019"/>
    <w:multiLevelType w:val="multilevel"/>
    <w:tmpl w:val="00000019"/>
    <w:lvl w:ilvl="0" w:tentative="0">
      <w:start w:val="1"/>
      <w:numFmt w:val="decimal"/>
      <w:lvlText w:val="（%1）"/>
      <w:lvlJc w:val="left"/>
      <w:pPr>
        <w:tabs>
          <w:tab w:val="left" w:pos="1287"/>
        </w:tabs>
        <w:ind w:left="964" w:hanging="397"/>
      </w:pPr>
      <w:rPr>
        <w:rFonts w:hint="eastAsia" w:ascii="楷体_GB2312" w:hAnsi="Arial"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1B"/>
    <w:multiLevelType w:val="multilevel"/>
    <w:tmpl w:val="0000001B"/>
    <w:lvl w:ilvl="0" w:tentative="0">
      <w:start w:val="1"/>
      <w:numFmt w:val="decimal"/>
      <w:lvlText w:val="%1."/>
      <w:lvlJc w:val="left"/>
      <w:pPr>
        <w:tabs>
          <w:tab w:val="left" w:pos="0"/>
        </w:tabs>
        <w:ind w:left="547" w:hanging="567"/>
      </w:pPr>
    </w:lvl>
    <w:lvl w:ilvl="1" w:tentative="0">
      <w:start w:val="1"/>
      <w:numFmt w:val="decimal"/>
      <w:lvlText w:val="%1.%2."/>
      <w:lvlJc w:val="left"/>
      <w:pPr>
        <w:tabs>
          <w:tab w:val="left" w:pos="0"/>
        </w:tabs>
        <w:ind w:left="567" w:hanging="567"/>
      </w:pPr>
    </w:lvl>
    <w:lvl w:ilvl="2" w:tentative="0">
      <w:start w:val="1"/>
      <w:numFmt w:val="decimal"/>
      <w:lvlText w:val="%1.%2.%3."/>
      <w:lvlJc w:val="left"/>
      <w:pPr>
        <w:tabs>
          <w:tab w:val="left" w:pos="0"/>
        </w:tabs>
        <w:ind w:left="709" w:hanging="709"/>
      </w:pPr>
    </w:lvl>
    <w:lvl w:ilvl="3" w:tentative="0">
      <w:start w:val="1"/>
      <w:numFmt w:val="decimal"/>
      <w:lvlText w:val="%1.%2.%3.%4."/>
      <w:lvlJc w:val="left"/>
      <w:pPr>
        <w:tabs>
          <w:tab w:val="left" w:pos="0"/>
        </w:tabs>
        <w:ind w:left="851" w:hanging="851"/>
      </w:pPr>
    </w:lvl>
    <w:lvl w:ilvl="4" w:tentative="0">
      <w:start w:val="1"/>
      <w:numFmt w:val="decimal"/>
      <w:lvlText w:val="%1.%2.%3.%4.%5."/>
      <w:lvlJc w:val="left"/>
      <w:pPr>
        <w:tabs>
          <w:tab w:val="left" w:pos="0"/>
        </w:tabs>
        <w:ind w:left="992" w:hanging="992"/>
      </w:pPr>
    </w:lvl>
    <w:lvl w:ilvl="5" w:tentative="0">
      <w:start w:val="1"/>
      <w:numFmt w:val="decimal"/>
      <w:lvlText w:val="%1.%2.%3.%4.%5.%6."/>
      <w:lvlJc w:val="left"/>
      <w:pPr>
        <w:tabs>
          <w:tab w:val="left" w:pos="0"/>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6">
    <w:nsid w:val="00000021"/>
    <w:multiLevelType w:val="multilevel"/>
    <w:tmpl w:val="0000002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34E7550"/>
    <w:multiLevelType w:val="singleLevel"/>
    <w:tmpl w:val="034E7550"/>
    <w:lvl w:ilvl="0" w:tentative="0">
      <w:start w:val="1"/>
      <w:numFmt w:val="decimal"/>
      <w:lvlText w:val="%1)"/>
      <w:lvlJc w:val="left"/>
      <w:pPr>
        <w:ind w:left="425" w:hanging="425"/>
      </w:pPr>
      <w:rPr>
        <w:rFonts w:hint="default"/>
      </w:rPr>
    </w:lvl>
  </w:abstractNum>
  <w:abstractNum w:abstractNumId="28">
    <w:nsid w:val="0C09B09D"/>
    <w:multiLevelType w:val="singleLevel"/>
    <w:tmpl w:val="0C09B09D"/>
    <w:lvl w:ilvl="0" w:tentative="0">
      <w:start w:val="1"/>
      <w:numFmt w:val="decimal"/>
      <w:lvlText w:val="%1)"/>
      <w:lvlJc w:val="left"/>
      <w:pPr>
        <w:ind w:left="425" w:hanging="425"/>
      </w:pPr>
      <w:rPr>
        <w:rFonts w:hint="default"/>
      </w:rPr>
    </w:lvl>
  </w:abstractNum>
  <w:abstractNum w:abstractNumId="29">
    <w:nsid w:val="0D7651B3"/>
    <w:multiLevelType w:val="singleLevel"/>
    <w:tmpl w:val="0D7651B3"/>
    <w:lvl w:ilvl="0" w:tentative="0">
      <w:start w:val="1"/>
      <w:numFmt w:val="decimal"/>
      <w:lvlText w:val="(%1)"/>
      <w:lvlJc w:val="left"/>
      <w:pPr>
        <w:ind w:left="425" w:hanging="425"/>
      </w:pPr>
      <w:rPr>
        <w:rFonts w:hint="default"/>
      </w:rPr>
    </w:lvl>
  </w:abstractNum>
  <w:abstractNum w:abstractNumId="30">
    <w:nsid w:val="17461BB9"/>
    <w:multiLevelType w:val="singleLevel"/>
    <w:tmpl w:val="17461BB9"/>
    <w:lvl w:ilvl="0" w:tentative="0">
      <w:start w:val="1"/>
      <w:numFmt w:val="decimalEnclosedCircleChinese"/>
      <w:suff w:val="nothing"/>
      <w:lvlText w:val="%1　"/>
      <w:lvlJc w:val="left"/>
      <w:pPr>
        <w:ind w:left="0" w:firstLine="400"/>
      </w:pPr>
      <w:rPr>
        <w:rFonts w:hint="eastAsia"/>
      </w:rPr>
    </w:lvl>
  </w:abstractNum>
  <w:abstractNum w:abstractNumId="31">
    <w:nsid w:val="17C385D6"/>
    <w:multiLevelType w:val="singleLevel"/>
    <w:tmpl w:val="17C385D6"/>
    <w:lvl w:ilvl="0" w:tentative="0">
      <w:start w:val="1"/>
      <w:numFmt w:val="decimal"/>
      <w:lvlText w:val="(%1)"/>
      <w:lvlJc w:val="left"/>
      <w:pPr>
        <w:ind w:left="425" w:hanging="425"/>
      </w:pPr>
      <w:rPr>
        <w:rFonts w:hint="default"/>
      </w:rPr>
    </w:lvl>
  </w:abstractNum>
  <w:abstractNum w:abstractNumId="32">
    <w:nsid w:val="1976EA1D"/>
    <w:multiLevelType w:val="singleLevel"/>
    <w:tmpl w:val="1976EA1D"/>
    <w:lvl w:ilvl="0" w:tentative="0">
      <w:start w:val="1"/>
      <w:numFmt w:val="decimal"/>
      <w:lvlText w:val="%1)"/>
      <w:lvlJc w:val="left"/>
      <w:pPr>
        <w:ind w:left="425" w:hanging="425"/>
      </w:pPr>
      <w:rPr>
        <w:rFonts w:hint="default"/>
      </w:rPr>
    </w:lvl>
  </w:abstractNum>
  <w:abstractNum w:abstractNumId="33">
    <w:nsid w:val="24D2EABC"/>
    <w:multiLevelType w:val="singleLevel"/>
    <w:tmpl w:val="24D2EABC"/>
    <w:lvl w:ilvl="0" w:tentative="0">
      <w:start w:val="5"/>
      <w:numFmt w:val="decimal"/>
      <w:suff w:val="nothing"/>
      <w:lvlText w:val="%1．"/>
      <w:lvlJc w:val="left"/>
    </w:lvl>
  </w:abstractNum>
  <w:abstractNum w:abstractNumId="34">
    <w:nsid w:val="2C521111"/>
    <w:multiLevelType w:val="singleLevel"/>
    <w:tmpl w:val="2C521111"/>
    <w:lvl w:ilvl="0" w:tentative="0">
      <w:start w:val="1"/>
      <w:numFmt w:val="decimal"/>
      <w:suff w:val="nothing"/>
      <w:lvlText w:val="%1．"/>
      <w:lvlJc w:val="left"/>
      <w:pPr>
        <w:ind w:left="0" w:firstLine="400"/>
      </w:pPr>
      <w:rPr>
        <w:rFonts w:hint="default"/>
      </w:rPr>
    </w:lvl>
  </w:abstractNum>
  <w:abstractNum w:abstractNumId="35">
    <w:nsid w:val="39CC0B44"/>
    <w:multiLevelType w:val="multilevel"/>
    <w:tmpl w:val="39CC0B44"/>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6">
    <w:nsid w:val="4244F0DA"/>
    <w:multiLevelType w:val="singleLevel"/>
    <w:tmpl w:val="4244F0DA"/>
    <w:lvl w:ilvl="0" w:tentative="0">
      <w:start w:val="1"/>
      <w:numFmt w:val="decimal"/>
      <w:suff w:val="nothing"/>
      <w:lvlText w:val="%1．"/>
      <w:lvlJc w:val="left"/>
      <w:pPr>
        <w:ind w:left="0" w:firstLine="400"/>
      </w:pPr>
      <w:rPr>
        <w:rFonts w:hint="default"/>
      </w:rPr>
    </w:lvl>
  </w:abstractNum>
  <w:abstractNum w:abstractNumId="37">
    <w:nsid w:val="4B2C3D76"/>
    <w:multiLevelType w:val="singleLevel"/>
    <w:tmpl w:val="4B2C3D76"/>
    <w:lvl w:ilvl="0" w:tentative="0">
      <w:start w:val="1"/>
      <w:numFmt w:val="decimal"/>
      <w:lvlText w:val="(%1)"/>
      <w:lvlJc w:val="left"/>
      <w:pPr>
        <w:ind w:left="425" w:hanging="425"/>
      </w:pPr>
      <w:rPr>
        <w:rFonts w:hint="default"/>
      </w:rPr>
    </w:lvl>
  </w:abstractNum>
  <w:abstractNum w:abstractNumId="38">
    <w:nsid w:val="51E5493E"/>
    <w:multiLevelType w:val="singleLevel"/>
    <w:tmpl w:val="51E5493E"/>
    <w:lvl w:ilvl="0" w:tentative="0">
      <w:start w:val="1"/>
      <w:numFmt w:val="decimalEnclosedCircleChinese"/>
      <w:suff w:val="nothing"/>
      <w:lvlText w:val="%1　"/>
      <w:lvlJc w:val="left"/>
      <w:pPr>
        <w:ind w:left="0" w:firstLine="400"/>
      </w:pPr>
      <w:rPr>
        <w:rFonts w:hint="eastAsia"/>
      </w:rPr>
    </w:lvl>
  </w:abstractNum>
  <w:abstractNum w:abstractNumId="39">
    <w:nsid w:val="54BE56D4"/>
    <w:multiLevelType w:val="singleLevel"/>
    <w:tmpl w:val="54BE56D4"/>
    <w:lvl w:ilvl="0" w:tentative="0">
      <w:start w:val="1"/>
      <w:numFmt w:val="decimalEnclosedCircleChinese"/>
      <w:suff w:val="nothing"/>
      <w:lvlText w:val="%1　"/>
      <w:lvlJc w:val="left"/>
      <w:pPr>
        <w:ind w:left="0" w:firstLine="400"/>
      </w:pPr>
      <w:rPr>
        <w:rFonts w:hint="eastAsia"/>
      </w:rPr>
    </w:lvl>
  </w:abstractNum>
  <w:abstractNum w:abstractNumId="40">
    <w:nsid w:val="581084A9"/>
    <w:multiLevelType w:val="singleLevel"/>
    <w:tmpl w:val="581084A9"/>
    <w:lvl w:ilvl="0" w:tentative="0">
      <w:start w:val="1"/>
      <w:numFmt w:val="decimal"/>
      <w:suff w:val="nothing"/>
      <w:lvlText w:val="%1．"/>
      <w:lvlJc w:val="left"/>
      <w:pPr>
        <w:ind w:left="0" w:firstLine="400"/>
      </w:pPr>
      <w:rPr>
        <w:rFonts w:hint="default"/>
      </w:rPr>
    </w:lvl>
  </w:abstractNum>
  <w:abstractNum w:abstractNumId="41">
    <w:nsid w:val="5FF75B03"/>
    <w:multiLevelType w:val="multilevel"/>
    <w:tmpl w:val="5FF75B03"/>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31D07D3"/>
    <w:multiLevelType w:val="singleLevel"/>
    <w:tmpl w:val="731D07D3"/>
    <w:lvl w:ilvl="0" w:tentative="0">
      <w:start w:val="1"/>
      <w:numFmt w:val="decimalEnclosedCircleChinese"/>
      <w:suff w:val="nothing"/>
      <w:lvlText w:val="%1　"/>
      <w:lvlJc w:val="left"/>
      <w:pPr>
        <w:ind w:left="0" w:firstLine="400"/>
      </w:pPr>
      <w:rPr>
        <w:rFonts w:hint="eastAsia"/>
      </w:rPr>
    </w:lvl>
  </w:abstractNum>
  <w:num w:numId="1">
    <w:abstractNumId w:val="20"/>
  </w:num>
  <w:num w:numId="2">
    <w:abstractNumId w:val="18"/>
  </w:num>
  <w:num w:numId="3">
    <w:abstractNumId w:val="1"/>
  </w:num>
  <w:num w:numId="4">
    <w:abstractNumId w:val="15"/>
  </w:num>
  <w:num w:numId="5">
    <w:abstractNumId w:val="0"/>
  </w:num>
  <w:num w:numId="6">
    <w:abstractNumId w:val="33"/>
  </w:num>
  <w:num w:numId="7">
    <w:abstractNumId w:val="25"/>
  </w:num>
  <w:num w:numId="8">
    <w:abstractNumId w:val="26"/>
  </w:num>
  <w:num w:numId="9">
    <w:abstractNumId w:val="24"/>
  </w:num>
  <w:num w:numId="10">
    <w:abstractNumId w:val="21"/>
  </w:num>
  <w:num w:numId="11">
    <w:abstractNumId w:val="23"/>
  </w:num>
  <w:num w:numId="12">
    <w:abstractNumId w:val="3"/>
  </w:num>
  <w:num w:numId="13">
    <w:abstractNumId w:val="13"/>
  </w:num>
  <w:num w:numId="14">
    <w:abstractNumId w:val="38"/>
  </w:num>
  <w:num w:numId="15">
    <w:abstractNumId w:val="31"/>
  </w:num>
  <w:num w:numId="16">
    <w:abstractNumId w:val="42"/>
  </w:num>
  <w:num w:numId="17">
    <w:abstractNumId w:val="14"/>
  </w:num>
  <w:num w:numId="18">
    <w:abstractNumId w:val="28"/>
  </w:num>
  <w:num w:numId="19">
    <w:abstractNumId w:val="4"/>
  </w:num>
  <w:num w:numId="20">
    <w:abstractNumId w:val="17"/>
  </w:num>
  <w:num w:numId="21">
    <w:abstractNumId w:val="19"/>
  </w:num>
  <w:num w:numId="22">
    <w:abstractNumId w:val="30"/>
  </w:num>
  <w:num w:numId="23">
    <w:abstractNumId w:val="10"/>
  </w:num>
  <w:num w:numId="24">
    <w:abstractNumId w:val="12"/>
  </w:num>
  <w:num w:numId="25">
    <w:abstractNumId w:val="37"/>
  </w:num>
  <w:num w:numId="26">
    <w:abstractNumId w:val="7"/>
  </w:num>
  <w:num w:numId="27">
    <w:abstractNumId w:val="9"/>
  </w:num>
  <w:num w:numId="28">
    <w:abstractNumId w:val="32"/>
  </w:num>
  <w:num w:numId="29">
    <w:abstractNumId w:val="27"/>
  </w:num>
  <w:num w:numId="30">
    <w:abstractNumId w:val="6"/>
  </w:num>
  <w:num w:numId="31">
    <w:abstractNumId w:val="39"/>
  </w:num>
  <w:num w:numId="32">
    <w:abstractNumId w:val="5"/>
  </w:num>
  <w:num w:numId="33">
    <w:abstractNumId w:val="29"/>
  </w:num>
  <w:num w:numId="34">
    <w:abstractNumId w:val="8"/>
  </w:num>
  <w:num w:numId="35">
    <w:abstractNumId w:val="35"/>
  </w:num>
  <w:num w:numId="36">
    <w:abstractNumId w:val="40"/>
  </w:num>
  <w:num w:numId="37">
    <w:abstractNumId w:val="41"/>
  </w:num>
  <w:num w:numId="38">
    <w:abstractNumId w:val="34"/>
  </w:num>
  <w:num w:numId="39">
    <w:abstractNumId w:val="36"/>
  </w:num>
  <w:num w:numId="40">
    <w:abstractNumId w:val="11"/>
  </w:num>
  <w:num w:numId="41">
    <w:abstractNumId w:val="16"/>
  </w:num>
  <w:num w:numId="42">
    <w:abstractNumId w:val="2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ZlYzYyMjViNDM1NmZlNjhiNWEwZjM3ZmMyMDdkMmIifQ=="/>
  </w:docVars>
  <w:rsids>
    <w:rsidRoot w:val="003925A3"/>
    <w:rsid w:val="00001190"/>
    <w:rsid w:val="000165CE"/>
    <w:rsid w:val="0004064F"/>
    <w:rsid w:val="00085D6C"/>
    <w:rsid w:val="00096C1C"/>
    <w:rsid w:val="000D0E9D"/>
    <w:rsid w:val="000D2A66"/>
    <w:rsid w:val="00104797"/>
    <w:rsid w:val="00114ACF"/>
    <w:rsid w:val="001238A9"/>
    <w:rsid w:val="0013656F"/>
    <w:rsid w:val="00162DE6"/>
    <w:rsid w:val="0016331A"/>
    <w:rsid w:val="001872A6"/>
    <w:rsid w:val="001A7A57"/>
    <w:rsid w:val="001D4C41"/>
    <w:rsid w:val="001D58E6"/>
    <w:rsid w:val="001F2E07"/>
    <w:rsid w:val="001F69EB"/>
    <w:rsid w:val="00200D62"/>
    <w:rsid w:val="00244FF1"/>
    <w:rsid w:val="00260625"/>
    <w:rsid w:val="00272DDB"/>
    <w:rsid w:val="002B42A7"/>
    <w:rsid w:val="002D013D"/>
    <w:rsid w:val="002D39EC"/>
    <w:rsid w:val="002D4B78"/>
    <w:rsid w:val="002D4D79"/>
    <w:rsid w:val="002E6DD3"/>
    <w:rsid w:val="002F0C16"/>
    <w:rsid w:val="002F4DEE"/>
    <w:rsid w:val="003105E7"/>
    <w:rsid w:val="00317FAE"/>
    <w:rsid w:val="003203EB"/>
    <w:rsid w:val="003249A6"/>
    <w:rsid w:val="00337494"/>
    <w:rsid w:val="00344B9E"/>
    <w:rsid w:val="00381587"/>
    <w:rsid w:val="003925A3"/>
    <w:rsid w:val="003D177F"/>
    <w:rsid w:val="003F07CB"/>
    <w:rsid w:val="003F1330"/>
    <w:rsid w:val="003F1DAF"/>
    <w:rsid w:val="00423889"/>
    <w:rsid w:val="004318C2"/>
    <w:rsid w:val="00443708"/>
    <w:rsid w:val="00472B95"/>
    <w:rsid w:val="004957F5"/>
    <w:rsid w:val="004D29DE"/>
    <w:rsid w:val="004E36AD"/>
    <w:rsid w:val="004E3FBA"/>
    <w:rsid w:val="00520695"/>
    <w:rsid w:val="00554E6C"/>
    <w:rsid w:val="00555399"/>
    <w:rsid w:val="005B556F"/>
    <w:rsid w:val="005D178C"/>
    <w:rsid w:val="005D2F76"/>
    <w:rsid w:val="005D6E90"/>
    <w:rsid w:val="005E576C"/>
    <w:rsid w:val="005F106A"/>
    <w:rsid w:val="00621902"/>
    <w:rsid w:val="00623A91"/>
    <w:rsid w:val="006470D7"/>
    <w:rsid w:val="00691949"/>
    <w:rsid w:val="006C6DF3"/>
    <w:rsid w:val="006E15D1"/>
    <w:rsid w:val="006F625F"/>
    <w:rsid w:val="007063AD"/>
    <w:rsid w:val="00734AEB"/>
    <w:rsid w:val="0075442D"/>
    <w:rsid w:val="00756CC1"/>
    <w:rsid w:val="00776291"/>
    <w:rsid w:val="0078268B"/>
    <w:rsid w:val="007873A4"/>
    <w:rsid w:val="00793639"/>
    <w:rsid w:val="007A49AB"/>
    <w:rsid w:val="007A5EA4"/>
    <w:rsid w:val="007B3771"/>
    <w:rsid w:val="007B7F6F"/>
    <w:rsid w:val="007E4E7F"/>
    <w:rsid w:val="0080546D"/>
    <w:rsid w:val="008057EB"/>
    <w:rsid w:val="00812562"/>
    <w:rsid w:val="00843D49"/>
    <w:rsid w:val="00855FBF"/>
    <w:rsid w:val="00862DF1"/>
    <w:rsid w:val="00890A09"/>
    <w:rsid w:val="008A47B9"/>
    <w:rsid w:val="008A4B92"/>
    <w:rsid w:val="008A796F"/>
    <w:rsid w:val="008F2DA5"/>
    <w:rsid w:val="00900FBE"/>
    <w:rsid w:val="00942407"/>
    <w:rsid w:val="00945726"/>
    <w:rsid w:val="009900B5"/>
    <w:rsid w:val="00994CA5"/>
    <w:rsid w:val="009C0009"/>
    <w:rsid w:val="009E0890"/>
    <w:rsid w:val="009F098F"/>
    <w:rsid w:val="00A04D79"/>
    <w:rsid w:val="00A1489C"/>
    <w:rsid w:val="00A214EA"/>
    <w:rsid w:val="00A45BF8"/>
    <w:rsid w:val="00A65DD3"/>
    <w:rsid w:val="00A66D42"/>
    <w:rsid w:val="00A8065C"/>
    <w:rsid w:val="00A87777"/>
    <w:rsid w:val="00A97B5D"/>
    <w:rsid w:val="00AA014F"/>
    <w:rsid w:val="00AA6568"/>
    <w:rsid w:val="00AB25FE"/>
    <w:rsid w:val="00AC64BB"/>
    <w:rsid w:val="00AF6ACE"/>
    <w:rsid w:val="00AF73BF"/>
    <w:rsid w:val="00AF755D"/>
    <w:rsid w:val="00B20479"/>
    <w:rsid w:val="00B50A14"/>
    <w:rsid w:val="00B50E3F"/>
    <w:rsid w:val="00B53847"/>
    <w:rsid w:val="00B83312"/>
    <w:rsid w:val="00B86FAF"/>
    <w:rsid w:val="00B90C15"/>
    <w:rsid w:val="00B91396"/>
    <w:rsid w:val="00B96870"/>
    <w:rsid w:val="00BB467D"/>
    <w:rsid w:val="00BD3EE9"/>
    <w:rsid w:val="00BE0B15"/>
    <w:rsid w:val="00BF6528"/>
    <w:rsid w:val="00BF6A6B"/>
    <w:rsid w:val="00BF6FF9"/>
    <w:rsid w:val="00C50151"/>
    <w:rsid w:val="00C62892"/>
    <w:rsid w:val="00C779D8"/>
    <w:rsid w:val="00C8768E"/>
    <w:rsid w:val="00C94D42"/>
    <w:rsid w:val="00CA6252"/>
    <w:rsid w:val="00CE2703"/>
    <w:rsid w:val="00CE2CE0"/>
    <w:rsid w:val="00CF5B7D"/>
    <w:rsid w:val="00D010B9"/>
    <w:rsid w:val="00D63F03"/>
    <w:rsid w:val="00D64146"/>
    <w:rsid w:val="00D67ACF"/>
    <w:rsid w:val="00DA02F5"/>
    <w:rsid w:val="00DA22AC"/>
    <w:rsid w:val="00DD26EB"/>
    <w:rsid w:val="00DE5044"/>
    <w:rsid w:val="00E03603"/>
    <w:rsid w:val="00E21ABF"/>
    <w:rsid w:val="00E22CF2"/>
    <w:rsid w:val="00E33425"/>
    <w:rsid w:val="00E5476F"/>
    <w:rsid w:val="00E66A4A"/>
    <w:rsid w:val="00E77C82"/>
    <w:rsid w:val="00E80E9C"/>
    <w:rsid w:val="00E86E7D"/>
    <w:rsid w:val="00E949F4"/>
    <w:rsid w:val="00EC1FB1"/>
    <w:rsid w:val="00EC7089"/>
    <w:rsid w:val="00F26ADE"/>
    <w:rsid w:val="00F353F7"/>
    <w:rsid w:val="00F455DA"/>
    <w:rsid w:val="00F70290"/>
    <w:rsid w:val="00F96E48"/>
    <w:rsid w:val="00FB04D7"/>
    <w:rsid w:val="00FC19F8"/>
    <w:rsid w:val="00FD503D"/>
    <w:rsid w:val="00FE3641"/>
    <w:rsid w:val="00FE48C2"/>
    <w:rsid w:val="00FE65CC"/>
    <w:rsid w:val="019B642A"/>
    <w:rsid w:val="01AB0F41"/>
    <w:rsid w:val="01F5688A"/>
    <w:rsid w:val="029A256A"/>
    <w:rsid w:val="02E95FDE"/>
    <w:rsid w:val="031D29AE"/>
    <w:rsid w:val="032920E5"/>
    <w:rsid w:val="03457976"/>
    <w:rsid w:val="03C052C9"/>
    <w:rsid w:val="043E76D1"/>
    <w:rsid w:val="04962367"/>
    <w:rsid w:val="052D4432"/>
    <w:rsid w:val="054C693C"/>
    <w:rsid w:val="0636159B"/>
    <w:rsid w:val="066B3F6F"/>
    <w:rsid w:val="067E01C3"/>
    <w:rsid w:val="07715A40"/>
    <w:rsid w:val="08A2033D"/>
    <w:rsid w:val="08B75BD9"/>
    <w:rsid w:val="0906039F"/>
    <w:rsid w:val="09DC266E"/>
    <w:rsid w:val="09EB5E61"/>
    <w:rsid w:val="0B781A29"/>
    <w:rsid w:val="0BF33E61"/>
    <w:rsid w:val="0C1A1105"/>
    <w:rsid w:val="0CA65B6D"/>
    <w:rsid w:val="0CE16B56"/>
    <w:rsid w:val="0E3244A3"/>
    <w:rsid w:val="0E475063"/>
    <w:rsid w:val="0E687A9C"/>
    <w:rsid w:val="0EA67C5A"/>
    <w:rsid w:val="0ED636A7"/>
    <w:rsid w:val="0EF44E6C"/>
    <w:rsid w:val="10FB7431"/>
    <w:rsid w:val="11842D62"/>
    <w:rsid w:val="11F44590"/>
    <w:rsid w:val="132503F2"/>
    <w:rsid w:val="14150B9E"/>
    <w:rsid w:val="147B744B"/>
    <w:rsid w:val="14F20A48"/>
    <w:rsid w:val="157D70EB"/>
    <w:rsid w:val="170161B8"/>
    <w:rsid w:val="17033586"/>
    <w:rsid w:val="1713296E"/>
    <w:rsid w:val="182C59F7"/>
    <w:rsid w:val="18E05EB6"/>
    <w:rsid w:val="18E93A4D"/>
    <w:rsid w:val="194A44E0"/>
    <w:rsid w:val="198E04A4"/>
    <w:rsid w:val="199156C7"/>
    <w:rsid w:val="1BA77684"/>
    <w:rsid w:val="1BDF3904"/>
    <w:rsid w:val="1C4A07BD"/>
    <w:rsid w:val="1CFD3888"/>
    <w:rsid w:val="1D433A4E"/>
    <w:rsid w:val="1DB311E9"/>
    <w:rsid w:val="1E871334"/>
    <w:rsid w:val="1F6A2969"/>
    <w:rsid w:val="208A1458"/>
    <w:rsid w:val="20F10723"/>
    <w:rsid w:val="211E1D37"/>
    <w:rsid w:val="21712966"/>
    <w:rsid w:val="21937BAA"/>
    <w:rsid w:val="225872A6"/>
    <w:rsid w:val="2263262D"/>
    <w:rsid w:val="22E70C8F"/>
    <w:rsid w:val="231D77B2"/>
    <w:rsid w:val="23617BB3"/>
    <w:rsid w:val="25734E8C"/>
    <w:rsid w:val="25A426C9"/>
    <w:rsid w:val="263D64CA"/>
    <w:rsid w:val="26414F2E"/>
    <w:rsid w:val="2798395B"/>
    <w:rsid w:val="28402EDE"/>
    <w:rsid w:val="28A83A5D"/>
    <w:rsid w:val="29272140"/>
    <w:rsid w:val="29B9542C"/>
    <w:rsid w:val="2A476654"/>
    <w:rsid w:val="2B53162E"/>
    <w:rsid w:val="2B5D3FDF"/>
    <w:rsid w:val="2C686AF4"/>
    <w:rsid w:val="2C932519"/>
    <w:rsid w:val="2CBF06D0"/>
    <w:rsid w:val="2FAF425B"/>
    <w:rsid w:val="30401BD3"/>
    <w:rsid w:val="30767DFE"/>
    <w:rsid w:val="32233180"/>
    <w:rsid w:val="32640FEF"/>
    <w:rsid w:val="33055414"/>
    <w:rsid w:val="334054F0"/>
    <w:rsid w:val="335C05C6"/>
    <w:rsid w:val="33C178C4"/>
    <w:rsid w:val="33D30437"/>
    <w:rsid w:val="348057FD"/>
    <w:rsid w:val="35523176"/>
    <w:rsid w:val="35CB176A"/>
    <w:rsid w:val="369304E8"/>
    <w:rsid w:val="36EE01AA"/>
    <w:rsid w:val="377C2875"/>
    <w:rsid w:val="38BA723B"/>
    <w:rsid w:val="3A886215"/>
    <w:rsid w:val="3AC05B7F"/>
    <w:rsid w:val="3AE47425"/>
    <w:rsid w:val="3C3454D5"/>
    <w:rsid w:val="3C8C44B5"/>
    <w:rsid w:val="3D4454BA"/>
    <w:rsid w:val="3DDE3567"/>
    <w:rsid w:val="3E1F5917"/>
    <w:rsid w:val="3F255313"/>
    <w:rsid w:val="3F5F2C22"/>
    <w:rsid w:val="3F8F3B03"/>
    <w:rsid w:val="3F9D463A"/>
    <w:rsid w:val="406C4D05"/>
    <w:rsid w:val="41252F72"/>
    <w:rsid w:val="41FF1352"/>
    <w:rsid w:val="4284732C"/>
    <w:rsid w:val="429224DD"/>
    <w:rsid w:val="42FD69A1"/>
    <w:rsid w:val="43015A8D"/>
    <w:rsid w:val="45540F8D"/>
    <w:rsid w:val="46C9475A"/>
    <w:rsid w:val="47D87939"/>
    <w:rsid w:val="47EE2481"/>
    <w:rsid w:val="485F0089"/>
    <w:rsid w:val="49004184"/>
    <w:rsid w:val="4A634178"/>
    <w:rsid w:val="4D07001A"/>
    <w:rsid w:val="4D924D81"/>
    <w:rsid w:val="4DC773B7"/>
    <w:rsid w:val="4DEB50A9"/>
    <w:rsid w:val="4E561F12"/>
    <w:rsid w:val="4EEC7373"/>
    <w:rsid w:val="50171207"/>
    <w:rsid w:val="503028A6"/>
    <w:rsid w:val="503F12F4"/>
    <w:rsid w:val="5098335D"/>
    <w:rsid w:val="5172637B"/>
    <w:rsid w:val="51803501"/>
    <w:rsid w:val="528E5ABA"/>
    <w:rsid w:val="52D81CF5"/>
    <w:rsid w:val="52E60FE9"/>
    <w:rsid w:val="53095C00"/>
    <w:rsid w:val="535A1F60"/>
    <w:rsid w:val="543E509E"/>
    <w:rsid w:val="548E34C5"/>
    <w:rsid w:val="567E595F"/>
    <w:rsid w:val="586E5982"/>
    <w:rsid w:val="58C952FE"/>
    <w:rsid w:val="59567298"/>
    <w:rsid w:val="599368A5"/>
    <w:rsid w:val="5BDE4363"/>
    <w:rsid w:val="5E880482"/>
    <w:rsid w:val="5EEB18DA"/>
    <w:rsid w:val="5F775E24"/>
    <w:rsid w:val="5FA91B9C"/>
    <w:rsid w:val="5FFAFD06"/>
    <w:rsid w:val="61B210ED"/>
    <w:rsid w:val="62E67FCA"/>
    <w:rsid w:val="631968F5"/>
    <w:rsid w:val="63264C89"/>
    <w:rsid w:val="63930AF2"/>
    <w:rsid w:val="64F85267"/>
    <w:rsid w:val="65BD1AED"/>
    <w:rsid w:val="660A18CC"/>
    <w:rsid w:val="66766A90"/>
    <w:rsid w:val="67472418"/>
    <w:rsid w:val="67D72F5F"/>
    <w:rsid w:val="69DA5D28"/>
    <w:rsid w:val="6A0C3B57"/>
    <w:rsid w:val="6A4616BD"/>
    <w:rsid w:val="6B9D6660"/>
    <w:rsid w:val="6BF34356"/>
    <w:rsid w:val="6C02588D"/>
    <w:rsid w:val="6CD1FAF9"/>
    <w:rsid w:val="6D434548"/>
    <w:rsid w:val="6DAF3DEF"/>
    <w:rsid w:val="6DC75D5D"/>
    <w:rsid w:val="6E9D2C6A"/>
    <w:rsid w:val="6FBFBB75"/>
    <w:rsid w:val="703544BB"/>
    <w:rsid w:val="70765687"/>
    <w:rsid w:val="713C126B"/>
    <w:rsid w:val="713C5092"/>
    <w:rsid w:val="71525278"/>
    <w:rsid w:val="718C7246"/>
    <w:rsid w:val="734B7C6A"/>
    <w:rsid w:val="73C624D5"/>
    <w:rsid w:val="75327DE6"/>
    <w:rsid w:val="75381674"/>
    <w:rsid w:val="770C0C9B"/>
    <w:rsid w:val="77804B60"/>
    <w:rsid w:val="77B918F1"/>
    <w:rsid w:val="7871507A"/>
    <w:rsid w:val="78727392"/>
    <w:rsid w:val="78B0741B"/>
    <w:rsid w:val="79357378"/>
    <w:rsid w:val="796D068D"/>
    <w:rsid w:val="79E46B7B"/>
    <w:rsid w:val="7AF45785"/>
    <w:rsid w:val="7B317572"/>
    <w:rsid w:val="7C235033"/>
    <w:rsid w:val="7C653EF0"/>
    <w:rsid w:val="7D0361E1"/>
    <w:rsid w:val="7DBA605C"/>
    <w:rsid w:val="7DCF42E6"/>
    <w:rsid w:val="7FAF2EF9"/>
    <w:rsid w:val="7FFF0A7A"/>
    <w:rsid w:val="9B6E17B4"/>
    <w:rsid w:val="BBBFD47C"/>
    <w:rsid w:val="D67AC7C9"/>
    <w:rsid w:val="DA9EA48D"/>
    <w:rsid w:val="E2FA0D6B"/>
    <w:rsid w:val="F3E77F2D"/>
    <w:rsid w:val="F9FF73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8">
    <w:name w:val="heading 3"/>
    <w:basedOn w:val="1"/>
    <w:next w:val="1"/>
    <w:qFormat/>
    <w:uiPriority w:val="9"/>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autoSpaceDE w:val="0"/>
      <w:autoSpaceDN w:val="0"/>
      <w:adjustRightInd w:val="0"/>
      <w:ind w:firstLine="420" w:firstLineChars="100"/>
      <w:jc w:val="left"/>
    </w:pPr>
    <w:rPr>
      <w:rFonts w:ascii="仿宋_GB2312"/>
      <w:b/>
      <w:kern w:val="0"/>
      <w:sz w:val="32"/>
      <w:szCs w:val="32"/>
    </w:rPr>
  </w:style>
  <w:style w:type="paragraph" w:styleId="3">
    <w:name w:val="Body Text"/>
    <w:basedOn w:val="1"/>
    <w:next w:val="4"/>
    <w:qFormat/>
    <w:uiPriority w:val="0"/>
    <w:pPr>
      <w:spacing w:after="120"/>
    </w:pPr>
  </w:style>
  <w:style w:type="paragraph" w:styleId="4">
    <w:name w:val="toc 4"/>
    <w:basedOn w:val="1"/>
    <w:next w:val="1"/>
    <w:unhideWhenUsed/>
    <w:qFormat/>
    <w:uiPriority w:val="39"/>
    <w:pPr>
      <w:ind w:left="1260" w:leftChars="600"/>
    </w:pPr>
  </w:style>
  <w:style w:type="paragraph" w:styleId="5">
    <w:name w:val="toc 6"/>
    <w:basedOn w:val="1"/>
    <w:next w:val="1"/>
    <w:qFormat/>
    <w:uiPriority w:val="0"/>
    <w:pPr>
      <w:spacing w:line="360" w:lineRule="auto"/>
      <w:ind w:left="1200" w:firstLine="200" w:firstLineChars="200"/>
      <w:jc w:val="left"/>
    </w:pPr>
    <w:rPr>
      <w:rFonts w:cs="Calibri"/>
      <w:sz w:val="18"/>
      <w:szCs w:val="18"/>
    </w:rPr>
  </w:style>
  <w:style w:type="paragraph" w:styleId="11">
    <w:name w:val="Normal Indent"/>
    <w:basedOn w:val="1"/>
    <w:qFormat/>
    <w:uiPriority w:val="0"/>
    <w:pPr>
      <w:adjustRightInd w:val="0"/>
      <w:spacing w:line="312" w:lineRule="atLeast"/>
      <w:ind w:firstLine="420"/>
      <w:textAlignment w:val="baseline"/>
    </w:pPr>
    <w:rPr>
      <w:rFonts w:ascii="宋体" w:hAnsi="Courier New"/>
      <w:kern w:val="0"/>
    </w:rPr>
  </w:style>
  <w:style w:type="paragraph" w:styleId="12">
    <w:name w:val="annotation text"/>
    <w:basedOn w:val="1"/>
    <w:link w:val="40"/>
    <w:qFormat/>
    <w:uiPriority w:val="0"/>
    <w:pPr>
      <w:jc w:val="left"/>
    </w:pPr>
  </w:style>
  <w:style w:type="paragraph" w:styleId="13">
    <w:name w:val="Body Text Indent"/>
    <w:basedOn w:val="1"/>
    <w:next w:val="1"/>
    <w:link w:val="70"/>
    <w:qFormat/>
    <w:uiPriority w:val="0"/>
    <w:pPr>
      <w:ind w:left="480" w:hanging="480" w:hangingChars="200"/>
    </w:pPr>
    <w:rPr>
      <w:sz w:val="24"/>
    </w:rPr>
  </w:style>
  <w:style w:type="paragraph" w:styleId="14">
    <w:name w:val="List 2"/>
    <w:basedOn w:val="1"/>
    <w:qFormat/>
    <w:uiPriority w:val="99"/>
    <w:pPr>
      <w:ind w:left="100" w:leftChars="200" w:hanging="200" w:hangingChars="200"/>
    </w:pPr>
    <w:rPr>
      <w:sz w:val="28"/>
      <w:szCs w:val="28"/>
    </w:rPr>
  </w:style>
  <w:style w:type="paragraph" w:styleId="15">
    <w:name w:val="Block Text"/>
    <w:basedOn w:val="1"/>
    <w:qFormat/>
    <w:uiPriority w:val="99"/>
    <w:pPr>
      <w:spacing w:after="120"/>
      <w:ind w:left="1440" w:leftChars="700" w:right="1440" w:rightChars="700"/>
    </w:pPr>
  </w:style>
  <w:style w:type="paragraph" w:styleId="16">
    <w:name w:val="Plain Text"/>
    <w:basedOn w:val="1"/>
    <w:next w:val="17"/>
    <w:link w:val="42"/>
    <w:qFormat/>
    <w:uiPriority w:val="0"/>
    <w:pPr>
      <w:widowControl/>
      <w:overflowPunct w:val="0"/>
      <w:autoSpaceDE w:val="0"/>
      <w:autoSpaceDN w:val="0"/>
      <w:adjustRightInd w:val="0"/>
      <w:jc w:val="left"/>
      <w:textAlignment w:val="baseline"/>
    </w:pPr>
    <w:rPr>
      <w:rFonts w:ascii="宋体" w:hAnsi="Courier New"/>
      <w:sz w:val="24"/>
    </w:rPr>
  </w:style>
  <w:style w:type="paragraph" w:styleId="17">
    <w:name w:val="toc 2"/>
    <w:basedOn w:val="1"/>
    <w:next w:val="1"/>
    <w:qFormat/>
    <w:uiPriority w:val="39"/>
    <w:pPr>
      <w:tabs>
        <w:tab w:val="right" w:leader="dot" w:pos="8931"/>
      </w:tabs>
    </w:pPr>
    <w:rPr>
      <w:rFonts w:eastAsia="黑体"/>
      <w:smallCaps/>
      <w:szCs w:val="28"/>
    </w:rPr>
  </w:style>
  <w:style w:type="paragraph" w:styleId="18">
    <w:name w:val="Date"/>
    <w:basedOn w:val="1"/>
    <w:next w:val="1"/>
    <w:qFormat/>
    <w:uiPriority w:val="0"/>
    <w:pPr>
      <w:ind w:left="2500" w:leftChars="2500"/>
    </w:pPr>
    <w:rPr>
      <w:rFonts w:eastAsia="楷体_GB2312"/>
      <w:sz w:val="32"/>
      <w:szCs w:val="20"/>
    </w:rPr>
  </w:style>
  <w:style w:type="paragraph" w:styleId="19">
    <w:name w:val="Body Text Indent 2"/>
    <w:basedOn w:val="1"/>
    <w:unhideWhenUsed/>
    <w:qFormat/>
    <w:uiPriority w:val="99"/>
    <w:pPr>
      <w:spacing w:after="120" w:line="480" w:lineRule="auto"/>
      <w:ind w:left="420" w:leftChars="200"/>
    </w:pPr>
  </w:style>
  <w:style w:type="paragraph" w:styleId="20">
    <w:name w:val="Balloon Text"/>
    <w:basedOn w:val="1"/>
    <w:link w:val="43"/>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link w:val="72"/>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rPr>
      <w:rFonts w:ascii="Times New Roman" w:hAnsi="Times New Roman"/>
    </w:rPr>
  </w:style>
  <w:style w:type="paragraph" w:styleId="24">
    <w:name w:val="List"/>
    <w:basedOn w:val="1"/>
    <w:qFormat/>
    <w:uiPriority w:val="0"/>
    <w:pPr>
      <w:ind w:left="200" w:hanging="200" w:hangingChars="200"/>
    </w:pPr>
  </w:style>
  <w:style w:type="paragraph" w:styleId="25">
    <w:name w:val="footnote text"/>
    <w:basedOn w:val="1"/>
    <w:link w:val="67"/>
    <w:qFormat/>
    <w:uiPriority w:val="99"/>
    <w:pPr>
      <w:snapToGrid w:val="0"/>
      <w:jc w:val="left"/>
    </w:pPr>
    <w:rPr>
      <w:sz w:val="18"/>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annotation subject"/>
    <w:basedOn w:val="12"/>
    <w:next w:val="12"/>
    <w:link w:val="44"/>
    <w:qFormat/>
    <w:uiPriority w:val="0"/>
    <w:rPr>
      <w:b/>
      <w:bCs/>
    </w:rPr>
  </w:style>
  <w:style w:type="paragraph" w:styleId="28">
    <w:name w:val="Body Text First Indent 2"/>
    <w:basedOn w:val="13"/>
    <w:qFormat/>
    <w:uiPriority w:val="99"/>
    <w:pPr>
      <w:ind w:firstLine="420"/>
    </w:p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22"/>
    <w:rPr>
      <w:b/>
    </w:rPr>
  </w:style>
  <w:style w:type="character" w:styleId="33">
    <w:name w:val="Emphasis"/>
    <w:basedOn w:val="31"/>
    <w:qFormat/>
    <w:uiPriority w:val="20"/>
    <w:rPr>
      <w:i/>
      <w:iCs/>
    </w:rPr>
  </w:style>
  <w:style w:type="character" w:styleId="34">
    <w:name w:val="Hyperlink"/>
    <w:basedOn w:val="31"/>
    <w:qFormat/>
    <w:uiPriority w:val="0"/>
  </w:style>
  <w:style w:type="character" w:styleId="35">
    <w:name w:val="annotation reference"/>
    <w:basedOn w:val="31"/>
    <w:qFormat/>
    <w:uiPriority w:val="99"/>
    <w:rPr>
      <w:sz w:val="21"/>
      <w:szCs w:val="21"/>
    </w:rPr>
  </w:style>
  <w:style w:type="character" w:styleId="36">
    <w:name w:val="footnote reference"/>
    <w:basedOn w:val="31"/>
    <w:qFormat/>
    <w:uiPriority w:val="99"/>
    <w:rPr>
      <w:rFonts w:cs="Times New Roman"/>
      <w:vertAlign w:val="superscript"/>
    </w:rPr>
  </w:style>
  <w:style w:type="paragraph" w:customStyle="1" w:styleId="37">
    <w:name w:val="表格文字"/>
    <w:basedOn w:val="1"/>
    <w:next w:val="3"/>
    <w:qFormat/>
    <w:uiPriority w:val="0"/>
    <w:pPr>
      <w:adjustRightInd w:val="0"/>
      <w:spacing w:line="420" w:lineRule="atLeast"/>
      <w:jc w:val="left"/>
      <w:textAlignment w:val="baseline"/>
    </w:pPr>
    <w:rPr>
      <w:kern w:val="0"/>
      <w:szCs w:val="24"/>
    </w:rPr>
  </w:style>
  <w:style w:type="paragraph" w:customStyle="1" w:styleId="38">
    <w:name w:val="[Normal]"/>
    <w:qFormat/>
    <w:uiPriority w:val="99"/>
    <w:rPr>
      <w:rFonts w:ascii="宋体" w:hAnsi="宋体" w:eastAsia="宋体" w:cs="Times New Roman"/>
      <w:sz w:val="24"/>
      <w:szCs w:val="22"/>
      <w:lang w:val="zh-CN" w:eastAsia="zh-CN" w:bidi="ar-SA"/>
    </w:rPr>
  </w:style>
  <w:style w:type="paragraph" w:customStyle="1" w:styleId="3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批注文字 Char"/>
    <w:link w:val="12"/>
    <w:qFormat/>
    <w:uiPriority w:val="0"/>
    <w:rPr>
      <w:rFonts w:ascii="Times New Roman" w:hAnsi="Times New Roman" w:eastAsia="宋体" w:cs="Times New Roman"/>
      <w:kern w:val="2"/>
      <w:sz w:val="21"/>
      <w:szCs w:val="22"/>
    </w:rPr>
  </w:style>
  <w:style w:type="character" w:customStyle="1" w:styleId="41">
    <w:name w:val="font11"/>
    <w:qFormat/>
    <w:uiPriority w:val="0"/>
    <w:rPr>
      <w:rFonts w:hint="default" w:ascii="仿宋_GB2312" w:eastAsia="仿宋_GB2312" w:cs="仿宋_GB2312"/>
      <w:color w:val="000000"/>
      <w:sz w:val="24"/>
      <w:szCs w:val="24"/>
      <w:u w:val="none"/>
    </w:rPr>
  </w:style>
  <w:style w:type="character" w:customStyle="1" w:styleId="42">
    <w:name w:val="纯文本 Char"/>
    <w:link w:val="16"/>
    <w:qFormat/>
    <w:uiPriority w:val="0"/>
    <w:rPr>
      <w:rFonts w:ascii="宋体" w:hAnsi="Courier New"/>
      <w:kern w:val="2"/>
      <w:sz w:val="24"/>
      <w:szCs w:val="22"/>
    </w:rPr>
  </w:style>
  <w:style w:type="character" w:customStyle="1" w:styleId="43">
    <w:name w:val="批注框文本 Char"/>
    <w:link w:val="20"/>
    <w:qFormat/>
    <w:uiPriority w:val="0"/>
    <w:rPr>
      <w:kern w:val="2"/>
      <w:sz w:val="18"/>
      <w:szCs w:val="18"/>
    </w:rPr>
  </w:style>
  <w:style w:type="character" w:customStyle="1" w:styleId="44">
    <w:name w:val="批注主题 Char"/>
    <w:basedOn w:val="40"/>
    <w:link w:val="27"/>
    <w:qFormat/>
    <w:uiPriority w:val="0"/>
    <w:rPr>
      <w:rFonts w:ascii="Times New Roman" w:hAnsi="Times New Roman" w:eastAsia="宋体" w:cs="Times New Roman"/>
      <w:kern w:val="2"/>
      <w:sz w:val="21"/>
      <w:szCs w:val="22"/>
    </w:rPr>
  </w:style>
  <w:style w:type="paragraph" w:customStyle="1" w:styleId="45">
    <w:name w:val="正文1"/>
    <w:basedOn w:val="1"/>
    <w:qFormat/>
    <w:uiPriority w:val="0"/>
    <w:rPr>
      <w:rFonts w:ascii="宋体" w:hAnsi="宋体" w:cs="宋体"/>
    </w:rPr>
  </w:style>
  <w:style w:type="paragraph" w:customStyle="1" w:styleId="46">
    <w:name w:val="正文2"/>
    <w:basedOn w:val="1"/>
    <w:qFormat/>
    <w:uiPriority w:val="0"/>
    <w:pPr>
      <w:spacing w:before="156" w:line="360" w:lineRule="auto"/>
      <w:ind w:firstLine="510" w:firstLineChars="200"/>
    </w:pPr>
    <w:rPr>
      <w:sz w:val="24"/>
      <w:szCs w:val="20"/>
    </w:rPr>
  </w:style>
  <w:style w:type="paragraph" w:customStyle="1" w:styleId="47">
    <w:name w:val="列表段落1"/>
    <w:basedOn w:val="1"/>
    <w:qFormat/>
    <w:uiPriority w:val="34"/>
    <w:pPr>
      <w:widowControl/>
      <w:ind w:firstLine="420" w:firstLineChars="200"/>
      <w:jc w:val="left"/>
    </w:pPr>
    <w:rPr>
      <w:rFonts w:eastAsia="微软雅黑"/>
      <w:szCs w:val="20"/>
    </w:rPr>
  </w:style>
  <w:style w:type="paragraph" w:customStyle="1" w:styleId="48">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9">
    <w:name w:val="样式1"/>
    <w:basedOn w:val="6"/>
    <w:qFormat/>
    <w:uiPriority w:val="0"/>
    <w:pPr>
      <w:tabs>
        <w:tab w:val="left" w:pos="425"/>
      </w:tabs>
      <w:spacing w:beforeLines="50" w:line="240" w:lineRule="auto"/>
      <w:jc w:val="center"/>
    </w:pPr>
    <w:rPr>
      <w:rFonts w:ascii="宋体" w:hAnsi="宋体"/>
      <w:sz w:val="21"/>
      <w:szCs w:val="36"/>
    </w:rPr>
  </w:style>
  <w:style w:type="paragraph" w:customStyle="1" w:styleId="50">
    <w:name w:val="正文，段落，小四，22磅行距"/>
    <w:basedOn w:val="1"/>
    <w:qFormat/>
    <w:uiPriority w:val="0"/>
    <w:pPr>
      <w:spacing w:line="440" w:lineRule="exact"/>
      <w:ind w:firstLine="420"/>
    </w:pPr>
    <w:rPr>
      <w:kern w:val="0"/>
      <w:sz w:val="24"/>
      <w:szCs w:val="24"/>
    </w:rPr>
  </w:style>
  <w:style w:type="paragraph" w:customStyle="1" w:styleId="51">
    <w:name w:val="列出段落2"/>
    <w:basedOn w:val="1"/>
    <w:qFormat/>
    <w:uiPriority w:val="34"/>
    <w:pPr>
      <w:widowControl/>
      <w:ind w:firstLine="420" w:firstLineChars="200"/>
      <w:jc w:val="left"/>
    </w:pPr>
    <w:rPr>
      <w:rFonts w:eastAsia="微软雅黑"/>
      <w:szCs w:val="20"/>
    </w:rPr>
  </w:style>
  <w:style w:type="paragraph" w:customStyle="1" w:styleId="52">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3">
    <w:name w:val="偏离表"/>
    <w:basedOn w:val="1"/>
    <w:qFormat/>
    <w:uiPriority w:val="0"/>
    <w:pPr>
      <w:jc w:val="center"/>
    </w:pPr>
    <w:rPr>
      <w:sz w:val="18"/>
    </w:rPr>
  </w:style>
  <w:style w:type="paragraph" w:customStyle="1" w:styleId="54">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6">
    <w:name w:val="默认段落字体 Para Char Char Char Char Char Char Char Char Char1 Char Char Char Char"/>
    <w:basedOn w:val="1"/>
    <w:qFormat/>
    <w:uiPriority w:val="99"/>
    <w:rPr>
      <w:rFonts w:ascii="Tahoma" w:hAnsi="Tahoma" w:cs="Tahoma"/>
      <w:sz w:val="24"/>
      <w:szCs w:val="24"/>
    </w:rPr>
  </w:style>
  <w:style w:type="paragraph" w:styleId="57">
    <w:name w:val="List Paragraph"/>
    <w:basedOn w:val="1"/>
    <w:qFormat/>
    <w:uiPriority w:val="99"/>
    <w:pPr>
      <w:ind w:firstLine="420" w:firstLineChars="200"/>
    </w:pPr>
  </w:style>
  <w:style w:type="paragraph" w:customStyle="1" w:styleId="58">
    <w:name w:val="首行缩进"/>
    <w:basedOn w:val="1"/>
    <w:qFormat/>
    <w:uiPriority w:val="0"/>
    <w:pPr>
      <w:spacing w:line="360" w:lineRule="auto"/>
      <w:ind w:firstLine="420"/>
    </w:pPr>
    <w:rPr>
      <w:rFonts w:cs="宋体"/>
      <w:szCs w:val="20"/>
    </w:rPr>
  </w:style>
  <w:style w:type="paragraph" w:customStyle="1" w:styleId="59">
    <w:name w:val="纯文本2"/>
    <w:basedOn w:val="60"/>
    <w:qFormat/>
    <w:uiPriority w:val="0"/>
    <w:pPr>
      <w:widowControl/>
      <w:jc w:val="left"/>
    </w:pPr>
    <w:rPr>
      <w:rFonts w:ascii="宋体" w:hAnsi="Courier New"/>
    </w:rPr>
  </w:style>
  <w:style w:type="paragraph" w:customStyle="1" w:styleId="6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2">
    <w:name w:val="Plain Text1"/>
    <w:basedOn w:val="63"/>
    <w:qFormat/>
    <w:uiPriority w:val="0"/>
    <w:pPr>
      <w:adjustRightInd w:val="0"/>
    </w:pPr>
    <w:rPr>
      <w:rFonts w:hint="eastAsia" w:ascii="宋体" w:hAnsi="Courier New" w:eastAsia="楷体_GB2312"/>
      <w:sz w:val="28"/>
    </w:rPr>
  </w:style>
  <w:style w:type="paragraph" w:customStyle="1" w:styleId="63">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正文文字3"/>
    <w:basedOn w:val="3"/>
    <w:qFormat/>
    <w:uiPriority w:val="0"/>
    <w:pPr>
      <w:spacing w:after="0"/>
    </w:pPr>
  </w:style>
  <w:style w:type="paragraph" w:customStyle="1" w:styleId="6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
    <w:name w:val="正文文本 21"/>
    <w:basedOn w:val="1"/>
    <w:qFormat/>
    <w:uiPriority w:val="0"/>
    <w:pPr>
      <w:adjustRightInd w:val="0"/>
      <w:spacing w:line="300" w:lineRule="auto"/>
      <w:jc w:val="center"/>
    </w:pPr>
    <w:rPr>
      <w:rFonts w:ascii="宋体" w:hAnsi="宋体"/>
      <w:sz w:val="24"/>
    </w:rPr>
  </w:style>
  <w:style w:type="character" w:customStyle="1" w:styleId="67">
    <w:name w:val="脚注文本 Char"/>
    <w:basedOn w:val="31"/>
    <w:link w:val="25"/>
    <w:qFormat/>
    <w:uiPriority w:val="99"/>
    <w:rPr>
      <w:rFonts w:ascii="Calibri" w:hAnsi="Calibri"/>
      <w:kern w:val="2"/>
      <w:sz w:val="18"/>
      <w:szCs w:val="22"/>
    </w:rPr>
  </w:style>
  <w:style w:type="paragraph" w:customStyle="1" w:styleId="68">
    <w:name w:val="Body text|3"/>
    <w:basedOn w:val="1"/>
    <w:qFormat/>
    <w:uiPriority w:val="0"/>
    <w:pPr>
      <w:spacing w:after="380"/>
      <w:jc w:val="center"/>
    </w:pPr>
    <w:rPr>
      <w:rFonts w:ascii="宋体" w:hAnsi="宋体" w:cs="宋体"/>
      <w:sz w:val="26"/>
      <w:szCs w:val="26"/>
      <w:lang w:val="zh-TW" w:eastAsia="zh-TW" w:bidi="zh-TW"/>
    </w:rPr>
  </w:style>
  <w:style w:type="paragraph" w:customStyle="1" w:styleId="69">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70">
    <w:name w:val="正文文本缩进 Char"/>
    <w:basedOn w:val="31"/>
    <w:link w:val="13"/>
    <w:qFormat/>
    <w:uiPriority w:val="0"/>
    <w:rPr>
      <w:rFonts w:hint="default" w:ascii="Calibri" w:hAnsi="Calibri" w:cs="Calibri"/>
      <w:kern w:val="2"/>
      <w:sz w:val="21"/>
      <w:szCs w:val="22"/>
    </w:rPr>
  </w:style>
  <w:style w:type="character" w:customStyle="1" w:styleId="71">
    <w:name w:val="bookmark-item"/>
    <w:basedOn w:val="31"/>
    <w:qFormat/>
    <w:uiPriority w:val="0"/>
  </w:style>
  <w:style w:type="character" w:customStyle="1" w:styleId="72">
    <w:name w:val="页眉 Char"/>
    <w:basedOn w:val="31"/>
    <w:link w:val="22"/>
    <w:qFormat/>
    <w:uiPriority w:val="99"/>
    <w:rPr>
      <w:rFonts w:ascii="Calibri" w:hAnsi="Calibri"/>
      <w:kern w:val="2"/>
      <w:sz w:val="18"/>
      <w:szCs w:val="22"/>
    </w:rPr>
  </w:style>
  <w:style w:type="paragraph" w:customStyle="1" w:styleId="73">
    <w:name w:val="Default"/>
    <w:next w:val="7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4">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75">
    <w:name w:val="列出段落1"/>
    <w:basedOn w:val="1"/>
    <w:qFormat/>
    <w:uiPriority w:val="34"/>
    <w:pPr>
      <w:ind w:firstLine="420" w:firstLineChars="200"/>
    </w:pPr>
    <w:rPr>
      <w:rFonts w:asciiTheme="minorHAnsi" w:hAnsiTheme="minorHAnsi" w:eastAsiaTheme="minorEastAsia" w:cstheme="minorBidi"/>
    </w:rPr>
  </w:style>
  <w:style w:type="character" w:customStyle="1" w:styleId="76">
    <w:name w:val="NormalCharacter"/>
    <w:semiHidden/>
    <w:qFormat/>
    <w:uiPriority w:val="0"/>
  </w:style>
  <w:style w:type="paragraph" w:customStyle="1" w:styleId="77">
    <w:name w:val="彩色列表 - 强调文字颜色 11"/>
    <w:basedOn w:val="1"/>
    <w:qFormat/>
    <w:uiPriority w:val="34"/>
    <w:pPr>
      <w:ind w:firstLine="420" w:firstLineChars="200"/>
    </w:p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header1.xml" Type="http://schemas.openxmlformats.org/officeDocument/2006/relationships/header"/><Relationship Id="rId5" Target="footer1.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customXml/item2.xml" Type="http://schemas.openxmlformats.org/officeDocument/2006/relationships/customXml"/></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F3118-558E-49CA-BB13-9B2A28BB869B}">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69</Pages>
  <Words>46011</Words>
  <Characters>48278</Characters>
  <Lines>390</Lines>
  <Paragraphs>109</Paragraphs>
  <TotalTime>0</TotalTime>
  <ScaleCrop>false</ScaleCrop>
  <LinksUpToDate>false</LinksUpToDate>
  <CharactersWithSpaces>50405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2021-08-30T11:37:00Z</dcterms:created>
  <dc:creator>Administrator</dc:creator>
  <cp:lastModifiedBy></cp:lastModifiedBy>
  <cp:lastPrinted>2022-08-11T06:08:00Z</cp:lastPrinted>
  <dcterms:modified xsi:type="dcterms:W3CDTF">2022-09-05T07:27:06Z</dcterms:modified>
  <cp:revision>386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53FA70F0A1D84CF4A57F91DFB5DD5A30</vt:lpwstr>
  </property>
</Properties>
</file>