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05"/>
        </w:tabs>
        <w:spacing w:line="360" w:lineRule="auto"/>
        <w:jc w:val="center"/>
        <w:rPr>
          <w:rFonts w:hint="eastAsia" w:ascii="宋体" w:hAnsi="宋体" w:eastAsia="宋体" w:cs="宋体"/>
          <w:b/>
          <w:color w:val="auto"/>
          <w:sz w:val="84"/>
          <w:szCs w:val="84"/>
          <w:highlight w:val="none"/>
        </w:rPr>
      </w:pPr>
    </w:p>
    <w:p>
      <w:pPr>
        <w:tabs>
          <w:tab w:val="left" w:pos="5205"/>
        </w:tabs>
        <w:spacing w:line="360" w:lineRule="auto"/>
        <w:jc w:val="center"/>
        <w:rPr>
          <w:rFonts w:hint="eastAsia" w:ascii="宋体" w:hAnsi="宋体" w:eastAsia="宋体" w:cs="宋体"/>
          <w:b/>
          <w:color w:val="auto"/>
          <w:spacing w:val="26"/>
          <w:sz w:val="84"/>
          <w:szCs w:val="84"/>
          <w:highlight w:val="none"/>
        </w:rPr>
      </w:pPr>
      <w:r>
        <w:rPr>
          <w:rFonts w:hint="eastAsia" w:ascii="宋体" w:hAnsi="宋体" w:eastAsia="宋体" w:cs="宋体"/>
          <w:b/>
          <w:color w:val="auto"/>
          <w:sz w:val="84"/>
          <w:szCs w:val="84"/>
          <w:highlight w:val="none"/>
        </w:rPr>
        <w:t>温州市政府(分散)采购</w:t>
      </w:r>
    </w:p>
    <w:p>
      <w:pPr>
        <w:spacing w:line="400" w:lineRule="exact"/>
        <w:ind w:firstLine="1885" w:firstLineChars="235"/>
        <w:rPr>
          <w:rFonts w:hint="eastAsia" w:ascii="宋体" w:hAnsi="宋体" w:eastAsia="宋体" w:cs="宋体"/>
          <w:b/>
          <w:color w:val="auto"/>
          <w:spacing w:val="140"/>
          <w:sz w:val="52"/>
          <w:szCs w:val="52"/>
          <w:highlight w:val="none"/>
        </w:rPr>
      </w:pPr>
    </w:p>
    <w:p>
      <w:pPr>
        <w:spacing w:line="400" w:lineRule="exact"/>
        <w:rPr>
          <w:rFonts w:hint="eastAsia" w:ascii="宋体" w:hAnsi="宋体" w:eastAsia="宋体" w:cs="宋体"/>
          <w:b/>
          <w:color w:val="auto"/>
          <w:spacing w:val="140"/>
          <w:sz w:val="52"/>
          <w:szCs w:val="52"/>
          <w:highlight w:val="none"/>
        </w:rPr>
      </w:pPr>
    </w:p>
    <w:p>
      <w:pPr>
        <w:spacing w:line="360" w:lineRule="auto"/>
        <w:jc w:val="center"/>
        <w:rPr>
          <w:rFonts w:hint="eastAsia" w:ascii="宋体" w:hAnsi="宋体" w:eastAsia="宋体" w:cs="宋体"/>
          <w:b/>
          <w:color w:val="auto"/>
          <w:spacing w:val="140"/>
          <w:sz w:val="52"/>
          <w:szCs w:val="52"/>
          <w:highlight w:val="none"/>
        </w:rPr>
      </w:pPr>
      <w:r>
        <w:rPr>
          <w:rFonts w:hint="eastAsia" w:ascii="宋体" w:hAnsi="宋体" w:eastAsia="宋体" w:cs="宋体"/>
          <w:b/>
          <w:color w:val="auto"/>
          <w:spacing w:val="140"/>
          <w:sz w:val="52"/>
          <w:szCs w:val="52"/>
          <w:highlight w:val="none"/>
        </w:rPr>
        <w:t>招标文件</w:t>
      </w:r>
    </w:p>
    <w:p>
      <w:pPr>
        <w:widowControl/>
        <w:spacing w:line="360" w:lineRule="auto"/>
        <w:ind w:right="-2"/>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（线上电子招投标）</w:t>
      </w:r>
    </w:p>
    <w:p>
      <w:pPr>
        <w:spacing w:line="400" w:lineRule="exact"/>
        <w:rPr>
          <w:rFonts w:hint="eastAsia" w:ascii="宋体" w:hAnsi="宋体" w:eastAsia="宋体" w:cs="宋体"/>
          <w:b/>
          <w:color w:val="auto"/>
          <w:sz w:val="24"/>
          <w:highlight w:val="none"/>
        </w:rPr>
      </w:pPr>
    </w:p>
    <w:p>
      <w:pPr>
        <w:pStyle w:val="12"/>
        <w:rPr>
          <w:rFonts w:hint="eastAsia" w:ascii="宋体" w:hAnsi="宋体" w:eastAsia="宋体" w:cs="宋体"/>
          <w:color w:val="auto"/>
          <w:highlight w:val="none"/>
        </w:rPr>
      </w:pPr>
    </w:p>
    <w:p>
      <w:pPr>
        <w:spacing w:line="400" w:lineRule="exact"/>
        <w:ind w:firstLine="1140" w:firstLineChars="300"/>
        <w:rPr>
          <w:rFonts w:hint="eastAsia" w:ascii="宋体" w:hAnsi="宋体" w:eastAsia="宋体" w:cs="宋体"/>
          <w:color w:val="auto"/>
          <w:spacing w:val="40"/>
          <w:sz w:val="30"/>
          <w:highlight w:val="none"/>
        </w:rPr>
      </w:pPr>
    </w:p>
    <w:p>
      <w:pPr>
        <w:spacing w:line="360" w:lineRule="auto"/>
        <w:ind w:firstLine="2100" w:firstLineChars="700"/>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rPr>
        <w:t>项目编号：</w:t>
      </w:r>
      <w:r>
        <w:rPr>
          <w:rFonts w:hint="eastAsia" w:ascii="宋体" w:hAnsi="宋体" w:eastAsia="宋体" w:cs="宋体"/>
          <w:color w:val="auto"/>
          <w:sz w:val="30"/>
          <w:highlight w:val="none"/>
          <w:lang w:eastAsia="zh-CN"/>
        </w:rPr>
        <w:t>ZJYC2021192(GK)</w:t>
      </w:r>
    </w:p>
    <w:p>
      <w:pPr>
        <w:spacing w:line="360" w:lineRule="auto"/>
        <w:ind w:left="3600" w:leftChars="1000" w:hanging="1500" w:hangingChars="500"/>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rPr>
        <w:t>招标项目：</w:t>
      </w:r>
      <w:r>
        <w:rPr>
          <w:rFonts w:hint="eastAsia" w:ascii="宋体" w:hAnsi="宋体" w:eastAsia="宋体" w:cs="宋体"/>
          <w:color w:val="auto"/>
          <w:sz w:val="30"/>
          <w:highlight w:val="none"/>
          <w:lang w:eastAsia="zh-CN"/>
        </w:rPr>
        <w:t>生物技术硕士研究生培养专业设备</w:t>
      </w:r>
    </w:p>
    <w:p>
      <w:pPr>
        <w:pStyle w:val="24"/>
        <w:spacing w:before="0" w:beforeAutospacing="0" w:after="0" w:afterAutospacing="0" w:line="360" w:lineRule="auto"/>
        <w:ind w:firstLine="2100" w:firstLineChars="700"/>
        <w:jc w:val="both"/>
        <w:rPr>
          <w:rFonts w:hint="eastAsia" w:ascii="宋体" w:hAnsi="宋体" w:eastAsia="宋体" w:cs="宋体"/>
          <w:color w:val="auto"/>
          <w:sz w:val="22"/>
          <w:highlight w:val="none"/>
        </w:rPr>
      </w:pPr>
      <w:r>
        <w:rPr>
          <w:rFonts w:hint="eastAsia" w:ascii="宋体" w:hAnsi="宋体" w:eastAsia="宋体" w:cs="宋体"/>
          <w:color w:val="auto"/>
          <w:sz w:val="30"/>
          <w:highlight w:val="none"/>
        </w:rPr>
        <w:t>招标方式：公 开 招 标</w:t>
      </w:r>
    </w:p>
    <w:p>
      <w:pPr>
        <w:spacing w:line="360" w:lineRule="auto"/>
        <w:ind w:firstLine="1140" w:firstLineChars="300"/>
        <w:rPr>
          <w:rFonts w:hint="eastAsia" w:ascii="宋体" w:hAnsi="宋体" w:eastAsia="宋体" w:cs="宋体"/>
          <w:color w:val="auto"/>
          <w:spacing w:val="40"/>
          <w:sz w:val="30"/>
          <w:highlight w:val="none"/>
        </w:rPr>
      </w:pP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kern w:val="0"/>
          <w:sz w:val="30"/>
          <w:highlight w:val="none"/>
        </w:rPr>
      </w:pPr>
      <w:r>
        <w:rPr>
          <w:rFonts w:hint="eastAsia" w:ascii="宋体" w:hAnsi="宋体" w:eastAsia="宋体" w:cs="宋体"/>
          <w:color w:val="auto"/>
          <w:kern w:val="0"/>
          <w:sz w:val="30"/>
          <w:highlight w:val="none"/>
        </w:rPr>
        <w:t>采购人：温州肯恩大学</w:t>
      </w:r>
    </w:p>
    <w:p>
      <w:pPr>
        <w:spacing w:line="360" w:lineRule="auto"/>
        <w:jc w:val="center"/>
        <w:rPr>
          <w:rFonts w:hint="eastAsia" w:ascii="宋体" w:hAnsi="宋体" w:eastAsia="宋体" w:cs="宋体"/>
          <w:color w:val="auto"/>
          <w:spacing w:val="40"/>
          <w:sz w:val="24"/>
          <w:szCs w:val="24"/>
          <w:highlight w:val="none"/>
        </w:rPr>
      </w:pPr>
      <w:r>
        <w:rPr>
          <w:rFonts w:hint="eastAsia" w:ascii="宋体" w:hAnsi="宋体" w:eastAsia="宋体" w:cs="宋体"/>
          <w:color w:val="auto"/>
          <w:kern w:val="0"/>
          <w:sz w:val="30"/>
          <w:highlight w:val="none"/>
        </w:rPr>
        <w:t>采购代理机构：浙江乐诚工程咨询有限公司</w:t>
      </w:r>
    </w:p>
    <w:p>
      <w:pPr>
        <w:spacing w:line="360" w:lineRule="auto"/>
        <w:rPr>
          <w:rFonts w:hint="eastAsia" w:ascii="宋体" w:hAnsi="宋体" w:eastAsia="宋体" w:cs="宋体"/>
          <w:color w:val="auto"/>
          <w:spacing w:val="40"/>
          <w:sz w:val="28"/>
          <w:highlight w:val="none"/>
        </w:rPr>
      </w:pPr>
    </w:p>
    <w:p>
      <w:pPr>
        <w:pStyle w:val="12"/>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pacing w:val="40"/>
          <w:sz w:val="28"/>
          <w:highlight w:val="none"/>
        </w:rPr>
      </w:pPr>
      <w:r>
        <w:rPr>
          <w:rFonts w:hint="eastAsia" w:ascii="宋体" w:hAnsi="宋体" w:eastAsia="宋体" w:cs="宋体"/>
          <w:color w:val="auto"/>
          <w:spacing w:val="40"/>
          <w:sz w:val="28"/>
          <w:highlight w:val="none"/>
        </w:rPr>
        <w:t>二0二一年</w:t>
      </w:r>
    </w:p>
    <w:p>
      <w:pPr>
        <w:spacing w:line="400" w:lineRule="exact"/>
        <w:jc w:val="center"/>
        <w:rPr>
          <w:rFonts w:hint="eastAsia" w:ascii="宋体" w:hAnsi="宋体" w:eastAsia="宋体" w:cs="宋体"/>
          <w:b/>
          <w:color w:val="auto"/>
          <w:sz w:val="32"/>
          <w:szCs w:val="32"/>
          <w:highlight w:val="none"/>
        </w:rPr>
      </w:pPr>
    </w:p>
    <w:p>
      <w:pPr>
        <w:pStyle w:val="12"/>
        <w:ind w:left="643" w:hanging="643"/>
        <w:rPr>
          <w:rFonts w:hint="eastAsia" w:ascii="宋体" w:hAnsi="宋体" w:eastAsia="宋体" w:cs="宋体"/>
          <w:b/>
          <w:color w:val="auto"/>
          <w:sz w:val="32"/>
          <w:szCs w:val="32"/>
          <w:highlight w:val="none"/>
        </w:rPr>
      </w:pPr>
    </w:p>
    <w:p>
      <w:pPr>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 录</w:t>
      </w:r>
    </w:p>
    <w:p>
      <w:pPr>
        <w:spacing w:line="400" w:lineRule="exact"/>
        <w:rPr>
          <w:rFonts w:hint="eastAsia" w:ascii="宋体" w:hAnsi="宋体" w:eastAsia="宋体" w:cs="宋体"/>
          <w:color w:val="auto"/>
          <w:highlight w:val="none"/>
        </w:rPr>
      </w:pPr>
    </w:p>
    <w:p>
      <w:pPr>
        <w:snapToGrid w:val="0"/>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第一部分  投标邀请书           ……………………………………………………………………3</w:t>
      </w:r>
    </w:p>
    <w:p>
      <w:pPr>
        <w:spacing w:line="400" w:lineRule="exact"/>
        <w:ind w:left="1100" w:hanging="1100" w:hangingChars="500"/>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第二部分  投标人须知           ……………………………………………………………………</w:t>
      </w:r>
      <w:r>
        <w:rPr>
          <w:rFonts w:hint="eastAsia" w:ascii="宋体" w:hAnsi="宋体" w:cs="宋体"/>
          <w:color w:val="auto"/>
          <w:sz w:val="22"/>
          <w:highlight w:val="none"/>
          <w:lang w:val="en-US" w:eastAsia="zh-CN"/>
        </w:rPr>
        <w:t>7</w:t>
      </w:r>
    </w:p>
    <w:p>
      <w:pPr>
        <w:spacing w:line="400" w:lineRule="exact"/>
        <w:ind w:left="1100" w:hanging="1100" w:hangingChars="500"/>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 xml:space="preserve">          投标人须知前附表     ……………………………………………………………………</w:t>
      </w:r>
      <w:r>
        <w:rPr>
          <w:rFonts w:hint="eastAsia" w:ascii="宋体" w:hAnsi="宋体" w:cs="宋体"/>
          <w:color w:val="auto"/>
          <w:sz w:val="22"/>
          <w:highlight w:val="none"/>
          <w:lang w:val="en-US" w:eastAsia="zh-CN"/>
        </w:rPr>
        <w:t>7</w:t>
      </w:r>
    </w:p>
    <w:p>
      <w:pPr>
        <w:spacing w:line="400" w:lineRule="exact"/>
        <w:ind w:firstLine="1100" w:firstLineChars="500"/>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rPr>
        <w:t>一.说 明             ……………………………………………………………………</w:t>
      </w:r>
      <w:r>
        <w:rPr>
          <w:rFonts w:hint="eastAsia" w:ascii="宋体" w:hAnsi="宋体" w:cs="宋体"/>
          <w:color w:val="auto"/>
          <w:sz w:val="22"/>
          <w:highlight w:val="none"/>
          <w:lang w:val="en-US" w:eastAsia="zh-CN"/>
        </w:rPr>
        <w:t>10</w:t>
      </w:r>
    </w:p>
    <w:p>
      <w:pPr>
        <w:spacing w:line="400" w:lineRule="exac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 xml:space="preserve">          二.招标文件          ……………………………………………………………………1</w:t>
      </w:r>
      <w:r>
        <w:rPr>
          <w:rFonts w:hint="eastAsia" w:ascii="宋体" w:hAnsi="宋体" w:cs="宋体"/>
          <w:color w:val="auto"/>
          <w:sz w:val="22"/>
          <w:highlight w:val="none"/>
          <w:lang w:val="en-US" w:eastAsia="zh-CN"/>
        </w:rPr>
        <w:t>1</w:t>
      </w:r>
    </w:p>
    <w:p>
      <w:pPr>
        <w:spacing w:line="400" w:lineRule="exac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 xml:space="preserve">          三.投标文件的编制    ……………………………………………………………………1</w:t>
      </w:r>
      <w:r>
        <w:rPr>
          <w:rFonts w:hint="eastAsia" w:ascii="宋体" w:hAnsi="宋体" w:cs="宋体"/>
          <w:color w:val="auto"/>
          <w:sz w:val="22"/>
          <w:highlight w:val="none"/>
          <w:lang w:val="en-US" w:eastAsia="zh-CN"/>
        </w:rPr>
        <w:t>2</w:t>
      </w:r>
    </w:p>
    <w:p>
      <w:pPr>
        <w:spacing w:line="400" w:lineRule="exac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 xml:space="preserve">          四.投标文件的递交    ……………………………………………………………………1</w:t>
      </w:r>
      <w:r>
        <w:rPr>
          <w:rFonts w:hint="eastAsia" w:ascii="宋体" w:hAnsi="宋体" w:cs="宋体"/>
          <w:color w:val="auto"/>
          <w:sz w:val="22"/>
          <w:highlight w:val="none"/>
          <w:lang w:val="en-US" w:eastAsia="zh-CN"/>
        </w:rPr>
        <w:t>4</w:t>
      </w:r>
    </w:p>
    <w:p>
      <w:pPr>
        <w:spacing w:line="400" w:lineRule="exac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 xml:space="preserve">          五.开标和评标        ……………………………………………………………………1</w:t>
      </w:r>
      <w:r>
        <w:rPr>
          <w:rFonts w:hint="eastAsia" w:ascii="宋体" w:hAnsi="宋体" w:cs="宋体"/>
          <w:color w:val="auto"/>
          <w:sz w:val="22"/>
          <w:highlight w:val="none"/>
          <w:lang w:val="en-US" w:eastAsia="zh-CN"/>
        </w:rPr>
        <w:t>5</w:t>
      </w:r>
    </w:p>
    <w:p>
      <w:pPr>
        <w:spacing w:line="400" w:lineRule="exact"/>
        <w:jc w:val="lef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 xml:space="preserve">          六.授予合同          ……………………………………………………………………1</w:t>
      </w:r>
      <w:r>
        <w:rPr>
          <w:rFonts w:hint="eastAsia" w:ascii="宋体" w:hAnsi="宋体" w:cs="宋体"/>
          <w:color w:val="auto"/>
          <w:sz w:val="22"/>
          <w:highlight w:val="none"/>
          <w:lang w:val="en-US" w:eastAsia="zh-CN"/>
        </w:rPr>
        <w:t>9</w:t>
      </w:r>
    </w:p>
    <w:p>
      <w:pPr>
        <w:spacing w:line="400" w:lineRule="exact"/>
        <w:ind w:firstLine="1100" w:firstLineChars="500"/>
        <w:jc w:val="lef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七.可中止电子交易活动的情形……………………………………………………………</w:t>
      </w:r>
      <w:r>
        <w:rPr>
          <w:rFonts w:hint="eastAsia" w:ascii="宋体" w:hAnsi="宋体" w:cs="宋体"/>
          <w:color w:val="auto"/>
          <w:sz w:val="22"/>
          <w:highlight w:val="none"/>
          <w:lang w:val="en-US" w:eastAsia="zh-CN"/>
        </w:rPr>
        <w:t>20</w:t>
      </w:r>
    </w:p>
    <w:p>
      <w:pPr>
        <w:spacing w:line="400" w:lineRule="exact"/>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rPr>
        <w:t>第三部分  拟签订的合同文本     ……………………………………………………………………</w:t>
      </w:r>
      <w:r>
        <w:rPr>
          <w:rFonts w:hint="eastAsia" w:ascii="宋体" w:hAnsi="宋体" w:cs="宋体"/>
          <w:color w:val="auto"/>
          <w:sz w:val="22"/>
          <w:highlight w:val="none"/>
          <w:lang w:val="en-US" w:eastAsia="zh-CN"/>
        </w:rPr>
        <w:t>21</w:t>
      </w:r>
    </w:p>
    <w:p>
      <w:pPr>
        <w:spacing w:line="400" w:lineRule="exact"/>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rPr>
        <w:t>第四部分  附件                 ……………………………………………………………………</w:t>
      </w:r>
      <w:bookmarkStart w:id="28" w:name="_GoBack"/>
      <w:bookmarkEnd w:id="28"/>
      <w:r>
        <w:rPr>
          <w:rFonts w:hint="eastAsia" w:ascii="宋体" w:hAnsi="宋体" w:cs="宋体"/>
          <w:color w:val="auto"/>
          <w:sz w:val="22"/>
          <w:highlight w:val="none"/>
          <w:lang w:val="en-US" w:eastAsia="zh-CN"/>
        </w:rPr>
        <w:t>26</w:t>
      </w:r>
    </w:p>
    <w:p>
      <w:pPr>
        <w:spacing w:line="400" w:lineRule="exac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第五部分  采购需求             ……………………………………………………………………4</w:t>
      </w:r>
      <w:r>
        <w:rPr>
          <w:rFonts w:hint="eastAsia" w:ascii="宋体" w:hAnsi="宋体" w:cs="宋体"/>
          <w:color w:val="auto"/>
          <w:sz w:val="22"/>
          <w:highlight w:val="none"/>
          <w:lang w:val="en-US" w:eastAsia="zh-CN"/>
        </w:rPr>
        <w:t>8</w:t>
      </w:r>
    </w:p>
    <w:p>
      <w:pPr>
        <w:spacing w:line="400" w:lineRule="exact"/>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rPr>
        <w:t>第六部分  评标原则及方法       ……………………………………………………………………</w:t>
      </w:r>
      <w:r>
        <w:rPr>
          <w:rFonts w:hint="eastAsia" w:ascii="宋体" w:hAnsi="宋体" w:cs="宋体"/>
          <w:color w:val="auto"/>
          <w:sz w:val="22"/>
          <w:highlight w:val="none"/>
          <w:lang w:val="en-US" w:eastAsia="zh-CN"/>
        </w:rPr>
        <w:t>78</w:t>
      </w:r>
    </w:p>
    <w:p>
      <w:pPr>
        <w:spacing w:line="400" w:lineRule="exact"/>
        <w:rPr>
          <w:rFonts w:hint="eastAsia" w:ascii="宋体" w:hAnsi="宋体" w:eastAsia="宋体" w:cs="宋体"/>
          <w:b/>
          <w:color w:val="auto"/>
          <w:sz w:val="22"/>
          <w:highlight w:val="none"/>
        </w:rPr>
      </w:pPr>
    </w:p>
    <w:p>
      <w:pPr>
        <w:spacing w:line="400" w:lineRule="exact"/>
        <w:rPr>
          <w:rFonts w:hint="eastAsia" w:ascii="宋体" w:hAnsi="宋体" w:eastAsia="宋体" w:cs="宋体"/>
          <w:color w:val="auto"/>
          <w:sz w:val="22"/>
          <w:highlight w:val="none"/>
        </w:rPr>
      </w:pPr>
      <w:r>
        <w:rPr>
          <w:rFonts w:hint="eastAsia" w:ascii="宋体" w:hAnsi="宋体" w:eastAsia="宋体" w:cs="宋体"/>
          <w:b/>
          <w:color w:val="auto"/>
          <w:sz w:val="24"/>
          <w:highlight w:val="none"/>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pPr>
        <w:spacing w:line="400" w:lineRule="exact"/>
        <w:rPr>
          <w:rFonts w:hint="eastAsia" w:ascii="宋体" w:hAnsi="宋体" w:eastAsia="宋体" w:cs="宋体"/>
          <w:color w:val="auto"/>
          <w:sz w:val="22"/>
          <w:highlight w:val="none"/>
        </w:rPr>
      </w:pPr>
    </w:p>
    <w:p>
      <w:pPr>
        <w:spacing w:line="400" w:lineRule="exact"/>
        <w:rPr>
          <w:rFonts w:hint="eastAsia" w:ascii="宋体" w:hAnsi="宋体" w:eastAsia="宋体" w:cs="宋体"/>
          <w:b/>
          <w:color w:val="auto"/>
          <w:sz w:val="32"/>
          <w:highlight w:val="none"/>
        </w:rPr>
      </w:pPr>
    </w:p>
    <w:p>
      <w:pPr>
        <w:spacing w:line="400" w:lineRule="exact"/>
        <w:rPr>
          <w:rFonts w:hint="eastAsia" w:ascii="宋体" w:hAnsi="宋体" w:eastAsia="宋体" w:cs="宋体"/>
          <w:b/>
          <w:color w:val="auto"/>
          <w:sz w:val="32"/>
          <w:highlight w:val="none"/>
        </w:rPr>
      </w:pP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b/>
          <w:color w:val="auto"/>
          <w:sz w:val="48"/>
          <w:highlight w:val="none"/>
        </w:rPr>
      </w:pPr>
    </w:p>
    <w:p>
      <w:pPr>
        <w:spacing w:line="400" w:lineRule="exact"/>
        <w:rPr>
          <w:rFonts w:hint="eastAsia" w:ascii="宋体" w:hAnsi="宋体" w:eastAsia="宋体" w:cs="宋体"/>
          <w:b/>
          <w:color w:val="auto"/>
          <w:sz w:val="48"/>
          <w:highlight w:val="none"/>
        </w:rPr>
      </w:pPr>
    </w:p>
    <w:p>
      <w:pPr>
        <w:spacing w:line="400" w:lineRule="exact"/>
        <w:rPr>
          <w:rFonts w:hint="eastAsia" w:ascii="宋体" w:hAnsi="宋体" w:eastAsia="宋体" w:cs="宋体"/>
          <w:b/>
          <w:color w:val="auto"/>
          <w:sz w:val="48"/>
          <w:highlight w:val="none"/>
        </w:rPr>
      </w:pPr>
    </w:p>
    <w:p>
      <w:pPr>
        <w:spacing w:line="400" w:lineRule="exact"/>
        <w:rPr>
          <w:rFonts w:hint="eastAsia" w:ascii="宋体" w:hAnsi="宋体" w:eastAsia="宋体" w:cs="宋体"/>
          <w:b/>
          <w:color w:val="auto"/>
          <w:sz w:val="48"/>
          <w:highlight w:val="none"/>
        </w:rPr>
      </w:pPr>
    </w:p>
    <w:p>
      <w:pPr>
        <w:pStyle w:val="14"/>
        <w:ind w:left="0" w:leftChars="0" w:right="1470"/>
        <w:rPr>
          <w:rFonts w:hint="eastAsia" w:ascii="宋体" w:hAnsi="宋体" w:eastAsia="宋体" w:cs="宋体"/>
          <w:b/>
          <w:color w:val="auto"/>
          <w:sz w:val="48"/>
          <w:highlight w:val="none"/>
        </w:rPr>
      </w:pPr>
    </w:p>
    <w:p>
      <w:pPr>
        <w:pStyle w:val="14"/>
        <w:ind w:left="0" w:leftChars="0" w:right="1470"/>
        <w:rPr>
          <w:rFonts w:hint="eastAsia" w:ascii="宋体" w:hAnsi="宋体" w:eastAsia="宋体" w:cs="宋体"/>
          <w:b/>
          <w:color w:val="auto"/>
          <w:sz w:val="48"/>
          <w:highlight w:val="none"/>
        </w:rPr>
      </w:pPr>
    </w:p>
    <w:p>
      <w:pPr>
        <w:pStyle w:val="14"/>
        <w:ind w:left="0" w:leftChars="0" w:right="1470"/>
        <w:rPr>
          <w:rFonts w:hint="eastAsia" w:ascii="宋体" w:hAnsi="宋体" w:eastAsia="宋体" w:cs="宋体"/>
          <w:b/>
          <w:color w:val="auto"/>
          <w:sz w:val="48"/>
          <w:highlight w:val="none"/>
        </w:rPr>
      </w:pPr>
    </w:p>
    <w:p>
      <w:pPr>
        <w:pStyle w:val="14"/>
        <w:ind w:left="0" w:leftChars="0" w:right="1470"/>
        <w:rPr>
          <w:rFonts w:hint="eastAsia" w:ascii="宋体" w:hAnsi="宋体" w:eastAsia="宋体" w:cs="宋体"/>
          <w:b/>
          <w:color w:val="auto"/>
          <w:sz w:val="28"/>
          <w:szCs w:val="28"/>
          <w:highlight w:val="none"/>
        </w:rPr>
      </w:pPr>
    </w:p>
    <w:p>
      <w:pPr>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第一部分 投标邀请书</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项目概况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生物技术硕士研究生培养专业设备招标项目的潜在投标人应在</w:t>
      </w:r>
      <w:r>
        <w:rPr>
          <w:rFonts w:hint="eastAsia" w:ascii="宋体" w:hAnsi="宋体" w:eastAsia="宋体" w:cs="宋体"/>
          <w:i w:val="0"/>
          <w:iCs w:val="0"/>
          <w:caps w:val="0"/>
          <w:color w:val="000000"/>
          <w:spacing w:val="0"/>
          <w:sz w:val="22"/>
          <w:szCs w:val="22"/>
          <w:u w:val="none"/>
        </w:rPr>
        <w:t>政府采购云平台（https://login.zcygov.cn）</w:t>
      </w:r>
      <w:r>
        <w:rPr>
          <w:rFonts w:hint="eastAsia" w:ascii="宋体" w:hAnsi="宋体" w:eastAsia="宋体" w:cs="宋体"/>
          <w:i w:val="0"/>
          <w:iCs w:val="0"/>
          <w:caps w:val="0"/>
          <w:color w:val="000000"/>
          <w:spacing w:val="0"/>
          <w:sz w:val="22"/>
          <w:szCs w:val="22"/>
        </w:rPr>
        <w:t>获取（下载）招标文件，并于 2021年10月22日 09:30（北京时间）前递交（上传）投标文件。</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0"/>
          <w:rFonts w:hint="eastAsia" w:ascii="宋体" w:hAnsi="宋体" w:eastAsia="宋体" w:cs="宋体"/>
          <w:i w:val="0"/>
          <w:iCs w:val="0"/>
          <w:caps w:val="0"/>
          <w:color w:val="000000"/>
          <w:spacing w:val="0"/>
          <w:sz w:val="22"/>
          <w:szCs w:val="22"/>
        </w:rPr>
        <w:t>一、项目基本情况</w:t>
      </w:r>
      <w:r>
        <w:rPr>
          <w:rFonts w:hint="eastAsia" w:ascii="宋体" w:hAnsi="宋体" w:eastAsia="宋体" w:cs="宋体"/>
          <w:i w:val="0"/>
          <w:iCs w:val="0"/>
          <w:caps w:val="0"/>
          <w:color w:val="000000"/>
          <w:spacing w:val="0"/>
          <w:sz w:val="22"/>
          <w:szCs w:val="22"/>
        </w:rPr>
        <w:t>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项目编号：ZJYC2021192(GK)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项目名称：生物技术硕士研究生培养专业设备</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预算金额（元）：7350000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最高限价（元）：2800000,3000000,550000,600000,320000,80000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采购需求：</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标项一</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标项名称: 激光共聚焦显微镜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数量: 1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预算金额（元）: 2800000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简要规格描述或项目基本概况介绍、用途：详见招标文件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备注：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标项二</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标项名称: 液质联用仪（质谱仪）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数量: 1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预算金额（元）: 3000000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简要规格描述或项目基本概况介绍、用途：详见招标文件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备注：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标项三</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标项名称: 超高速冷冻离心机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数量: 1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预算金额（元）: 550000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简要规格描述或项目基本概况介绍、用途：详见招标文件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备注：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标项四</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标项名称: 蛋白纯化系统-FPLC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数量: 1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预算金额（元）: 600000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简要规格描述或项目基本概况介绍、用途：详见招标文件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备注：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标项五</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标项名称: 多功能微孔板读数仪(酶标仪)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数量: 1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预算金额（元）: 320000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简要规格描述或项目基本概况介绍、用途：详见招标文件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备注：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标项六</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标项名称: 气象站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数量: 1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预算金额（元）: 80000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简要规格描述或项目基本概况介绍、用途：详见招标文件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备注：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合同履约期限：标项 1、2、3、4、5、6，详见招标文件</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本项目（否）接受联合体投标。</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Style w:val="30"/>
          <w:rFonts w:hint="eastAsia" w:ascii="宋体" w:hAnsi="宋体" w:eastAsia="宋体" w:cs="宋体"/>
          <w:i w:val="0"/>
          <w:iCs w:val="0"/>
          <w:caps w:val="0"/>
          <w:color w:val="000000"/>
          <w:spacing w:val="0"/>
          <w:sz w:val="22"/>
          <w:szCs w:val="22"/>
        </w:rPr>
        <w:t>二、申请人的资格要求：</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2.落实政府采购政策需满足的资格要求：无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3.本项目的特定资格要求：无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0"/>
          <w:rFonts w:hint="eastAsia" w:ascii="宋体" w:hAnsi="宋体" w:eastAsia="宋体" w:cs="宋体"/>
          <w:i w:val="0"/>
          <w:iCs w:val="0"/>
          <w:caps w:val="0"/>
          <w:color w:val="000000"/>
          <w:spacing w:val="0"/>
          <w:sz w:val="22"/>
          <w:szCs w:val="22"/>
        </w:rPr>
        <w:t>三、获取招标文件</w:t>
      </w:r>
      <w:r>
        <w:rPr>
          <w:rFonts w:hint="eastAsia" w:ascii="宋体" w:hAnsi="宋体" w:eastAsia="宋体" w:cs="宋体"/>
          <w:i w:val="0"/>
          <w:iCs w:val="0"/>
          <w:caps w:val="0"/>
          <w:color w:val="000000"/>
          <w:spacing w:val="0"/>
          <w:sz w:val="22"/>
          <w:szCs w:val="22"/>
        </w:rPr>
        <w:t>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r>
        <w:rPr>
          <w:rFonts w:hint="eastAsia" w:ascii="宋体" w:hAnsi="宋体" w:eastAsia="宋体" w:cs="宋体"/>
          <w:i w:val="0"/>
          <w:iCs w:val="0"/>
          <w:caps w:val="0"/>
          <w:color w:val="000000"/>
          <w:spacing w:val="0"/>
          <w:sz w:val="22"/>
          <w:szCs w:val="22"/>
          <w:u w:val="none"/>
        </w:rPr>
        <w:t>时间：2021年10月01日至2021年10月21日 ，每天上午00:00至12:00 ，下午12:00至23:59（北京时间，线上获取法定节假日均可，线下获取文件法定节假日除外）</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地点（网址）：政府采购云平台（https://login.zcygov.cn）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方式：政府采购云平台在线获取：（操作步骤：潜在投标人登陆政府采购云平台，项目采购--获取采购文件菜单，点击【申请获取采购文件】，填写获取采购文件的申请信息，提交后点击【下载采购文件】即可获取招标文件）（公告规定的招标文件获取方式为依法获取招标文件的方式，未按照公告规定的方式获取招标文件的，不得对招标文件提起质疑、投诉。）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售价（元）：0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0"/>
          <w:rFonts w:hint="eastAsia" w:ascii="宋体" w:hAnsi="宋体" w:eastAsia="宋体" w:cs="宋体"/>
          <w:i w:val="0"/>
          <w:iCs w:val="0"/>
          <w:caps w:val="0"/>
          <w:color w:val="000000"/>
          <w:spacing w:val="0"/>
          <w:sz w:val="22"/>
          <w:szCs w:val="22"/>
        </w:rPr>
        <w:t>四、提交投标文件截止时间、开标时间和地点</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r>
        <w:rPr>
          <w:rFonts w:hint="eastAsia" w:ascii="宋体" w:hAnsi="宋体" w:eastAsia="宋体" w:cs="宋体"/>
          <w:i w:val="0"/>
          <w:iCs w:val="0"/>
          <w:caps w:val="0"/>
          <w:color w:val="000000"/>
          <w:spacing w:val="0"/>
          <w:sz w:val="22"/>
          <w:szCs w:val="22"/>
          <w:u w:val="none"/>
        </w:rPr>
        <w:t> 提交投标文件截止时间：2021年10月22日 09:30（北京时间）</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r>
        <w:rPr>
          <w:rFonts w:hint="eastAsia" w:ascii="宋体" w:hAnsi="宋体" w:eastAsia="宋体" w:cs="宋体"/>
          <w:i w:val="0"/>
          <w:iCs w:val="0"/>
          <w:caps w:val="0"/>
          <w:color w:val="000000"/>
          <w:spacing w:val="0"/>
          <w:sz w:val="22"/>
          <w:szCs w:val="22"/>
          <w:u w:val="none"/>
        </w:rPr>
        <w:t> 投标地点（网址）：政府采购云平台（https://login.zcygov.cn）</w:t>
      </w:r>
      <w:r>
        <w:rPr>
          <w:rFonts w:hint="eastAsia" w:ascii="宋体" w:hAnsi="宋体" w:eastAsia="宋体" w:cs="宋体"/>
          <w:i w:val="0"/>
          <w:iCs w:val="0"/>
          <w:caps w:val="0"/>
          <w:color w:val="000000"/>
          <w:spacing w:val="0"/>
          <w:sz w:val="22"/>
          <w:szCs w:val="22"/>
        </w:rPr>
        <w:t>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u w:val="none"/>
        </w:rPr>
        <w:t>    开标时间：2021年10月22日 09:30</w:t>
      </w:r>
      <w:r>
        <w:rPr>
          <w:rFonts w:hint="eastAsia" w:ascii="宋体" w:hAnsi="宋体" w:eastAsia="宋体" w:cs="宋体"/>
          <w:i w:val="0"/>
          <w:iCs w:val="0"/>
          <w:caps w:val="0"/>
          <w:color w:val="000000"/>
          <w:spacing w:val="0"/>
          <w:sz w:val="22"/>
          <w:szCs w:val="22"/>
        </w:rPr>
        <w:t>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u w:val="none"/>
        </w:rPr>
        <w:t>    开标地点（网址）：温州市行政审批与公共资源交易服务管理中心（温州市会展路1268号温州市民中心A座3楼，见当日大厅公示栏)（政府采购云平台（https://login.zcygov.cn））</w:t>
      </w:r>
      <w:r>
        <w:rPr>
          <w:rFonts w:hint="eastAsia" w:ascii="宋体" w:hAnsi="宋体" w:eastAsia="宋体" w:cs="宋体"/>
          <w:i w:val="0"/>
          <w:iCs w:val="0"/>
          <w:caps w:val="0"/>
          <w:color w:val="000000"/>
          <w:spacing w:val="0"/>
          <w:sz w:val="22"/>
          <w:szCs w:val="22"/>
        </w:rPr>
        <w:t>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0"/>
          <w:rFonts w:hint="eastAsia" w:ascii="宋体" w:hAnsi="宋体" w:eastAsia="宋体" w:cs="宋体"/>
          <w:i w:val="0"/>
          <w:iCs w:val="0"/>
          <w:caps w:val="0"/>
          <w:color w:val="000000"/>
          <w:spacing w:val="0"/>
          <w:sz w:val="22"/>
          <w:szCs w:val="22"/>
        </w:rPr>
        <w:t>五、公告期限</w:t>
      </w:r>
      <w:r>
        <w:rPr>
          <w:rFonts w:hint="eastAsia" w:ascii="宋体" w:hAnsi="宋体" w:eastAsia="宋体" w:cs="宋体"/>
          <w:i w:val="0"/>
          <w:iCs w:val="0"/>
          <w:caps w:val="0"/>
          <w:color w:val="000000"/>
          <w:spacing w:val="0"/>
          <w:sz w:val="22"/>
          <w:szCs w:val="22"/>
        </w:rPr>
        <w:t>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自本公告发布之日起5个工作日。</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0"/>
          <w:rFonts w:hint="eastAsia" w:ascii="宋体" w:hAnsi="宋体" w:eastAsia="宋体" w:cs="宋体"/>
          <w:i w:val="0"/>
          <w:iCs w:val="0"/>
          <w:caps w:val="0"/>
          <w:color w:val="000000"/>
          <w:spacing w:val="0"/>
          <w:sz w:val="22"/>
          <w:szCs w:val="22"/>
        </w:rPr>
        <w:t>六、其他补充事宜</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1.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2.提交方式：质疑函范本、投诉书范本请到浙江政府采购网下载专区下载。供应商可在政采云系统--项目采购--询问质疑投诉中在线提交质疑，如对质疑回复不满，可通过浙江政务服务网--政府采购投诉处理--在线办理向财政部门提起投诉（注意：需在线质疑后才可在线投诉），并电话告知相关采购人、代理机构、财政部门。</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3.其他事项：2.1投标人必须先在政府采购云平台进行登记注册，相关事宜请参照（《供应商网上注册操作指南》“浙江政府采购网首页-办事指南-注册-供应商注册申请”），登录政府采购云平台后台依法进行网上自主下载。2.2本项目实行电子投标，应按照本项目招标文件和政采云平台的要求编制、加密并递交投标文件。投标人在使用系统进行投标的过程中遇到涉及平台使用的任何问题，可致电政采云平台技术支持热线咨询，联系方式：400-881-7190。2.3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zfcg.czt.zj.gov.cn/bidClientTemplate/2019-05-27/12945.html。《CA管理操作指南》：https://service.zcygov.cn/#/knowledges/cm2eqWwBFdiHxlNd_otq/lwV6GXABiyELHE-oVMj3?keyword。2.4投标人通过政采云平台电子投标工具制作投标文件，电子投标工具请投标人自行前往浙江省政府采购网下载并安装，（电子交易客户端下载地址：zfcg.czt.zj.gov.cn/bidClientTemplate/2019-09-24/12975.html），电子投标操作指南详见：“https://edu.zcygov.cn/luban/e-biding”。2.5投标人可通过浙江省“电子交易/不见面开评标”学习专题提前进行专题学习，熟悉操作，避免影响采购活动（https://edu.zcygov.cn/luban/e-biding）。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0"/>
          <w:rFonts w:hint="eastAsia" w:ascii="宋体" w:hAnsi="宋体" w:eastAsia="宋体" w:cs="宋体"/>
          <w:i w:val="0"/>
          <w:iCs w:val="0"/>
          <w:caps w:val="0"/>
          <w:color w:val="000000"/>
          <w:spacing w:val="0"/>
          <w:sz w:val="22"/>
          <w:szCs w:val="22"/>
        </w:rPr>
        <w:t>七、对本次采购提出询问、质疑、投诉，请按以下方式联系</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1.采购人信息</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名    称：温州肯恩大学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地    址：瓯海区丽岙街道大学路88号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传    真：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项目联系人（询问）：刘老师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项目联系方式（询问）：0577-55870553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质疑联系人：李老师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质疑联系方式：0577-55870927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2.采购代理机构信息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名    称：浙江乐诚工程咨询有限公司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地    址：温州大学茶山南校区行政楼509B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传    真：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项目联系人（询问）：王女士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项目联系方式（询问）：0577-86596032、18357703076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质疑联系人：陈素芳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质疑联系方式：15805779720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3.同级政府采购监督管理部门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名    称：温州市财政局政府采购监管处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地    址：温州市鹿城区绣山路299号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传    真：/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联系人 ：胡女士、蔡女士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监督投诉电话：0577-88505289、88521948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22"/>
          <w:szCs w:val="22"/>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22"/>
          <w:szCs w:val="22"/>
          <w:lang w:val="en-US" w:eastAsia="zh-CN" w:bidi="ar"/>
        </w:rPr>
        <w:t>CA问题联系电话（人工）：汇信CA 400-888-4636；天谷CA 400-087-8198。</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2"/>
        </w:rPr>
      </w:pPr>
    </w:p>
    <w:p>
      <w:pPr>
        <w:widowControl/>
        <w:spacing w:line="360" w:lineRule="exact"/>
        <w:ind w:firstLine="440" w:firstLineChars="20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p>
      <w:pPr>
        <w:widowControl/>
        <w:spacing w:line="360" w:lineRule="exact"/>
        <w:jc w:val="left"/>
        <w:rPr>
          <w:rFonts w:hint="eastAsia" w:ascii="宋体" w:hAnsi="宋体" w:eastAsia="宋体" w:cs="宋体"/>
          <w:color w:val="auto"/>
          <w:sz w:val="22"/>
          <w:highlight w:val="none"/>
        </w:rPr>
      </w:pPr>
    </w:p>
    <w:p>
      <w:pPr>
        <w:spacing w:line="400" w:lineRule="exact"/>
        <w:ind w:firstLine="416" w:firstLineChars="200"/>
        <w:jc w:val="right"/>
        <w:rPr>
          <w:rFonts w:hint="eastAsia" w:ascii="宋体" w:hAnsi="宋体" w:eastAsia="宋体" w:cs="宋体"/>
          <w:color w:val="auto"/>
          <w:spacing w:val="-6"/>
          <w:sz w:val="22"/>
          <w:highlight w:val="none"/>
          <w:lang w:val="zh-CN"/>
        </w:rPr>
      </w:pPr>
      <w:r>
        <w:rPr>
          <w:rFonts w:hint="eastAsia" w:ascii="宋体" w:hAnsi="宋体" w:eastAsia="宋体" w:cs="宋体"/>
          <w:color w:val="auto"/>
          <w:spacing w:val="-6"/>
          <w:sz w:val="22"/>
          <w:highlight w:val="none"/>
          <w:lang w:val="zh-CN"/>
        </w:rPr>
        <w:t>温州肯恩大学</w:t>
      </w:r>
    </w:p>
    <w:p>
      <w:pPr>
        <w:spacing w:line="400" w:lineRule="exact"/>
        <w:ind w:firstLine="440" w:firstLineChars="200"/>
        <w:jc w:val="righ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浙江乐诚工程咨询有限公司</w:t>
      </w:r>
    </w:p>
    <w:p>
      <w:pPr>
        <w:spacing w:line="400" w:lineRule="exact"/>
        <w:jc w:val="right"/>
        <w:rPr>
          <w:rFonts w:hint="eastAsia" w:ascii="宋体" w:hAnsi="宋体" w:eastAsia="宋体" w:cs="宋体"/>
          <w:b/>
          <w:color w:val="auto"/>
          <w:sz w:val="22"/>
          <w:highlight w:val="none"/>
          <w:lang w:eastAsia="zh-CN"/>
        </w:rPr>
      </w:pPr>
      <w:r>
        <w:rPr>
          <w:rFonts w:hint="eastAsia" w:ascii="宋体" w:hAnsi="宋体" w:eastAsia="宋体" w:cs="宋体"/>
          <w:color w:val="auto"/>
          <w:kern w:val="0"/>
          <w:sz w:val="22"/>
          <w:highlight w:val="none"/>
          <w:lang w:eastAsia="zh-CN"/>
        </w:rPr>
        <w:t>2021年10月01日</w:t>
      </w:r>
    </w:p>
    <w:p>
      <w:pP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pStyle w:val="12"/>
        <w:ind w:left="643" w:hanging="643"/>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12"/>
        <w:ind w:left="643" w:hanging="643"/>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12"/>
        <w:ind w:left="643" w:hanging="643"/>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12"/>
        <w:ind w:left="643" w:hanging="643"/>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12"/>
        <w:ind w:left="643" w:hanging="643"/>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12"/>
        <w:ind w:left="643" w:hanging="643"/>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12"/>
        <w:ind w:left="643" w:hanging="643"/>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第二部分  投标人须知</w:t>
      </w:r>
    </w:p>
    <w:p>
      <w:pPr>
        <w:spacing w:line="3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投标人须知前附表</w:t>
      </w:r>
    </w:p>
    <w:tbl>
      <w:tblPr>
        <w:tblStyle w:val="27"/>
        <w:tblW w:w="9780" w:type="dxa"/>
        <w:jc w:val="center"/>
        <w:tblLayout w:type="fixed"/>
        <w:tblCellMar>
          <w:top w:w="0" w:type="dxa"/>
          <w:left w:w="108" w:type="dxa"/>
          <w:bottom w:w="0" w:type="dxa"/>
          <w:right w:w="108" w:type="dxa"/>
        </w:tblCellMar>
      </w:tblPr>
      <w:tblGrid>
        <w:gridCol w:w="708"/>
        <w:gridCol w:w="1559"/>
        <w:gridCol w:w="7513"/>
      </w:tblGrid>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条款名称</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编列内容</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采购人</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ind w:right="416"/>
              <w:rPr>
                <w:rFonts w:hint="eastAsia" w:ascii="宋体" w:hAnsi="宋体" w:eastAsia="宋体" w:cs="宋体"/>
                <w:color w:val="auto"/>
                <w:spacing w:val="-6"/>
                <w:sz w:val="22"/>
                <w:highlight w:val="none"/>
                <w:lang w:val="zh-CN"/>
              </w:rPr>
            </w:pPr>
            <w:r>
              <w:rPr>
                <w:rFonts w:hint="eastAsia" w:ascii="宋体" w:hAnsi="宋体" w:eastAsia="宋体" w:cs="宋体"/>
                <w:color w:val="auto"/>
                <w:spacing w:val="-6"/>
                <w:sz w:val="22"/>
                <w:highlight w:val="none"/>
                <w:lang w:val="zh-CN"/>
              </w:rPr>
              <w:t>温州肯恩大学</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采购代理机构</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sz w:val="22"/>
                <w:highlight w:val="none"/>
                <w:lang w:val="zh-CN"/>
              </w:rPr>
              <w:t>浙江乐诚工程咨询有限公司</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项目名称</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sz w:val="22"/>
                <w:highlight w:val="none"/>
                <w:lang w:val="zh-CN"/>
              </w:rPr>
            </w:pPr>
            <w:r>
              <w:rPr>
                <w:rFonts w:hint="eastAsia" w:ascii="宋体" w:hAnsi="宋体" w:eastAsia="宋体" w:cs="宋体"/>
                <w:color w:val="auto"/>
                <w:kern w:val="0"/>
                <w:sz w:val="22"/>
                <w:highlight w:val="none"/>
                <w:lang w:eastAsia="zh-CN"/>
              </w:rPr>
              <w:t>生物技术硕士研究生培养专业设备</w:t>
            </w:r>
            <w:r>
              <w:rPr>
                <w:rFonts w:hint="eastAsia" w:ascii="宋体" w:hAnsi="宋体" w:eastAsia="宋体" w:cs="宋体"/>
                <w:color w:val="auto"/>
                <w:sz w:val="22"/>
                <w:highlight w:val="none"/>
                <w:lang w:val="zh-CN"/>
              </w:rPr>
              <w:t>项目编号：ZJYC2021192(GK)</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预算金额</w:t>
            </w:r>
            <w:r>
              <w:rPr>
                <w:rFonts w:hint="eastAsia" w:ascii="宋体" w:hAnsi="宋体" w:eastAsia="宋体" w:cs="宋体"/>
                <w:color w:val="auto"/>
                <w:kern w:val="0"/>
                <w:sz w:val="22"/>
                <w:highlight w:val="none"/>
              </w:rPr>
              <w:t>及资金来源</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lang w:val="zh-CN"/>
              </w:rPr>
              <w:t>▲标项1：</w:t>
            </w:r>
            <w:r>
              <w:rPr>
                <w:rFonts w:hint="eastAsia" w:ascii="宋体" w:hAnsi="宋体" w:eastAsia="宋体" w:cs="宋体"/>
                <w:color w:val="auto"/>
                <w:kern w:val="0"/>
                <w:sz w:val="22"/>
                <w:highlight w:val="none"/>
                <w:u w:val="single"/>
                <w:lang w:eastAsia="zh-CN"/>
              </w:rPr>
              <w:t>激光共聚焦显微镜</w:t>
            </w:r>
            <w:r>
              <w:rPr>
                <w:rFonts w:hint="eastAsia" w:ascii="宋体" w:hAnsi="宋体" w:eastAsia="宋体" w:cs="宋体"/>
                <w:color w:val="auto"/>
                <w:kern w:val="0"/>
                <w:sz w:val="22"/>
                <w:highlight w:val="none"/>
                <w:u w:val="single"/>
              </w:rPr>
              <w:t xml:space="preserve"> </w:t>
            </w:r>
            <w:r>
              <w:rPr>
                <w:rFonts w:hint="eastAsia" w:ascii="宋体" w:hAnsi="宋体" w:eastAsia="宋体" w:cs="宋体"/>
                <w:color w:val="auto"/>
                <w:sz w:val="22"/>
                <w:highlight w:val="none"/>
                <w:u w:val="single"/>
                <w:lang w:val="zh-CN"/>
              </w:rPr>
              <w:t>预算金额：</w:t>
            </w:r>
            <w:r>
              <w:rPr>
                <w:rFonts w:hint="eastAsia" w:ascii="宋体" w:hAnsi="宋体" w:eastAsia="宋体" w:cs="宋体"/>
                <w:color w:val="auto"/>
                <w:sz w:val="22"/>
                <w:highlight w:val="none"/>
                <w:u w:val="single"/>
              </w:rPr>
              <w:t>2800000</w:t>
            </w:r>
            <w:r>
              <w:rPr>
                <w:rFonts w:hint="eastAsia" w:ascii="宋体" w:hAnsi="宋体" w:eastAsia="宋体" w:cs="宋体"/>
                <w:color w:val="auto"/>
                <w:sz w:val="22"/>
                <w:highlight w:val="none"/>
                <w:u w:val="single"/>
                <w:lang w:val="zh-CN"/>
              </w:rPr>
              <w:t>元，报价超过预算金额的投标无效。</w:t>
            </w:r>
          </w:p>
          <w:p>
            <w:pPr>
              <w:autoSpaceDE w:val="0"/>
              <w:autoSpaceDN w:val="0"/>
              <w:adjustRightInd w:val="0"/>
              <w:spacing w:line="360" w:lineRule="exact"/>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lang w:val="zh-CN"/>
              </w:rPr>
              <w:t>▲标项2：</w:t>
            </w:r>
            <w:r>
              <w:rPr>
                <w:rFonts w:hint="eastAsia" w:ascii="宋体" w:hAnsi="宋体" w:eastAsia="宋体" w:cs="宋体"/>
                <w:color w:val="auto"/>
                <w:kern w:val="0"/>
                <w:sz w:val="22"/>
                <w:highlight w:val="none"/>
                <w:u w:val="single"/>
                <w:lang w:eastAsia="zh-CN"/>
              </w:rPr>
              <w:t>液质联用仪（质谱仪）</w:t>
            </w:r>
            <w:r>
              <w:rPr>
                <w:rFonts w:hint="eastAsia" w:ascii="宋体" w:hAnsi="宋体" w:eastAsia="宋体" w:cs="宋体"/>
                <w:color w:val="auto"/>
                <w:sz w:val="22"/>
                <w:highlight w:val="none"/>
                <w:u w:val="single"/>
                <w:lang w:val="zh-CN"/>
              </w:rPr>
              <w:t>，预算金额：</w:t>
            </w:r>
            <w:r>
              <w:rPr>
                <w:rFonts w:hint="eastAsia" w:ascii="宋体" w:hAnsi="宋体" w:eastAsia="宋体" w:cs="宋体"/>
                <w:bCs/>
                <w:color w:val="auto"/>
                <w:spacing w:val="-6"/>
                <w:sz w:val="22"/>
                <w:highlight w:val="none"/>
                <w:u w:val="single"/>
              </w:rPr>
              <w:t>3000000</w:t>
            </w:r>
            <w:r>
              <w:rPr>
                <w:rFonts w:hint="eastAsia" w:ascii="宋体" w:hAnsi="宋体" w:eastAsia="宋体" w:cs="宋体"/>
                <w:color w:val="auto"/>
                <w:sz w:val="22"/>
                <w:highlight w:val="none"/>
                <w:u w:val="single"/>
                <w:lang w:val="zh-CN"/>
              </w:rPr>
              <w:t>元，报价超过预算金额的投标无效。</w:t>
            </w:r>
          </w:p>
          <w:p>
            <w:pPr>
              <w:autoSpaceDE w:val="0"/>
              <w:autoSpaceDN w:val="0"/>
              <w:adjustRightInd w:val="0"/>
              <w:spacing w:line="360" w:lineRule="exact"/>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lang w:val="zh-CN"/>
              </w:rPr>
              <w:t>▲标项3：</w:t>
            </w:r>
            <w:r>
              <w:rPr>
                <w:rFonts w:hint="eastAsia" w:ascii="宋体" w:hAnsi="宋体" w:eastAsia="宋体" w:cs="宋体"/>
                <w:color w:val="auto"/>
                <w:kern w:val="0"/>
                <w:sz w:val="22"/>
                <w:highlight w:val="none"/>
                <w:u w:val="single"/>
                <w:lang w:eastAsia="zh-CN"/>
              </w:rPr>
              <w:t>超高速冷冻离心机</w:t>
            </w:r>
            <w:r>
              <w:rPr>
                <w:rFonts w:hint="eastAsia" w:ascii="宋体" w:hAnsi="宋体" w:eastAsia="宋体" w:cs="宋体"/>
                <w:color w:val="auto"/>
                <w:sz w:val="22"/>
                <w:highlight w:val="none"/>
                <w:u w:val="single"/>
                <w:lang w:val="zh-CN"/>
              </w:rPr>
              <w:t>，预算金额：</w:t>
            </w:r>
            <w:r>
              <w:rPr>
                <w:rFonts w:hint="eastAsia" w:ascii="宋体" w:hAnsi="宋体" w:eastAsia="宋体" w:cs="宋体"/>
                <w:bCs/>
                <w:color w:val="auto"/>
                <w:spacing w:val="-6"/>
                <w:sz w:val="22"/>
                <w:highlight w:val="none"/>
                <w:u w:val="single"/>
              </w:rPr>
              <w:t>550000</w:t>
            </w:r>
            <w:r>
              <w:rPr>
                <w:rFonts w:hint="eastAsia" w:ascii="宋体" w:hAnsi="宋体" w:eastAsia="宋体" w:cs="宋体"/>
                <w:color w:val="auto"/>
                <w:sz w:val="22"/>
                <w:highlight w:val="none"/>
                <w:u w:val="single"/>
                <w:lang w:val="zh-CN"/>
              </w:rPr>
              <w:t>元，报价超过预算金额的投标无效。</w:t>
            </w:r>
          </w:p>
          <w:p>
            <w:pPr>
              <w:autoSpaceDE w:val="0"/>
              <w:autoSpaceDN w:val="0"/>
              <w:adjustRightInd w:val="0"/>
              <w:spacing w:line="360" w:lineRule="exact"/>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lang w:val="zh-CN"/>
              </w:rPr>
              <w:t>▲标项</w:t>
            </w:r>
            <w:r>
              <w:rPr>
                <w:rFonts w:hint="eastAsia" w:ascii="宋体" w:hAnsi="宋体" w:eastAsia="宋体" w:cs="宋体"/>
                <w:color w:val="auto"/>
                <w:sz w:val="22"/>
                <w:highlight w:val="none"/>
                <w:u w:val="single"/>
              </w:rPr>
              <w:t>4</w:t>
            </w:r>
            <w:r>
              <w:rPr>
                <w:rFonts w:hint="eastAsia" w:ascii="宋体" w:hAnsi="宋体" w:eastAsia="宋体" w:cs="宋体"/>
                <w:color w:val="auto"/>
                <w:sz w:val="22"/>
                <w:highlight w:val="none"/>
                <w:u w:val="single"/>
                <w:lang w:val="zh-CN"/>
              </w:rPr>
              <w:t>：</w:t>
            </w:r>
            <w:r>
              <w:rPr>
                <w:rFonts w:hint="eastAsia" w:ascii="宋体" w:hAnsi="宋体" w:eastAsia="宋体" w:cs="宋体"/>
                <w:bCs/>
                <w:color w:val="auto"/>
                <w:spacing w:val="-6"/>
                <w:sz w:val="22"/>
                <w:highlight w:val="none"/>
                <w:u w:val="single"/>
                <w:lang w:eastAsia="zh-CN"/>
              </w:rPr>
              <w:t>蛋白纯化系统-FPLC</w:t>
            </w:r>
            <w:r>
              <w:rPr>
                <w:rFonts w:hint="eastAsia" w:ascii="宋体" w:hAnsi="宋体" w:eastAsia="宋体" w:cs="宋体"/>
                <w:bCs/>
                <w:color w:val="auto"/>
                <w:spacing w:val="-6"/>
                <w:sz w:val="22"/>
                <w:highlight w:val="none"/>
                <w:u w:val="single"/>
              </w:rPr>
              <w:t>，</w:t>
            </w:r>
            <w:r>
              <w:rPr>
                <w:rFonts w:hint="eastAsia" w:ascii="宋体" w:hAnsi="宋体" w:eastAsia="宋体" w:cs="宋体"/>
                <w:color w:val="auto"/>
                <w:sz w:val="22"/>
                <w:highlight w:val="none"/>
                <w:u w:val="single"/>
                <w:lang w:val="zh-CN"/>
              </w:rPr>
              <w:t>预算金额：</w:t>
            </w:r>
            <w:r>
              <w:rPr>
                <w:rFonts w:hint="eastAsia" w:ascii="宋体" w:hAnsi="宋体" w:eastAsia="宋体" w:cs="宋体"/>
                <w:bCs/>
                <w:color w:val="auto"/>
                <w:kern w:val="0"/>
                <w:sz w:val="22"/>
                <w:highlight w:val="none"/>
                <w:u w:val="single"/>
              </w:rPr>
              <w:t>600000</w:t>
            </w:r>
            <w:r>
              <w:rPr>
                <w:rFonts w:hint="eastAsia" w:ascii="宋体" w:hAnsi="宋体" w:eastAsia="宋体" w:cs="宋体"/>
                <w:color w:val="auto"/>
                <w:sz w:val="22"/>
                <w:highlight w:val="none"/>
                <w:u w:val="single"/>
                <w:lang w:val="zh-CN"/>
              </w:rPr>
              <w:t>元；报价超过对应预算金额的投标无效。</w:t>
            </w:r>
          </w:p>
          <w:p>
            <w:pPr>
              <w:autoSpaceDE w:val="0"/>
              <w:autoSpaceDN w:val="0"/>
              <w:adjustRightInd w:val="0"/>
              <w:spacing w:line="360" w:lineRule="exact"/>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lang w:val="zh-CN"/>
              </w:rPr>
              <w:t>▲标项</w:t>
            </w:r>
            <w:r>
              <w:rPr>
                <w:rFonts w:hint="eastAsia" w:ascii="宋体" w:hAnsi="宋体" w:eastAsia="宋体" w:cs="宋体"/>
                <w:color w:val="auto"/>
                <w:sz w:val="22"/>
                <w:highlight w:val="none"/>
                <w:u w:val="single"/>
              </w:rPr>
              <w:t>5</w:t>
            </w:r>
            <w:r>
              <w:rPr>
                <w:rFonts w:hint="eastAsia" w:ascii="宋体" w:hAnsi="宋体" w:eastAsia="宋体" w:cs="宋体"/>
                <w:color w:val="auto"/>
                <w:sz w:val="22"/>
                <w:highlight w:val="none"/>
                <w:u w:val="single"/>
                <w:lang w:val="zh-CN"/>
              </w:rPr>
              <w:t>：</w:t>
            </w:r>
            <w:r>
              <w:rPr>
                <w:rFonts w:hint="eastAsia" w:ascii="宋体" w:hAnsi="宋体" w:eastAsia="宋体" w:cs="宋体"/>
                <w:bCs/>
                <w:color w:val="auto"/>
                <w:spacing w:val="-6"/>
                <w:sz w:val="22"/>
                <w:highlight w:val="none"/>
                <w:u w:val="single"/>
                <w:lang w:eastAsia="zh-CN"/>
              </w:rPr>
              <w:t>多功能微孔板读数仪（酶标仪）</w:t>
            </w:r>
            <w:r>
              <w:rPr>
                <w:rFonts w:hint="eastAsia" w:ascii="宋体" w:hAnsi="宋体" w:eastAsia="宋体" w:cs="宋体"/>
                <w:bCs/>
                <w:color w:val="auto"/>
                <w:spacing w:val="-6"/>
                <w:sz w:val="22"/>
                <w:highlight w:val="none"/>
                <w:u w:val="single"/>
              </w:rPr>
              <w:t>，</w:t>
            </w:r>
            <w:r>
              <w:rPr>
                <w:rFonts w:hint="eastAsia" w:ascii="宋体" w:hAnsi="宋体" w:eastAsia="宋体" w:cs="宋体"/>
                <w:color w:val="auto"/>
                <w:sz w:val="22"/>
                <w:highlight w:val="none"/>
                <w:u w:val="single"/>
                <w:lang w:val="zh-CN"/>
              </w:rPr>
              <w:t>预算金额：</w:t>
            </w:r>
            <w:r>
              <w:rPr>
                <w:rFonts w:hint="eastAsia" w:ascii="宋体" w:hAnsi="宋体" w:eastAsia="宋体" w:cs="宋体"/>
                <w:bCs/>
                <w:color w:val="auto"/>
                <w:kern w:val="0"/>
                <w:sz w:val="22"/>
                <w:highlight w:val="none"/>
                <w:u w:val="single"/>
              </w:rPr>
              <w:t>320000</w:t>
            </w:r>
            <w:r>
              <w:rPr>
                <w:rFonts w:hint="eastAsia" w:ascii="宋体" w:hAnsi="宋体" w:eastAsia="宋体" w:cs="宋体"/>
                <w:color w:val="auto"/>
                <w:sz w:val="22"/>
                <w:highlight w:val="none"/>
                <w:u w:val="single"/>
                <w:lang w:val="zh-CN"/>
              </w:rPr>
              <w:t>元；报价超过对应预算金额的投标无效。</w:t>
            </w:r>
          </w:p>
          <w:p>
            <w:pPr>
              <w:autoSpaceDE w:val="0"/>
              <w:autoSpaceDN w:val="0"/>
              <w:adjustRightInd w:val="0"/>
              <w:spacing w:line="360" w:lineRule="exact"/>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lang w:val="zh-CN"/>
              </w:rPr>
              <w:t>▲标项</w:t>
            </w:r>
            <w:r>
              <w:rPr>
                <w:rFonts w:hint="eastAsia" w:ascii="宋体" w:hAnsi="宋体" w:eastAsia="宋体" w:cs="宋体"/>
                <w:color w:val="auto"/>
                <w:sz w:val="22"/>
                <w:highlight w:val="none"/>
                <w:u w:val="single"/>
              </w:rPr>
              <w:t>6</w:t>
            </w:r>
            <w:r>
              <w:rPr>
                <w:rFonts w:hint="eastAsia" w:ascii="宋体" w:hAnsi="宋体" w:eastAsia="宋体" w:cs="宋体"/>
                <w:color w:val="auto"/>
                <w:sz w:val="22"/>
                <w:highlight w:val="none"/>
                <w:u w:val="single"/>
                <w:lang w:val="zh-CN"/>
              </w:rPr>
              <w:t>：</w:t>
            </w:r>
            <w:r>
              <w:rPr>
                <w:rFonts w:hint="eastAsia" w:ascii="宋体" w:hAnsi="宋体" w:eastAsia="宋体" w:cs="宋体"/>
                <w:bCs/>
                <w:color w:val="auto"/>
                <w:spacing w:val="-6"/>
                <w:sz w:val="22"/>
                <w:highlight w:val="none"/>
                <w:u w:val="single"/>
                <w:lang w:eastAsia="zh-CN"/>
              </w:rPr>
              <w:t>气象站，</w:t>
            </w:r>
            <w:r>
              <w:rPr>
                <w:rFonts w:hint="eastAsia" w:ascii="宋体" w:hAnsi="宋体" w:eastAsia="宋体" w:cs="宋体"/>
                <w:color w:val="auto"/>
                <w:sz w:val="22"/>
                <w:highlight w:val="none"/>
                <w:u w:val="single"/>
                <w:lang w:val="zh-CN"/>
              </w:rPr>
              <w:t>预算金额：</w:t>
            </w:r>
            <w:r>
              <w:rPr>
                <w:rFonts w:hint="eastAsia" w:ascii="宋体" w:hAnsi="宋体" w:eastAsia="宋体" w:cs="宋体"/>
                <w:bCs/>
                <w:color w:val="auto"/>
                <w:kern w:val="0"/>
                <w:sz w:val="22"/>
                <w:highlight w:val="none"/>
                <w:u w:val="single"/>
              </w:rPr>
              <w:t>80000</w:t>
            </w:r>
            <w:r>
              <w:rPr>
                <w:rFonts w:hint="eastAsia" w:ascii="宋体" w:hAnsi="宋体" w:eastAsia="宋体" w:cs="宋体"/>
                <w:color w:val="auto"/>
                <w:sz w:val="22"/>
                <w:highlight w:val="none"/>
                <w:u w:val="single"/>
                <w:lang w:val="zh-CN"/>
              </w:rPr>
              <w:t>元；报价超过对应预算金额的投标无效。</w:t>
            </w:r>
          </w:p>
          <w:p>
            <w:pPr>
              <w:autoSpaceDE w:val="0"/>
              <w:autoSpaceDN w:val="0"/>
              <w:adjustRightInd w:val="0"/>
              <w:spacing w:line="360" w:lineRule="exac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采购资金来源：财政拨款。</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采购需求</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详见第五部分</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投标报价</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1.投标报价是指一次性报出不得更改的价格；</w:t>
            </w:r>
          </w:p>
          <w:p>
            <w:pPr>
              <w:adjustRightInd w:val="0"/>
              <w:snapToGri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val="zh-CN"/>
              </w:rPr>
              <w:t>2.</w:t>
            </w:r>
            <w:r>
              <w:rPr>
                <w:rFonts w:hint="eastAsia" w:ascii="宋体" w:hAnsi="宋体" w:eastAsia="宋体" w:cs="宋体"/>
                <w:b/>
                <w:color w:val="auto"/>
                <w:sz w:val="22"/>
                <w:highlight w:val="none"/>
              </w:rPr>
              <w:t>采用人民币报价，</w:t>
            </w:r>
            <w:r>
              <w:rPr>
                <w:rFonts w:hint="eastAsia" w:ascii="宋体" w:hAnsi="宋体" w:eastAsia="宋体" w:cs="宋体"/>
                <w:b/>
                <w:bCs/>
                <w:color w:val="auto"/>
                <w:sz w:val="22"/>
                <w:highlight w:val="none"/>
              </w:rPr>
              <w:t>进口项目均为免税项目</w:t>
            </w:r>
            <w:r>
              <w:rPr>
                <w:rFonts w:hint="eastAsia" w:ascii="宋体" w:hAnsi="宋体" w:eastAsia="宋体" w:cs="宋体"/>
                <w:snapToGrid w:val="0"/>
                <w:color w:val="auto"/>
                <w:sz w:val="22"/>
                <w:highlight w:val="none"/>
              </w:rPr>
              <w:t>。</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7</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投标费用</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不论投标结果如何，投标人均应自行承担所有与投标有关的全部费用</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投标人资质格要求</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sz w:val="22"/>
                <w:highlight w:val="none"/>
              </w:rPr>
              <w:t>详见投标邀请书</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9</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是否接受联合体投标</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不接受</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踏勘现场</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不</w:t>
            </w:r>
            <w:r>
              <w:rPr>
                <w:rFonts w:hint="eastAsia" w:ascii="宋体" w:hAnsi="宋体" w:eastAsia="宋体" w:cs="宋体"/>
                <w:color w:val="auto"/>
                <w:kern w:val="0"/>
                <w:sz w:val="22"/>
                <w:highlight w:val="none"/>
              </w:rPr>
              <w:t>组织</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投标预备会</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不召开</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分包和转包</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不允许</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13</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偏离</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偏差允许幅度及其处理方法：允许细微偏差，不允许重大偏差。由评审小组判断，细微偏差要求投标人在评标结束前予以澄清、说明或补正，不接受要求进行的，评审小组有权做投标无效处理，详见评标办法。</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投标有效期</w:t>
            </w:r>
          </w:p>
        </w:tc>
        <w:tc>
          <w:tcPr>
            <w:tcW w:w="751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从提交投标文件的截止时间之日起90天。</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投标保证金</w:t>
            </w:r>
          </w:p>
        </w:tc>
        <w:tc>
          <w:tcPr>
            <w:tcW w:w="751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无</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hint="eastAsia" w:ascii="宋体" w:hAnsi="宋体" w:eastAsia="宋体" w:cs="宋体"/>
                <w:color w:val="auto"/>
                <w:kern w:val="0"/>
                <w:sz w:val="22"/>
                <w:highlight w:val="none"/>
              </w:rPr>
            </w:pPr>
            <w:r>
              <w:rPr>
                <w:rFonts w:hint="eastAsia" w:ascii="宋体" w:hAnsi="宋体" w:eastAsia="宋体" w:cs="宋体"/>
                <w:b/>
                <w:bCs/>
                <w:color w:val="auto"/>
                <w:kern w:val="0"/>
                <w:sz w:val="22"/>
                <w:highlight w:val="none"/>
              </w:rPr>
              <w:t>投标文件形式、制作及组成</w:t>
            </w:r>
          </w:p>
        </w:tc>
        <w:tc>
          <w:tcPr>
            <w:tcW w:w="7513" w:type="dxa"/>
            <w:tcBorders>
              <w:top w:val="single" w:color="auto" w:sz="4" w:space="0"/>
              <w:left w:val="single" w:color="auto" w:sz="4" w:space="0"/>
              <w:bottom w:val="single" w:color="auto" w:sz="4" w:space="0"/>
              <w:right w:val="single" w:color="auto" w:sz="4" w:space="0"/>
            </w:tcBorders>
            <w:vAlign w:val="center"/>
          </w:tcPr>
          <w:p>
            <w:pPr>
              <w:pStyle w:val="15"/>
              <w:snapToGrid w:val="0"/>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按标项分别制作投标文件。</w:t>
            </w:r>
          </w:p>
          <w:p>
            <w:pPr>
              <w:pStyle w:val="15"/>
              <w:snapToGrid w:val="0"/>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本项目实行网上电子投标。</w:t>
            </w:r>
          </w:p>
          <w:p>
            <w:pPr>
              <w:pStyle w:val="15"/>
              <w:snapToGrid w:val="0"/>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投标人应准备电子投标文件、以介质存储的数据电文形式的备份投标文件二类：</w:t>
            </w:r>
          </w:p>
          <w:p>
            <w:pPr>
              <w:pStyle w:val="15"/>
              <w:snapToGrid w:val="0"/>
              <w:spacing w:line="360" w:lineRule="exact"/>
              <w:ind w:firstLine="221" w:firstLineChars="1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（1）电子投标文件：通过政采云电子交易客户端（政采云投标客户端）完成投标文件编制后生成并加密的数据电文形式的投标文件（文件扩展名为.jmbs）1份</w:t>
            </w:r>
            <w:r>
              <w:rPr>
                <w:rFonts w:hint="eastAsia" w:ascii="宋体" w:hAnsi="宋体" w:eastAsia="宋体" w:cs="宋体"/>
                <w:b/>
                <w:bCs/>
                <w:color w:val="auto"/>
                <w:sz w:val="22"/>
                <w:highlight w:val="none"/>
                <w:lang w:val="zh-CN"/>
              </w:rPr>
              <w:t>。</w:t>
            </w:r>
          </w:p>
          <w:p>
            <w:pPr>
              <w:spacing w:line="360" w:lineRule="exact"/>
              <w:ind w:firstLine="221" w:firstLineChars="1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（2）以介质存储的数据电文形式的备份投标文件（如有）：</w:t>
            </w:r>
            <w:r>
              <w:rPr>
                <w:rStyle w:val="30"/>
                <w:rFonts w:hint="eastAsia" w:ascii="宋体" w:hAnsi="宋体" w:eastAsia="宋体" w:cs="宋体"/>
                <w:bCs/>
                <w:color w:val="auto"/>
                <w:sz w:val="22"/>
                <w:highlight w:val="none"/>
              </w:rPr>
              <w:t>与“电子投标文件”同时生成的数据电</w:t>
            </w:r>
            <w:r>
              <w:rPr>
                <w:rFonts w:hint="eastAsia" w:ascii="宋体" w:hAnsi="宋体" w:eastAsia="宋体" w:cs="宋体"/>
                <w:b/>
                <w:bCs/>
                <w:color w:val="auto"/>
                <w:sz w:val="22"/>
                <w:highlight w:val="none"/>
              </w:rPr>
              <w:t>文形式的备份投标文件(文件扩展名为.bfbs)，投标文件提交截止时间前以</w:t>
            </w:r>
            <w:r>
              <w:rPr>
                <w:rFonts w:hint="eastAsia" w:ascii="宋体" w:hAnsi="宋体" w:eastAsia="宋体" w:cs="宋体"/>
                <w:b/>
                <w:bCs/>
                <w:color w:val="auto"/>
                <w:sz w:val="22"/>
                <w:highlight w:val="none"/>
                <w:lang w:val="zh-CN"/>
              </w:rPr>
              <w:t>电子邮件方式传送至浙江乐诚工程咨询有限公司电子邮箱</w:t>
            </w:r>
            <w:r>
              <w:rPr>
                <w:rFonts w:hint="eastAsia" w:ascii="宋体" w:hAnsi="宋体" w:eastAsia="宋体" w:cs="宋体"/>
                <w:b/>
                <w:bCs/>
                <w:color w:val="auto"/>
                <w:sz w:val="22"/>
                <w:highlight w:val="none"/>
              </w:rPr>
              <w:t>2812799762@qq.com，递</w:t>
            </w:r>
            <w:r>
              <w:rPr>
                <w:rFonts w:hint="eastAsia" w:ascii="宋体" w:hAnsi="宋体" w:eastAsia="宋体" w:cs="宋体"/>
                <w:b/>
                <w:bCs/>
                <w:color w:val="auto"/>
                <w:sz w:val="22"/>
                <w:highlight w:val="none"/>
                <w:lang w:val="zh-CN"/>
              </w:rPr>
              <w:t>交</w:t>
            </w:r>
            <w:r>
              <w:rPr>
                <w:rFonts w:hint="eastAsia" w:ascii="宋体" w:hAnsi="宋体" w:eastAsia="宋体" w:cs="宋体"/>
                <w:b/>
                <w:bCs/>
                <w:color w:val="auto"/>
                <w:sz w:val="22"/>
                <w:highlight w:val="none"/>
              </w:rPr>
              <w:t>1</w:t>
            </w:r>
            <w:r>
              <w:rPr>
                <w:rFonts w:hint="eastAsia" w:ascii="宋体" w:hAnsi="宋体" w:eastAsia="宋体" w:cs="宋体"/>
                <w:b/>
                <w:bCs/>
                <w:color w:val="auto"/>
                <w:sz w:val="22"/>
                <w:highlight w:val="none"/>
                <w:lang w:val="zh-CN"/>
              </w:rPr>
              <w:t>份</w:t>
            </w:r>
            <w:r>
              <w:rPr>
                <w:rFonts w:hint="eastAsia" w:ascii="宋体" w:hAnsi="宋体" w:eastAsia="宋体" w:cs="宋体"/>
                <w:b/>
                <w:bCs/>
                <w:color w:val="auto"/>
                <w:sz w:val="22"/>
                <w:highlight w:val="none"/>
              </w:rPr>
              <w:t>，</w:t>
            </w:r>
            <w:r>
              <w:rPr>
                <w:rFonts w:hint="eastAsia" w:ascii="宋体" w:hAnsi="宋体" w:eastAsia="宋体" w:cs="宋体"/>
                <w:b/>
                <w:bCs/>
                <w:color w:val="auto"/>
                <w:sz w:val="22"/>
                <w:highlight w:val="none"/>
                <w:lang w:val="zh-CN"/>
              </w:rPr>
              <w:t>传送的备份投标文件需打包压缩并加密</w:t>
            </w:r>
            <w:r>
              <w:rPr>
                <w:rFonts w:hint="eastAsia" w:ascii="宋体" w:hAnsi="宋体" w:eastAsia="宋体" w:cs="宋体"/>
                <w:b/>
                <w:bCs/>
                <w:color w:val="auto"/>
                <w:sz w:val="22"/>
                <w:highlight w:val="none"/>
              </w:rPr>
              <w:t>，</w:t>
            </w:r>
            <w:r>
              <w:rPr>
                <w:rFonts w:hint="eastAsia" w:ascii="宋体" w:hAnsi="宋体" w:eastAsia="宋体" w:cs="宋体"/>
                <w:b/>
                <w:bCs/>
                <w:color w:val="auto"/>
                <w:sz w:val="22"/>
                <w:highlight w:val="none"/>
                <w:lang w:val="zh-CN"/>
              </w:rPr>
              <w:t>加密密码由投标人自行保管</w:t>
            </w:r>
            <w:r>
              <w:rPr>
                <w:rFonts w:hint="eastAsia" w:ascii="宋体" w:hAnsi="宋体" w:eastAsia="宋体" w:cs="宋体"/>
                <w:b/>
                <w:bCs/>
                <w:color w:val="auto"/>
                <w:sz w:val="22"/>
                <w:highlight w:val="none"/>
              </w:rPr>
              <w:t>，未加密导致投标信息泄露的风险由投标人自行承担</w:t>
            </w:r>
            <w:r>
              <w:rPr>
                <w:rStyle w:val="30"/>
                <w:rFonts w:hint="eastAsia" w:ascii="宋体" w:hAnsi="宋体" w:eastAsia="宋体" w:cs="宋体"/>
                <w:bCs/>
                <w:color w:val="auto"/>
                <w:sz w:val="22"/>
                <w:highlight w:val="none"/>
              </w:rPr>
              <w:t>。</w:t>
            </w:r>
          </w:p>
          <w:p>
            <w:pPr>
              <w:pStyle w:val="15"/>
              <w:snapToGrid w:val="0"/>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投标文件由报价文件、资格文件、商务和技术文件三部分组成。</w:t>
            </w:r>
          </w:p>
          <w:p>
            <w:pPr>
              <w:pStyle w:val="15"/>
              <w:snapToGrid w:val="0"/>
              <w:spacing w:line="360" w:lineRule="exact"/>
              <w:rPr>
                <w:rFonts w:hint="eastAsia" w:ascii="宋体" w:hAnsi="宋体" w:eastAsia="宋体" w:cs="宋体"/>
                <w:b/>
                <w:bCs/>
                <w:color w:val="auto"/>
                <w:sz w:val="22"/>
                <w:highlight w:val="none"/>
                <w:lang w:val="zh-CN"/>
              </w:rPr>
            </w:pPr>
            <w:r>
              <w:rPr>
                <w:rFonts w:hint="eastAsia" w:ascii="宋体" w:hAnsi="宋体" w:eastAsia="宋体" w:cs="宋体"/>
                <w:b/>
                <w:bCs/>
                <w:color w:val="auto"/>
                <w:sz w:val="22"/>
                <w:highlight w:val="none"/>
              </w:rPr>
              <w:t>注：中标人在领取中标通知书时按采购人要求提供全套纸质投标文件贰份。</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17</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b/>
                <w:bCs/>
                <w:color w:val="auto"/>
                <w:kern w:val="0"/>
                <w:sz w:val="22"/>
                <w:highlight w:val="none"/>
              </w:rPr>
            </w:pPr>
            <w:r>
              <w:rPr>
                <w:rFonts w:hint="eastAsia" w:ascii="宋体" w:hAnsi="宋体" w:eastAsia="宋体" w:cs="宋体"/>
                <w:color w:val="auto"/>
                <w:kern w:val="0"/>
                <w:sz w:val="22"/>
                <w:highlight w:val="none"/>
              </w:rPr>
              <w:t>电子招投标特殊情况处理方式</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本项目原则上采用政采云电子招投标开标及评审程序，但有下情形之一的，按以下情况处理：</w:t>
            </w:r>
          </w:p>
          <w:p>
            <w:pPr>
              <w:spacing w:line="360" w:lineRule="exact"/>
              <w:rPr>
                <w:rFonts w:hint="eastAsia" w:ascii="宋体" w:hAnsi="宋体" w:eastAsia="宋体" w:cs="宋体"/>
                <w:b/>
                <w:bCs/>
                <w:color w:val="auto"/>
                <w:sz w:val="22"/>
                <w:highlight w:val="none"/>
                <w:lang w:val="zh-CN"/>
              </w:rPr>
            </w:pPr>
            <w:r>
              <w:rPr>
                <w:rFonts w:hint="eastAsia" w:ascii="宋体" w:hAnsi="宋体" w:eastAsia="宋体" w:cs="宋体"/>
                <w:b/>
                <w:bCs/>
                <w:color w:val="auto"/>
                <w:sz w:val="22"/>
                <w:highlight w:val="none"/>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18</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评审小组的组建</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hint="eastAsia" w:ascii="宋体" w:hAnsi="宋体" w:eastAsia="宋体" w:cs="宋体"/>
                <w:color w:val="auto"/>
                <w:sz w:val="22"/>
                <w:highlight w:val="none"/>
                <w:lang w:val="zh-CN"/>
              </w:rPr>
            </w:pPr>
            <w:r>
              <w:rPr>
                <w:rFonts w:hint="eastAsia" w:ascii="宋体" w:hAnsi="宋体" w:eastAsia="宋体" w:cs="宋体"/>
                <w:color w:val="auto"/>
                <w:kern w:val="0"/>
                <w:sz w:val="22"/>
                <w:highlight w:val="none"/>
                <w:lang w:val="zh-CN"/>
              </w:rPr>
              <w:t>评审小组成员由采购人代表和有关技术、经济等方面的专家组成，有关技术、经济等方面的专家成员人数为5人及以上单数，除采购人代表外的专家将按有关规定随机抽取产生。</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19</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评审地点</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val="zh-CN"/>
              </w:rPr>
              <w:t>温州市行政审批与公共资源交易服务管理中心评审室（温州市会展路1268号温州市民中心A座3楼，见当日大厅公示栏)</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b/>
                <w:bCs/>
                <w:snapToGrid w:val="0"/>
                <w:color w:val="auto"/>
                <w:sz w:val="22"/>
                <w:highlight w:val="none"/>
              </w:rPr>
              <w:t>资格审查要求的资格证明材料</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hint="eastAsia" w:ascii="宋体" w:hAnsi="宋体" w:eastAsia="宋体" w:cs="宋体"/>
                <w:b/>
                <w:bCs/>
                <w:color w:val="auto"/>
                <w:sz w:val="22"/>
                <w:highlight w:val="none"/>
              </w:rPr>
            </w:pPr>
            <w:r>
              <w:rPr>
                <w:rFonts w:hint="eastAsia" w:ascii="宋体" w:hAnsi="宋体" w:eastAsia="宋体" w:cs="宋体"/>
                <w:b/>
                <w:bCs/>
                <w:snapToGrid w:val="0"/>
                <w:color w:val="auto"/>
                <w:sz w:val="22"/>
                <w:highlight w:val="none"/>
              </w:rPr>
              <w:t>①有效的法人或者其他组织的营业执照等证明文件，自然人的身份证明（五选一）</w:t>
            </w:r>
            <w:r>
              <w:rPr>
                <w:rFonts w:hint="eastAsia" w:ascii="宋体" w:hAnsi="宋体" w:eastAsia="宋体" w:cs="宋体"/>
                <w:b/>
                <w:bCs/>
                <w:color w:val="auto"/>
                <w:sz w:val="22"/>
                <w:highlight w:val="none"/>
              </w:rPr>
              <w:t>（见附件4-1）</w:t>
            </w:r>
          </w:p>
          <w:p>
            <w:pPr>
              <w:autoSpaceDE w:val="0"/>
              <w:autoSpaceDN w:val="0"/>
              <w:adjustRightInd w:val="0"/>
              <w:spacing w:line="360" w:lineRule="exact"/>
              <w:jc w:val="left"/>
              <w:rPr>
                <w:rFonts w:hint="eastAsia" w:ascii="宋体" w:hAnsi="宋体" w:eastAsia="宋体" w:cs="宋体"/>
                <w:b/>
                <w:bCs/>
                <w:color w:val="auto"/>
                <w:sz w:val="22"/>
                <w:highlight w:val="none"/>
              </w:rPr>
            </w:pPr>
            <w:r>
              <w:rPr>
                <w:rFonts w:hint="eastAsia" w:ascii="宋体" w:hAnsi="宋体" w:eastAsia="宋体" w:cs="宋体"/>
                <w:b/>
                <w:bCs/>
                <w:snapToGrid w:val="0"/>
                <w:color w:val="auto"/>
                <w:sz w:val="22"/>
                <w:highlight w:val="none"/>
              </w:rPr>
              <w:t>②关于符合《中华人民共和国政府采购法》第二十二条规定的承诺函</w:t>
            </w:r>
            <w:r>
              <w:rPr>
                <w:rFonts w:hint="eastAsia" w:ascii="宋体" w:hAnsi="宋体" w:eastAsia="宋体" w:cs="宋体"/>
                <w:b/>
                <w:bCs/>
                <w:color w:val="auto"/>
                <w:sz w:val="22"/>
                <w:highlight w:val="none"/>
              </w:rPr>
              <w:t>（见附件4-2）</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bCs/>
                <w:snapToGrid w:val="0"/>
                <w:color w:val="auto"/>
                <w:sz w:val="22"/>
                <w:highlight w:val="none"/>
              </w:rPr>
            </w:pPr>
            <w:r>
              <w:rPr>
                <w:rFonts w:hint="eastAsia" w:ascii="宋体" w:hAnsi="宋体" w:eastAsia="宋体" w:cs="宋体"/>
                <w:color w:val="auto"/>
                <w:sz w:val="22"/>
                <w:highlight w:val="none"/>
              </w:rPr>
              <w:t>落实政府采购支持中小企业、监狱企业及残疾人福利性单位发展政策</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□专门面向中小企业采购项目</w:t>
            </w:r>
          </w:p>
          <w:p>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☑非专门面向中小企业采购项目。对小型和微型企业报价根据《政府采购促进中小企业发展管理办法》（财库〔2020〕46号）文件扣除，用扣除后的价格参与评审。</w:t>
            </w:r>
          </w:p>
          <w:p>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本项目的扣除比例为：小型、微型企业均扣除</w:t>
            </w:r>
            <w:r>
              <w:rPr>
                <w:rFonts w:hint="eastAsia" w:ascii="宋体" w:hAnsi="宋体" w:eastAsia="宋体" w:cs="宋体"/>
                <w:color w:val="auto"/>
                <w:sz w:val="22"/>
                <w:highlight w:val="none"/>
                <w:u w:val="single"/>
              </w:rPr>
              <w:t xml:space="preserve"> 6 %</w:t>
            </w:r>
          </w:p>
          <w:p>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监狱企业、残疾人福利性单位视同小型、微型企业，享受价格扣除。</w:t>
            </w:r>
          </w:p>
          <w:p>
            <w:pPr>
              <w:autoSpaceDE w:val="0"/>
              <w:autoSpaceDN w:val="0"/>
              <w:adjustRightInd w:val="0"/>
              <w:snapToGrid w:val="0"/>
              <w:spacing w:line="360" w:lineRule="exact"/>
              <w:textAlignment w:val="bottom"/>
              <w:rPr>
                <w:rFonts w:hint="eastAsia" w:ascii="宋体" w:hAnsi="宋体" w:eastAsia="宋体" w:cs="宋体"/>
                <w:b/>
                <w:bCs/>
                <w:snapToGrid w:val="0"/>
                <w:color w:val="auto"/>
                <w:sz w:val="22"/>
                <w:highlight w:val="none"/>
              </w:rPr>
            </w:pPr>
            <w:r>
              <w:rPr>
                <w:rFonts w:hint="eastAsia" w:ascii="宋体" w:hAnsi="宋体" w:eastAsia="宋体" w:cs="宋体"/>
                <w:color w:val="auto"/>
                <w:sz w:val="22"/>
                <w:highlight w:val="none"/>
              </w:rPr>
              <w:t>残疾人福利性单位属于小型、微型企业的，不重复享受政策。</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所属行业</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工业</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23</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评标办法及评分标准</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综合评分法，详见第六部分  评标原则及方法。</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bCs/>
                <w:snapToGrid w:val="0"/>
                <w:color w:val="auto"/>
                <w:sz w:val="22"/>
                <w:highlight w:val="none"/>
              </w:rPr>
            </w:pPr>
            <w:r>
              <w:rPr>
                <w:rFonts w:hint="eastAsia" w:ascii="宋体" w:hAnsi="宋体" w:eastAsia="宋体" w:cs="宋体"/>
                <w:color w:val="auto"/>
                <w:sz w:val="22"/>
                <w:highlight w:val="none"/>
              </w:rPr>
              <w:t>中标公告及中标通知书</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hint="eastAsia" w:ascii="宋体" w:hAnsi="宋体" w:eastAsia="宋体" w:cs="宋体"/>
                <w:b/>
                <w:bCs/>
                <w:color w:val="auto"/>
                <w:sz w:val="22"/>
                <w:highlight w:val="none"/>
                <w:lang w:val="zh-CN"/>
              </w:rPr>
            </w:pPr>
            <w:r>
              <w:rPr>
                <w:rFonts w:hint="eastAsia" w:ascii="宋体" w:hAnsi="宋体" w:eastAsia="宋体" w:cs="宋体"/>
                <w:color w:val="auto"/>
                <w:sz w:val="22"/>
                <w:highlight w:val="none"/>
              </w:rPr>
              <w:t>评标结束后中标公告发布于浙江政府采购网，并向中标人发出中标通知书。</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合同签订</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中标人须在中标通知书发出之日起30日历天内与采购人签订合同。</w:t>
            </w:r>
          </w:p>
          <w:p>
            <w:pPr>
              <w:spacing w:line="360" w:lineRule="exac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中标人与采购人签订合同后，2日历天内将合同扫描件电子版发给采购代理机构：邮箱：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"mailto:1322521566@qq.com。"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 w:val="22"/>
                <w:highlight w:val="none"/>
              </w:rPr>
              <w:t>2812799762@qq.com。</w:t>
            </w:r>
            <w:r>
              <w:rPr>
                <w:rFonts w:hint="eastAsia" w:ascii="宋体" w:hAnsi="宋体" w:eastAsia="宋体" w:cs="宋体"/>
                <w:color w:val="auto"/>
                <w:kern w:val="0"/>
                <w:sz w:val="22"/>
                <w:highlight w:val="none"/>
              </w:rPr>
              <w:fldChar w:fldCharType="end"/>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解释权</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27</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其它</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1.公开招标公告属于本招标文件的一部分</w:t>
            </w:r>
          </w:p>
          <w:p>
            <w:pPr>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2.请务必确保投标文件制作客户端为最新版本，旧版本可能导致投标文件解密失败。</w:t>
            </w:r>
          </w:p>
          <w:p>
            <w:pPr>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3.请务必确保投标文件制作时所用的 CA 锁与投标文件解密时的 CA 锁为同一把，否则可能导致投标文件解密失败。</w:t>
            </w:r>
          </w:p>
          <w:p>
            <w:pPr>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4.在投标文件解密前，请务必检验 CA 锁与所用电脑的兼容性，部分电脑因 CA 驱动未正常安装、USB 接口兼容性差等原因可能造成投标文件解密失败。</w:t>
            </w:r>
          </w:p>
          <w:p>
            <w:pPr>
              <w:spacing w:line="360" w:lineRule="exact"/>
              <w:rPr>
                <w:rFonts w:hint="eastAsia" w:ascii="宋体" w:hAnsi="宋体" w:eastAsia="宋体" w:cs="宋体"/>
                <w:b/>
                <w:color w:val="auto"/>
                <w:sz w:val="22"/>
                <w:highlight w:val="none"/>
              </w:rPr>
            </w:pPr>
            <w:r>
              <w:rPr>
                <w:rFonts w:hint="eastAsia" w:ascii="宋体" w:hAnsi="宋体" w:eastAsia="宋体" w:cs="宋体"/>
                <w:b/>
                <w:bCs/>
                <w:color w:val="auto"/>
                <w:sz w:val="22"/>
                <w:highlight w:val="none"/>
              </w:rPr>
              <w:t>5.</w:t>
            </w:r>
            <w:r>
              <w:rPr>
                <w:rFonts w:hint="eastAsia" w:ascii="宋体" w:hAnsi="宋体" w:eastAsia="宋体" w:cs="宋体"/>
                <w:b/>
                <w:color w:val="auto"/>
                <w:sz w:val="22"/>
                <w:highlight w:val="none"/>
              </w:rPr>
              <w:t>投标人未按招标文件规定及提醒操作的，引起的一切后果由投标人自行负责。</w:t>
            </w:r>
          </w:p>
          <w:p>
            <w:pPr>
              <w:pStyle w:val="12"/>
              <w:spacing w:line="360" w:lineRule="exact"/>
              <w:ind w:left="442" w:hanging="442"/>
              <w:rPr>
                <w:rFonts w:hint="eastAsia" w:ascii="宋体" w:hAnsi="宋体" w:eastAsia="宋体" w:cs="宋体"/>
                <w:color w:val="auto"/>
                <w:sz w:val="22"/>
                <w:highlight w:val="none"/>
              </w:rPr>
            </w:pPr>
            <w:r>
              <w:rPr>
                <w:rFonts w:hint="eastAsia" w:ascii="宋体" w:hAnsi="宋体" w:eastAsia="宋体" w:cs="宋体"/>
                <w:b/>
                <w:color w:val="auto"/>
                <w:sz w:val="22"/>
                <w:highlight w:val="none"/>
              </w:rPr>
              <w:t>6.投标截止时间同</w:t>
            </w:r>
            <w:r>
              <w:rPr>
                <w:rStyle w:val="30"/>
                <w:rFonts w:hint="eastAsia" w:ascii="宋体" w:hAnsi="宋体" w:eastAsia="宋体" w:cs="宋体"/>
                <w:color w:val="auto"/>
                <w:sz w:val="22"/>
                <w:highlight w:val="none"/>
              </w:rPr>
              <w:t>提交投标文件截止时间。</w:t>
            </w:r>
          </w:p>
        </w:tc>
      </w:tr>
    </w:tbl>
    <w:p>
      <w:pPr>
        <w:spacing w:line="400" w:lineRule="exact"/>
        <w:jc w:val="center"/>
        <w:outlineLvl w:val="0"/>
        <w:rPr>
          <w:rFonts w:hint="eastAsia" w:ascii="宋体" w:hAnsi="宋体" w:eastAsia="宋体" w:cs="宋体"/>
          <w:b/>
          <w:color w:val="auto"/>
          <w:sz w:val="28"/>
          <w:szCs w:val="28"/>
          <w:highlight w:val="none"/>
        </w:rPr>
      </w:pPr>
    </w:p>
    <w:p>
      <w:pPr>
        <w:pStyle w:val="12"/>
        <w:ind w:left="562" w:hanging="562"/>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pStyle w:val="12"/>
        <w:ind w:left="562" w:hanging="562"/>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pStyle w:val="12"/>
        <w:ind w:left="562" w:hanging="562"/>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pStyle w:val="12"/>
        <w:ind w:left="562" w:hanging="562"/>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pStyle w:val="12"/>
        <w:ind w:left="562" w:hanging="562"/>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spacing w:line="400" w:lineRule="exact"/>
        <w:jc w:val="center"/>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  说明</w:t>
      </w:r>
    </w:p>
    <w:p>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1.本次招标是按照《中华人民共和国政府采购法》、《政府采购货物和服务招标投标管理办法》等法律及有关法规组织和实施的。</w:t>
      </w:r>
    </w:p>
    <w:p>
      <w:pPr>
        <w:tabs>
          <w:tab w:val="left" w:pos="360"/>
        </w:tabs>
        <w:spacing w:line="360" w:lineRule="exact"/>
        <w:ind w:firstLine="440" w:firstLineChars="200"/>
        <w:rPr>
          <w:rFonts w:hint="eastAsia" w:ascii="宋体" w:hAnsi="宋体" w:eastAsia="宋体" w:cs="宋体"/>
          <w:color w:val="auto"/>
          <w:kern w:val="0"/>
          <w:sz w:val="22"/>
          <w:highlight w:val="none"/>
          <w:lang w:val="zh-CN"/>
        </w:rPr>
      </w:pPr>
      <w:r>
        <w:rPr>
          <w:rFonts w:hint="eastAsia" w:ascii="宋体" w:hAnsi="宋体" w:eastAsia="宋体" w:cs="宋体"/>
          <w:color w:val="auto"/>
          <w:sz w:val="22"/>
          <w:highlight w:val="none"/>
        </w:rPr>
        <w:t>2.合格投标人</w:t>
      </w:r>
      <w:r>
        <w:rPr>
          <w:rFonts w:hint="eastAsia" w:ascii="宋体" w:hAnsi="宋体" w:eastAsia="宋体" w:cs="宋体"/>
          <w:color w:val="auto"/>
          <w:kern w:val="0"/>
          <w:sz w:val="22"/>
          <w:highlight w:val="none"/>
          <w:lang w:val="zh-CN"/>
        </w:rPr>
        <w:t>要求以招标公告及投标人须知前附表对投标人资格条件要求的表述为准。</w:t>
      </w:r>
    </w:p>
    <w:p>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3.</w:t>
      </w:r>
      <w:r>
        <w:rPr>
          <w:rFonts w:hint="eastAsia" w:ascii="宋体" w:hAnsi="宋体" w:eastAsia="宋体" w:cs="宋体"/>
          <w:color w:val="auto"/>
          <w:sz w:val="22"/>
          <w:highlight w:val="none"/>
        </w:rPr>
        <w:t>投标人代表</w:t>
      </w:r>
    </w:p>
    <w:p>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指全权代表投标人参加投标活动并签署投标文件的人。投标人须携带有效身份证件。如投标人代表不是法定代表人，须有法定代表人授权委托书，投标人未参加开标的，视同认可开标结果。</w:t>
      </w:r>
    </w:p>
    <w:p>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4.投标费用</w:t>
      </w:r>
    </w:p>
    <w:p>
      <w:pPr>
        <w:tabs>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4.1投标人应承担所有与准备和参加投标有关费用，不论投标的结果如何，采购代理机构和采购人均无义务和责任承担这些费用。</w:t>
      </w:r>
    </w:p>
    <w:p>
      <w:pPr>
        <w:spacing w:line="360" w:lineRule="exact"/>
        <w:ind w:firstLine="440" w:firstLineChars="200"/>
        <w:jc w:val="left"/>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4.2中标人</w:t>
      </w:r>
      <w:r>
        <w:rPr>
          <w:rFonts w:hint="eastAsia" w:ascii="宋体" w:hAnsi="宋体" w:eastAsia="宋体" w:cs="宋体"/>
          <w:color w:val="auto"/>
          <w:spacing w:val="-6"/>
          <w:sz w:val="22"/>
          <w:highlight w:val="none"/>
        </w:rPr>
        <w:t>在收到中标通知书时向采购代理机构交纳采购代理服务费，按标项收取，收费标准（差额累进）：</w:t>
      </w:r>
    </w:p>
    <w:tbl>
      <w:tblPr>
        <w:tblStyle w:val="27"/>
        <w:tblW w:w="44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7"/>
        <w:gridCol w:w="2447"/>
        <w:gridCol w:w="3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0" w:type="pct"/>
            <w:vMerge w:val="restart"/>
            <w:vAlign w:val="center"/>
          </w:tcPr>
          <w:p>
            <w:pPr>
              <w:pStyle w:val="15"/>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按照中标金额</w:t>
            </w:r>
          </w:p>
        </w:tc>
        <w:tc>
          <w:tcPr>
            <w:tcW w:w="3269" w:type="pct"/>
            <w:gridSpan w:val="2"/>
            <w:vAlign w:val="center"/>
          </w:tcPr>
          <w:p>
            <w:pPr>
              <w:pStyle w:val="15"/>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服务费（人民币）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0" w:type="pct"/>
            <w:vMerge w:val="continue"/>
            <w:vAlign w:val="center"/>
          </w:tcPr>
          <w:p>
            <w:pPr>
              <w:pStyle w:val="15"/>
              <w:spacing w:line="360" w:lineRule="exact"/>
              <w:jc w:val="center"/>
              <w:rPr>
                <w:rFonts w:hint="eastAsia" w:ascii="宋体" w:hAnsi="宋体" w:eastAsia="宋体" w:cs="宋体"/>
                <w:color w:val="auto"/>
                <w:sz w:val="22"/>
                <w:highlight w:val="none"/>
              </w:rPr>
            </w:pPr>
          </w:p>
        </w:tc>
        <w:tc>
          <w:tcPr>
            <w:tcW w:w="1394" w:type="pct"/>
            <w:vAlign w:val="center"/>
          </w:tcPr>
          <w:p>
            <w:pPr>
              <w:pStyle w:val="15"/>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1874" w:type="pct"/>
            <w:vAlign w:val="center"/>
          </w:tcPr>
          <w:p>
            <w:pPr>
              <w:pStyle w:val="15"/>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0" w:type="pct"/>
            <w:vAlign w:val="center"/>
          </w:tcPr>
          <w:p>
            <w:pPr>
              <w:spacing w:line="36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50万元以下</w:t>
            </w:r>
          </w:p>
        </w:tc>
        <w:tc>
          <w:tcPr>
            <w:tcW w:w="1394" w:type="pct"/>
            <w:vAlign w:val="center"/>
          </w:tcPr>
          <w:p>
            <w:pPr>
              <w:pStyle w:val="15"/>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4500</w:t>
            </w:r>
          </w:p>
        </w:tc>
        <w:tc>
          <w:tcPr>
            <w:tcW w:w="1874" w:type="pct"/>
          </w:tcPr>
          <w:p>
            <w:pPr>
              <w:pStyle w:val="15"/>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肆仟伍佰元整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0" w:type="pct"/>
            <w:vAlign w:val="center"/>
          </w:tcPr>
          <w:p>
            <w:pPr>
              <w:spacing w:line="36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50（含）-100(不含)万元</w:t>
            </w:r>
          </w:p>
        </w:tc>
        <w:tc>
          <w:tcPr>
            <w:tcW w:w="3269" w:type="pct"/>
            <w:gridSpan w:val="2"/>
            <w:vAlign w:val="center"/>
          </w:tcPr>
          <w:p>
            <w:pPr>
              <w:pStyle w:val="15"/>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按照《招标代理服务收费管理暂行办法》8.5折收取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0" w:type="pct"/>
            <w:vAlign w:val="center"/>
          </w:tcPr>
          <w:p>
            <w:pPr>
              <w:spacing w:line="36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100（含）-200(不含)万元</w:t>
            </w:r>
          </w:p>
        </w:tc>
        <w:tc>
          <w:tcPr>
            <w:tcW w:w="3269" w:type="pct"/>
            <w:gridSpan w:val="2"/>
            <w:vAlign w:val="center"/>
          </w:tcPr>
          <w:p>
            <w:pPr>
              <w:pStyle w:val="15"/>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按照《招标代理服务收费管理暂行办法》7折收取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0" w:type="pct"/>
            <w:vAlign w:val="center"/>
          </w:tcPr>
          <w:p>
            <w:pPr>
              <w:spacing w:line="36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200（含）-1000(不含)万元</w:t>
            </w:r>
          </w:p>
        </w:tc>
        <w:tc>
          <w:tcPr>
            <w:tcW w:w="3269" w:type="pct"/>
            <w:gridSpan w:val="2"/>
            <w:vAlign w:val="center"/>
          </w:tcPr>
          <w:p>
            <w:pPr>
              <w:pStyle w:val="15"/>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按照《招标代理服务收费管理暂行办法》6折收取</w:t>
            </w:r>
          </w:p>
        </w:tc>
      </w:tr>
    </w:tbl>
    <w:p>
      <w:pPr>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招标代理服务收费标准</w:t>
      </w:r>
    </w:p>
    <w:tbl>
      <w:tblPr>
        <w:tblStyle w:val="27"/>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4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1"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highlight w:val="none"/>
              </w:rPr>
              <mc:AlternateContent>
                <mc:Choice Requires="wpg">
                  <w:drawing>
                    <wp:anchor distT="0" distB="0" distL="114300" distR="114300" simplePos="0" relativeHeight="251664384" behindDoc="0" locked="0" layoutInCell="1" allowOverlap="1">
                      <wp:simplePos x="0" y="0"/>
                      <wp:positionH relativeFrom="column">
                        <wp:posOffset>-35560</wp:posOffset>
                      </wp:positionH>
                      <wp:positionV relativeFrom="paragraph">
                        <wp:posOffset>-6350</wp:posOffset>
                      </wp:positionV>
                      <wp:extent cx="1522730" cy="682625"/>
                      <wp:effectExtent l="7620" t="9525" r="12700" b="0"/>
                      <wp:wrapNone/>
                      <wp:docPr id="8" name="Group 7"/>
                      <wp:cNvGraphicFramePr/>
                      <a:graphic xmlns:a="http://schemas.openxmlformats.org/drawingml/2006/main">
                        <a:graphicData uri="http://schemas.microsoft.com/office/word/2010/wordprocessingGroup">
                          <wpg:wgp>
                            <wpg:cNvGrpSpPr/>
                            <wpg:grpSpPr>
                              <a:xfrm>
                                <a:off x="0" y="0"/>
                                <a:ext cx="1522730" cy="682625"/>
                                <a:chOff x="11" y="23"/>
                                <a:chExt cx="24" cy="12992"/>
                              </a:xfrm>
                            </wpg:grpSpPr>
                            <wps:wsp>
                              <wps:cNvPr id="9" name="Line 8"/>
                              <wps:cNvCnPr>
                                <a:cxnSpLocks noChangeShapeType="1"/>
                              </wps:cNvCnPr>
                              <wps:spPr bwMode="auto">
                                <a:xfrm>
                                  <a:off x="11" y="26"/>
                                  <a:ext cx="24" cy="10"/>
                                </a:xfrm>
                                <a:prstGeom prst="line">
                                  <a:avLst/>
                                </a:prstGeom>
                                <a:noFill/>
                                <a:ln w="9525">
                                  <a:solidFill>
                                    <a:srgbClr val="000000"/>
                                  </a:solidFill>
                                  <a:round/>
                                </a:ln>
                              </wps:spPr>
                              <wps:bodyPr/>
                            </wps:wsp>
                            <wps:wsp>
                              <wps:cNvPr id="10" name="Line 9"/>
                              <wps:cNvCnPr>
                                <a:cxnSpLocks noChangeShapeType="1"/>
                              </wps:cNvCnPr>
                              <wps:spPr bwMode="auto">
                                <a:xfrm>
                                  <a:off x="20" y="23"/>
                                  <a:ext cx="15" cy="13"/>
                                </a:xfrm>
                                <a:prstGeom prst="line">
                                  <a:avLst/>
                                </a:prstGeom>
                                <a:noFill/>
                                <a:ln w="9525">
                                  <a:solidFill>
                                    <a:srgbClr val="000000"/>
                                  </a:solidFill>
                                  <a:round/>
                                </a:ln>
                              </wps:spPr>
                              <wps:bodyPr/>
                            </wps:wsp>
                          </wpg:wgp>
                        </a:graphicData>
                      </a:graphic>
                    </wp:anchor>
                  </w:drawing>
                </mc:Choice>
                <mc:Fallback>
                  <w:pict>
                    <v:group id="Group 7" o:spid="_x0000_s1026" o:spt="203" style="position:absolute;left:0pt;margin-left:-2.8pt;margin-top:-0.5pt;height:53.75pt;width:119.9pt;z-index:251664384;mso-width-relative:page;mso-height-relative:page;" coordorigin="11,23" coordsize="24,12992" o:gfxdata="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E13EtdkAAAAJ&#10;AQAADwAAAAAAAAABACAAAAAiAAAAZHJzL2Rvd25yZXYueG1sUEsBAhQAFAAAAAgAh07iQHimZbdU&#10;AgAAhwYAAA4AAAAAAAAAAQAgAAAAKAEAAGRycy9lMm9Eb2MueG1sUEsFBgAAAAAGAAYAWQEAAO4F&#10;AAAAAA==&#10;">
                      <o:lock v:ext="edit" aspectratio="f"/>
                      <v:line id="Line 8" o:spid="_x0000_s1026" o:spt="20" style="position:absolute;left:11;top:26;height:10;width:24;"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9" o:spid="_x0000_s1026" o:spt="20" style="position:absolute;left:20;top:23;height:13;width:15;"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29210</wp:posOffset>
                      </wp:positionV>
                      <wp:extent cx="635" cy="0"/>
                      <wp:effectExtent l="5080" t="6985" r="13335" b="12065"/>
                      <wp:wrapNone/>
                      <wp:docPr id="7" name="Line 10"/>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99pt;margin-top:2.3pt;height:0pt;width:0.05pt;z-index:251663360;mso-width-relative:page;mso-height-relative:page;" filled="f" stroked="t" coordsize="21600,21600" o:gfxdata="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AMONdUAAAAHAQAADwAAAAAAAAABACAAAAAiAAAAZHJzL2Rvd25y&#10;ZXYueG1sUEsBAhQAFAAAAAgAh07iQPB5+VbIAQAAnAMAAA4AAAAAAAAAAQAgAAAAJAEAAGRycy9l&#10;Mm9Eb2MueG1sUEsFBgAAAAAGAAYAWQEAAF4FAAAAAA==&#10;">
                      <v:fill on="f" focussize="0,0"/>
                      <v:stroke color="#000000" joinstyle="round"/>
                      <v:imagedata o:title=""/>
                      <o:lock v:ext="edit" aspectratio="f"/>
                    </v:line>
                  </w:pict>
                </mc:Fallback>
              </mc:AlternateContent>
            </w:r>
            <w:r>
              <w:rPr>
                <w:rFonts w:hint="eastAsia" w:ascii="宋体" w:hAnsi="宋体" w:eastAsia="宋体" w:cs="宋体"/>
                <w:color w:val="auto"/>
                <w:sz w:val="22"/>
                <w:highlight w:val="none"/>
              </w:rPr>
              <w:t xml:space="preserve">          服务类型</w:t>
            </w:r>
          </w:p>
          <w:p>
            <w:pPr>
              <w:spacing w:line="360" w:lineRule="exact"/>
              <w:ind w:firstLine="1011" w:firstLineChars="460"/>
              <w:rPr>
                <w:rFonts w:hint="eastAsia" w:ascii="宋体" w:hAnsi="宋体" w:eastAsia="宋体" w:cs="宋体"/>
                <w:color w:val="auto"/>
                <w:sz w:val="22"/>
                <w:highlight w:val="none"/>
              </w:rPr>
            </w:pPr>
            <w:r>
              <w:rPr>
                <w:rFonts w:hint="eastAsia" w:ascii="宋体" w:hAnsi="宋体" w:eastAsia="宋体" w:cs="宋体"/>
                <w:color w:val="auto"/>
                <w:sz w:val="22"/>
                <w:highlight w:val="none"/>
              </w:rPr>
              <w:t>费率</w:t>
            </w:r>
          </w:p>
          <w:p>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中标金额（万元）</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货物招标</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服务招标</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100以下</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1.5%</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1.5%</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100-500</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1.1%</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0.8%</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500-1000</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0.8%</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0.45%</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1000-5000</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0.5%</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0.25%</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5000-10000</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0.25%</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0.1%</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10000-100000</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0.05%</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0.05%</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1000000以上</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0.01%</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0.01%</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0.01%</w:t>
            </w:r>
          </w:p>
        </w:tc>
      </w:tr>
    </w:tbl>
    <w:p>
      <w:pPr>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注：本次</w:t>
      </w:r>
      <w:r>
        <w:rPr>
          <w:rFonts w:hint="eastAsia" w:ascii="宋体" w:hAnsi="宋体" w:eastAsia="宋体" w:cs="宋体"/>
          <w:b/>
          <w:color w:val="auto"/>
          <w:sz w:val="22"/>
          <w:highlight w:val="none"/>
          <w:lang w:eastAsia="zh-CN"/>
        </w:rPr>
        <w:t>采购</w:t>
      </w:r>
      <w:r>
        <w:rPr>
          <w:rFonts w:hint="eastAsia" w:ascii="宋体" w:hAnsi="宋体" w:eastAsia="宋体" w:cs="宋体"/>
          <w:b/>
          <w:color w:val="auto"/>
          <w:sz w:val="22"/>
          <w:highlight w:val="none"/>
        </w:rPr>
        <w:t>为货物招标，招标代理服务收费按差额定率累进法计算。</w:t>
      </w:r>
    </w:p>
    <w:p>
      <w:pPr>
        <w:tabs>
          <w:tab w:val="left" w:pos="-180"/>
          <w:tab w:val="left" w:pos="180"/>
          <w:tab w:val="left" w:pos="360"/>
        </w:tabs>
        <w:spacing w:line="360" w:lineRule="exact"/>
        <w:ind w:firstLine="442" w:firstLineChars="200"/>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请各投标人将采购代理服务费包含在投标总报价中。</w:t>
      </w:r>
      <w:r>
        <w:rPr>
          <w:rFonts w:hint="eastAsia" w:ascii="宋体" w:hAnsi="宋体" w:eastAsia="宋体" w:cs="宋体"/>
          <w:color w:val="auto"/>
          <w:sz w:val="22"/>
          <w:highlight w:val="none"/>
        </w:rPr>
        <w:t>采购代理服务费可以是现金、支票或汇票。</w:t>
      </w:r>
    </w:p>
    <w:p>
      <w:pPr>
        <w:tabs>
          <w:tab w:val="left" w:pos="360"/>
        </w:tabs>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5.信用记录：</w:t>
      </w:r>
    </w:p>
    <w:p>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根据财库[2016]125号《关于在政府采购活动中查询及使用信用记录有关问题的通知》要求，采购代理机构会对投标人信用记录进行查询并甄别。</w:t>
      </w:r>
    </w:p>
    <w:p>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5.1.信用信息查询的截止时点：投标文件提交截止时间；</w:t>
      </w:r>
    </w:p>
    <w:p>
      <w:pPr>
        <w:tabs>
          <w:tab w:val="left" w:pos="360"/>
        </w:tabs>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5.2.查询渠道：“信用中国（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"https://www.creditchina.gov.cn/"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6"/>
          <w:sz w:val="22"/>
          <w:highlight w:val="none"/>
        </w:rPr>
        <w:t>https://www.creditchina.gov.cn</w:t>
      </w:r>
      <w:r>
        <w:rPr>
          <w:rFonts w:hint="eastAsia" w:ascii="宋体" w:hAnsi="宋体" w:eastAsia="宋体" w:cs="宋体"/>
          <w:b/>
          <w:bCs/>
          <w:color w:val="auto"/>
          <w:spacing w:val="6"/>
          <w:sz w:val="22"/>
          <w:highlight w:val="none"/>
        </w:rPr>
        <w:fldChar w:fldCharType="end"/>
      </w:r>
      <w:r>
        <w:rPr>
          <w:rFonts w:hint="eastAsia" w:ascii="宋体" w:hAnsi="宋体" w:eastAsia="宋体" w:cs="宋体"/>
          <w:b/>
          <w:bCs/>
          <w:color w:val="auto"/>
          <w:spacing w:val="6"/>
          <w:sz w:val="22"/>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6"/>
          <w:sz w:val="22"/>
          <w:highlight w:val="none"/>
        </w:rPr>
        <w:t>http://www.ccgp.gov.cn</w:t>
      </w:r>
      <w:r>
        <w:rPr>
          <w:rFonts w:hint="eastAsia" w:ascii="宋体" w:hAnsi="宋体" w:eastAsia="宋体" w:cs="宋体"/>
          <w:b/>
          <w:bCs/>
          <w:color w:val="auto"/>
          <w:spacing w:val="6"/>
          <w:sz w:val="22"/>
          <w:highlight w:val="none"/>
        </w:rPr>
        <w:fldChar w:fldCharType="end"/>
      </w:r>
      <w:r>
        <w:rPr>
          <w:rFonts w:hint="eastAsia" w:ascii="宋体" w:hAnsi="宋体" w:eastAsia="宋体" w:cs="宋体"/>
          <w:b/>
          <w:bCs/>
          <w:color w:val="auto"/>
          <w:spacing w:val="6"/>
          <w:sz w:val="22"/>
          <w:highlight w:val="none"/>
        </w:rPr>
        <w:t>）”</w:t>
      </w:r>
      <w:r>
        <w:rPr>
          <w:rFonts w:hint="eastAsia" w:ascii="宋体" w:hAnsi="宋体" w:eastAsia="宋体" w:cs="宋体"/>
          <w:color w:val="auto"/>
          <w:sz w:val="22"/>
          <w:highlight w:val="none"/>
        </w:rPr>
        <w:t>；</w:t>
      </w:r>
    </w:p>
    <w:p>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5.3.信用信息查询记录和证据留存具体方式：采购代理机构经办人或监督人员将查询网页打印与其他招标文件一并保存；</w:t>
      </w:r>
    </w:p>
    <w:p>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5.4.信用信息的使用规则：投标人存在不良信用记录的，其投标将被作为投标无效被拒绝；</w:t>
      </w:r>
    </w:p>
    <w:p>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不良信用记录指：被列入失信被执行人、重大税收违法案件当事人名单、政府采购严重违法失信行为记录名单或浙江政府采购网曝光台中尚在行政处罚期内的。</w:t>
      </w:r>
    </w:p>
    <w:p>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6.特别说明：</w:t>
      </w:r>
    </w:p>
    <w:p>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6.1投标人应仔细阅读招标文件的所有内容，按照招标文件的要求提交投标文件，并对所提供的全部资料的真实性承担法律责任。</w:t>
      </w:r>
    </w:p>
    <w:p>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招标文件规定的方式确定一个投标人获得中标人推荐资格，招标文件未规定的采取随机抽取方式确定，其他同品牌投标人不作为中标候选人。</w:t>
      </w:r>
    </w:p>
    <w:p>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非单一产品采购项目，采购人应当根据采购项目技术构成、产品价格比重等合理确定核心产品，并在招标文件中载明。多家投标人提供的核心产品品牌相同的，按前两款规定处理。</w:t>
      </w:r>
    </w:p>
    <w:p>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注：所有核心产品品牌均相同按同品牌投标人计算。</w:t>
      </w:r>
    </w:p>
    <w:p>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360" w:lineRule="exact"/>
        <w:ind w:firstLine="466"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6.4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pPr>
        <w:spacing w:line="360" w:lineRule="exact"/>
        <w:ind w:firstLine="466" w:firstLineChars="200"/>
        <w:rPr>
          <w:rFonts w:hint="eastAsia" w:ascii="宋体" w:hAnsi="宋体" w:eastAsia="宋体" w:cs="宋体"/>
          <w:color w:val="auto"/>
          <w:sz w:val="22"/>
          <w:highlight w:val="none"/>
        </w:rPr>
      </w:pPr>
      <w:r>
        <w:rPr>
          <w:rFonts w:hint="eastAsia" w:ascii="宋体" w:hAnsi="宋体" w:eastAsia="宋体" w:cs="宋体"/>
          <w:b/>
          <w:bCs/>
          <w:color w:val="auto"/>
          <w:spacing w:val="6"/>
          <w:sz w:val="22"/>
          <w:highlight w:val="none"/>
        </w:rPr>
        <w:t>6.5</w:t>
      </w:r>
      <w:r>
        <w:rPr>
          <w:rFonts w:hint="eastAsia" w:ascii="宋体" w:hAnsi="宋体" w:eastAsia="宋体" w:cs="宋体"/>
          <w:b/>
          <w:bCs/>
          <w:color w:val="auto"/>
          <w:kern w:val="0"/>
          <w:sz w:val="22"/>
          <w:highlight w:val="none"/>
          <w:lang w:val="zh-CN"/>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人的，在合同签订前按本办法的规定完成注册并成为正式注册供应商。</w:t>
      </w:r>
    </w:p>
    <w:p>
      <w:pPr>
        <w:spacing w:line="400" w:lineRule="exact"/>
        <w:ind w:firstLine="522" w:firstLineChars="200"/>
        <w:jc w:val="center"/>
        <w:rPr>
          <w:rFonts w:hint="eastAsia" w:ascii="宋体" w:hAnsi="宋体" w:eastAsia="宋体" w:cs="宋体"/>
          <w:b/>
          <w:color w:val="auto"/>
          <w:sz w:val="26"/>
          <w:highlight w:val="none"/>
        </w:rPr>
      </w:pPr>
      <w:r>
        <w:rPr>
          <w:rFonts w:hint="eastAsia" w:ascii="宋体" w:hAnsi="宋体" w:eastAsia="宋体" w:cs="宋体"/>
          <w:b/>
          <w:color w:val="auto"/>
          <w:sz w:val="26"/>
          <w:highlight w:val="none"/>
        </w:rPr>
        <w:t>二、招标文件</w:t>
      </w:r>
    </w:p>
    <w:p>
      <w:pPr>
        <w:spacing w:line="360" w:lineRule="exact"/>
        <w:ind w:firstLine="440" w:firstLineChars="200"/>
        <w:outlineLvl w:val="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pPr>
        <w:spacing w:line="360" w:lineRule="exact"/>
        <w:ind w:firstLine="440" w:firstLineChars="200"/>
        <w:outlineLvl w:val="0"/>
        <w:rPr>
          <w:rFonts w:hint="eastAsia" w:ascii="宋体" w:hAnsi="宋体" w:eastAsia="宋体" w:cs="宋体"/>
          <w:color w:val="auto"/>
          <w:sz w:val="22"/>
          <w:highlight w:val="none"/>
        </w:rPr>
      </w:pPr>
      <w:r>
        <w:rPr>
          <w:rFonts w:hint="eastAsia" w:ascii="宋体" w:hAnsi="宋体" w:eastAsia="宋体" w:cs="宋体"/>
          <w:color w:val="auto"/>
          <w:sz w:val="22"/>
          <w:highlight w:val="none"/>
        </w:rPr>
        <w:t>2.质疑</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2.1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2.2投标人提出质疑应当提交质疑函和必要的证明材料，质疑函范本请到“浙江政府采购网下载专区”下载，质疑函应当包括下列内容：</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（一）投标人的姓名或者名称、地址、邮编、联系人及联系方式；</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（二）质疑项目的名称、编号；</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（三）具体、明确的质疑事项和与质疑事项相关的请求；</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（四）事实依据；</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（五）必要的法律依据；</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（六）提出质疑的日期。</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投标人为自然人的，应当由本人签字；投标人为法人或者其他组织的，应当由法定代表人、主要负责人，或者其授权代表签字或者盖章，并加盖电子签章。</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2.3提出质疑的投标人应当是参与本项目招标活动的投标人。</w:t>
      </w:r>
      <w:r>
        <w:rPr>
          <w:rFonts w:hint="eastAsia" w:ascii="宋体" w:hAnsi="宋体" w:eastAsia="宋体" w:cs="宋体"/>
          <w:b/>
          <w:bCs/>
          <w:color w:val="auto"/>
          <w:spacing w:val="6"/>
          <w:sz w:val="22"/>
          <w:highlight w:val="none"/>
        </w:rPr>
        <w:t>投标人在法定质疑期内一次性提出针对同一采购程序环节的质疑。</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2.4根据《政府采购质疑和投诉办法》第三十七条的规定，投诉人在全国范围12个月内三次以上投诉查无实据的，由财政部门列入不良行为记录名单。</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投诉人有下列行为之一的，属于虚假、恶意投诉，由财政部门列入不良行为记录名单，禁止其1至3年内参加政府采购活动：</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（一）捏造事实；</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（二）提供虚假材料；</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（三）以非法手段取得证明材料。证据来源的合法性存在明显疑问，投诉人无法证明其取得方式合法的，视为以非法手段取得证明材料。</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3.投诉</w:t>
      </w:r>
    </w:p>
    <w:p>
      <w:pPr>
        <w:spacing w:line="360" w:lineRule="exact"/>
        <w:ind w:firstLine="464" w:firstLineChars="200"/>
        <w:outlineLvl w:val="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spacing w:line="360" w:lineRule="exact"/>
        <w:ind w:firstLine="464" w:firstLineChars="20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4.澄清或修改</w:t>
      </w:r>
    </w:p>
    <w:p>
      <w:pPr>
        <w:spacing w:line="360" w:lineRule="exact"/>
        <w:ind w:firstLine="464" w:firstLineChars="20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4.1采购人或者采购代理机构可以对已发出的招标文件进行必要的澄清或者修改。澄清或者修改</w:t>
      </w:r>
      <w:r>
        <w:rPr>
          <w:rStyle w:val="30"/>
          <w:rFonts w:hint="eastAsia" w:ascii="宋体" w:hAnsi="宋体" w:eastAsia="宋体" w:cs="宋体"/>
          <w:b w:val="0"/>
          <w:color w:val="auto"/>
          <w:sz w:val="22"/>
          <w:highlight w:val="none"/>
        </w:rPr>
        <w:t>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w:t>
      </w:r>
      <w:r>
        <w:rPr>
          <w:rFonts w:hint="eastAsia" w:ascii="宋体" w:hAnsi="宋体" w:eastAsia="宋体" w:cs="宋体"/>
          <w:color w:val="auto"/>
          <w:spacing w:val="6"/>
          <w:sz w:val="22"/>
          <w:highlight w:val="none"/>
        </w:rPr>
        <w:t>澄清或者修改的内容为招标文件的组成部分。</w:t>
      </w:r>
    </w:p>
    <w:p>
      <w:pPr>
        <w:spacing w:line="360" w:lineRule="exact"/>
        <w:ind w:firstLine="464" w:firstLineChars="20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澄清或者修改的内容可能影响投标文件编制的，采购人或者采购代理机构应当在投标文件提交截止时间至少15日前，以书面形式（</w:t>
      </w:r>
      <w:r>
        <w:rPr>
          <w:rStyle w:val="30"/>
          <w:rFonts w:hint="eastAsia" w:ascii="宋体" w:hAnsi="宋体" w:eastAsia="宋体" w:cs="宋体"/>
          <w:b w:val="0"/>
          <w:color w:val="auto"/>
          <w:sz w:val="22"/>
          <w:highlight w:val="none"/>
        </w:rPr>
        <w:t>在浙江政府采购网上发布公告</w:t>
      </w:r>
      <w:r>
        <w:rPr>
          <w:rFonts w:hint="eastAsia" w:ascii="宋体" w:hAnsi="宋体" w:eastAsia="宋体" w:cs="宋体"/>
          <w:color w:val="auto"/>
          <w:spacing w:val="6"/>
          <w:sz w:val="22"/>
          <w:highlight w:val="none"/>
        </w:rPr>
        <w:t>）通知所有获取招标文件的潜在投标人；不足15日的，采购人或者采购代理机构应当顺延提交投标文件的截止时间。</w:t>
      </w:r>
    </w:p>
    <w:p>
      <w:pPr>
        <w:spacing w:line="400" w:lineRule="exact"/>
        <w:ind w:firstLine="522" w:firstLineChars="200"/>
        <w:jc w:val="center"/>
        <w:rPr>
          <w:rFonts w:hint="eastAsia" w:ascii="宋体" w:hAnsi="宋体" w:eastAsia="宋体" w:cs="宋体"/>
          <w:color w:val="auto"/>
          <w:sz w:val="22"/>
          <w:highlight w:val="none"/>
        </w:rPr>
      </w:pPr>
      <w:r>
        <w:rPr>
          <w:rFonts w:hint="eastAsia" w:ascii="宋体" w:hAnsi="宋体" w:eastAsia="宋体" w:cs="宋体"/>
          <w:b/>
          <w:color w:val="auto"/>
          <w:sz w:val="26"/>
          <w:highlight w:val="none"/>
        </w:rPr>
        <w:t>三、 投标文件的编制</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1.投标文件的形式</w:t>
      </w:r>
    </w:p>
    <w:p>
      <w:pPr>
        <w:pStyle w:val="15"/>
        <w:snapToGrid w:val="0"/>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投标文件分为电子投标文件以及备份投标文件，备份文件为以介质存储的数据电文形式的备份投标文件。</w:t>
      </w:r>
    </w:p>
    <w:p>
      <w:pPr>
        <w:spacing w:line="360" w:lineRule="exact"/>
        <w:ind w:firstLine="442" w:firstLineChars="200"/>
        <w:rPr>
          <w:rFonts w:hint="eastAsia" w:ascii="宋体" w:hAnsi="宋体" w:eastAsia="宋体" w:cs="宋体"/>
          <w:color w:val="auto"/>
          <w:kern w:val="0"/>
          <w:sz w:val="22"/>
          <w:highlight w:val="none"/>
        </w:rPr>
      </w:pPr>
      <w:r>
        <w:rPr>
          <w:rFonts w:hint="eastAsia" w:ascii="宋体" w:hAnsi="宋体" w:eastAsia="宋体" w:cs="宋体"/>
          <w:b/>
          <w:bCs/>
          <w:color w:val="auto"/>
          <w:sz w:val="22"/>
          <w:highlight w:val="none"/>
        </w:rPr>
        <w:t>1.1电子投标文件，通过政采云电子交易客户端（政采云投标客户端）完成投标文件编制后生成并加密的数据电文形式的投标文件（文件扩展名为.jmbs）</w:t>
      </w:r>
      <w:r>
        <w:rPr>
          <w:rFonts w:hint="eastAsia" w:ascii="宋体" w:hAnsi="宋体" w:eastAsia="宋体" w:cs="宋体"/>
          <w:color w:val="auto"/>
          <w:kern w:val="0"/>
          <w:sz w:val="22"/>
          <w:highlight w:val="none"/>
        </w:rPr>
        <w:t>。</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1.2以介质存储的数据电文形式的备份投标文件：</w:t>
      </w:r>
      <w:r>
        <w:rPr>
          <w:rStyle w:val="30"/>
          <w:rFonts w:hint="eastAsia" w:ascii="宋体" w:hAnsi="宋体" w:eastAsia="宋体" w:cs="宋体"/>
          <w:bCs/>
          <w:color w:val="auto"/>
          <w:sz w:val="22"/>
          <w:highlight w:val="none"/>
        </w:rPr>
        <w:t>与“电子投标文件”同时生成的数据电文形式的备份投标文件</w:t>
      </w:r>
      <w:r>
        <w:rPr>
          <w:rFonts w:hint="eastAsia" w:ascii="宋体" w:hAnsi="宋体" w:eastAsia="宋体" w:cs="宋体"/>
          <w:b/>
          <w:bCs/>
          <w:color w:val="auto"/>
          <w:sz w:val="22"/>
          <w:highlight w:val="none"/>
        </w:rPr>
        <w:t>(</w:t>
      </w:r>
      <w:r>
        <w:rPr>
          <w:rFonts w:hint="eastAsia" w:ascii="宋体" w:hAnsi="宋体" w:eastAsia="宋体" w:cs="宋体"/>
          <w:b/>
          <w:bCs/>
          <w:color w:val="auto"/>
          <w:sz w:val="22"/>
          <w:highlight w:val="none"/>
          <w:lang w:val="zh-CN"/>
        </w:rPr>
        <w:t>文件扩展名为</w:t>
      </w:r>
      <w:r>
        <w:rPr>
          <w:rFonts w:hint="eastAsia" w:ascii="宋体" w:hAnsi="宋体" w:eastAsia="宋体" w:cs="宋体"/>
          <w:b/>
          <w:bCs/>
          <w:color w:val="auto"/>
          <w:sz w:val="22"/>
          <w:highlight w:val="none"/>
        </w:rPr>
        <w:t>.bfbs)，</w:t>
      </w:r>
      <w:r>
        <w:rPr>
          <w:rFonts w:hint="eastAsia" w:ascii="宋体" w:hAnsi="宋体" w:eastAsia="宋体" w:cs="宋体"/>
          <w:b/>
          <w:bCs/>
          <w:color w:val="auto"/>
          <w:sz w:val="22"/>
          <w:highlight w:val="none"/>
          <w:lang w:val="zh-CN"/>
        </w:rPr>
        <w:t>投标文件提交截止时间前以电子邮件方式传送至浙江乐诚工程咨询有限公司电子邮箱</w:t>
      </w:r>
      <w:r>
        <w:rPr>
          <w:rFonts w:hint="eastAsia" w:ascii="宋体" w:hAnsi="宋体" w:eastAsia="宋体" w:cs="宋体"/>
          <w:b/>
          <w:bCs/>
          <w:color w:val="auto"/>
          <w:sz w:val="22"/>
          <w:highlight w:val="none"/>
        </w:rPr>
        <w:t>2812799762@qq.com，</w:t>
      </w:r>
      <w:r>
        <w:rPr>
          <w:rFonts w:hint="eastAsia" w:ascii="宋体" w:hAnsi="宋体" w:eastAsia="宋体" w:cs="宋体"/>
          <w:b/>
          <w:bCs/>
          <w:color w:val="auto"/>
          <w:sz w:val="22"/>
          <w:highlight w:val="none"/>
          <w:lang w:val="zh-CN"/>
        </w:rPr>
        <w:t>递交</w:t>
      </w:r>
      <w:r>
        <w:rPr>
          <w:rFonts w:hint="eastAsia" w:ascii="宋体" w:hAnsi="宋体" w:eastAsia="宋体" w:cs="宋体"/>
          <w:b/>
          <w:bCs/>
          <w:color w:val="auto"/>
          <w:sz w:val="22"/>
          <w:highlight w:val="none"/>
        </w:rPr>
        <w:t>1</w:t>
      </w:r>
      <w:r>
        <w:rPr>
          <w:rFonts w:hint="eastAsia" w:ascii="宋体" w:hAnsi="宋体" w:eastAsia="宋体" w:cs="宋体"/>
          <w:b/>
          <w:bCs/>
          <w:color w:val="auto"/>
          <w:sz w:val="22"/>
          <w:highlight w:val="none"/>
          <w:lang w:val="zh-CN"/>
        </w:rPr>
        <w:t>份</w:t>
      </w:r>
      <w:r>
        <w:rPr>
          <w:rFonts w:hint="eastAsia" w:ascii="宋体" w:hAnsi="宋体" w:eastAsia="宋体" w:cs="宋体"/>
          <w:b/>
          <w:bCs/>
          <w:color w:val="auto"/>
          <w:sz w:val="22"/>
          <w:highlight w:val="none"/>
        </w:rPr>
        <w:t>，</w:t>
      </w:r>
      <w:r>
        <w:rPr>
          <w:rFonts w:hint="eastAsia" w:ascii="宋体" w:hAnsi="宋体" w:eastAsia="宋体" w:cs="宋体"/>
          <w:b/>
          <w:bCs/>
          <w:color w:val="auto"/>
          <w:sz w:val="22"/>
          <w:highlight w:val="none"/>
          <w:lang w:val="zh-CN"/>
        </w:rPr>
        <w:t>传送的备份投标文件需打包压缩并加密</w:t>
      </w:r>
      <w:r>
        <w:rPr>
          <w:rFonts w:hint="eastAsia" w:ascii="宋体" w:hAnsi="宋体" w:eastAsia="宋体" w:cs="宋体"/>
          <w:b/>
          <w:bCs/>
          <w:color w:val="auto"/>
          <w:sz w:val="22"/>
          <w:highlight w:val="none"/>
        </w:rPr>
        <w:t>，</w:t>
      </w:r>
      <w:r>
        <w:rPr>
          <w:rFonts w:hint="eastAsia" w:ascii="宋体" w:hAnsi="宋体" w:eastAsia="宋体" w:cs="宋体"/>
          <w:b/>
          <w:bCs/>
          <w:color w:val="auto"/>
          <w:sz w:val="22"/>
          <w:highlight w:val="none"/>
          <w:lang w:val="zh-CN"/>
        </w:rPr>
        <w:t>加密密码由投标人自行保管</w:t>
      </w:r>
      <w:r>
        <w:rPr>
          <w:rFonts w:hint="eastAsia" w:ascii="宋体" w:hAnsi="宋体" w:eastAsia="宋体" w:cs="宋体"/>
          <w:b/>
          <w:bCs/>
          <w:color w:val="auto"/>
          <w:sz w:val="22"/>
          <w:highlight w:val="none"/>
        </w:rPr>
        <w:t>，未加密导致投标信息泄露的风险由投标人自行承担</w:t>
      </w:r>
      <w:r>
        <w:rPr>
          <w:rStyle w:val="30"/>
          <w:rFonts w:hint="eastAsia" w:ascii="宋体" w:hAnsi="宋体" w:eastAsia="宋体" w:cs="宋体"/>
          <w:bCs/>
          <w:color w:val="auto"/>
          <w:sz w:val="22"/>
          <w:highlight w:val="none"/>
        </w:rPr>
        <w:t>。</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1.3 投标文件的效力</w:t>
      </w:r>
    </w:p>
    <w:p>
      <w:pPr>
        <w:spacing w:line="360" w:lineRule="exact"/>
        <w:ind w:firstLine="442" w:firstLineChars="200"/>
        <w:rPr>
          <w:rFonts w:hint="eastAsia" w:ascii="宋体" w:hAnsi="宋体" w:eastAsia="宋体" w:cs="宋体"/>
          <w:b/>
          <w:bCs/>
          <w:color w:val="auto"/>
          <w:sz w:val="22"/>
          <w:highlight w:val="none"/>
          <w:lang w:val="zh-CN"/>
        </w:rPr>
      </w:pPr>
      <w:r>
        <w:rPr>
          <w:rFonts w:hint="eastAsia" w:ascii="宋体" w:hAnsi="宋体" w:eastAsia="宋体" w:cs="宋体"/>
          <w:b/>
          <w:bCs/>
          <w:color w:val="auto"/>
          <w:sz w:val="22"/>
          <w:highlight w:val="none"/>
          <w:lang w:val="zh-CN"/>
        </w:rPr>
        <w:t>投标文件的启用，按先后顺位分别为电子投标文件、以介质存储的数据电文形式的备份投标文件。在下一顺位的投标文件启用时，前一顺位的投标文件自动失效。</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2.投标人应认真阅读招标文件中所有事项格式、条款和技术规范等。</w:t>
      </w:r>
      <w:r>
        <w:rPr>
          <w:rFonts w:hint="eastAsia" w:ascii="宋体" w:hAnsi="宋体" w:eastAsia="宋体" w:cs="宋体"/>
          <w:bCs/>
          <w:color w:val="auto"/>
          <w:sz w:val="22"/>
          <w:highlight w:val="none"/>
          <w:u w:val="single"/>
        </w:rPr>
        <w:t>▲</w:t>
      </w:r>
      <w:r>
        <w:rPr>
          <w:rFonts w:hint="eastAsia" w:ascii="宋体" w:hAnsi="宋体" w:eastAsia="宋体" w:cs="宋体"/>
          <w:color w:val="auto"/>
          <w:sz w:val="22"/>
          <w:highlight w:val="none"/>
          <w:u w:val="single"/>
        </w:rPr>
        <w:t>投标人没有对招标文件各个方面做出实质性响应，导致投标被拒绝的风险由投标人自行承担。</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3.</w:t>
      </w:r>
      <w:r>
        <w:rPr>
          <w:rFonts w:hint="eastAsia" w:ascii="宋体" w:hAnsi="宋体" w:eastAsia="宋体" w:cs="宋体"/>
          <w:bCs/>
          <w:color w:val="auto"/>
          <w:sz w:val="22"/>
          <w:highlight w:val="none"/>
          <w:u w:val="single"/>
        </w:rPr>
        <w:t>▲</w:t>
      </w:r>
      <w:r>
        <w:rPr>
          <w:rFonts w:hint="eastAsia" w:ascii="宋体" w:hAnsi="宋体" w:eastAsia="宋体" w:cs="宋体"/>
          <w:color w:val="auto"/>
          <w:sz w:val="22"/>
          <w:highlight w:val="none"/>
          <w:u w:val="single"/>
        </w:rPr>
        <w:t>投标人应保证所提供文件资料的真实性，所有文件资料必须是针对本次投标的。如发现投标人提供了虚假文件资料，其投标将被拒绝，并自行承担相应的法律责任。</w:t>
      </w:r>
    </w:p>
    <w:p>
      <w:pPr>
        <w:spacing w:line="360" w:lineRule="exact"/>
        <w:ind w:firstLine="440" w:firstLineChars="200"/>
        <w:rPr>
          <w:rFonts w:hint="eastAsia" w:ascii="宋体" w:hAnsi="宋体" w:eastAsia="宋体" w:cs="宋体"/>
          <w:b/>
          <w:color w:val="auto"/>
          <w:sz w:val="22"/>
          <w:highlight w:val="none"/>
        </w:rPr>
      </w:pPr>
      <w:r>
        <w:rPr>
          <w:rFonts w:hint="eastAsia" w:ascii="宋体" w:hAnsi="宋体" w:eastAsia="宋体" w:cs="宋体"/>
          <w:color w:val="auto"/>
          <w:sz w:val="22"/>
          <w:highlight w:val="none"/>
        </w:rPr>
        <w:t>4.投标文件的构成：</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投标文件由“报价文件”、“资格文件”和“商务和技术文件”三部分组成，以下的“附件”，指的是第四部分 附件中的表格，其中电子投标文件中所须加盖电子签章部分均采用CA签章。</w:t>
      </w:r>
    </w:p>
    <w:p>
      <w:pPr>
        <w:spacing w:line="360" w:lineRule="exact"/>
        <w:ind w:firstLine="442" w:firstLineChars="200"/>
        <w:outlineLvl w:val="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（1）报价文件</w:t>
      </w:r>
    </w:p>
    <w:p>
      <w:pPr>
        <w:tabs>
          <w:tab w:val="left" w:pos="535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1）开标一览表；（见附件1）</w:t>
      </w:r>
    </w:p>
    <w:p>
      <w:pPr>
        <w:tabs>
          <w:tab w:val="left" w:pos="535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2）投标报价明细表；（见附件2）</w:t>
      </w:r>
    </w:p>
    <w:p>
      <w:pPr>
        <w:tabs>
          <w:tab w:val="left" w:pos="535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3）小微企业证明材料（非小微企业不用提供）；（见附件3）</w:t>
      </w:r>
    </w:p>
    <w:p>
      <w:pPr>
        <w:tabs>
          <w:tab w:val="left" w:pos="535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4）投标报价部分其他内容（如有，格式自拟）。</w:t>
      </w:r>
    </w:p>
    <w:p>
      <w:pPr>
        <w:tabs>
          <w:tab w:val="left" w:pos="5355"/>
        </w:tabs>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（2）资格文件：（见附件4）</w:t>
      </w:r>
    </w:p>
    <w:p>
      <w:pPr>
        <w:autoSpaceDE w:val="0"/>
        <w:autoSpaceDN w:val="0"/>
        <w:adjustRightInd w:val="0"/>
        <w:snapToGrid w:val="0"/>
        <w:spacing w:line="360" w:lineRule="exact"/>
        <w:ind w:left="400"/>
        <w:textAlignment w:val="bottom"/>
        <w:rPr>
          <w:rFonts w:hint="eastAsia" w:ascii="宋体" w:hAnsi="宋体" w:eastAsia="宋体" w:cs="宋体"/>
          <w:b/>
          <w:bCs/>
          <w:snapToGrid w:val="0"/>
          <w:color w:val="auto"/>
          <w:sz w:val="22"/>
          <w:highlight w:val="none"/>
        </w:rPr>
      </w:pPr>
      <w:r>
        <w:rPr>
          <w:rFonts w:hint="eastAsia" w:ascii="宋体" w:hAnsi="宋体" w:eastAsia="宋体" w:cs="宋体"/>
          <w:b/>
          <w:bCs/>
          <w:color w:val="auto"/>
          <w:spacing w:val="-6"/>
          <w:sz w:val="22"/>
          <w:highlight w:val="none"/>
        </w:rPr>
        <w:t>1）</w:t>
      </w:r>
      <w:r>
        <w:rPr>
          <w:rFonts w:hint="eastAsia" w:ascii="宋体" w:hAnsi="宋体" w:eastAsia="宋体" w:cs="宋体"/>
          <w:b/>
          <w:bCs/>
          <w:snapToGrid w:val="0"/>
          <w:color w:val="auto"/>
          <w:sz w:val="22"/>
          <w:highlight w:val="none"/>
        </w:rPr>
        <w:t>有效的法人或者其他组织的营业执照等证明文件，自然人的身份证明（五选一）</w:t>
      </w:r>
      <w:r>
        <w:rPr>
          <w:rFonts w:hint="eastAsia" w:ascii="宋体" w:hAnsi="宋体" w:eastAsia="宋体" w:cs="宋体"/>
          <w:b/>
          <w:bCs/>
          <w:color w:val="auto"/>
          <w:sz w:val="22"/>
          <w:highlight w:val="none"/>
        </w:rPr>
        <w:t>（见附件4-1）</w:t>
      </w:r>
    </w:p>
    <w:p>
      <w:pPr>
        <w:autoSpaceDE w:val="0"/>
        <w:autoSpaceDN w:val="0"/>
        <w:adjustRightInd w:val="0"/>
        <w:spacing w:line="360" w:lineRule="exact"/>
        <w:ind w:left="400"/>
        <w:rPr>
          <w:rFonts w:hint="eastAsia" w:ascii="宋体" w:hAnsi="宋体" w:eastAsia="宋体" w:cs="宋体"/>
          <w:b/>
          <w:bCs/>
          <w:color w:val="auto"/>
          <w:sz w:val="22"/>
          <w:highlight w:val="none"/>
        </w:rPr>
      </w:pPr>
      <w:r>
        <w:rPr>
          <w:rFonts w:hint="eastAsia" w:ascii="宋体" w:hAnsi="宋体" w:eastAsia="宋体" w:cs="宋体"/>
          <w:b/>
          <w:bCs/>
          <w:color w:val="auto"/>
          <w:spacing w:val="-6"/>
          <w:sz w:val="22"/>
          <w:highlight w:val="none"/>
        </w:rPr>
        <w:t>2）</w:t>
      </w:r>
      <w:r>
        <w:rPr>
          <w:rFonts w:hint="eastAsia" w:ascii="宋体" w:hAnsi="宋体" w:eastAsia="宋体" w:cs="宋体"/>
          <w:b/>
          <w:bCs/>
          <w:snapToGrid w:val="0"/>
          <w:color w:val="auto"/>
          <w:sz w:val="22"/>
          <w:highlight w:val="none"/>
        </w:rPr>
        <w:t>关于符合《中华人民共和国政府采购法》第二十二条规定的承诺函</w:t>
      </w:r>
      <w:r>
        <w:rPr>
          <w:rFonts w:hint="eastAsia" w:ascii="宋体" w:hAnsi="宋体" w:eastAsia="宋体" w:cs="宋体"/>
          <w:b/>
          <w:bCs/>
          <w:color w:val="auto"/>
          <w:sz w:val="22"/>
          <w:highlight w:val="none"/>
        </w:rPr>
        <w:t>（见附件4-2）</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（3）商务和技术文件</w:t>
      </w:r>
    </w:p>
    <w:p>
      <w:pPr>
        <w:tabs>
          <w:tab w:val="left" w:pos="5355"/>
        </w:tabs>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1）评分索引表（见附件5）</w:t>
      </w:r>
    </w:p>
    <w:p>
      <w:pPr>
        <w:tabs>
          <w:tab w:val="left" w:pos="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2）投标函（见附件6）</w:t>
      </w:r>
    </w:p>
    <w:p>
      <w:pPr>
        <w:tabs>
          <w:tab w:val="left" w:pos="535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3）法定代表人资格证明书/法定代表人授权委托书；（见附件7）</w:t>
      </w:r>
    </w:p>
    <w:p>
      <w:pPr>
        <w:tabs>
          <w:tab w:val="left" w:pos="535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4）投标声明书（见附件8）  </w:t>
      </w:r>
    </w:p>
    <w:p>
      <w:pPr>
        <w:tabs>
          <w:tab w:val="left" w:pos="535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5）投标人基本情况表（见附件9）                </w:t>
      </w:r>
    </w:p>
    <w:p>
      <w:pPr>
        <w:tabs>
          <w:tab w:val="left" w:pos="535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6）节能、环保产品证明材料（如有）（见附件10）；</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7）投标人同类项目业绩一览表（如有）（见附件11）；</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8）采购需求偏离表（见附件12）；</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9）货物配置清单（见附件13）；</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10）常用材料、零配件报价清单（见附件14）；</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11）投标产品技术支持材料（见附件15）；</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12）政府采购活动现场确认声明书（见附件16）；</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13）投标人需要说明的其他文件和说明（格式自拟）。</w:t>
      </w:r>
    </w:p>
    <w:p>
      <w:pPr>
        <w:spacing w:line="360" w:lineRule="exact"/>
        <w:ind w:firstLine="442" w:firstLineChars="200"/>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以上内容按照招标文件第四部分附件所附格式填写，相关证书、报告等</w:t>
      </w:r>
      <w:r>
        <w:rPr>
          <w:rFonts w:hint="eastAsia" w:ascii="宋体" w:hAnsi="宋体" w:eastAsia="宋体" w:cs="宋体"/>
          <w:b/>
          <w:bCs/>
          <w:color w:val="auto"/>
          <w:spacing w:val="-6"/>
          <w:sz w:val="22"/>
          <w:highlight w:val="none"/>
        </w:rPr>
        <w:t>如遇年检或换证等特殊情况须按要求提供相应的证明材料</w:t>
      </w:r>
      <w:r>
        <w:rPr>
          <w:rFonts w:hint="eastAsia" w:ascii="宋体" w:hAnsi="宋体" w:eastAsia="宋体" w:cs="宋体"/>
          <w:b/>
          <w:bCs/>
          <w:color w:val="auto"/>
          <w:sz w:val="22"/>
          <w:highlight w:val="none"/>
        </w:rPr>
        <w:t>。没有提供格式的，投标人根据实际情况自行编制。</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投标人可在招标文件中对招标货物的技术规格和要求选用替代标准，但这些替代标准必须相等于或优于招标文件中提出的相应要求，并使采购人满意。同时在采购需求偏离表中作出详细说明。</w:t>
      </w:r>
    </w:p>
    <w:p>
      <w:pPr>
        <w:pStyle w:val="15"/>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5.投标文件格式</w:t>
      </w:r>
    </w:p>
    <w:p>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5.1投标文件须包括本须知第4条中规定的全部内容，投标人不按招标文件的要求提供的投标文件和资料将视为没有对招标文件作实质性响应，其投标将被拒绝，其风险由投标人自行承担。</w:t>
      </w:r>
    </w:p>
    <w:p>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15"/>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6.投标文件编制要求</w:t>
      </w:r>
    </w:p>
    <w:p>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6.1</w:t>
      </w:r>
      <w:r>
        <w:rPr>
          <w:rFonts w:hint="eastAsia" w:ascii="宋体" w:hAnsi="宋体" w:eastAsia="宋体" w:cs="宋体"/>
          <w:b/>
          <w:bCs/>
          <w:color w:val="auto"/>
          <w:sz w:val="22"/>
          <w:highlight w:val="none"/>
        </w:rPr>
        <w:t>投标人应根据电子投标操作指南按本招标文件规定的格式和顺序编制电子投标文件并进行关联定位</w:t>
      </w:r>
      <w:r>
        <w:rPr>
          <w:rFonts w:hint="eastAsia" w:ascii="宋体" w:hAnsi="宋体" w:eastAsia="宋体" w:cs="宋体"/>
          <w:color w:val="auto"/>
          <w:sz w:val="22"/>
          <w:highlight w:val="none"/>
        </w:rPr>
        <w:t>。</w:t>
      </w:r>
    </w:p>
    <w:p>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6.2由于未按招标文件的规定要求编制投标文件，导致评审小组作出的对投标人的误判，责任由投标人自己承担。</w:t>
      </w:r>
    </w:p>
    <w:p>
      <w:pPr>
        <w:tabs>
          <w:tab w:val="left" w:pos="-180"/>
          <w:tab w:val="left" w:pos="180"/>
          <w:tab w:val="left" w:pos="360"/>
        </w:tabs>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7.投标报价</w:t>
      </w:r>
    </w:p>
    <w:p>
      <w:pPr>
        <w:tabs>
          <w:tab w:val="left" w:pos="-180"/>
          <w:tab w:val="left" w:pos="180"/>
          <w:tab w:val="left" w:pos="360"/>
        </w:tabs>
        <w:spacing w:line="360" w:lineRule="exact"/>
        <w:ind w:firstLine="440" w:firstLineChars="200"/>
        <w:rPr>
          <w:rFonts w:hint="eastAsia" w:ascii="宋体" w:hAnsi="宋体" w:eastAsia="宋体" w:cs="宋体"/>
          <w:b/>
          <w:color w:val="auto"/>
          <w:sz w:val="22"/>
          <w:highlight w:val="none"/>
        </w:rPr>
      </w:pPr>
      <w:r>
        <w:rPr>
          <w:rFonts w:hint="eastAsia" w:ascii="宋体" w:hAnsi="宋体" w:eastAsia="宋体" w:cs="宋体"/>
          <w:color w:val="auto"/>
          <w:sz w:val="22"/>
          <w:highlight w:val="none"/>
        </w:rPr>
        <w:t xml:space="preserve">7.1投标总报价是指投标人在正确地完全履行合同义务后采购人应支付给投标人所有的货物价款，即货物的供货、包装、运输、装卸、安装调试、验收（含第三方验收）、质保期内软件升级、汇率风险、采购代理服务费、外贸代理费、售后服务、材料税费、搬运费及其他费用等全部费用，实行固定费用总包干，投标人应根据上述因素自行考虑含入投标总价。 </w:t>
      </w:r>
    </w:p>
    <w:p>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7.2投标人须按第四部分附件的开标一览表（统一格式）、投标报价明细表（统一格式）的内容填写产品单价、合价及其他事项，并由法定代表人或授权代表签字或盖章。</w:t>
      </w:r>
    </w:p>
    <w:p>
      <w:pPr>
        <w:tabs>
          <w:tab w:val="left" w:pos="-180"/>
          <w:tab w:val="left" w:pos="180"/>
          <w:tab w:val="left" w:pos="360"/>
        </w:tabs>
        <w:spacing w:line="360" w:lineRule="exact"/>
        <w:ind w:firstLine="442" w:firstLineChars="200"/>
        <w:outlineLvl w:val="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7.3报价货币为人民币。</w:t>
      </w:r>
    </w:p>
    <w:p>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▲7.4采购人不接受任何选择报价，对每一种货物只允许一个报价。</w:t>
      </w:r>
    </w:p>
    <w:p>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7.5采购人要求分类报价是为了方便评标，但在任何情况下不限制采购人以其认为最合适的条款、条件签订合同的权利。</w:t>
      </w:r>
    </w:p>
    <w:p>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7.6最低报价不能作为中标的保证。</w:t>
      </w:r>
    </w:p>
    <w:p>
      <w:pPr>
        <w:tabs>
          <w:tab w:val="left" w:pos="-180"/>
          <w:tab w:val="left" w:pos="180"/>
          <w:tab w:val="left" w:pos="360"/>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8.投标保证金：</w:t>
      </w:r>
      <w:r>
        <w:rPr>
          <w:rFonts w:hint="eastAsia" w:ascii="宋体" w:hAnsi="宋体" w:eastAsia="宋体" w:cs="宋体"/>
          <w:color w:val="auto"/>
          <w:spacing w:val="-6"/>
          <w:sz w:val="22"/>
          <w:highlight w:val="none"/>
          <w:lang w:val="zh-CN"/>
        </w:rPr>
        <w:t>本项目不收取投标保证金。</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9.投标有效期</w:t>
      </w:r>
    </w:p>
    <w:p>
      <w:pPr>
        <w:spacing w:line="360" w:lineRule="exact"/>
        <w:ind w:firstLine="440" w:firstLineChars="200"/>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9.1</w:t>
      </w:r>
      <w:r>
        <w:rPr>
          <w:rFonts w:hint="eastAsia" w:ascii="宋体" w:hAnsi="宋体" w:eastAsia="宋体" w:cs="宋体"/>
          <w:b/>
          <w:bCs/>
          <w:color w:val="auto"/>
          <w:sz w:val="22"/>
          <w:highlight w:val="none"/>
        </w:rPr>
        <w:t>自提交投标文件的截止之日起</w:t>
      </w:r>
      <w:r>
        <w:rPr>
          <w:rFonts w:hint="eastAsia" w:ascii="宋体" w:hAnsi="宋体" w:eastAsia="宋体" w:cs="宋体"/>
          <w:b/>
          <w:bCs/>
          <w:color w:val="auto"/>
          <w:sz w:val="22"/>
          <w:highlight w:val="none"/>
          <w:u w:val="single"/>
        </w:rPr>
        <w:t>90</w:t>
      </w:r>
      <w:r>
        <w:rPr>
          <w:rFonts w:hint="eastAsia" w:ascii="宋体" w:hAnsi="宋体" w:eastAsia="宋体" w:cs="宋体"/>
          <w:b/>
          <w:bCs/>
          <w:color w:val="auto"/>
          <w:sz w:val="22"/>
          <w:highlight w:val="none"/>
        </w:rPr>
        <w:t>天内投标应保持有效。有效期不足的投标文件将被拒绝。</w:t>
      </w:r>
    </w:p>
    <w:p>
      <w:pPr>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9.2特殊情况下，在原投标有效期截止前，采购人可与投标人协商延长投标有效期，这种要求和答复均以书面形式进行。投标人可拒绝接受延期要求。同意延长投标有效期的投标人不得修改投标文件。</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10.投标文件的签署和规定</w:t>
      </w:r>
    </w:p>
    <w:p>
      <w:pPr>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cs="宋体"/>
          <w:b/>
          <w:bCs/>
          <w:color w:val="auto"/>
          <w:spacing w:val="-6"/>
          <w:sz w:val="22"/>
          <w:highlight w:val="none"/>
        </w:rPr>
        <w:t>其中资格文件、商务和技术文件中不得出现投标报价，如因投标人原因提前泄露投标报价，是投标人的责任。</w:t>
      </w:r>
    </w:p>
    <w:p>
      <w:pPr>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10.2投标文件须由投标人在规定位置加盖公章并由投标人代表签署，投标人应写全称。</w:t>
      </w:r>
    </w:p>
    <w:p>
      <w:pPr>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10.3投标文件不得涂改，若有修改错漏处，须由投标人代表签字并加盖公章。投标文件因字迹潦草或表达不清所引起的后果由投标人负责。</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10.4</w:t>
      </w:r>
      <w:r>
        <w:rPr>
          <w:rFonts w:hint="eastAsia" w:ascii="宋体" w:hAnsi="宋体" w:eastAsia="宋体" w:cs="宋体"/>
          <w:b/>
          <w:bCs/>
          <w:color w:val="auto"/>
          <w:sz w:val="22"/>
          <w:highlight w:val="none"/>
        </w:rPr>
        <w:t>投标文件字迹模糊或在关键的技术、商务条款上表述不清楚，将可能导致其投标被拒绝。</w:t>
      </w:r>
    </w:p>
    <w:p>
      <w:pPr>
        <w:spacing w:line="400" w:lineRule="exact"/>
        <w:jc w:val="center"/>
        <w:outlineLvl w:val="0"/>
        <w:rPr>
          <w:rFonts w:hint="eastAsia" w:ascii="宋体" w:hAnsi="宋体" w:eastAsia="宋体" w:cs="宋体"/>
          <w:color w:val="auto"/>
          <w:sz w:val="22"/>
          <w:highlight w:val="none"/>
        </w:rPr>
      </w:pPr>
      <w:r>
        <w:rPr>
          <w:rFonts w:hint="eastAsia" w:ascii="宋体" w:hAnsi="宋体" w:eastAsia="宋体" w:cs="宋体"/>
          <w:b/>
          <w:color w:val="auto"/>
          <w:sz w:val="26"/>
          <w:highlight w:val="none"/>
        </w:rPr>
        <w:t>四、 投标文件的递交</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1.电子投标文件的加密、递交</w:t>
      </w:r>
    </w:p>
    <w:p>
      <w:pPr>
        <w:spacing w:line="360" w:lineRule="exact"/>
        <w:ind w:firstLine="440" w:firstLineChars="200"/>
        <w:rPr>
          <w:rFonts w:hint="eastAsia" w:ascii="宋体" w:hAnsi="宋体" w:eastAsia="宋体" w:cs="宋体"/>
          <w:b/>
          <w:bCs/>
          <w:color w:val="auto"/>
          <w:sz w:val="22"/>
          <w:highlight w:val="none"/>
        </w:rPr>
      </w:pPr>
      <w:r>
        <w:rPr>
          <w:rFonts w:hint="eastAsia" w:ascii="宋体" w:hAnsi="宋体" w:eastAsia="宋体" w:cs="宋体"/>
          <w:color w:val="auto"/>
          <w:kern w:val="0"/>
          <w:sz w:val="22"/>
          <w:highlight w:val="none"/>
        </w:rPr>
        <w:t>投标人</w:t>
      </w:r>
      <w:r>
        <w:rPr>
          <w:rFonts w:hint="eastAsia" w:ascii="宋体" w:hAnsi="宋体" w:eastAsia="宋体" w:cs="宋体"/>
          <w:color w:val="auto"/>
          <w:spacing w:val="-6"/>
          <w:sz w:val="22"/>
          <w:highlight w:val="none"/>
        </w:rPr>
        <w:t>于投标文件提交截止时间前按照电子投标要求将加密电子投标文件上传到“政采云”平台，逾期或未上传成功的将被政府采购云平台拒收</w:t>
      </w:r>
      <w:r>
        <w:rPr>
          <w:rFonts w:hint="eastAsia" w:ascii="宋体" w:hAnsi="宋体" w:eastAsia="宋体" w:cs="宋体"/>
          <w:color w:val="auto"/>
          <w:kern w:val="0"/>
          <w:sz w:val="22"/>
          <w:highlight w:val="none"/>
        </w:rPr>
        <w:t>。</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2.</w:t>
      </w:r>
      <w:r>
        <w:rPr>
          <w:rFonts w:hint="eastAsia" w:ascii="宋体" w:hAnsi="宋体" w:eastAsia="宋体" w:cs="宋体"/>
          <w:b/>
          <w:color w:val="auto"/>
          <w:sz w:val="22"/>
          <w:highlight w:val="none"/>
        </w:rPr>
        <w:t>备份投标文件的加密、递交（如有）</w:t>
      </w:r>
    </w:p>
    <w:p>
      <w:pPr>
        <w:spacing w:line="360" w:lineRule="exact"/>
        <w:ind w:firstLine="440" w:firstLineChars="200"/>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为</w:t>
      </w:r>
      <w:r>
        <w:rPr>
          <w:rFonts w:hint="eastAsia" w:ascii="宋体" w:hAnsi="宋体" w:eastAsia="宋体" w:cs="宋体"/>
          <w:color w:val="auto"/>
          <w:kern w:val="0"/>
          <w:sz w:val="22"/>
          <w:highlight w:val="none"/>
        </w:rPr>
        <w:t>确保采购项目顺利实施，避免因政采云上电子投标文件解密失败导致投标人投标无效，</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 w:val="22"/>
          <w:highlight w:val="none"/>
        </w:rPr>
        <w:t>投标人在政府采购云平台完成加密电子投标文件的上传后投标文件提交截止时间前将</w:t>
      </w:r>
      <w:r>
        <w:rPr>
          <w:rFonts w:hint="eastAsia" w:ascii="宋体" w:hAnsi="宋体" w:eastAsia="宋体" w:cs="宋体"/>
          <w:b/>
          <w:bCs/>
          <w:color w:val="auto"/>
          <w:sz w:val="22"/>
          <w:highlight w:val="none"/>
        </w:rPr>
        <w:t>以介质存储的数据电文形式的备份投标文件按“</w:t>
      </w:r>
      <w:r>
        <w:rPr>
          <w:rFonts w:hint="eastAsia" w:ascii="宋体" w:hAnsi="宋体" w:eastAsia="宋体" w:cs="宋体"/>
          <w:b/>
          <w:bCs/>
          <w:color w:val="auto"/>
          <w:sz w:val="22"/>
          <w:highlight w:val="none"/>
          <w:lang w:val="zh-CN"/>
        </w:rPr>
        <w:t>投标人须知前附表</w:t>
      </w:r>
      <w:r>
        <w:rPr>
          <w:rFonts w:hint="eastAsia" w:ascii="宋体" w:hAnsi="宋体" w:eastAsia="宋体" w:cs="宋体"/>
          <w:b/>
          <w:bCs/>
          <w:color w:val="auto"/>
          <w:sz w:val="22"/>
          <w:highlight w:val="none"/>
        </w:rPr>
        <w:t>”要求</w:t>
      </w:r>
      <w:r>
        <w:rPr>
          <w:rFonts w:hint="eastAsia" w:ascii="宋体" w:hAnsi="宋体" w:eastAsia="宋体" w:cs="宋体"/>
          <w:b/>
          <w:bCs/>
          <w:color w:val="auto"/>
          <w:sz w:val="22"/>
          <w:highlight w:val="none"/>
        </w:rPr>
        <w:fldChar w:fldCharType="end"/>
      </w:r>
      <w:r>
        <w:rPr>
          <w:rFonts w:hint="eastAsia" w:ascii="宋体" w:hAnsi="宋体" w:eastAsia="宋体" w:cs="宋体"/>
          <w:color w:val="auto"/>
          <w:kern w:val="0"/>
          <w:sz w:val="22"/>
          <w:highlight w:val="none"/>
        </w:rPr>
        <w:t>加密、递交。</w:t>
      </w:r>
    </w:p>
    <w:p>
      <w:pPr>
        <w:pStyle w:val="15"/>
        <w:snapToGrid w:val="0"/>
        <w:spacing w:line="360" w:lineRule="exact"/>
        <w:ind w:firstLine="440" w:firstLineChars="200"/>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本项目由采购代理机构做好“</w:t>
      </w:r>
      <w:r>
        <w:rPr>
          <w:rFonts w:hint="eastAsia" w:ascii="宋体" w:hAnsi="宋体" w:eastAsia="宋体" w:cs="宋体"/>
          <w:b/>
          <w:bCs/>
          <w:color w:val="auto"/>
          <w:sz w:val="22"/>
          <w:highlight w:val="none"/>
        </w:rPr>
        <w:t>介质存储的数据电文形式的备份投标文件</w:t>
      </w:r>
      <w:r>
        <w:rPr>
          <w:rFonts w:hint="eastAsia" w:ascii="宋体" w:hAnsi="宋体" w:eastAsia="宋体" w:cs="宋体"/>
          <w:color w:val="auto"/>
          <w:kern w:val="0"/>
          <w:sz w:val="22"/>
          <w:highlight w:val="none"/>
        </w:rPr>
        <w:t>”的签收工作后，与投标资料一并归档。投标人授权代表不参加现场开标活动，由相关人员进行现场监督。采购代理机构将记录所有投标文件的开封过程的有关内容，并由相关人员签字确认。</w:t>
      </w:r>
    </w:p>
    <w:p>
      <w:pPr>
        <w:snapToGrid w:val="0"/>
        <w:spacing w:line="360" w:lineRule="exact"/>
        <w:ind w:firstLine="440" w:firstLineChars="200"/>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▲投标人递交的介质存储的数据电文形式的备份投标文件时，如出现下列情况之一的，视为无效备份投标文件：</w:t>
      </w:r>
    </w:p>
    <w:p>
      <w:pPr>
        <w:snapToGrid w:val="0"/>
        <w:spacing w:line="360" w:lineRule="exact"/>
        <w:ind w:firstLine="440" w:firstLineChars="200"/>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（1）超过投标文件提交截止时间送达的；</w:t>
      </w:r>
    </w:p>
    <w:p>
      <w:pPr>
        <w:snapToGrid w:val="0"/>
        <w:spacing w:line="360" w:lineRule="exact"/>
        <w:ind w:firstLine="440" w:firstLineChars="200"/>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（2）未在政采云平台获取招标文件的。</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3.投标文件的修改和撤回</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3.1投标人应当在投标文件提交截止时间前完成电子投标文件的传输递交，并可以补充、修改或者撤回电子投标文件。补充或者修改电子投标文件的，应当先行撤回原文件，补充、修改后重新传输递交。投标文件提交截止时间前未完成传输的，视为撤回投标文件。投标文件提交截止时间后送达的投标文件，将被政采云平台拒收。</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3.2在投标文件提交截止时间之后，投标人不得对其投标做任何修改。</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3.3从投标文件提交截止时间至投标人在投标书格式中确定的投标有效期期满这段时间内，投标人不得撤回其投标。</w:t>
      </w:r>
    </w:p>
    <w:p>
      <w:pPr>
        <w:tabs>
          <w:tab w:val="left" w:pos="360"/>
          <w:tab w:val="left" w:pos="540"/>
          <w:tab w:val="left" w:pos="1260"/>
        </w:tabs>
        <w:spacing w:line="400" w:lineRule="exact"/>
        <w:ind w:left="919" w:hanging="919" w:hangingChars="352"/>
        <w:jc w:val="center"/>
        <w:outlineLvl w:val="0"/>
        <w:rPr>
          <w:rFonts w:hint="eastAsia" w:ascii="宋体" w:hAnsi="宋体" w:eastAsia="宋体" w:cs="宋体"/>
          <w:b/>
          <w:color w:val="auto"/>
          <w:sz w:val="26"/>
          <w:highlight w:val="none"/>
        </w:rPr>
      </w:pPr>
      <w:r>
        <w:rPr>
          <w:rFonts w:hint="eastAsia" w:ascii="宋体" w:hAnsi="宋体" w:eastAsia="宋体" w:cs="宋体"/>
          <w:b/>
          <w:color w:val="auto"/>
          <w:sz w:val="26"/>
          <w:highlight w:val="none"/>
        </w:rPr>
        <w:t>五、 开标和评标</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1.评审小组</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采购人依法组建评审小组。评审小组的成员在评标过程中必须严格遵守《中华人民共和国政府采购法》等有关法律、法规的规定。</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2.评标过程的保密性</w:t>
      </w:r>
    </w:p>
    <w:p>
      <w:pPr>
        <w:spacing w:line="360" w:lineRule="exact"/>
        <w:ind w:firstLine="442" w:firstLineChars="200"/>
        <w:rPr>
          <w:rFonts w:hint="eastAsia" w:ascii="宋体" w:hAnsi="宋体" w:eastAsia="宋体" w:cs="宋体"/>
          <w:color w:val="auto"/>
          <w:sz w:val="22"/>
          <w:highlight w:val="none"/>
          <w:u w:val="single"/>
        </w:rPr>
      </w:pPr>
      <w:r>
        <w:rPr>
          <w:rFonts w:hint="eastAsia" w:ascii="宋体" w:hAnsi="宋体" w:eastAsia="宋体" w:cs="宋体"/>
          <w:b/>
          <w:color w:val="auto"/>
          <w:sz w:val="22"/>
          <w:highlight w:val="none"/>
          <w:u w:val="single"/>
        </w:rPr>
        <w:t>▲</w:t>
      </w:r>
      <w:r>
        <w:rPr>
          <w:rFonts w:hint="eastAsia" w:ascii="宋体" w:hAnsi="宋体" w:eastAsia="宋体" w:cs="宋体"/>
          <w:color w:val="auto"/>
          <w:sz w:val="22"/>
          <w:highlight w:val="none"/>
          <w:u w:val="single"/>
        </w:rPr>
        <w:t>2.1开标后直至向中标人授予合同时止，凡与评审有关的资料均不得向投标人及与评标无关人员透漏。如果投标人在评标过程中试图向采购人和采购人施加影响，其投标将被拒绝。</w:t>
      </w:r>
    </w:p>
    <w:p>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3.开标</w:t>
      </w:r>
    </w:p>
    <w:p>
      <w:pPr>
        <w:pStyle w:val="43"/>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本项目实行电子开评标，投标人无需前往开评标现场，只需在规定时间内在“政采云”平台上上传电子投标文件。</w:t>
      </w:r>
    </w:p>
    <w:p>
      <w:pPr>
        <w:pStyle w:val="43"/>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3.1开标准备</w:t>
      </w:r>
    </w:p>
    <w:p>
      <w:pPr>
        <w:pStyle w:val="43"/>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①制订开标、评审工作的组织方案，落实工作场地、设施，检查录音录像采集设备运行情况。采用电子评审方式的，验证电子评审系统是否正常运行。</w:t>
      </w:r>
    </w:p>
    <w:p>
      <w:pPr>
        <w:pStyle w:val="43"/>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②通知或邀请相关单位和人员出席开标、评审活动（按规定由相关监管部门或其授权机构随机抽取、通知的政府采购评审专家除外）。</w:t>
      </w:r>
    </w:p>
    <w:p>
      <w:pPr>
        <w:pStyle w:val="43"/>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③准备政府采购项目的相关文件资料，如项目政府采购预算确认书（计划）、专家抽取有关凭证、项目书面说明、招标文件、补充文件及质疑答复情况、现场工作所需的相关登记表单、评审工作底稿等。</w:t>
      </w:r>
    </w:p>
    <w:p>
      <w:pPr>
        <w:pStyle w:val="43"/>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④其他应准备的事项。</w:t>
      </w:r>
    </w:p>
    <w:p>
      <w:pPr>
        <w:pStyle w:val="12"/>
        <w:spacing w:line="360" w:lineRule="exact"/>
        <w:ind w:left="0"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3.2采购代理机构按照招标文件规定的时间、地点和程序组织开标，具体按以下程序进行：</w:t>
      </w:r>
    </w:p>
    <w:p>
      <w:pPr>
        <w:pStyle w:val="15"/>
        <w:overflowPunct/>
        <w:autoSpaceDE/>
        <w:autoSpaceDN/>
        <w:adjustRightInd/>
        <w:spacing w:line="360" w:lineRule="exact"/>
        <w:ind w:firstLine="440"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①</w:t>
      </w:r>
      <w:r>
        <w:rPr>
          <w:rFonts w:hint="eastAsia" w:ascii="宋体" w:hAnsi="宋体" w:eastAsia="宋体" w:cs="宋体"/>
          <w:color w:val="auto"/>
          <w:spacing w:val="-6"/>
          <w:sz w:val="22"/>
          <w:highlight w:val="none"/>
        </w:rPr>
        <w:t>开启评审场地的录音录像采集设备，并确保其正常运行。</w:t>
      </w:r>
    </w:p>
    <w:p>
      <w:pPr>
        <w:pStyle w:val="24"/>
        <w:spacing w:before="0" w:beforeAutospacing="0" w:after="0" w:afterAutospacing="0" w:line="360" w:lineRule="exact"/>
        <w:ind w:firstLine="440" w:firstLineChars="200"/>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②解密</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投标文件提交截止时间止采购代理机构向各投标人发出电子投标文件开始解密通知，由投标人在</w:t>
      </w:r>
      <w:r>
        <w:rPr>
          <w:rFonts w:hint="eastAsia" w:ascii="宋体" w:hAnsi="宋体" w:eastAsia="宋体" w:cs="宋体"/>
          <w:b/>
          <w:bCs/>
          <w:snapToGrid w:val="0"/>
          <w:color w:val="auto"/>
          <w:sz w:val="22"/>
          <w:highlight w:val="none"/>
        </w:rPr>
        <w:t>政采云平台</w:t>
      </w:r>
      <w:r>
        <w:rPr>
          <w:rFonts w:hint="eastAsia" w:ascii="宋体" w:hAnsi="宋体" w:eastAsia="宋体" w:cs="宋体"/>
          <w:b/>
          <w:bCs/>
          <w:color w:val="auto"/>
          <w:sz w:val="22"/>
          <w:highlight w:val="none"/>
        </w:rPr>
        <w:t>规定时间（不少于30分钟）内自行进行投标文件解密（</w:t>
      </w:r>
      <w:r>
        <w:rPr>
          <w:rFonts w:hint="eastAsia" w:ascii="宋体" w:hAnsi="宋体" w:eastAsia="宋体" w:cs="宋体"/>
          <w:b/>
          <w:bCs/>
          <w:color w:val="auto"/>
          <w:kern w:val="0"/>
          <w:sz w:val="22"/>
          <w:highlight w:val="none"/>
        </w:rPr>
        <w:t>投标人无需在开标当天到达开标现场对电子投标进行解密，可在公司办公场地在</w:t>
      </w:r>
      <w:r>
        <w:rPr>
          <w:rFonts w:hint="eastAsia" w:ascii="宋体" w:hAnsi="宋体" w:eastAsia="宋体" w:cs="宋体"/>
          <w:b/>
          <w:bCs/>
          <w:snapToGrid w:val="0"/>
          <w:color w:val="auto"/>
          <w:sz w:val="22"/>
          <w:highlight w:val="none"/>
        </w:rPr>
        <w:t>政采云平台</w:t>
      </w:r>
      <w:r>
        <w:rPr>
          <w:rFonts w:hint="eastAsia" w:ascii="宋体" w:hAnsi="宋体" w:eastAsia="宋体" w:cs="宋体"/>
          <w:b/>
          <w:bCs/>
          <w:color w:val="auto"/>
          <w:kern w:val="0"/>
          <w:sz w:val="22"/>
          <w:highlight w:val="none"/>
        </w:rPr>
        <w:t>规定时间内</w:t>
      </w:r>
      <w:r>
        <w:rPr>
          <w:rFonts w:hint="eastAsia" w:ascii="宋体" w:hAnsi="宋体" w:eastAsia="宋体" w:cs="宋体"/>
          <w:b/>
          <w:bCs/>
          <w:color w:val="auto"/>
          <w:sz w:val="22"/>
          <w:highlight w:val="none"/>
        </w:rPr>
        <w:t>通过制作电子投标文件的CA锁用“项目采购-开标评标”功能</w:t>
      </w:r>
      <w:r>
        <w:rPr>
          <w:rFonts w:hint="eastAsia" w:ascii="宋体" w:hAnsi="宋体" w:eastAsia="宋体" w:cs="宋体"/>
          <w:b/>
          <w:bCs/>
          <w:color w:val="auto"/>
          <w:kern w:val="0"/>
          <w:sz w:val="22"/>
          <w:highlight w:val="none"/>
        </w:rPr>
        <w:t>对电子投标文件进行解密。</w:t>
      </w:r>
      <w:r>
        <w:rPr>
          <w:rFonts w:hint="eastAsia" w:ascii="宋体" w:hAnsi="宋体" w:eastAsia="宋体" w:cs="宋体"/>
          <w:b/>
          <w:bCs/>
          <w:color w:val="auto"/>
          <w:sz w:val="22"/>
          <w:highlight w:val="none"/>
        </w:rPr>
        <w:t>）。</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本项目原则上采用政采云电子招投标开标及评审程序，但有下情形的，按以下情况处理：</w:t>
      </w:r>
    </w:p>
    <w:p>
      <w:pPr>
        <w:pStyle w:val="15"/>
        <w:snapToGrid w:val="0"/>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2812799762@qq.com）的以介质存储的数据电文形式的备份投标文件，并以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w:t>
      </w:r>
    </w:p>
    <w:p>
      <w:pPr>
        <w:pStyle w:val="15"/>
        <w:snapToGrid w:val="0"/>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pPr>
        <w:pStyle w:val="15"/>
        <w:widowControl w:val="0"/>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投标人不足3家的，不得开标。</w:t>
      </w:r>
    </w:p>
    <w:p>
      <w:pPr>
        <w:pStyle w:val="15"/>
        <w:widowControl w:val="0"/>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③投标文件解密结束，组织投标人签署《政府采购活动现场确认声明书》，格式详见附件。</w:t>
      </w:r>
    </w:p>
    <w:p>
      <w:pPr>
        <w:pStyle w:val="15"/>
        <w:widowControl w:val="0"/>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④采购代理机构对资格进行审查。</w:t>
      </w:r>
    </w:p>
    <w:p>
      <w:pPr>
        <w:pStyle w:val="15"/>
        <w:widowControl w:val="0"/>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⑤评审小组对商务技术文件进行评审。</w:t>
      </w:r>
    </w:p>
    <w:p>
      <w:pPr>
        <w:pStyle w:val="15"/>
        <w:widowControl w:val="0"/>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⑥评审小组对报价情况进行评审。</w:t>
      </w:r>
    </w:p>
    <w:p>
      <w:pPr>
        <w:pStyle w:val="15"/>
        <w:widowControl w:val="0"/>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⑦在系统上公布评审结果。</w:t>
      </w:r>
    </w:p>
    <w:p>
      <w:pPr>
        <w:pStyle w:val="15"/>
        <w:widowControl w:val="0"/>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特别说明：政采云公司如对电子化开标及评审程序有调整的，按调整后的程序操作。</w:t>
      </w:r>
    </w:p>
    <w:p>
      <w:pPr>
        <w:spacing w:line="360" w:lineRule="exact"/>
        <w:ind w:firstLine="440" w:firstLineChars="200"/>
        <w:rPr>
          <w:rFonts w:hint="eastAsia" w:ascii="宋体" w:hAnsi="宋体" w:eastAsia="宋体" w:cs="宋体"/>
          <w:bCs/>
          <w:color w:val="auto"/>
          <w:sz w:val="22"/>
          <w:highlight w:val="none"/>
          <w:lang w:val="zh-CN"/>
        </w:rPr>
      </w:pPr>
      <w:r>
        <w:rPr>
          <w:rFonts w:hint="eastAsia" w:ascii="宋体" w:hAnsi="宋体" w:eastAsia="宋体" w:cs="宋体"/>
          <w:color w:val="auto"/>
          <w:sz w:val="22"/>
          <w:highlight w:val="none"/>
        </w:rPr>
        <w:t>4.评标</w:t>
      </w:r>
    </w:p>
    <w:p>
      <w:pPr>
        <w:pStyle w:val="15"/>
        <w:overflowPunct/>
        <w:autoSpaceDE/>
        <w:autoSpaceDN/>
        <w:adjustRightInd/>
        <w:spacing w:line="360" w:lineRule="exact"/>
        <w:ind w:firstLine="416"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采购代理机构按照招标文件规定的时间、地点及程序组织评审。评审活动一般应按以下程序组织开展：</w:t>
      </w:r>
    </w:p>
    <w:p>
      <w:pPr>
        <w:pStyle w:val="15"/>
        <w:overflowPunct/>
        <w:autoSpaceDE/>
        <w:autoSpaceDN/>
        <w:adjustRightInd/>
        <w:spacing w:line="360" w:lineRule="exact"/>
        <w:ind w:firstLine="440"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①</w:t>
      </w:r>
      <w:r>
        <w:rPr>
          <w:rFonts w:hint="eastAsia" w:ascii="宋体" w:hAnsi="宋体" w:eastAsia="宋体" w:cs="宋体"/>
          <w:color w:val="auto"/>
          <w:spacing w:val="-6"/>
          <w:sz w:val="22"/>
          <w:highlight w:val="none"/>
        </w:rPr>
        <w:t>开启评审场地的录音录像采集设备，并确保其正常运行。</w:t>
      </w:r>
    </w:p>
    <w:p>
      <w:pPr>
        <w:pStyle w:val="15"/>
        <w:overflowPunct/>
        <w:autoSpaceDE/>
        <w:autoSpaceDN/>
        <w:adjustRightInd/>
        <w:spacing w:line="360" w:lineRule="exact"/>
        <w:ind w:firstLine="440"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②</w:t>
      </w:r>
      <w:r>
        <w:rPr>
          <w:rFonts w:hint="eastAsia" w:ascii="宋体" w:hAnsi="宋体" w:eastAsia="宋体" w:cs="宋体"/>
          <w:color w:val="auto"/>
          <w:spacing w:val="-6"/>
          <w:sz w:val="22"/>
          <w:highlight w:val="none"/>
        </w:rPr>
        <w:t>核验出席评审活动现场的评审小组各成员身份，并要求其分别登记、签到，按规定统一收缴、保存其通讯工具，无关人员一律拒绝其进入评审现场。</w:t>
      </w:r>
    </w:p>
    <w:p>
      <w:pPr>
        <w:pStyle w:val="15"/>
        <w:overflowPunct/>
        <w:autoSpaceDE/>
        <w:autoSpaceDN/>
        <w:adjustRightInd/>
        <w:spacing w:line="360" w:lineRule="exact"/>
        <w:ind w:firstLine="416"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③介绍评审现场的人员情况，宣布评审工作纪律，告知评审小组应当回避情形；组织推选评审小组组长。</w:t>
      </w:r>
    </w:p>
    <w:p>
      <w:pPr>
        <w:pStyle w:val="15"/>
        <w:overflowPunct/>
        <w:autoSpaceDE/>
        <w:autoSpaceDN/>
        <w:adjustRightInd/>
        <w:spacing w:line="360" w:lineRule="exact"/>
        <w:ind w:firstLine="440"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④宣布获取</w:t>
      </w:r>
      <w:r>
        <w:rPr>
          <w:rFonts w:hint="eastAsia" w:ascii="宋体" w:hAnsi="宋体" w:eastAsia="宋体" w:cs="宋体"/>
          <w:color w:val="auto"/>
          <w:spacing w:val="-6"/>
          <w:sz w:val="22"/>
          <w:highlight w:val="none"/>
        </w:rPr>
        <w:t>本项目采购的投标人名单，宣读最终提交投标文件且通过资格审查的投标人名单，组织评审小组各位成员签订《政府采购评审人员廉洁自律承诺书》。</w:t>
      </w:r>
    </w:p>
    <w:p>
      <w:pPr>
        <w:pStyle w:val="15"/>
        <w:overflowPunct/>
        <w:autoSpaceDE/>
        <w:autoSpaceDN/>
        <w:adjustRightInd/>
        <w:spacing w:line="360" w:lineRule="exact"/>
        <w:ind w:firstLine="416"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⑤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小组提出的有关招标文件、投标文件的问题进行必要的说明、解释或讨论。</w:t>
      </w:r>
      <w:r>
        <w:rPr>
          <w:rFonts w:hint="eastAsia" w:ascii="宋体" w:hAnsi="宋体" w:eastAsia="宋体" w:cs="宋体"/>
          <w:color w:val="auto"/>
          <w:kern w:val="0"/>
          <w:sz w:val="22"/>
          <w:highlight w:val="none"/>
        </w:rPr>
        <w:t>评审小组要求投标人澄清、说明或者补正，须通过政采云平台要求澄清、说明或者补正。</w:t>
      </w:r>
    </w:p>
    <w:p>
      <w:pPr>
        <w:pStyle w:val="43"/>
        <w:snapToGrid w:val="0"/>
        <w:spacing w:line="360" w:lineRule="exact"/>
        <w:ind w:firstLine="416" w:firstLineChars="20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⑥评审小组组长组织评审小组独立评审。评审小组对拟认定为投标文件无效的，应组织相关投标人代表进行陈述、澄清或申辩；评审小组组长对打分结果进行校对、核对并汇总统计；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pPr>
        <w:pStyle w:val="15"/>
        <w:overflowPunct/>
        <w:autoSpaceDE/>
        <w:autoSpaceDN/>
        <w:adjustRightInd/>
        <w:spacing w:line="360" w:lineRule="exact"/>
        <w:ind w:firstLine="416" w:firstLineChars="200"/>
        <w:textAlignment w:val="auto"/>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做好评审现场相关记录，做好评审报告起草、有关内容电脑文字录入等工作，并要求评审小组各成员签字确认。</w:t>
      </w:r>
    </w:p>
    <w:p>
      <w:pPr>
        <w:pStyle w:val="15"/>
        <w:overflowPunct/>
        <w:autoSpaceDE/>
        <w:autoSpaceDN/>
        <w:adjustRightInd/>
        <w:spacing w:line="360" w:lineRule="exact"/>
        <w:ind w:firstLine="416" w:firstLineChars="200"/>
        <w:textAlignment w:val="auto"/>
        <w:rPr>
          <w:rFonts w:hint="eastAsia" w:ascii="宋体" w:hAnsi="宋体" w:eastAsia="宋体" w:cs="宋体"/>
          <w:b/>
          <w:bCs/>
          <w:color w:val="auto"/>
          <w:sz w:val="22"/>
          <w:highlight w:val="none"/>
        </w:rPr>
      </w:pPr>
      <w:r>
        <w:rPr>
          <w:rFonts w:hint="eastAsia" w:ascii="宋体" w:hAnsi="宋体" w:eastAsia="宋体" w:cs="宋体"/>
          <w:color w:val="auto"/>
          <w:spacing w:val="-6"/>
          <w:sz w:val="22"/>
          <w:highlight w:val="none"/>
        </w:rPr>
        <w:t>⑦评审结束后，采购代理机构交还评审人员及其他现场相关人员的通讯工具。</w:t>
      </w:r>
    </w:p>
    <w:p>
      <w:pPr>
        <w:spacing w:line="360" w:lineRule="exact"/>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5.投标无效的情形</w:t>
      </w:r>
    </w:p>
    <w:p>
      <w:pPr>
        <w:pStyle w:val="15"/>
        <w:overflowPunct/>
        <w:autoSpaceDE/>
        <w:autoSpaceDN/>
        <w:adjustRightInd/>
        <w:spacing w:line="360" w:lineRule="exact"/>
        <w:ind w:firstLine="440" w:firstLineChars="200"/>
        <w:textAlignment w:val="auto"/>
        <w:rPr>
          <w:rFonts w:hint="eastAsia" w:ascii="宋体" w:hAnsi="宋体" w:eastAsia="宋体" w:cs="宋体"/>
          <w:color w:val="auto"/>
          <w:spacing w:val="-6"/>
          <w:sz w:val="22"/>
          <w:highlight w:val="none"/>
          <w:u w:val="single"/>
        </w:rPr>
      </w:pPr>
      <w:r>
        <w:rPr>
          <w:rFonts w:hint="eastAsia" w:ascii="宋体" w:hAnsi="宋体" w:eastAsia="宋体" w:cs="宋体"/>
          <w:color w:val="auto"/>
          <w:sz w:val="22"/>
          <w:highlight w:val="none"/>
          <w:u w:val="single"/>
        </w:rPr>
        <w:t>▲</w:t>
      </w:r>
      <w:r>
        <w:rPr>
          <w:rFonts w:hint="eastAsia" w:ascii="宋体" w:hAnsi="宋体" w:eastAsia="宋体" w:cs="宋体"/>
          <w:color w:val="auto"/>
          <w:spacing w:val="-6"/>
          <w:sz w:val="22"/>
          <w:highlight w:val="none"/>
          <w:u w:val="single"/>
        </w:rPr>
        <w:t>5.1、有下列情形之一的，将不予受理投标文件：</w:t>
      </w:r>
    </w:p>
    <w:p>
      <w:pPr>
        <w:pStyle w:val="15"/>
        <w:overflowPunct/>
        <w:autoSpaceDE/>
        <w:autoSpaceDN/>
        <w:adjustRightInd/>
        <w:spacing w:line="360" w:lineRule="exact"/>
        <w:ind w:firstLine="416" w:firstLineChars="200"/>
        <w:textAlignment w:val="auto"/>
        <w:rPr>
          <w:rFonts w:hint="eastAsia" w:ascii="宋体" w:hAnsi="宋体" w:eastAsia="宋体" w:cs="宋体"/>
          <w:color w:val="auto"/>
          <w:spacing w:val="-6"/>
          <w:sz w:val="22"/>
          <w:highlight w:val="none"/>
          <w:u w:val="single"/>
        </w:rPr>
      </w:pPr>
      <w:r>
        <w:rPr>
          <w:rFonts w:hint="eastAsia" w:ascii="宋体" w:hAnsi="宋体" w:eastAsia="宋体" w:cs="宋体"/>
          <w:color w:val="auto"/>
          <w:spacing w:val="-6"/>
          <w:sz w:val="22"/>
          <w:highlight w:val="none"/>
          <w:u w:val="single"/>
        </w:rPr>
        <w:t>（1）逾期上传电子档投标文件至“政采云”平台的；</w:t>
      </w:r>
    </w:p>
    <w:p>
      <w:pPr>
        <w:pStyle w:val="15"/>
        <w:overflowPunct/>
        <w:autoSpaceDE/>
        <w:autoSpaceDN/>
        <w:adjustRightInd/>
        <w:spacing w:line="360" w:lineRule="exact"/>
        <w:ind w:firstLine="416" w:firstLineChars="200"/>
        <w:textAlignment w:val="auto"/>
        <w:rPr>
          <w:rFonts w:hint="eastAsia" w:ascii="宋体" w:hAnsi="宋体" w:eastAsia="宋体" w:cs="宋体"/>
          <w:color w:val="auto"/>
          <w:spacing w:val="-6"/>
          <w:sz w:val="22"/>
          <w:highlight w:val="none"/>
          <w:u w:val="single"/>
        </w:rPr>
      </w:pPr>
      <w:r>
        <w:rPr>
          <w:rFonts w:hint="eastAsia" w:ascii="宋体" w:hAnsi="宋体" w:eastAsia="宋体" w:cs="宋体"/>
          <w:color w:val="auto"/>
          <w:spacing w:val="-6"/>
          <w:sz w:val="22"/>
          <w:highlight w:val="none"/>
          <w:u w:val="single"/>
        </w:rPr>
        <w:t>（2）仅递交备份电子投标文件的；</w:t>
      </w:r>
    </w:p>
    <w:p>
      <w:pPr>
        <w:pStyle w:val="15"/>
        <w:overflowPunct/>
        <w:autoSpaceDE/>
        <w:autoSpaceDN/>
        <w:adjustRightInd/>
        <w:spacing w:line="360" w:lineRule="exact"/>
        <w:ind w:firstLine="416" w:firstLineChars="200"/>
        <w:textAlignment w:val="auto"/>
        <w:rPr>
          <w:rFonts w:hint="eastAsia" w:ascii="宋体" w:hAnsi="宋体" w:eastAsia="宋体" w:cs="宋体"/>
          <w:color w:val="auto"/>
          <w:spacing w:val="-6"/>
          <w:sz w:val="22"/>
          <w:highlight w:val="none"/>
          <w:u w:val="single"/>
        </w:rPr>
      </w:pPr>
      <w:r>
        <w:rPr>
          <w:rFonts w:hint="eastAsia" w:ascii="宋体" w:hAnsi="宋体" w:eastAsia="宋体" w:cs="宋体"/>
          <w:color w:val="auto"/>
          <w:spacing w:val="-6"/>
          <w:sz w:val="22"/>
          <w:highlight w:val="none"/>
          <w:u w:val="single"/>
        </w:rPr>
        <w:t>（3）投标文件只有商务技术文件或者商务技术文件与报价文件部分上传在一份文档中的；</w:t>
      </w:r>
    </w:p>
    <w:p>
      <w:pPr>
        <w:spacing w:line="360" w:lineRule="exact"/>
        <w:ind w:firstLine="416" w:firstLineChars="200"/>
        <w:rPr>
          <w:rFonts w:hint="eastAsia" w:ascii="宋体" w:hAnsi="宋体" w:eastAsia="宋体" w:cs="宋体"/>
          <w:color w:val="auto"/>
          <w:spacing w:val="-6"/>
          <w:sz w:val="22"/>
          <w:highlight w:val="none"/>
          <w:u w:val="single"/>
        </w:rPr>
      </w:pPr>
      <w:r>
        <w:rPr>
          <w:rFonts w:hint="eastAsia" w:ascii="宋体" w:hAnsi="宋体" w:eastAsia="宋体" w:cs="宋体"/>
          <w:color w:val="auto"/>
          <w:spacing w:val="-6"/>
          <w:sz w:val="22"/>
          <w:highlight w:val="none"/>
          <w:u w:val="single"/>
        </w:rPr>
        <w:t>（4）</w:t>
      </w:r>
      <w:r>
        <w:rPr>
          <w:rFonts w:hint="eastAsia" w:ascii="宋体" w:hAnsi="宋体" w:eastAsia="宋体" w:cs="宋体"/>
          <w:color w:val="auto"/>
          <w:sz w:val="22"/>
          <w:highlight w:val="none"/>
          <w:u w:val="single"/>
        </w:rPr>
        <w:t>电子投标文件解密失败的，且未在规定时间内提交备份投标文件的视为投标无效。</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▲5.2在资格审查时，如发现下列情形之一的，投标无效：</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（1）资格审查材料不全的，或者不符合招标文件要求的；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（2）资格审查材料未按招标文件要求签署、盖章的；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（3）不具备招标文件中规定的资格条件的；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（4）经查询存在不良信用记录的。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▲5.3在符合性审查、商务和技术评审时，如发现下列情形之一的，投标无效：</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（1）“商务和技术文件”未按招标文件要求签署、盖章的；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（2）未提供合法、有效法定代表人授权委托书；法定代表人或委托授权代表与投标文件所附身份证明复印件不符；</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（3）明显不符合招标文件实质性要求或者与招标文件中标“▲且加下划线”的内容发生实质性偏离的；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（4）未提供或未如实提供采购需求偏离表的；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（5）未提供或未如实提供投标货物的技术参数，或者投标文件标明的响应或偏离与事实不符或虚假投标的；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（6）投标有效期不能满足招标文件要求的；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（7）投标技术方案不明确，存在一个或一个以上备选（替代）投标方案的；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（8）投标文件含有采购人不能接受的附加条件的；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（9）在“资格文件”或“商务和技术文件”中出现投标报价的；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（10）法律、法规和招标文件中规定的其他无效情形的。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▲5.4在报价评审时，如发现下列情形之一的，投标无效：</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（1）报价文件未按招标文件要求签署、盖章的；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（2）未按照招标文件标明的币种报价的；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（3）报价超出招标文件中规定的预算金额或者最高限价的；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（4）投标报价具有选择性，或者开标价格与投标文件承诺的优惠（折扣）价格不一致的；</w:t>
      </w:r>
    </w:p>
    <w:p>
      <w:pPr>
        <w:spacing w:line="36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（5）报价明显低于其他通过符合性审查投标人的报价（有可能影响产品质量或者不能诚信履约的），投标人在评标现场合理的时间内无法提供书面说明（必要时提交相关证明材料，证明其报价合理性的）。</w:t>
      </w:r>
    </w:p>
    <w:p>
      <w:pPr>
        <w:spacing w:line="360" w:lineRule="exact"/>
        <w:ind w:firstLine="440" w:firstLineChars="200"/>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rPr>
        <w:t>▲5.5</w:t>
      </w:r>
      <w:r>
        <w:rPr>
          <w:rFonts w:hint="eastAsia" w:ascii="宋体" w:hAnsi="宋体" w:eastAsia="宋体" w:cs="宋体"/>
          <w:color w:val="auto"/>
          <w:sz w:val="22"/>
          <w:highlight w:val="none"/>
          <w:u w:val="single"/>
          <w:lang w:val="zh-CN"/>
        </w:rPr>
        <w:t>有下列情形之一的，视为投标人串通投标，</w:t>
      </w:r>
      <w:r>
        <w:rPr>
          <w:rFonts w:hint="eastAsia" w:ascii="宋体" w:hAnsi="宋体" w:eastAsia="宋体" w:cs="宋体"/>
          <w:color w:val="auto"/>
          <w:sz w:val="22"/>
          <w:highlight w:val="none"/>
          <w:u w:val="single"/>
        </w:rPr>
        <w:t>投标无效</w:t>
      </w:r>
      <w:r>
        <w:rPr>
          <w:rFonts w:hint="eastAsia" w:ascii="宋体" w:hAnsi="宋体" w:eastAsia="宋体" w:cs="宋体"/>
          <w:color w:val="auto"/>
          <w:sz w:val="22"/>
          <w:highlight w:val="none"/>
          <w:u w:val="single"/>
          <w:lang w:val="zh-CN"/>
        </w:rPr>
        <w:t>，由采购人或采购代理机构上报政府采购监督管理部门，视情列入不良行为记录名单，在一至三年内禁止参加政府采购活动：</w:t>
      </w:r>
    </w:p>
    <w:p>
      <w:pPr>
        <w:spacing w:line="360" w:lineRule="exact"/>
        <w:ind w:firstLine="440" w:firstLineChars="200"/>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lang w:val="zh-CN"/>
        </w:rPr>
        <w:t>（</w:t>
      </w:r>
      <w:r>
        <w:rPr>
          <w:rFonts w:hint="eastAsia" w:ascii="宋体" w:hAnsi="宋体" w:eastAsia="宋体" w:cs="宋体"/>
          <w:color w:val="auto"/>
          <w:sz w:val="22"/>
          <w:highlight w:val="none"/>
          <w:u w:val="single"/>
        </w:rPr>
        <w:t>1</w:t>
      </w:r>
      <w:r>
        <w:rPr>
          <w:rFonts w:hint="eastAsia" w:ascii="宋体" w:hAnsi="宋体" w:eastAsia="宋体" w:cs="宋体"/>
          <w:color w:val="auto"/>
          <w:sz w:val="22"/>
          <w:highlight w:val="none"/>
          <w:u w:val="single"/>
          <w:lang w:val="zh-CN"/>
        </w:rPr>
        <w:t>）不同投标人的投标文件由同一单位或者个人编制；</w:t>
      </w:r>
    </w:p>
    <w:p>
      <w:pPr>
        <w:spacing w:line="360" w:lineRule="exact"/>
        <w:ind w:firstLine="440" w:firstLineChars="200"/>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lang w:val="zh-CN"/>
        </w:rPr>
        <w:t>（</w:t>
      </w:r>
      <w:r>
        <w:rPr>
          <w:rFonts w:hint="eastAsia" w:ascii="宋体" w:hAnsi="宋体" w:eastAsia="宋体" w:cs="宋体"/>
          <w:color w:val="auto"/>
          <w:sz w:val="22"/>
          <w:highlight w:val="none"/>
          <w:u w:val="single"/>
        </w:rPr>
        <w:t>2</w:t>
      </w:r>
      <w:r>
        <w:rPr>
          <w:rFonts w:hint="eastAsia" w:ascii="宋体" w:hAnsi="宋体" w:eastAsia="宋体" w:cs="宋体"/>
          <w:color w:val="auto"/>
          <w:sz w:val="22"/>
          <w:highlight w:val="none"/>
          <w:u w:val="single"/>
          <w:lang w:val="zh-CN"/>
        </w:rPr>
        <w:t>）不同投标人委托同一单位或者个人办理投标事宜；</w:t>
      </w:r>
    </w:p>
    <w:p>
      <w:pPr>
        <w:spacing w:line="360" w:lineRule="exact"/>
        <w:ind w:firstLine="440" w:firstLineChars="200"/>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lang w:val="zh-CN"/>
        </w:rPr>
        <w:t>（</w:t>
      </w:r>
      <w:r>
        <w:rPr>
          <w:rFonts w:hint="eastAsia" w:ascii="宋体" w:hAnsi="宋体" w:eastAsia="宋体" w:cs="宋体"/>
          <w:color w:val="auto"/>
          <w:sz w:val="22"/>
          <w:highlight w:val="none"/>
          <w:u w:val="single"/>
        </w:rPr>
        <w:t>3</w:t>
      </w:r>
      <w:r>
        <w:rPr>
          <w:rFonts w:hint="eastAsia" w:ascii="宋体" w:hAnsi="宋体" w:eastAsia="宋体" w:cs="宋体"/>
          <w:color w:val="auto"/>
          <w:sz w:val="22"/>
          <w:highlight w:val="none"/>
          <w:u w:val="single"/>
          <w:lang w:val="zh-CN"/>
        </w:rPr>
        <w:t>）不同投标人的投标文件载明的项目管理成员或者联系人员为同一人；</w:t>
      </w:r>
    </w:p>
    <w:p>
      <w:pPr>
        <w:spacing w:line="360" w:lineRule="exact"/>
        <w:ind w:firstLine="440" w:firstLineChars="200"/>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lang w:val="zh-CN"/>
        </w:rPr>
        <w:t>（</w:t>
      </w:r>
      <w:r>
        <w:rPr>
          <w:rFonts w:hint="eastAsia" w:ascii="宋体" w:hAnsi="宋体" w:eastAsia="宋体" w:cs="宋体"/>
          <w:color w:val="auto"/>
          <w:sz w:val="22"/>
          <w:highlight w:val="none"/>
          <w:u w:val="single"/>
        </w:rPr>
        <w:t>4</w:t>
      </w:r>
      <w:r>
        <w:rPr>
          <w:rFonts w:hint="eastAsia" w:ascii="宋体" w:hAnsi="宋体" w:eastAsia="宋体" w:cs="宋体"/>
          <w:color w:val="auto"/>
          <w:sz w:val="22"/>
          <w:highlight w:val="none"/>
          <w:u w:val="single"/>
          <w:lang w:val="zh-CN"/>
        </w:rPr>
        <w:t>）不同投标人的投标文件异常一致或者投标报价呈规律性差异；</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lang w:val="zh-CN"/>
        </w:rPr>
        <w:t>（</w:t>
      </w:r>
      <w:r>
        <w:rPr>
          <w:rFonts w:hint="eastAsia" w:ascii="宋体" w:hAnsi="宋体" w:eastAsia="宋体" w:cs="宋体"/>
          <w:color w:val="auto"/>
          <w:sz w:val="22"/>
          <w:highlight w:val="none"/>
          <w:u w:val="single"/>
        </w:rPr>
        <w:t>5</w:t>
      </w:r>
      <w:r>
        <w:rPr>
          <w:rFonts w:hint="eastAsia" w:ascii="宋体" w:hAnsi="宋体" w:eastAsia="宋体" w:cs="宋体"/>
          <w:color w:val="auto"/>
          <w:sz w:val="22"/>
          <w:highlight w:val="none"/>
          <w:u w:val="single"/>
          <w:lang w:val="zh-CN"/>
        </w:rPr>
        <w:t>）不同投标人的投标文件相互混装。</w:t>
      </w:r>
    </w:p>
    <w:p>
      <w:pPr>
        <w:pStyle w:val="15"/>
        <w:overflowPunct/>
        <w:autoSpaceDE/>
        <w:autoSpaceDN/>
        <w:adjustRightInd/>
        <w:snapToGrid w:val="0"/>
        <w:spacing w:line="360" w:lineRule="exact"/>
        <w:ind w:firstLine="442" w:firstLineChars="200"/>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6.错误修正</w:t>
      </w:r>
    </w:p>
    <w:p>
      <w:pPr>
        <w:pStyle w:val="15"/>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投标文件报价出现前后不一致的，除招标文件另有规定外，按照下列规定修正：</w:t>
      </w:r>
    </w:p>
    <w:p>
      <w:pPr>
        <w:pStyle w:val="15"/>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6.1投标文件中开标一览表（报价表）内容与投标文件中相应内容不一致的，以开标一览表（报价表）为准；</w:t>
      </w:r>
    </w:p>
    <w:p>
      <w:pPr>
        <w:pStyle w:val="15"/>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6.2大写金额和小写金额不一致的，以大写金额为准；</w:t>
      </w:r>
    </w:p>
    <w:p>
      <w:pPr>
        <w:pStyle w:val="15"/>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6.3单价金额小数点或者百分比有明显错位的，以开标一览表的总价为准，并修改单价；</w:t>
      </w:r>
    </w:p>
    <w:p>
      <w:pPr>
        <w:pStyle w:val="15"/>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6.4总价金额与按单价汇总金额不一致的，以单价金额计算结果为准。</w:t>
      </w:r>
    </w:p>
    <w:p>
      <w:pPr>
        <w:pStyle w:val="15"/>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6.5对不同文字文本投标文件的解释发生异义的，以中文文本为准</w:t>
      </w:r>
    </w:p>
    <w:p>
      <w:pPr>
        <w:pStyle w:val="15"/>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6.6客户端填写的报价与以pdf格式上传文件中的报价不一致的，应以Pdf格式上传文件中的报价为准。</w:t>
      </w:r>
    </w:p>
    <w:p>
      <w:pPr>
        <w:pStyle w:val="15"/>
        <w:overflowPunct/>
        <w:autoSpaceDE/>
        <w:autoSpaceDN/>
        <w:adjustRightInd/>
        <w:snapToGrid w:val="0"/>
        <w:spacing w:line="360" w:lineRule="exact"/>
        <w:ind w:firstLine="442" w:firstLineChars="200"/>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同时出现两种以上不一致的，按照前款规定的顺序修正。修正后的报价按照本招标文件“7.投标文件的澄清”规定经投标人确认后产生约束力，投标人不确认的，其投标无效。</w:t>
      </w:r>
    </w:p>
    <w:p>
      <w:pPr>
        <w:pStyle w:val="15"/>
        <w:overflowPunct/>
        <w:autoSpaceDE/>
        <w:autoSpaceDN/>
        <w:adjustRightInd/>
        <w:snapToGrid w:val="0"/>
        <w:spacing w:line="360" w:lineRule="exact"/>
        <w:ind w:firstLine="442" w:firstLineChars="200"/>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7.投标文件的澄清</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7.1为有助于投标文件的审查、评价，评审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上述第6条规定，凡属于评审小组在评标中发现的计算错误并进行核实的修改不在此列。</w:t>
      </w:r>
    </w:p>
    <w:p>
      <w:pPr>
        <w:pStyle w:val="15"/>
        <w:tabs>
          <w:tab w:val="left" w:pos="0"/>
        </w:tabs>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bCs/>
          <w:color w:val="auto"/>
          <w:sz w:val="22"/>
          <w:highlight w:val="none"/>
        </w:rPr>
        <w:t>7.2如果投标人代表拒绝按评审小组要求在“政采云”平台作出在线回复且无其他有效回复方式的，评审小组可以对其作出投标无效处理。</w:t>
      </w:r>
    </w:p>
    <w:p>
      <w:pPr>
        <w:tabs>
          <w:tab w:val="left" w:pos="1365"/>
        </w:tabs>
        <w:spacing w:line="360" w:lineRule="exact"/>
        <w:ind w:firstLine="442" w:firstLineChars="200"/>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w:t>
      </w:r>
      <w:r>
        <w:rPr>
          <w:rFonts w:hint="eastAsia" w:ascii="宋体" w:hAnsi="宋体" w:eastAsia="宋体" w:cs="宋体"/>
          <w:color w:val="auto"/>
          <w:sz w:val="22"/>
          <w:highlight w:val="none"/>
          <w:u w:val="single"/>
        </w:rPr>
        <w:t>7.3经澄清后，若偏差仍存在，且不可接受，投标人则被认为是“没有实质性响应招标文件要求”，其投标不进入下一步评审。</w:t>
      </w:r>
    </w:p>
    <w:p>
      <w:pPr>
        <w:pStyle w:val="15"/>
        <w:tabs>
          <w:tab w:val="left" w:pos="630"/>
        </w:tabs>
        <w:overflowPunct/>
        <w:autoSpaceDE/>
        <w:autoSpaceDN/>
        <w:adjustRightInd/>
        <w:snapToGrid w:val="0"/>
        <w:spacing w:line="360" w:lineRule="exact"/>
        <w:ind w:firstLine="433" w:firstLineChars="196"/>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8.评标原则和评标办法</w:t>
      </w:r>
    </w:p>
    <w:p>
      <w:pPr>
        <w:pStyle w:val="15"/>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8.1评审小组成员应当按照客观、公正、审慎的原则，根据招标文件规定的评标程序、评标方法和评标标准进行独立评审。招标文件内容违反国家有关强制性规定的，评审小组应当停止评标并向采购人或者采购代理机构说明情况。</w:t>
      </w:r>
    </w:p>
    <w:p>
      <w:pPr>
        <w:pStyle w:val="24"/>
        <w:spacing w:before="0" w:beforeAutospacing="0" w:after="0" w:afterAutospacing="0" w:line="360" w:lineRule="exact"/>
        <w:ind w:firstLine="440" w:firstLineChars="200"/>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8.2评标中因评审小组成员缺席、回避或者健康等特殊原因导致评审小组组成不符合规定的，依法补足后继续评标。被更换的评审小组成员所作出的评标意见无效。</w:t>
      </w:r>
    </w:p>
    <w:p>
      <w:pPr>
        <w:pStyle w:val="15"/>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8.3评审小组成员对需要共同认定的事项存在争议的，应当按照少数服从多数的原则作出结论。持不同意见的评审小组成员应当在评标报告上签署不同意见及理由，否则视为同意评标报告。</w:t>
      </w:r>
    </w:p>
    <w:p>
      <w:pPr>
        <w:pStyle w:val="15"/>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8.4评标办法。本项目评标办法是综合评分法，具体评标内容及评分标准等详见第六部分“评标原则及方法”。</w:t>
      </w:r>
    </w:p>
    <w:p>
      <w:pPr>
        <w:pStyle w:val="15"/>
        <w:overflowPunct/>
        <w:autoSpaceDE/>
        <w:autoSpaceDN/>
        <w:adjustRightInd/>
        <w:snapToGrid w:val="0"/>
        <w:spacing w:line="360" w:lineRule="exact"/>
        <w:ind w:firstLine="440" w:firstLineChars="2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8.5评标过程中遇到特殊情况，由评审小组遵循公开、公正原则，采取投票方式按照少数服从多数原则决定。</w:t>
      </w:r>
    </w:p>
    <w:p>
      <w:pPr>
        <w:pStyle w:val="15"/>
        <w:overflowPunct/>
        <w:autoSpaceDE/>
        <w:autoSpaceDN/>
        <w:adjustRightInd/>
        <w:snapToGrid w:val="0"/>
        <w:spacing w:line="360" w:lineRule="exact"/>
        <w:ind w:firstLine="440" w:firstLineChars="200"/>
        <w:textAlignment w:val="auto"/>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8.6</w:t>
      </w:r>
      <w:r>
        <w:rPr>
          <w:rFonts w:hint="eastAsia" w:ascii="宋体" w:hAnsi="宋体" w:eastAsia="宋体" w:cs="宋体"/>
          <w:b/>
          <w:bCs/>
          <w:color w:val="auto"/>
          <w:sz w:val="22"/>
          <w:highlight w:val="none"/>
        </w:rPr>
        <w:t>《中华人民共和国政府采购法》第三十六条在招标采购中，出现下列情形之一的，应予废标：</w:t>
      </w:r>
    </w:p>
    <w:p>
      <w:pPr>
        <w:pStyle w:val="15"/>
        <w:overflowPunct/>
        <w:autoSpaceDE/>
        <w:autoSpaceDN/>
        <w:adjustRightInd/>
        <w:snapToGrid w:val="0"/>
        <w:spacing w:line="360" w:lineRule="exact"/>
        <w:ind w:firstLine="442" w:firstLineChars="200"/>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（一）符合专业条件的供应商或者对招标文件作实质响应的供应商不足三家的；</w:t>
      </w:r>
    </w:p>
    <w:p>
      <w:pPr>
        <w:pStyle w:val="15"/>
        <w:overflowPunct/>
        <w:autoSpaceDE/>
        <w:autoSpaceDN/>
        <w:adjustRightInd/>
        <w:snapToGrid w:val="0"/>
        <w:spacing w:line="360" w:lineRule="exact"/>
        <w:ind w:firstLine="442" w:firstLineChars="200"/>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（二）出现影响采购公正的违法、违规行为的；</w:t>
      </w:r>
    </w:p>
    <w:p>
      <w:pPr>
        <w:pStyle w:val="15"/>
        <w:overflowPunct/>
        <w:autoSpaceDE/>
        <w:autoSpaceDN/>
        <w:adjustRightInd/>
        <w:snapToGrid w:val="0"/>
        <w:spacing w:line="360" w:lineRule="exact"/>
        <w:ind w:firstLine="442" w:firstLineChars="200"/>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（三）投标人的报价均超过了采购预算，采购人不能支付的；</w:t>
      </w:r>
    </w:p>
    <w:p>
      <w:pPr>
        <w:pStyle w:val="15"/>
        <w:overflowPunct/>
        <w:autoSpaceDE/>
        <w:autoSpaceDN/>
        <w:adjustRightInd/>
        <w:snapToGrid w:val="0"/>
        <w:spacing w:line="360" w:lineRule="exact"/>
        <w:ind w:firstLine="442" w:firstLineChars="200"/>
        <w:textAlignment w:val="auto"/>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（四）因重大变故，采购任务取消的。</w:t>
      </w:r>
    </w:p>
    <w:p>
      <w:pPr>
        <w:tabs>
          <w:tab w:val="left" w:pos="136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9.确定中标候选人</w:t>
      </w:r>
    </w:p>
    <w:p>
      <w:pPr>
        <w:tabs>
          <w:tab w:val="left" w:pos="136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9.1本次招标由评审小组确定中标候选人（招标文件另有规定的除外）。</w:t>
      </w:r>
    </w:p>
    <w:p>
      <w:pPr>
        <w:tabs>
          <w:tab w:val="left" w:pos="1365"/>
        </w:tabs>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pPr>
        <w:widowControl/>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9.3排名第一的中标候选人放弃中标；因不可抗力提出不能履行合同；或者招标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pPr>
        <w:tabs>
          <w:tab w:val="left" w:pos="1365"/>
        </w:tabs>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9.4采购人根据招标文件、中标人的投标文件、合同等材料及时组织验收，并严把质量关。</w:t>
      </w:r>
    </w:p>
    <w:p>
      <w:pPr>
        <w:tabs>
          <w:tab w:val="left" w:pos="1365"/>
        </w:tabs>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9.5采购代理机构对决标结果不做任何解释，也不保证最低价中标。</w:t>
      </w:r>
    </w:p>
    <w:p>
      <w:pPr>
        <w:pStyle w:val="15"/>
        <w:snapToGrid w:val="0"/>
        <w:spacing w:line="360" w:lineRule="exact"/>
        <w:ind w:firstLine="433" w:firstLineChars="196"/>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10.定标</w:t>
      </w:r>
    </w:p>
    <w:p>
      <w:pPr>
        <w:pStyle w:val="15"/>
        <w:snapToGrid w:val="0"/>
        <w:spacing w:line="360" w:lineRule="exact"/>
        <w:ind w:firstLine="433" w:firstLineChars="196"/>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（一）确定中标人。本项目由采购人确定中标人。</w:t>
      </w:r>
    </w:p>
    <w:p>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10.1.采购代理机构自评审结束之日起2个工作日内将评审报告送交采购人。采购人收到评审报告之日起5个工作日内在评审报告推荐的中标候选人中按照排序由高到低的原则确定中标人，也可以书面授权评审小组直接确定中标人。采购人逾期未确定中标人且不提出异议的，视为确定评审报告提出的排序第一的投标人为中标人。</w:t>
      </w:r>
    </w:p>
    <w:p>
      <w:pPr>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10.2.采购代理机构自中标人确定之日起2个工作日内，在省级以上财政部门指定的政府采购信息发布媒体上公告中标结果，同时向中标人发出中标通知书。</w:t>
      </w:r>
    </w:p>
    <w:p>
      <w:pPr>
        <w:spacing w:line="400" w:lineRule="exact"/>
        <w:jc w:val="center"/>
        <w:outlineLvl w:val="0"/>
        <w:rPr>
          <w:rFonts w:hint="eastAsia" w:ascii="宋体" w:hAnsi="宋体" w:eastAsia="宋体" w:cs="宋体"/>
          <w:b/>
          <w:color w:val="auto"/>
          <w:sz w:val="26"/>
          <w:highlight w:val="none"/>
        </w:rPr>
      </w:pPr>
      <w:r>
        <w:rPr>
          <w:rFonts w:hint="eastAsia" w:ascii="宋体" w:hAnsi="宋体" w:eastAsia="宋体" w:cs="宋体"/>
          <w:b/>
          <w:color w:val="auto"/>
          <w:sz w:val="26"/>
          <w:highlight w:val="none"/>
        </w:rPr>
        <w:t>六、 授予合同</w:t>
      </w:r>
    </w:p>
    <w:p>
      <w:pPr>
        <w:spacing w:line="360" w:lineRule="exact"/>
        <w:ind w:firstLine="464" w:firstLineChars="20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360" w:lineRule="exact"/>
        <w:ind w:firstLine="464" w:firstLineChars="200"/>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pPr>
        <w:spacing w:line="36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6"/>
          <w:highlight w:val="none"/>
        </w:rPr>
        <w:t xml:space="preserve">七、 </w:t>
      </w:r>
      <w:r>
        <w:rPr>
          <w:rFonts w:hint="eastAsia" w:ascii="宋体" w:hAnsi="宋体" w:eastAsia="宋体" w:cs="宋体"/>
          <w:b/>
          <w:color w:val="auto"/>
          <w:sz w:val="28"/>
          <w:szCs w:val="28"/>
          <w:highlight w:val="none"/>
        </w:rPr>
        <w:t>可中止电子交易活动的情形</w:t>
      </w:r>
    </w:p>
    <w:p>
      <w:pPr>
        <w:spacing w:line="360" w:lineRule="exact"/>
        <w:ind w:firstLine="440" w:firstLineChars="20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1.</w:t>
      </w:r>
      <w:r>
        <w:rPr>
          <w:rFonts w:hint="eastAsia" w:ascii="宋体" w:hAnsi="宋体" w:eastAsia="宋体" w:cs="宋体"/>
          <w:color w:val="auto"/>
          <w:sz w:val="22"/>
          <w:highlight w:val="none"/>
          <w:lang w:val="zh-CN"/>
        </w:rPr>
        <w:t>采购过程中出现以下情形，导致电子交易平台无法正常运行，或者无法保证电子交易的公平、公正和安全时，采购组织机构可中止电子交易活动：</w:t>
      </w:r>
    </w:p>
    <w:p>
      <w:pPr>
        <w:spacing w:line="360" w:lineRule="exact"/>
        <w:ind w:firstLine="440" w:firstLineChars="20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（一）电子交易平台发生故障而无法登录访问的； </w:t>
      </w:r>
    </w:p>
    <w:p>
      <w:pPr>
        <w:spacing w:line="360" w:lineRule="exact"/>
        <w:ind w:firstLine="440" w:firstLineChars="20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（二）电子交易平台应用或数据库出现错误，不能进行正常操作的；</w:t>
      </w:r>
    </w:p>
    <w:p>
      <w:pPr>
        <w:spacing w:line="360" w:lineRule="exact"/>
        <w:ind w:firstLine="440" w:firstLineChars="20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（三）电子交易平台发现严重安全漏洞，有潜在泄密危险的；</w:t>
      </w:r>
    </w:p>
    <w:p>
      <w:pPr>
        <w:spacing w:line="360" w:lineRule="exact"/>
        <w:ind w:firstLine="440" w:firstLineChars="20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（四）病毒发作导致不能进行正常操作的； </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（五）其他无法保证电子交易的公平、公正和安全的情况。</w:t>
      </w:r>
    </w:p>
    <w:p>
      <w:pPr>
        <w:spacing w:line="360" w:lineRule="exact"/>
        <w:ind w:firstLine="440" w:firstLineChars="200"/>
        <w:jc w:val="left"/>
        <w:rPr>
          <w:rFonts w:hint="eastAsia" w:ascii="宋体" w:hAnsi="宋体" w:eastAsia="宋体" w:cs="宋体"/>
          <w:b/>
          <w:bCs/>
          <w:color w:val="auto"/>
          <w:szCs w:val="21"/>
          <w:highlight w:val="none"/>
        </w:rPr>
      </w:pPr>
      <w:r>
        <w:rPr>
          <w:rFonts w:hint="eastAsia" w:ascii="宋体" w:hAnsi="宋体" w:eastAsia="宋体" w:cs="宋体"/>
          <w:color w:val="auto"/>
          <w:sz w:val="22"/>
          <w:highlight w:val="none"/>
        </w:rPr>
        <w:t>出现前款规定情形，不影响采购公平、公正性的，采购代理机构可以待上述情形消除后继续组织电子交易活动，也可以决定某些环节以纸质形式进行；影响或可能影响采购公平、公正性的，重新采购。</w:t>
      </w:r>
      <w:r>
        <w:rPr>
          <w:rFonts w:hint="eastAsia" w:ascii="宋体" w:hAnsi="宋体" w:eastAsia="宋体" w:cs="宋体"/>
          <w:b/>
          <w:color w:val="auto"/>
          <w:sz w:val="22"/>
          <w:highlight w:val="none"/>
        </w:rPr>
        <w:br w:type="page"/>
      </w:r>
      <w:r>
        <w:rPr>
          <w:rFonts w:hint="eastAsia" w:ascii="宋体" w:hAnsi="宋体" w:eastAsia="宋体" w:cs="宋体"/>
          <w:b/>
          <w:color w:val="auto"/>
          <w:sz w:val="22"/>
          <w:highlight w:val="none"/>
        </w:rPr>
        <w:t xml:space="preserve">                    </w:t>
      </w:r>
      <w:r>
        <w:rPr>
          <w:rFonts w:hint="eastAsia" w:ascii="宋体" w:hAnsi="宋体" w:eastAsia="宋体" w:cs="宋体"/>
          <w:b/>
          <w:color w:val="auto"/>
          <w:sz w:val="32"/>
          <w:highlight w:val="none"/>
        </w:rPr>
        <w:t xml:space="preserve">第三部分   </w:t>
      </w:r>
      <w:r>
        <w:rPr>
          <w:rFonts w:hint="eastAsia" w:ascii="宋体" w:hAnsi="宋体" w:eastAsia="宋体" w:cs="宋体"/>
          <w:b/>
          <w:bCs/>
          <w:color w:val="auto"/>
          <w:sz w:val="32"/>
          <w:szCs w:val="32"/>
          <w:highlight w:val="none"/>
        </w:rPr>
        <w:t>拟签订的合同文本</w:t>
      </w:r>
    </w:p>
    <w:p>
      <w:pPr>
        <w:widowControl/>
        <w:adjustRightInd w:val="0"/>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（本合同为样稿，最终稿由买卖双方协商后确定）</w:t>
      </w:r>
    </w:p>
    <w:p>
      <w:pPr>
        <w:pStyle w:val="3"/>
        <w:widowControl/>
        <w:adjustRightInd w:val="0"/>
        <w:snapToGrid w:val="0"/>
        <w:spacing w:before="0" w:after="0" w:line="360" w:lineRule="exact"/>
        <w:jc w:val="center"/>
        <w:rPr>
          <w:rFonts w:hint="eastAsia" w:ascii="宋体" w:hAnsi="宋体" w:eastAsia="宋体" w:cs="宋体"/>
          <w:color w:val="auto"/>
          <w:sz w:val="32"/>
          <w:szCs w:val="32"/>
          <w:highlight w:val="none"/>
        </w:rPr>
      </w:pPr>
    </w:p>
    <w:p>
      <w:pPr>
        <w:pStyle w:val="3"/>
        <w:widowControl/>
        <w:adjustRightInd w:val="0"/>
        <w:snapToGrid w:val="0"/>
        <w:spacing w:before="0" w:after="0" w:line="36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温州肯恩大学</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32"/>
          <w:szCs w:val="32"/>
          <w:highlight w:val="none"/>
        </w:rPr>
        <w:t>采购合同</w:t>
      </w:r>
    </w:p>
    <w:p>
      <w:pPr>
        <w:widowControl/>
        <w:adjustRightInd w:val="0"/>
        <w:snapToGrid w:val="0"/>
        <w:spacing w:line="400" w:lineRule="exact"/>
        <w:rPr>
          <w:rFonts w:hint="eastAsia" w:ascii="宋体" w:hAnsi="宋体" w:eastAsia="宋体" w:cs="宋体"/>
          <w:color w:val="auto"/>
          <w:highlight w:val="none"/>
        </w:rPr>
      </w:pPr>
    </w:p>
    <w:p>
      <w:pPr>
        <w:widowControl/>
        <w:adjustRightInd w:val="0"/>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温州肯恩大学采购的</w:t>
      </w:r>
      <w:r>
        <w:rPr>
          <w:rFonts w:hint="eastAsia" w:ascii="宋体" w:hAnsi="宋体" w:eastAsia="宋体" w:cs="宋体"/>
          <w:color w:val="auto"/>
          <w:sz w:val="22"/>
          <w:highlight w:val="none"/>
          <w:u w:val="single"/>
        </w:rPr>
        <w:t xml:space="preserve">                （项目名称）（项目编号：       </w:t>
      </w:r>
      <w:r>
        <w:rPr>
          <w:rFonts w:hint="eastAsia" w:ascii="宋体" w:hAnsi="宋体" w:eastAsia="宋体" w:cs="宋体"/>
          <w:color w:val="auto"/>
          <w:sz w:val="22"/>
          <w:highlight w:val="none"/>
        </w:rPr>
        <w:t>）在国内公开招标，经评审小组决标为中标人。买、卖双方同意按照下面条款和条件，签署本合同。</w:t>
      </w:r>
    </w:p>
    <w:p>
      <w:pPr>
        <w:widowControl/>
        <w:adjustRightInd w:val="0"/>
        <w:snapToGrid w:val="0"/>
        <w:spacing w:line="400" w:lineRule="exact"/>
        <w:ind w:firstLine="433" w:firstLineChars="196"/>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1．合同文件</w:t>
      </w:r>
    </w:p>
    <w:p>
      <w:pPr>
        <w:spacing w:line="400" w:lineRule="exact"/>
        <w:ind w:firstLine="435"/>
        <w:rPr>
          <w:rFonts w:hint="eastAsia" w:ascii="宋体" w:hAnsi="宋体" w:eastAsia="宋体" w:cs="宋体"/>
          <w:color w:val="auto"/>
          <w:sz w:val="22"/>
          <w:highlight w:val="none"/>
        </w:rPr>
      </w:pPr>
      <w:r>
        <w:rPr>
          <w:rFonts w:hint="eastAsia" w:ascii="宋体" w:hAnsi="宋体" w:eastAsia="宋体" w:cs="宋体"/>
          <w:color w:val="auto"/>
          <w:sz w:val="22"/>
          <w:highlight w:val="none"/>
        </w:rPr>
        <w:t>下列文件构成本合同的组成部分：</w:t>
      </w:r>
    </w:p>
    <w:p>
      <w:pPr>
        <w:spacing w:line="400" w:lineRule="exact"/>
        <w:ind w:firstLine="435"/>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(1) 合同主要条款</w:t>
      </w:r>
    </w:p>
    <w:p>
      <w:pPr>
        <w:spacing w:line="400" w:lineRule="exact"/>
        <w:ind w:firstLine="759" w:firstLineChars="345"/>
        <w:rPr>
          <w:rFonts w:hint="eastAsia" w:ascii="宋体" w:hAnsi="宋体" w:eastAsia="宋体" w:cs="宋体"/>
          <w:color w:val="auto"/>
          <w:sz w:val="22"/>
          <w:highlight w:val="none"/>
        </w:rPr>
      </w:pPr>
      <w:r>
        <w:rPr>
          <w:rFonts w:hint="eastAsia" w:ascii="宋体" w:hAnsi="宋体" w:eastAsia="宋体" w:cs="宋体"/>
          <w:color w:val="auto"/>
          <w:sz w:val="22"/>
          <w:highlight w:val="none"/>
        </w:rPr>
        <w:t>(2) 中标通知书（附件1）</w:t>
      </w:r>
    </w:p>
    <w:p>
      <w:pPr>
        <w:spacing w:line="400" w:lineRule="exact"/>
        <w:ind w:firstLine="759" w:firstLineChars="345"/>
        <w:rPr>
          <w:rFonts w:hint="eastAsia" w:ascii="宋体" w:hAnsi="宋体" w:eastAsia="宋体" w:cs="宋体"/>
          <w:color w:val="auto"/>
          <w:sz w:val="22"/>
          <w:highlight w:val="none"/>
        </w:rPr>
      </w:pPr>
      <w:r>
        <w:rPr>
          <w:rFonts w:hint="eastAsia" w:ascii="宋体" w:hAnsi="宋体" w:eastAsia="宋体" w:cs="宋体"/>
          <w:color w:val="auto"/>
          <w:sz w:val="22"/>
          <w:highlight w:val="none"/>
        </w:rPr>
        <w:t>(3) 开标一览表（附件2）</w:t>
      </w:r>
    </w:p>
    <w:p>
      <w:pPr>
        <w:spacing w:line="400" w:lineRule="exact"/>
        <w:ind w:firstLine="759" w:firstLineChars="345"/>
        <w:rPr>
          <w:rFonts w:hint="eastAsia" w:ascii="宋体" w:hAnsi="宋体" w:eastAsia="宋体" w:cs="宋体"/>
          <w:color w:val="auto"/>
          <w:sz w:val="22"/>
          <w:highlight w:val="none"/>
        </w:rPr>
      </w:pPr>
      <w:r>
        <w:rPr>
          <w:rFonts w:hint="eastAsia" w:ascii="宋体" w:hAnsi="宋体" w:eastAsia="宋体" w:cs="宋体"/>
          <w:color w:val="auto"/>
          <w:sz w:val="22"/>
          <w:highlight w:val="none"/>
        </w:rPr>
        <w:t>(4) 招标内容及要求</w:t>
      </w:r>
    </w:p>
    <w:p>
      <w:pPr>
        <w:spacing w:line="400" w:lineRule="exact"/>
        <w:ind w:firstLine="759" w:firstLineChars="345"/>
        <w:rPr>
          <w:rFonts w:hint="eastAsia" w:ascii="宋体" w:hAnsi="宋体" w:eastAsia="宋体" w:cs="宋体"/>
          <w:color w:val="auto"/>
          <w:sz w:val="22"/>
          <w:highlight w:val="none"/>
        </w:rPr>
      </w:pPr>
      <w:r>
        <w:rPr>
          <w:rFonts w:hint="eastAsia" w:ascii="宋体" w:hAnsi="宋体" w:eastAsia="宋体" w:cs="宋体"/>
          <w:color w:val="auto"/>
          <w:sz w:val="22"/>
          <w:highlight w:val="none"/>
        </w:rPr>
        <w:t>(5) 合同补充条款或说明（如有）</w:t>
      </w:r>
    </w:p>
    <w:p>
      <w:pPr>
        <w:spacing w:line="400" w:lineRule="exact"/>
        <w:ind w:firstLine="759" w:firstLineChars="345"/>
        <w:rPr>
          <w:rFonts w:hint="eastAsia" w:ascii="宋体" w:hAnsi="宋体" w:eastAsia="宋体" w:cs="宋体"/>
          <w:color w:val="auto"/>
          <w:sz w:val="22"/>
          <w:highlight w:val="none"/>
        </w:rPr>
      </w:pPr>
      <w:r>
        <w:rPr>
          <w:rFonts w:hint="eastAsia" w:ascii="宋体" w:hAnsi="宋体" w:eastAsia="宋体" w:cs="宋体"/>
          <w:color w:val="auto"/>
          <w:sz w:val="22"/>
          <w:highlight w:val="none"/>
        </w:rPr>
        <w:t>(6) 履约保证金（附件3）</w:t>
      </w:r>
    </w:p>
    <w:p>
      <w:pPr>
        <w:spacing w:line="400" w:lineRule="exact"/>
        <w:ind w:firstLine="759" w:firstLineChars="345"/>
        <w:rPr>
          <w:rFonts w:hint="eastAsia" w:ascii="宋体" w:hAnsi="宋体" w:eastAsia="宋体" w:cs="宋体"/>
          <w:color w:val="auto"/>
          <w:sz w:val="22"/>
          <w:highlight w:val="none"/>
        </w:rPr>
      </w:pPr>
      <w:r>
        <w:rPr>
          <w:rFonts w:hint="eastAsia" w:ascii="宋体" w:hAnsi="宋体" w:eastAsia="宋体" w:cs="宋体"/>
          <w:color w:val="auto"/>
          <w:sz w:val="22"/>
          <w:highlight w:val="none"/>
        </w:rPr>
        <w:t>(7) 投标文件和招标文件</w:t>
      </w:r>
    </w:p>
    <w:p>
      <w:pPr>
        <w:tabs>
          <w:tab w:val="left" w:pos="540"/>
        </w:tabs>
        <w:spacing w:line="400" w:lineRule="exact"/>
        <w:ind w:firstLine="397"/>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2．合同范围和条件</w:t>
      </w:r>
    </w:p>
    <w:p>
      <w:pPr>
        <w:tabs>
          <w:tab w:val="left" w:pos="540"/>
        </w:tabs>
        <w:spacing w:line="400" w:lineRule="exact"/>
        <w:ind w:firstLine="440"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本合同范围和条件应与下述合同文件规定的内容相一致。</w:t>
      </w:r>
    </w:p>
    <w:p>
      <w:pPr>
        <w:numPr>
          <w:ilvl w:val="0"/>
          <w:numId w:val="2"/>
        </w:numPr>
        <w:spacing w:line="400" w:lineRule="exact"/>
        <w:ind w:firstLine="435"/>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货物和数量</w:t>
      </w:r>
    </w:p>
    <w:p>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本合同要求提供的货物及数量见合同主要条款。</w:t>
      </w:r>
    </w:p>
    <w:p>
      <w:pPr>
        <w:spacing w:line="400" w:lineRule="exact"/>
        <w:ind w:firstLine="435"/>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4．合同总价</w:t>
      </w:r>
    </w:p>
    <w:p>
      <w:pPr>
        <w:spacing w:line="400" w:lineRule="exact"/>
        <w:ind w:firstLine="567"/>
        <w:rPr>
          <w:rFonts w:hint="eastAsia" w:ascii="宋体" w:hAnsi="宋体" w:eastAsia="宋体" w:cs="宋体"/>
          <w:color w:val="auto"/>
          <w:sz w:val="22"/>
          <w:highlight w:val="none"/>
        </w:rPr>
      </w:pPr>
      <w:r>
        <w:rPr>
          <w:rFonts w:hint="eastAsia" w:ascii="宋体" w:hAnsi="宋体" w:eastAsia="宋体" w:cs="宋体"/>
          <w:color w:val="auto"/>
          <w:sz w:val="22"/>
          <w:highlight w:val="none"/>
        </w:rPr>
        <w:t>本合同价款总价为</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人民币。</w:t>
      </w:r>
    </w:p>
    <w:p>
      <w:pPr>
        <w:numPr>
          <w:ilvl w:val="0"/>
          <w:numId w:val="3"/>
        </w:numPr>
        <w:spacing w:line="400" w:lineRule="exact"/>
        <w:ind w:firstLine="435"/>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付款方式、交货时间及地点</w:t>
      </w:r>
    </w:p>
    <w:p>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本合同的付款方式、交货时间及地点在合同主要条款中规定。</w:t>
      </w:r>
    </w:p>
    <w:p>
      <w:pPr>
        <w:numPr>
          <w:ilvl w:val="0"/>
          <w:numId w:val="3"/>
        </w:numPr>
        <w:spacing w:line="400" w:lineRule="exact"/>
        <w:ind w:firstLine="435"/>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合同生效</w:t>
      </w:r>
    </w:p>
    <w:p>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本合同经双方授权代表签署，买卖双方加盖印章后生效。</w:t>
      </w:r>
    </w:p>
    <w:p>
      <w:pPr>
        <w:snapToGrid w:val="0"/>
        <w:spacing w:line="400" w:lineRule="exact"/>
        <w:ind w:firstLine="624" w:firstLineChars="300"/>
        <w:jc w:val="left"/>
        <w:rPr>
          <w:rFonts w:hint="eastAsia" w:ascii="宋体" w:hAnsi="宋体" w:eastAsia="宋体" w:cs="宋体"/>
          <w:color w:val="auto"/>
          <w:spacing w:val="-6"/>
          <w:sz w:val="22"/>
          <w:highlight w:val="none"/>
        </w:rPr>
      </w:pPr>
    </w:p>
    <w:p>
      <w:pPr>
        <w:autoSpaceDE w:val="0"/>
        <w:snapToGrid w:val="0"/>
        <w:spacing w:line="400" w:lineRule="exact"/>
        <w:ind w:firstLine="624" w:firstLineChars="300"/>
        <w:jc w:val="lef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买   方：温州肯恩大学（盖章）              卖   方：（盖章）</w:t>
      </w:r>
    </w:p>
    <w:p>
      <w:pPr>
        <w:autoSpaceDE w:val="0"/>
        <w:snapToGrid w:val="0"/>
        <w:spacing w:line="400" w:lineRule="exact"/>
        <w:ind w:firstLine="624" w:firstLineChars="300"/>
        <w:jc w:val="lef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 xml:space="preserve">法定（授权）代表人（签字）：               法定（授权）代表人（签字）： </w:t>
      </w:r>
    </w:p>
    <w:p>
      <w:pPr>
        <w:autoSpaceDE w:val="0"/>
        <w:snapToGrid w:val="0"/>
        <w:spacing w:line="400" w:lineRule="exact"/>
        <w:ind w:firstLine="624" w:firstLineChars="300"/>
        <w:jc w:val="lef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 xml:space="preserve">联系人（签字）：                            联系人（签字）：              </w:t>
      </w:r>
    </w:p>
    <w:p>
      <w:pPr>
        <w:autoSpaceDE w:val="0"/>
        <w:snapToGrid w:val="0"/>
        <w:spacing w:line="400" w:lineRule="exact"/>
        <w:ind w:firstLine="624" w:firstLineChars="300"/>
        <w:jc w:val="lef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电话：                                      电话：</w:t>
      </w:r>
    </w:p>
    <w:p>
      <w:pPr>
        <w:autoSpaceDE w:val="0"/>
        <w:snapToGrid w:val="0"/>
        <w:spacing w:line="400" w:lineRule="exact"/>
        <w:ind w:firstLine="624" w:firstLineChars="300"/>
        <w:jc w:val="left"/>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时间：                                      开户银行：</w:t>
      </w:r>
    </w:p>
    <w:p>
      <w:pPr>
        <w:autoSpaceDE w:val="0"/>
        <w:snapToGrid w:val="0"/>
        <w:spacing w:line="400" w:lineRule="exact"/>
        <w:ind w:firstLine="416" w:firstLineChars="200"/>
        <w:jc w:val="left"/>
        <w:rPr>
          <w:rFonts w:hint="eastAsia" w:ascii="宋体" w:hAnsi="宋体" w:eastAsia="宋体" w:cs="宋体"/>
          <w:color w:val="auto"/>
          <w:sz w:val="22"/>
          <w:highlight w:val="none"/>
        </w:rPr>
      </w:pPr>
      <w:r>
        <w:rPr>
          <w:rFonts w:hint="eastAsia" w:ascii="宋体" w:hAnsi="宋体" w:eastAsia="宋体" w:cs="宋体"/>
          <w:color w:val="auto"/>
          <w:spacing w:val="-6"/>
          <w:sz w:val="22"/>
          <w:highlight w:val="none"/>
        </w:rPr>
        <w:t xml:space="preserve">                               </w:t>
      </w:r>
      <w:r>
        <w:rPr>
          <w:rFonts w:hint="eastAsia" w:ascii="宋体" w:hAnsi="宋体" w:eastAsia="宋体" w:cs="宋体"/>
          <w:color w:val="auto"/>
          <w:spacing w:val="-6"/>
          <w:sz w:val="22"/>
          <w:highlight w:val="none"/>
        </w:rPr>
        <w:tab/>
      </w:r>
      <w:r>
        <w:rPr>
          <w:rFonts w:hint="eastAsia" w:ascii="宋体" w:hAnsi="宋体" w:eastAsia="宋体" w:cs="宋体"/>
          <w:color w:val="auto"/>
          <w:spacing w:val="-6"/>
          <w:sz w:val="22"/>
          <w:highlight w:val="none"/>
        </w:rPr>
        <w:t xml:space="preserve">            账号：</w:t>
      </w:r>
    </w:p>
    <w:p>
      <w:pPr>
        <w:autoSpaceDE w:val="0"/>
        <w:snapToGrid w:val="0"/>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签约地：</w:t>
      </w:r>
    </w:p>
    <w:p>
      <w:pPr>
        <w:autoSpaceDE w:val="0"/>
        <w:snapToGrid w:val="0"/>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时间：</w:t>
      </w:r>
    </w:p>
    <w:p>
      <w:pPr>
        <w:pStyle w:val="71"/>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合同主要条款</w:t>
      </w:r>
    </w:p>
    <w:p>
      <w:pPr>
        <w:pStyle w:val="72"/>
        <w:spacing w:line="400" w:lineRule="exact"/>
        <w:ind w:left="0"/>
        <w:rPr>
          <w:rFonts w:hint="eastAsia" w:ascii="宋体" w:hAnsi="宋体" w:eastAsia="宋体" w:cs="宋体"/>
          <w:color w:val="auto"/>
          <w:sz w:val="22"/>
          <w:highlight w:val="none"/>
        </w:rPr>
      </w:pPr>
    </w:p>
    <w:p>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依据《中华人民共和国民法典》的规定，本着互惠互利、诚实守信的原则，经协商，买卖双方就温州肯恩大学</w:t>
      </w:r>
      <w:r>
        <w:rPr>
          <w:rFonts w:hint="eastAsia" w:ascii="宋体" w:hAnsi="宋体" w:eastAsia="宋体" w:cs="宋体"/>
          <w:color w:val="auto"/>
          <w:sz w:val="22"/>
          <w:highlight w:val="none"/>
          <w:u w:val="single"/>
        </w:rPr>
        <w:t xml:space="preserve">                （项目名称）</w:t>
      </w:r>
      <w:r>
        <w:rPr>
          <w:rFonts w:hint="eastAsia" w:ascii="宋体" w:hAnsi="宋体" w:eastAsia="宋体" w:cs="宋体"/>
          <w:color w:val="auto"/>
          <w:sz w:val="22"/>
          <w:highlight w:val="none"/>
        </w:rPr>
        <w:t>供需合作达成如下合同。</w:t>
      </w:r>
    </w:p>
    <w:p>
      <w:pPr>
        <w:pStyle w:val="46"/>
        <w:numPr>
          <w:ilvl w:val="0"/>
          <w:numId w:val="4"/>
        </w:numPr>
        <w:spacing w:line="400" w:lineRule="exact"/>
        <w:ind w:left="0" w:firstLine="0" w:firstLineChars="0"/>
        <w:rPr>
          <w:rFonts w:hint="eastAsia" w:ascii="宋体" w:hAnsi="宋体" w:eastAsia="宋体" w:cs="宋体"/>
          <w:color w:val="auto"/>
          <w:sz w:val="22"/>
          <w:szCs w:val="22"/>
          <w:highlight w:val="none"/>
          <w:u w:val="single"/>
        </w:rPr>
      </w:pPr>
      <w:r>
        <w:rPr>
          <w:rFonts w:hint="eastAsia" w:ascii="宋体" w:hAnsi="宋体" w:eastAsia="宋体" w:cs="宋体"/>
          <w:b/>
          <w:color w:val="auto"/>
          <w:sz w:val="22"/>
          <w:szCs w:val="22"/>
          <w:highlight w:val="none"/>
        </w:rPr>
        <w:t>采购项目概况</w:t>
      </w:r>
    </w:p>
    <w:p>
      <w:pPr>
        <w:spacing w:line="400" w:lineRule="exact"/>
        <w:jc w:val="right"/>
        <w:outlineLvl w:val="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 xml:space="preserve">                       单位： </w:t>
      </w:r>
      <w:r>
        <w:rPr>
          <w:rFonts w:hint="eastAsia" w:ascii="宋体" w:hAnsi="宋体" w:eastAsia="宋体" w:cs="宋体"/>
          <w:color w:val="auto"/>
          <w:sz w:val="22"/>
          <w:highlight w:val="none"/>
          <w:u w:val="single"/>
        </w:rPr>
        <w:t xml:space="preserve"> 元 </w:t>
      </w:r>
    </w:p>
    <w:tbl>
      <w:tblPr>
        <w:tblStyle w:val="27"/>
        <w:tblW w:w="0" w:type="auto"/>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67"/>
        <w:gridCol w:w="1266"/>
        <w:gridCol w:w="2367"/>
        <w:gridCol w:w="867"/>
        <w:gridCol w:w="883"/>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33" w:type="dxa"/>
            <w:vAlign w:val="center"/>
          </w:tcPr>
          <w:p>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1567" w:type="dxa"/>
            <w:vAlign w:val="center"/>
          </w:tcPr>
          <w:p>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设备名称</w:t>
            </w:r>
          </w:p>
        </w:tc>
        <w:tc>
          <w:tcPr>
            <w:tcW w:w="1266" w:type="dxa"/>
            <w:vAlign w:val="center"/>
          </w:tcPr>
          <w:p>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品牌</w:t>
            </w:r>
          </w:p>
        </w:tc>
        <w:tc>
          <w:tcPr>
            <w:tcW w:w="2367" w:type="dxa"/>
            <w:vAlign w:val="center"/>
          </w:tcPr>
          <w:p>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型号规格和主要配置</w:t>
            </w:r>
          </w:p>
        </w:tc>
        <w:tc>
          <w:tcPr>
            <w:tcW w:w="867" w:type="dxa"/>
            <w:vAlign w:val="center"/>
          </w:tcPr>
          <w:p>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c>
          <w:tcPr>
            <w:tcW w:w="883" w:type="dxa"/>
            <w:vAlign w:val="center"/>
          </w:tcPr>
          <w:p>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单价</w:t>
            </w:r>
          </w:p>
        </w:tc>
        <w:tc>
          <w:tcPr>
            <w:tcW w:w="1117" w:type="dxa"/>
            <w:vAlign w:val="center"/>
          </w:tcPr>
          <w:p>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33" w:type="dxa"/>
            <w:vAlign w:val="center"/>
          </w:tcPr>
          <w:p>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1567" w:type="dxa"/>
            <w:vAlign w:val="center"/>
          </w:tcPr>
          <w:p>
            <w:pPr>
              <w:spacing w:line="400" w:lineRule="exact"/>
              <w:jc w:val="center"/>
              <w:rPr>
                <w:rFonts w:hint="eastAsia" w:ascii="宋体" w:hAnsi="宋体" w:eastAsia="宋体" w:cs="宋体"/>
                <w:color w:val="auto"/>
                <w:sz w:val="22"/>
                <w:highlight w:val="none"/>
              </w:rPr>
            </w:pPr>
          </w:p>
        </w:tc>
        <w:tc>
          <w:tcPr>
            <w:tcW w:w="1266" w:type="dxa"/>
            <w:vAlign w:val="center"/>
          </w:tcPr>
          <w:p>
            <w:pPr>
              <w:spacing w:line="400" w:lineRule="exact"/>
              <w:jc w:val="center"/>
              <w:rPr>
                <w:rFonts w:hint="eastAsia" w:ascii="宋体" w:hAnsi="宋体" w:eastAsia="宋体" w:cs="宋体"/>
                <w:color w:val="auto"/>
                <w:sz w:val="22"/>
                <w:highlight w:val="none"/>
              </w:rPr>
            </w:pPr>
          </w:p>
        </w:tc>
        <w:tc>
          <w:tcPr>
            <w:tcW w:w="2367" w:type="dxa"/>
            <w:vAlign w:val="center"/>
          </w:tcPr>
          <w:p>
            <w:pPr>
              <w:spacing w:line="400" w:lineRule="exact"/>
              <w:jc w:val="center"/>
              <w:rPr>
                <w:rFonts w:hint="eastAsia" w:ascii="宋体" w:hAnsi="宋体" w:eastAsia="宋体" w:cs="宋体"/>
                <w:color w:val="auto"/>
                <w:sz w:val="22"/>
                <w:highlight w:val="none"/>
              </w:rPr>
            </w:pPr>
          </w:p>
        </w:tc>
        <w:tc>
          <w:tcPr>
            <w:tcW w:w="867" w:type="dxa"/>
            <w:vAlign w:val="center"/>
          </w:tcPr>
          <w:p>
            <w:pPr>
              <w:spacing w:line="400" w:lineRule="exact"/>
              <w:jc w:val="center"/>
              <w:rPr>
                <w:rFonts w:hint="eastAsia" w:ascii="宋体" w:hAnsi="宋体" w:eastAsia="宋体" w:cs="宋体"/>
                <w:color w:val="auto"/>
                <w:sz w:val="22"/>
                <w:highlight w:val="none"/>
              </w:rPr>
            </w:pPr>
          </w:p>
        </w:tc>
        <w:tc>
          <w:tcPr>
            <w:tcW w:w="883" w:type="dxa"/>
            <w:vAlign w:val="center"/>
          </w:tcPr>
          <w:p>
            <w:pPr>
              <w:spacing w:line="400" w:lineRule="exact"/>
              <w:jc w:val="center"/>
              <w:rPr>
                <w:rFonts w:hint="eastAsia" w:ascii="宋体" w:hAnsi="宋体" w:eastAsia="宋体" w:cs="宋体"/>
                <w:color w:val="auto"/>
                <w:sz w:val="22"/>
                <w:highlight w:val="none"/>
              </w:rPr>
            </w:pPr>
          </w:p>
        </w:tc>
        <w:tc>
          <w:tcPr>
            <w:tcW w:w="1117" w:type="dxa"/>
            <w:vAlign w:val="center"/>
          </w:tcPr>
          <w:p>
            <w:pPr>
              <w:spacing w:line="40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00" w:type="dxa"/>
            <w:gridSpan w:val="7"/>
          </w:tcPr>
          <w:p>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合计：（大写）        元整                              小写：￥</w:t>
            </w:r>
          </w:p>
        </w:tc>
      </w:tr>
    </w:tbl>
    <w:p>
      <w:pPr>
        <w:widowControl/>
        <w:adjustRightInd w:val="0"/>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合同总价为设备供货、运输、保险、装卸、安装调试及技术、验收（含第三方验收）、培训、售后服务、外贸代理服务费、税费等的全部费用，实行固定总价包干。除发生下列因素可调整合同价外，不得以任何其他理由调整任何费用。</w:t>
      </w:r>
    </w:p>
    <w:p>
      <w:pPr>
        <w:widowControl/>
        <w:adjustRightInd w:val="0"/>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买方提出的设备变更或由卖方提出的合理化建议，经买方同意采纳的设备型号、规格等各方面的变更，可根据原中标单价计算变更费用。但属卖方投标漏项少算的设备及服务费用不得追补。</w:t>
      </w:r>
    </w:p>
    <w:p>
      <w:pPr>
        <w:pStyle w:val="46"/>
        <w:numPr>
          <w:ilvl w:val="0"/>
          <w:numId w:val="4"/>
        </w:numPr>
        <w:spacing w:line="40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设备、材料供应</w:t>
      </w:r>
    </w:p>
    <w:p>
      <w:pPr>
        <w:widowControl/>
        <w:adjustRightInd w:val="0"/>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本合同范围所需的设备均由卖方提供。采购供应的材料、设备均须有合格证、质保书等相关技术资料。如发现不合格的设备材料，由卖方承担全部的经济损失和责任。</w:t>
      </w:r>
    </w:p>
    <w:p>
      <w:pPr>
        <w:pStyle w:val="46"/>
        <w:numPr>
          <w:ilvl w:val="0"/>
          <w:numId w:val="4"/>
        </w:numPr>
        <w:spacing w:line="40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产品包装</w:t>
      </w:r>
    </w:p>
    <w:p>
      <w:pPr>
        <w:widowControl/>
        <w:adjustRightInd w:val="0"/>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1.为了保证设备在长途运输和装卸过程中的安全，产品包装应符合国家或专业（部）标准规定。由于包装不善导致设备锈蚀、失缺或损坏，由卖方承担一切责任。</w:t>
      </w:r>
    </w:p>
    <w:p>
      <w:pPr>
        <w:widowControl/>
        <w:adjustRightInd w:val="0"/>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2.每一包装箱内必须附有装箱清单。</w:t>
      </w:r>
    </w:p>
    <w:p>
      <w:pPr>
        <w:pStyle w:val="46"/>
        <w:numPr>
          <w:ilvl w:val="0"/>
          <w:numId w:val="4"/>
        </w:numPr>
        <w:spacing w:line="40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唛头</w:t>
      </w:r>
    </w:p>
    <w:p>
      <w:pPr>
        <w:widowControl/>
        <w:adjustRightInd w:val="0"/>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1.卖方应在每件包装箱上，明显地标注下列标记：</w:t>
      </w:r>
    </w:p>
    <w:p>
      <w:pPr>
        <w:widowControl/>
        <w:adjustRightInd w:val="0"/>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1)收货人；2)产品名称；3)合同号；4)品目号和箱号；5)到达站或到货地点；6)外形尺寸(长宽高)，以厘米计；7)毛重、净重(公斤)。</w:t>
      </w:r>
    </w:p>
    <w:p>
      <w:pPr>
        <w:widowControl/>
        <w:adjustRightInd w:val="0"/>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2.卖方应根据设备特点，在包装箱上标明“小心轻放”、“请勿倒置”、“防潮”等字样和吊装标记。</w:t>
      </w:r>
    </w:p>
    <w:p>
      <w:pPr>
        <w:pStyle w:val="46"/>
        <w:numPr>
          <w:ilvl w:val="0"/>
          <w:numId w:val="4"/>
        </w:numPr>
        <w:spacing w:line="40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质保期</w:t>
      </w:r>
    </w:p>
    <w:p>
      <w:pPr>
        <w:widowControl/>
        <w:adjustRightInd w:val="0"/>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本合同产品的免费保修期限为设备验收合格交付使用后</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w:t>
      </w:r>
    </w:p>
    <w:p>
      <w:pPr>
        <w:widowControl/>
        <w:adjustRightInd w:val="0"/>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在产品质量保证期限内，卖方对由于产品设计、工艺、材料、配套件的缺陷而造成的任何产品质量问题或故障负责。</w:t>
      </w:r>
    </w:p>
    <w:p>
      <w:pPr>
        <w:pStyle w:val="46"/>
        <w:numPr>
          <w:ilvl w:val="0"/>
          <w:numId w:val="4"/>
        </w:numPr>
        <w:spacing w:line="40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产品资料</w:t>
      </w:r>
    </w:p>
    <w:p>
      <w:pPr>
        <w:widowControl/>
        <w:adjustRightInd w:val="0"/>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档案资料，包括：设备的数量、型号、规格，设备生产厂家的产品检测证书，出厂检验报告，合格证书，产品说明书等有关资料。如发现不合格的设备材料，由卖方承担全部的经济损失的责任。设备开箱后的全部随机资料所有权归买方所有。开箱验收后由买方保管。</w:t>
      </w:r>
    </w:p>
    <w:p>
      <w:pPr>
        <w:pStyle w:val="46"/>
        <w:numPr>
          <w:ilvl w:val="0"/>
          <w:numId w:val="4"/>
        </w:numPr>
        <w:spacing w:line="40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交付时间与地点</w:t>
      </w:r>
    </w:p>
    <w:p>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交付使用时间：</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w:t>
      </w:r>
    </w:p>
    <w:p>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交货地点：</w:t>
      </w:r>
      <w:r>
        <w:rPr>
          <w:rFonts w:hint="eastAsia" w:ascii="宋体" w:hAnsi="宋体" w:eastAsia="宋体" w:cs="宋体"/>
          <w:color w:val="auto"/>
          <w:sz w:val="22"/>
          <w:highlight w:val="none"/>
          <w:u w:val="single"/>
        </w:rPr>
        <w:t xml:space="preserve"> 温州肯恩大学指定地点 </w:t>
      </w:r>
      <w:r>
        <w:rPr>
          <w:rFonts w:hint="eastAsia" w:ascii="宋体" w:hAnsi="宋体" w:eastAsia="宋体" w:cs="宋体"/>
          <w:color w:val="auto"/>
          <w:sz w:val="22"/>
          <w:highlight w:val="none"/>
        </w:rPr>
        <w:t>。</w:t>
      </w:r>
    </w:p>
    <w:p>
      <w:pPr>
        <w:pStyle w:val="46"/>
        <w:numPr>
          <w:ilvl w:val="0"/>
          <w:numId w:val="4"/>
        </w:numPr>
        <w:spacing w:line="40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付款方式与结算</w:t>
      </w:r>
    </w:p>
    <w:p>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详见采购需求</w:t>
      </w:r>
    </w:p>
    <w:p>
      <w:pPr>
        <w:pStyle w:val="46"/>
        <w:numPr>
          <w:ilvl w:val="0"/>
          <w:numId w:val="4"/>
        </w:numPr>
        <w:spacing w:line="40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违约责任</w:t>
      </w:r>
    </w:p>
    <w:p>
      <w:pPr>
        <w:widowControl/>
        <w:adjustRightInd w:val="0"/>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1.设备质量责任</w:t>
      </w:r>
    </w:p>
    <w:p>
      <w:pPr>
        <w:widowControl/>
        <w:adjustRightInd w:val="0"/>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在设备质量保证期内，凡设备在开箱检验、安装调试、设备试运行过程中发现的设备质量问题，由卖方负责处理，实行包修、包换、包退、直至产品符合质量要求。卖方承担修理、调换、退货发生的一切费用和买方的直接经济损失。</w:t>
      </w:r>
    </w:p>
    <w:p>
      <w:pPr>
        <w:widowControl/>
        <w:adjustRightInd w:val="0"/>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2）接到买方通知后，温州及附近地区4小时内，外地24小时内派人赴现场处理设备质量问题。</w:t>
      </w:r>
    </w:p>
    <w:p>
      <w:pPr>
        <w:widowControl/>
        <w:adjustRightInd w:val="0"/>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3）由于买方保管不善或使用不当造成设备短缺、故障或损坏，由买方负责。但卖方保证及时给予补齐和修复。</w:t>
      </w:r>
    </w:p>
    <w:p>
      <w:pPr>
        <w:widowControl/>
        <w:adjustRightInd w:val="0"/>
        <w:snapToGrid w:val="0"/>
        <w:spacing w:line="400" w:lineRule="exact"/>
        <w:ind w:firstLine="440" w:firstLineChars="200"/>
        <w:outlineLvl w:val="0"/>
        <w:rPr>
          <w:rFonts w:hint="eastAsia" w:ascii="宋体" w:hAnsi="宋体" w:eastAsia="宋体" w:cs="宋体"/>
          <w:color w:val="auto"/>
          <w:sz w:val="22"/>
          <w:highlight w:val="none"/>
        </w:rPr>
      </w:pPr>
      <w:r>
        <w:rPr>
          <w:rFonts w:hint="eastAsia" w:ascii="宋体" w:hAnsi="宋体" w:eastAsia="宋体" w:cs="宋体"/>
          <w:color w:val="auto"/>
          <w:sz w:val="22"/>
          <w:highlight w:val="none"/>
        </w:rPr>
        <w:t>2.违约赔偿</w:t>
      </w:r>
    </w:p>
    <w:p>
      <w:pPr>
        <w:widowControl/>
        <w:adjustRightInd w:val="0"/>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除不可抗力外，如卖方发生不能按期交货或提供服务，买方发生中途退货等情况，应及时以书面形式通知对方。双方应本着友好的态度进行协商，妥善解决。</w:t>
      </w:r>
    </w:p>
    <w:p>
      <w:pPr>
        <w:widowControl/>
        <w:adjustRightInd w:val="0"/>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如协商无效，按下列规定处以罚金。</w:t>
      </w:r>
    </w:p>
    <w:p>
      <w:pPr>
        <w:widowControl/>
        <w:adjustRightInd w:val="0"/>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1）逾期交货</w:t>
      </w:r>
    </w:p>
    <w:p>
      <w:pPr>
        <w:widowControl/>
        <w:adjustRightInd w:val="0"/>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卖方逾期交货，应向买方偿付违约金，每逾一周违约罚款按合同总价的0.8%计收，直至交货为止。（一周按7天计算，不足一周按一周计算）。</w:t>
      </w:r>
    </w:p>
    <w:p>
      <w:pPr>
        <w:widowControl/>
        <w:adjustRightInd w:val="0"/>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2）卖方不能交货或买方中途退货</w:t>
      </w:r>
    </w:p>
    <w:p>
      <w:pPr>
        <w:widowControl/>
        <w:adjustRightInd w:val="0"/>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卖方不能交货，应向买方偿付违约金。违约金按合同总价的10-30%计算。</w:t>
      </w:r>
    </w:p>
    <w:p>
      <w:pPr>
        <w:widowControl/>
        <w:adjustRightInd w:val="0"/>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买方中途退货，应向卖方偿付违约金。违约金的计算方法与卖方违约相同。</w:t>
      </w:r>
    </w:p>
    <w:p>
      <w:pPr>
        <w:widowControl/>
        <w:adjustRightInd w:val="0"/>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3）逾期交货的违约赔偿最高限额为合同总价的8%，如违约金达到最高限额时卖方仍不能交货，买方可考虑终止合同。</w:t>
      </w:r>
    </w:p>
    <w:p>
      <w:pPr>
        <w:widowControl/>
        <w:adjustRightInd w:val="0"/>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4）经双方协商同意延期交货和经双方友好协商同意退货且无需罚款者不在此例。</w:t>
      </w:r>
    </w:p>
    <w:p>
      <w:pPr>
        <w:pStyle w:val="46"/>
        <w:numPr>
          <w:ilvl w:val="0"/>
          <w:numId w:val="4"/>
        </w:numPr>
        <w:spacing w:line="40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履约保证金的罚没</w:t>
      </w:r>
    </w:p>
    <w:p>
      <w:pPr>
        <w:widowControl/>
        <w:adjustRightInd w:val="0"/>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如卖方未能履行合同规定的任何义务，买方有权从履约保证金中得到补偿。</w:t>
      </w:r>
    </w:p>
    <w:p>
      <w:pPr>
        <w:widowControl/>
        <w:adjustRightInd w:val="0"/>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如果卖方毫无理由地拖延交货或拒绝履行合同规定的任何义务，履约保证金将被没收，并加收违约赔偿。</w:t>
      </w:r>
    </w:p>
    <w:p>
      <w:pPr>
        <w:widowControl/>
        <w:adjustRightInd w:val="0"/>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卖方提供的设备须和投标文件中所承诺的设备规格、数量、型号等相符合（合同中另有约定除外）。</w:t>
      </w:r>
    </w:p>
    <w:p>
      <w:pPr>
        <w:pStyle w:val="46"/>
        <w:numPr>
          <w:ilvl w:val="0"/>
          <w:numId w:val="4"/>
        </w:numPr>
        <w:spacing w:line="40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产品最终验收</w:t>
      </w:r>
    </w:p>
    <w:p>
      <w:pPr>
        <w:pStyle w:val="46"/>
        <w:tabs>
          <w:tab w:val="left" w:pos="680"/>
        </w:tabs>
        <w:adjustRightInd w:val="0"/>
        <w:snapToGrid w:val="0"/>
        <w:spacing w:line="400" w:lineRule="exact"/>
        <w:ind w:firstLine="4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本合同履约验收参照《温州市政府采购履约验收办法》(温财采[2020]6号)相关规定。合同履约达到验收条件时，卖方按冋买方书面发起验收申请，买方或者其委托的采购代理机构(以下简称验收组织机构)在收到卖方验收申请五个工作日内启动项目验收。</w:t>
      </w:r>
    </w:p>
    <w:p>
      <w:pPr>
        <w:pStyle w:val="46"/>
        <w:tabs>
          <w:tab w:val="left" w:pos="680"/>
        </w:tabs>
        <w:adjustRightInd w:val="0"/>
        <w:snapToGrid w:val="0"/>
        <w:spacing w:line="400" w:lineRule="exact"/>
        <w:ind w:firstLine="4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合同金额在采购限额标准以上的，原则上应采用一般程序验收。验收小组应当由五人以上(含本数)单数、熟悉项目需求和标的人员组成，其中相关专业技术人员人数不得少于验收小组人员总数的三分之二。验收组织机构应当按照采购文件、投标(响应)文件、采购合同、封存样品等约定的质量、数量、技术指标或者服务要求设验收指标及其标准。未约定的，应当符合国家强制性规定、政策要求、安全标准、行业或企业有关标准等。</w:t>
      </w:r>
    </w:p>
    <w:p>
      <w:pPr>
        <w:pStyle w:val="46"/>
        <w:tabs>
          <w:tab w:val="left" w:pos="680"/>
        </w:tabs>
        <w:adjustRightInd w:val="0"/>
        <w:snapToGrid w:val="0"/>
        <w:spacing w:line="400" w:lineRule="exact"/>
        <w:ind w:firstLine="4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3.买方依据验收书和卖方其他履约情况，对验收项目作出整体评价和分类评价，形成验收结果，除涉密情形外，买方应在评价后2个工作日内在浙江政府采购网发布验收结果。</w:t>
      </w:r>
    </w:p>
    <w:p>
      <w:pPr>
        <w:pStyle w:val="46"/>
        <w:numPr>
          <w:ilvl w:val="0"/>
          <w:numId w:val="4"/>
        </w:numPr>
        <w:spacing w:line="40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不可抗力事件</w:t>
      </w:r>
    </w:p>
    <w:p>
      <w:pPr>
        <w:pStyle w:val="46"/>
        <w:tabs>
          <w:tab w:val="left" w:pos="680"/>
        </w:tabs>
        <w:adjustRightInd w:val="0"/>
        <w:snapToGrid w:val="0"/>
        <w:spacing w:line="400" w:lineRule="exact"/>
        <w:ind w:firstLine="4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1.因台风、地震、水灾等自然灾害及其他非买、卖方责任造成的、不能预见、不可避免且不能克服的客观情况为不可抗力。遇有不可抗力的一方不承担责任，但应立即将事件情况通知对方，由双方协商解决。</w:t>
      </w:r>
    </w:p>
    <w:p>
      <w:pPr>
        <w:widowControl/>
        <w:adjustRightInd w:val="0"/>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2.不可抗力事件发生后，应立即通知对方，并寄送权威机构出具的证明。</w:t>
      </w:r>
    </w:p>
    <w:p>
      <w:pPr>
        <w:widowControl/>
        <w:adjustRightInd w:val="0"/>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3.不可抗力事件延续120天以上，双方应通过友好协商，确定是否继续履行合同。</w:t>
      </w:r>
    </w:p>
    <w:p>
      <w:pPr>
        <w:widowControl/>
        <w:adjustRightInd w:val="0"/>
        <w:snapToGrid w:val="0"/>
        <w:spacing w:line="400" w:lineRule="exact"/>
        <w:ind w:firstLine="440" w:firstLineChars="200"/>
        <w:rPr>
          <w:rFonts w:hint="eastAsia" w:ascii="宋体" w:hAnsi="宋体" w:eastAsia="宋体" w:cs="宋体"/>
          <w:b/>
          <w:snapToGrid w:val="0"/>
          <w:color w:val="auto"/>
          <w:kern w:val="0"/>
          <w:sz w:val="22"/>
          <w:highlight w:val="none"/>
        </w:rPr>
      </w:pPr>
      <w:r>
        <w:rPr>
          <w:rFonts w:hint="eastAsia" w:ascii="宋体" w:hAnsi="宋体" w:eastAsia="宋体" w:cs="宋体"/>
          <w:bCs/>
          <w:color w:val="auto"/>
          <w:sz w:val="22"/>
          <w:highlight w:val="none"/>
        </w:rPr>
        <w:t>4.因与国家政策抵触，导致不能继续正常履行合同的，由双方协商解除合同。</w:t>
      </w:r>
    </w:p>
    <w:p>
      <w:pPr>
        <w:spacing w:line="400" w:lineRule="exact"/>
        <w:rPr>
          <w:rFonts w:hint="eastAsia" w:ascii="宋体" w:hAnsi="宋体" w:eastAsia="宋体" w:cs="宋体"/>
          <w:b/>
          <w:snapToGrid w:val="0"/>
          <w:color w:val="auto"/>
          <w:kern w:val="0"/>
          <w:sz w:val="22"/>
          <w:highlight w:val="none"/>
        </w:rPr>
      </w:pPr>
      <w:r>
        <w:rPr>
          <w:rFonts w:hint="eastAsia" w:ascii="宋体" w:hAnsi="宋体" w:eastAsia="宋体" w:cs="宋体"/>
          <w:b/>
          <w:snapToGrid w:val="0"/>
          <w:color w:val="auto"/>
          <w:kern w:val="0"/>
          <w:sz w:val="22"/>
          <w:highlight w:val="none"/>
        </w:rPr>
        <w:t>九、税费</w:t>
      </w:r>
    </w:p>
    <w:p>
      <w:pPr>
        <w:adjustRightInd w:val="0"/>
        <w:snapToGrid w:val="0"/>
        <w:spacing w:line="400" w:lineRule="exact"/>
        <w:ind w:firstLine="440" w:firstLineChars="200"/>
        <w:rPr>
          <w:rFonts w:hint="eastAsia" w:ascii="宋体" w:hAnsi="宋体" w:eastAsia="宋体" w:cs="宋体"/>
          <w:b/>
          <w:snapToGrid w:val="0"/>
          <w:color w:val="auto"/>
          <w:kern w:val="0"/>
          <w:sz w:val="22"/>
          <w:highlight w:val="none"/>
        </w:rPr>
      </w:pPr>
      <w:r>
        <w:rPr>
          <w:rFonts w:hint="eastAsia" w:ascii="宋体" w:hAnsi="宋体" w:eastAsia="宋体" w:cs="宋体"/>
          <w:snapToGrid w:val="0"/>
          <w:color w:val="auto"/>
          <w:kern w:val="0"/>
          <w:sz w:val="22"/>
          <w:highlight w:val="none"/>
        </w:rPr>
        <w:t>本合同执行中相关的一切税费均由卖方负担。</w:t>
      </w:r>
    </w:p>
    <w:p>
      <w:pPr>
        <w:adjustRightInd w:val="0"/>
        <w:snapToGrid w:val="0"/>
        <w:spacing w:line="400" w:lineRule="exact"/>
        <w:outlineLvl w:val="0"/>
        <w:rPr>
          <w:rFonts w:hint="eastAsia" w:ascii="宋体" w:hAnsi="宋体" w:eastAsia="宋体" w:cs="宋体"/>
          <w:b/>
          <w:snapToGrid w:val="0"/>
          <w:color w:val="auto"/>
          <w:kern w:val="0"/>
          <w:sz w:val="22"/>
          <w:highlight w:val="none"/>
        </w:rPr>
      </w:pPr>
      <w:r>
        <w:rPr>
          <w:rFonts w:hint="eastAsia" w:ascii="宋体" w:hAnsi="宋体" w:eastAsia="宋体" w:cs="宋体"/>
          <w:b/>
          <w:snapToGrid w:val="0"/>
          <w:color w:val="auto"/>
          <w:kern w:val="0"/>
          <w:sz w:val="22"/>
          <w:highlight w:val="none"/>
        </w:rPr>
        <w:t>十、转包或分包</w:t>
      </w:r>
    </w:p>
    <w:p>
      <w:pPr>
        <w:pStyle w:val="46"/>
        <w:tabs>
          <w:tab w:val="left" w:pos="680"/>
        </w:tabs>
        <w:adjustRightInd w:val="0"/>
        <w:snapToGrid w:val="0"/>
        <w:spacing w:line="400" w:lineRule="exact"/>
        <w:ind w:firstLine="4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1.本合同范围的内容，应由卖方直接供应，不得转让他人供应，否则，买方有权解除合同，没收履约保证金并追究卖方的违约责任。</w:t>
      </w:r>
    </w:p>
    <w:p>
      <w:pPr>
        <w:pStyle w:val="46"/>
        <w:tabs>
          <w:tab w:val="left" w:pos="680"/>
        </w:tabs>
        <w:adjustRightInd w:val="0"/>
        <w:snapToGrid w:val="0"/>
        <w:spacing w:line="400" w:lineRule="exact"/>
        <w:ind w:firstLine="4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2.未经买方事先书面同意，卖方不得分包应履行的合同义务，否则即为违约，买方有权卖方追究违约责任。</w:t>
      </w:r>
    </w:p>
    <w:p>
      <w:pPr>
        <w:pStyle w:val="15"/>
        <w:snapToGrid w:val="0"/>
        <w:spacing w:line="400" w:lineRule="exact"/>
        <w:outlineLvl w:val="0"/>
        <w:rPr>
          <w:rFonts w:hint="eastAsia" w:ascii="宋体" w:hAnsi="宋体" w:eastAsia="宋体" w:cs="宋体"/>
          <w:b/>
          <w:snapToGrid w:val="0"/>
          <w:color w:val="auto"/>
          <w:kern w:val="0"/>
          <w:sz w:val="22"/>
          <w:highlight w:val="none"/>
        </w:rPr>
      </w:pPr>
      <w:r>
        <w:rPr>
          <w:rFonts w:hint="eastAsia" w:ascii="宋体" w:hAnsi="宋体" w:eastAsia="宋体" w:cs="宋体"/>
          <w:b/>
          <w:snapToGrid w:val="0"/>
          <w:color w:val="auto"/>
          <w:kern w:val="0"/>
          <w:sz w:val="22"/>
          <w:highlight w:val="none"/>
        </w:rPr>
        <w:t>十一、诉讼</w:t>
      </w:r>
    </w:p>
    <w:p>
      <w:pPr>
        <w:snapToGrid w:val="0"/>
        <w:spacing w:line="400" w:lineRule="exact"/>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合同实施或与合同有关的一切争端，买卖双方首先应通过友好协商解决，如果协商仍得不到解决，任何一方可向买方所在地申请仲裁或诉讼。</w:t>
      </w:r>
    </w:p>
    <w:p>
      <w:pPr>
        <w:snapToGrid w:val="0"/>
        <w:spacing w:line="400" w:lineRule="exact"/>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仲裁裁决应为最终裁决，对双方均有约束力。</w:t>
      </w:r>
    </w:p>
    <w:p>
      <w:pPr>
        <w:snapToGrid w:val="0"/>
        <w:spacing w:line="400" w:lineRule="exact"/>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仲裁费用除仲裁机构另有裁决外应由败诉方承担。</w:t>
      </w:r>
    </w:p>
    <w:p>
      <w:pPr>
        <w:snapToGrid w:val="0"/>
        <w:spacing w:line="400" w:lineRule="exact"/>
        <w:ind w:firstLine="440" w:firstLineChars="200"/>
        <w:rPr>
          <w:rFonts w:hint="eastAsia" w:ascii="宋体" w:hAnsi="宋体" w:eastAsia="宋体" w:cs="宋体"/>
          <w:b/>
          <w:snapToGrid w:val="0"/>
          <w:color w:val="auto"/>
          <w:kern w:val="0"/>
          <w:sz w:val="22"/>
          <w:highlight w:val="none"/>
        </w:rPr>
      </w:pPr>
      <w:r>
        <w:rPr>
          <w:rFonts w:hint="eastAsia" w:ascii="宋体" w:hAnsi="宋体" w:eastAsia="宋体" w:cs="宋体"/>
          <w:snapToGrid w:val="0"/>
          <w:color w:val="auto"/>
          <w:kern w:val="0"/>
          <w:sz w:val="22"/>
          <w:highlight w:val="none"/>
        </w:rPr>
        <w:t>在仲裁期间，除正在执行仲裁部分外本合同的其他部分应继续执行。</w:t>
      </w:r>
    </w:p>
    <w:p>
      <w:pPr>
        <w:pStyle w:val="15"/>
        <w:snapToGrid w:val="0"/>
        <w:spacing w:line="400" w:lineRule="exact"/>
        <w:outlineLvl w:val="0"/>
        <w:rPr>
          <w:rFonts w:hint="eastAsia" w:ascii="宋体" w:hAnsi="宋体" w:eastAsia="宋体" w:cs="宋体"/>
          <w:b/>
          <w:snapToGrid w:val="0"/>
          <w:color w:val="auto"/>
          <w:kern w:val="0"/>
          <w:sz w:val="22"/>
          <w:highlight w:val="none"/>
        </w:rPr>
      </w:pPr>
      <w:r>
        <w:rPr>
          <w:rFonts w:hint="eastAsia" w:ascii="宋体" w:hAnsi="宋体" w:eastAsia="宋体" w:cs="宋体"/>
          <w:b/>
          <w:snapToGrid w:val="0"/>
          <w:color w:val="auto"/>
          <w:kern w:val="0"/>
          <w:sz w:val="22"/>
          <w:highlight w:val="none"/>
        </w:rPr>
        <w:t>十二、合同生效及其它</w:t>
      </w:r>
    </w:p>
    <w:p>
      <w:pPr>
        <w:widowControl/>
        <w:adjustRightInd w:val="0"/>
        <w:snapToGrid w:val="0"/>
        <w:spacing w:line="400" w:lineRule="exact"/>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1.温州肯恩大学</w:t>
      </w:r>
      <w:r>
        <w:rPr>
          <w:rFonts w:hint="eastAsia" w:ascii="宋体" w:hAnsi="宋体" w:eastAsia="宋体" w:cs="宋体"/>
          <w:snapToGrid w:val="0"/>
          <w:color w:val="auto"/>
          <w:kern w:val="0"/>
          <w:sz w:val="22"/>
          <w:highlight w:val="none"/>
          <w:u w:val="single"/>
        </w:rPr>
        <w:t xml:space="preserve">       </w:t>
      </w:r>
      <w:r>
        <w:rPr>
          <w:rFonts w:hint="eastAsia" w:ascii="宋体" w:hAnsi="宋体" w:eastAsia="宋体" w:cs="宋体"/>
          <w:snapToGrid w:val="0"/>
          <w:color w:val="auto"/>
          <w:kern w:val="0"/>
          <w:sz w:val="22"/>
          <w:highlight w:val="none"/>
        </w:rPr>
        <w:t>项目招标文件以及投标文件、询标记录、温州肯恩大学</w:t>
      </w:r>
      <w:r>
        <w:rPr>
          <w:rFonts w:hint="eastAsia" w:ascii="宋体" w:hAnsi="宋体" w:eastAsia="宋体" w:cs="宋体"/>
          <w:snapToGrid w:val="0"/>
          <w:color w:val="auto"/>
          <w:kern w:val="0"/>
          <w:sz w:val="22"/>
          <w:highlight w:val="none"/>
          <w:u w:val="single"/>
        </w:rPr>
        <w:t xml:space="preserve">          </w:t>
      </w:r>
      <w:r>
        <w:rPr>
          <w:rFonts w:hint="eastAsia" w:ascii="宋体" w:hAnsi="宋体" w:eastAsia="宋体" w:cs="宋体"/>
          <w:snapToGrid w:val="0"/>
          <w:color w:val="auto"/>
          <w:kern w:val="0"/>
          <w:sz w:val="22"/>
          <w:highlight w:val="none"/>
        </w:rPr>
        <w:t>项目保密协议书和承诺书（如有）是本合同不可分割的组成部分，本合同未尽事宜从其规定。若本合同约定与前述文件约定不一致的，按照下列顺序予以解释：</w:t>
      </w:r>
    </w:p>
    <w:p>
      <w:pPr>
        <w:widowControl/>
        <w:adjustRightInd w:val="0"/>
        <w:snapToGrid w:val="0"/>
        <w:spacing w:line="400" w:lineRule="exact"/>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（1）本合同履行过程中双方签署的变更或补充合同（如有）；</w:t>
      </w:r>
    </w:p>
    <w:p>
      <w:pPr>
        <w:widowControl/>
        <w:adjustRightInd w:val="0"/>
        <w:snapToGrid w:val="0"/>
        <w:spacing w:line="400" w:lineRule="exact"/>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（2）本合同；</w:t>
      </w:r>
    </w:p>
    <w:p>
      <w:pPr>
        <w:widowControl/>
        <w:adjustRightInd w:val="0"/>
        <w:snapToGrid w:val="0"/>
        <w:spacing w:line="400" w:lineRule="exact"/>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（3）温州肯恩大学</w:t>
      </w:r>
      <w:r>
        <w:rPr>
          <w:rFonts w:hint="eastAsia" w:ascii="宋体" w:hAnsi="宋体" w:eastAsia="宋体" w:cs="宋体"/>
          <w:snapToGrid w:val="0"/>
          <w:color w:val="auto"/>
          <w:kern w:val="0"/>
          <w:sz w:val="22"/>
          <w:highlight w:val="none"/>
          <w:u w:val="single"/>
        </w:rPr>
        <w:t xml:space="preserve">       </w:t>
      </w:r>
      <w:r>
        <w:rPr>
          <w:rFonts w:hint="eastAsia" w:ascii="宋体" w:hAnsi="宋体" w:eastAsia="宋体" w:cs="宋体"/>
          <w:snapToGrid w:val="0"/>
          <w:color w:val="auto"/>
          <w:kern w:val="0"/>
          <w:sz w:val="22"/>
          <w:highlight w:val="none"/>
        </w:rPr>
        <w:t>项目保密协议书和承诺书；</w:t>
      </w:r>
    </w:p>
    <w:p>
      <w:pPr>
        <w:widowControl/>
        <w:adjustRightInd w:val="0"/>
        <w:snapToGrid w:val="0"/>
        <w:spacing w:line="400" w:lineRule="exact"/>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（4）投标文件；</w:t>
      </w:r>
    </w:p>
    <w:p>
      <w:pPr>
        <w:widowControl/>
        <w:adjustRightInd w:val="0"/>
        <w:snapToGrid w:val="0"/>
        <w:spacing w:line="400" w:lineRule="exact"/>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（5）招标文件；</w:t>
      </w:r>
    </w:p>
    <w:p>
      <w:pPr>
        <w:widowControl/>
        <w:adjustRightInd w:val="0"/>
        <w:snapToGrid w:val="0"/>
        <w:spacing w:line="400" w:lineRule="exact"/>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（6）其他合同文件。</w:t>
      </w:r>
    </w:p>
    <w:p>
      <w:pPr>
        <w:widowControl/>
        <w:adjustRightInd w:val="0"/>
        <w:snapToGrid w:val="0"/>
        <w:spacing w:line="400" w:lineRule="exact"/>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2.本合同经买卖双方加盖公章后生效。合同内容如遇国家法律、法规及政策另有规定的，从其规定。</w:t>
      </w:r>
    </w:p>
    <w:p>
      <w:pPr>
        <w:widowControl/>
        <w:adjustRightInd w:val="0"/>
        <w:snapToGrid w:val="0"/>
        <w:spacing w:line="400" w:lineRule="exact"/>
        <w:ind w:firstLine="440" w:firstLineChars="200"/>
        <w:rPr>
          <w:rFonts w:hint="eastAsia" w:ascii="宋体" w:hAnsi="宋体" w:eastAsia="宋体" w:cs="宋体"/>
          <w:b/>
          <w:color w:val="auto"/>
          <w:sz w:val="22"/>
          <w:highlight w:val="none"/>
        </w:rPr>
      </w:pPr>
      <w:r>
        <w:rPr>
          <w:rFonts w:hint="eastAsia" w:ascii="宋体" w:hAnsi="宋体" w:eastAsia="宋体" w:cs="宋体"/>
          <w:snapToGrid w:val="0"/>
          <w:color w:val="auto"/>
          <w:kern w:val="0"/>
          <w:sz w:val="22"/>
          <w:highlight w:val="none"/>
        </w:rPr>
        <w:t>3.本合同一式陆份，买方叁份，卖方贰份，采购代理机构壹份。</w:t>
      </w:r>
    </w:p>
    <w:p>
      <w:pPr>
        <w:pStyle w:val="46"/>
        <w:spacing w:line="400" w:lineRule="exact"/>
        <w:ind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十三、未尽事宜</w:t>
      </w:r>
    </w:p>
    <w:p>
      <w:pPr>
        <w:pStyle w:val="46"/>
        <w:tabs>
          <w:tab w:val="left" w:pos="680"/>
        </w:tabs>
        <w:spacing w:line="400" w:lineRule="exact"/>
        <w:ind w:firstLine="4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本合同未尽事宜，双方可以协商解决或另订补充合同。补充合同为本合同不可分割的组成部分。</w:t>
      </w:r>
    </w:p>
    <w:p>
      <w:pPr>
        <w:spacing w:line="220" w:lineRule="atLeast"/>
        <w:rPr>
          <w:rFonts w:hint="eastAsia" w:ascii="宋体" w:hAnsi="宋体" w:eastAsia="宋体" w:cs="宋体"/>
          <w:color w:val="auto"/>
          <w:highlight w:val="none"/>
        </w:rPr>
      </w:pPr>
    </w:p>
    <w:p>
      <w:pPr>
        <w:spacing w:line="264" w:lineRule="auto"/>
        <w:rPr>
          <w:rFonts w:hint="eastAsia" w:ascii="宋体" w:hAnsi="宋体" w:eastAsia="宋体" w:cs="宋体"/>
          <w:color w:val="auto"/>
          <w:sz w:val="22"/>
          <w:highlight w:val="none"/>
        </w:rPr>
      </w:pPr>
    </w:p>
    <w:p>
      <w:pPr>
        <w:spacing w:line="360" w:lineRule="exact"/>
        <w:rPr>
          <w:rFonts w:hint="eastAsia" w:ascii="宋体" w:hAnsi="宋体" w:eastAsia="宋体" w:cs="宋体"/>
          <w:color w:val="auto"/>
          <w:sz w:val="22"/>
          <w:highlight w:val="none"/>
        </w:rPr>
      </w:pPr>
    </w:p>
    <w:p>
      <w:pPr>
        <w:spacing w:line="360" w:lineRule="exact"/>
        <w:ind w:firstLine="440" w:firstLineChars="200"/>
        <w:outlineLvl w:val="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买方（盖章）：                             卖方（盖章）：</w:t>
      </w:r>
    </w:p>
    <w:p>
      <w:pPr>
        <w:spacing w:line="360" w:lineRule="exact"/>
        <w:ind w:firstLine="440" w:firstLineChars="200"/>
        <w:outlineLvl w:val="0"/>
        <w:rPr>
          <w:rFonts w:hint="eastAsia" w:ascii="宋体" w:hAnsi="宋体" w:eastAsia="宋体" w:cs="宋体"/>
          <w:color w:val="auto"/>
          <w:sz w:val="22"/>
          <w:highlight w:val="none"/>
        </w:rPr>
      </w:pPr>
      <w:r>
        <w:rPr>
          <w:rFonts w:hint="eastAsia" w:ascii="宋体" w:hAnsi="宋体" w:eastAsia="宋体" w:cs="宋体"/>
          <w:color w:val="auto"/>
          <w:sz w:val="22"/>
          <w:highlight w:val="none"/>
        </w:rPr>
        <w:t>法人代表：                                 法人代表：</w:t>
      </w:r>
    </w:p>
    <w:p>
      <w:pPr>
        <w:spacing w:line="360" w:lineRule="exact"/>
        <w:ind w:firstLine="440" w:firstLineChars="200"/>
        <w:outlineLvl w:val="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委托代理人（签字）：                       委托代理人（签字）： </w:t>
      </w:r>
    </w:p>
    <w:p>
      <w:pPr>
        <w:spacing w:line="360" w:lineRule="exact"/>
        <w:ind w:firstLine="440" w:firstLineChars="200"/>
        <w:outlineLvl w:val="0"/>
        <w:rPr>
          <w:rFonts w:hint="eastAsia" w:ascii="宋体" w:hAnsi="宋体" w:eastAsia="宋体" w:cs="宋体"/>
          <w:color w:val="auto"/>
          <w:sz w:val="22"/>
          <w:highlight w:val="none"/>
        </w:rPr>
      </w:pPr>
      <w:r>
        <w:rPr>
          <w:rFonts w:hint="eastAsia" w:ascii="宋体" w:hAnsi="宋体" w:eastAsia="宋体" w:cs="宋体"/>
          <w:color w:val="auto"/>
          <w:sz w:val="22"/>
          <w:highlight w:val="none"/>
        </w:rPr>
        <w:t>联系电话：                                 联系电话：</w:t>
      </w:r>
    </w:p>
    <w:p>
      <w:pPr>
        <w:spacing w:line="360" w:lineRule="exact"/>
        <w:ind w:firstLine="440" w:firstLineChars="200"/>
        <w:outlineLvl w:val="0"/>
        <w:rPr>
          <w:rFonts w:hint="eastAsia" w:ascii="宋体" w:hAnsi="宋体" w:eastAsia="宋体" w:cs="宋体"/>
          <w:color w:val="auto"/>
          <w:sz w:val="22"/>
          <w:highlight w:val="none"/>
        </w:rPr>
      </w:pPr>
      <w:r>
        <w:rPr>
          <w:rFonts w:hint="eastAsia" w:ascii="宋体" w:hAnsi="宋体" w:eastAsia="宋体" w:cs="宋体"/>
          <w:color w:val="auto"/>
          <w:sz w:val="22"/>
          <w:highlight w:val="none"/>
        </w:rPr>
        <w:t>地    址：                                 地    址：</w:t>
      </w:r>
    </w:p>
    <w:p>
      <w:pPr>
        <w:spacing w:line="360" w:lineRule="exact"/>
        <w:ind w:firstLine="440" w:firstLineChars="200"/>
        <w:outlineLvl w:val="0"/>
        <w:rPr>
          <w:rFonts w:hint="eastAsia" w:ascii="宋体" w:hAnsi="宋体" w:eastAsia="宋体" w:cs="宋体"/>
          <w:color w:val="auto"/>
          <w:sz w:val="22"/>
          <w:highlight w:val="none"/>
        </w:rPr>
      </w:pPr>
      <w:r>
        <w:rPr>
          <w:rFonts w:hint="eastAsia" w:ascii="宋体" w:hAnsi="宋体" w:eastAsia="宋体" w:cs="宋体"/>
          <w:color w:val="auto"/>
          <w:sz w:val="22"/>
          <w:highlight w:val="none"/>
        </w:rPr>
        <w:t>纳税人名称：                               纳税人名称：</w:t>
      </w:r>
    </w:p>
    <w:p>
      <w:pPr>
        <w:spacing w:line="360" w:lineRule="exact"/>
        <w:ind w:firstLine="440" w:firstLineChars="200"/>
        <w:outlineLvl w:val="0"/>
        <w:rPr>
          <w:rFonts w:hint="eastAsia" w:ascii="宋体" w:hAnsi="宋体" w:eastAsia="宋体" w:cs="宋体"/>
          <w:color w:val="auto"/>
          <w:sz w:val="22"/>
          <w:highlight w:val="none"/>
        </w:rPr>
      </w:pPr>
      <w:r>
        <w:rPr>
          <w:rFonts w:hint="eastAsia" w:ascii="宋体" w:hAnsi="宋体" w:eastAsia="宋体" w:cs="宋体"/>
          <w:color w:val="auto"/>
          <w:sz w:val="22"/>
          <w:highlight w:val="none"/>
        </w:rPr>
        <w:t>纳税人识别号：                             纳税人识别号：</w:t>
      </w:r>
    </w:p>
    <w:p>
      <w:pPr>
        <w:spacing w:line="360" w:lineRule="exact"/>
        <w:ind w:firstLine="440" w:firstLineChars="200"/>
        <w:outlineLvl w:val="0"/>
        <w:rPr>
          <w:rFonts w:hint="eastAsia" w:ascii="宋体" w:hAnsi="宋体" w:eastAsia="宋体" w:cs="宋体"/>
          <w:color w:val="auto"/>
          <w:sz w:val="22"/>
          <w:highlight w:val="none"/>
        </w:rPr>
      </w:pPr>
      <w:r>
        <w:rPr>
          <w:rFonts w:hint="eastAsia" w:ascii="宋体" w:hAnsi="宋体" w:eastAsia="宋体" w:cs="宋体"/>
          <w:color w:val="auto"/>
          <w:sz w:val="22"/>
          <w:highlight w:val="none"/>
        </w:rPr>
        <w:t>开户行：                                   开户行：</w:t>
      </w:r>
    </w:p>
    <w:p>
      <w:pPr>
        <w:spacing w:line="360" w:lineRule="exact"/>
        <w:ind w:firstLine="440" w:firstLineChars="200"/>
        <w:outlineLvl w:val="0"/>
        <w:rPr>
          <w:rFonts w:hint="eastAsia" w:ascii="宋体" w:hAnsi="宋体" w:eastAsia="宋体" w:cs="宋体"/>
          <w:color w:val="auto"/>
          <w:sz w:val="22"/>
          <w:highlight w:val="none"/>
        </w:rPr>
      </w:pPr>
      <w:r>
        <w:rPr>
          <w:rFonts w:hint="eastAsia" w:ascii="宋体" w:hAnsi="宋体" w:eastAsia="宋体" w:cs="宋体"/>
          <w:color w:val="auto"/>
          <w:sz w:val="22"/>
          <w:highlight w:val="none"/>
        </w:rPr>
        <w:t>账号：                                     账号：</w:t>
      </w:r>
    </w:p>
    <w:p>
      <w:pPr>
        <w:pStyle w:val="3"/>
        <w:rPr>
          <w:rFonts w:hint="eastAsia" w:ascii="宋体" w:hAnsi="宋体" w:eastAsia="宋体" w:cs="宋体"/>
          <w:color w:val="auto"/>
          <w:sz w:val="22"/>
          <w:highlight w:val="none"/>
        </w:rPr>
      </w:pPr>
    </w:p>
    <w:p>
      <w:pPr>
        <w:rPr>
          <w:rFonts w:hint="eastAsia" w:ascii="宋体" w:hAnsi="宋体" w:eastAsia="宋体" w:cs="宋体"/>
          <w:color w:val="auto"/>
          <w:sz w:val="22"/>
          <w:highlight w:val="none"/>
        </w:rPr>
      </w:pPr>
    </w:p>
    <w:p>
      <w:pPr>
        <w:pStyle w:val="3"/>
        <w:rPr>
          <w:rFonts w:hint="eastAsia" w:ascii="宋体" w:hAnsi="宋体" w:eastAsia="宋体" w:cs="宋体"/>
          <w:color w:val="auto"/>
          <w:highlight w:val="none"/>
        </w:rPr>
      </w:pPr>
    </w:p>
    <w:p>
      <w:pPr>
        <w:pStyle w:val="12"/>
        <w:ind w:left="440" w:hanging="440"/>
        <w:rPr>
          <w:rFonts w:hint="eastAsia" w:ascii="宋体" w:hAnsi="宋体" w:eastAsia="宋体" w:cs="宋体"/>
          <w:color w:val="auto"/>
          <w:sz w:val="22"/>
          <w:highlight w:val="none"/>
        </w:rPr>
      </w:pPr>
    </w:p>
    <w:p>
      <w:pPr>
        <w:rPr>
          <w:rFonts w:hint="eastAsia" w:ascii="宋体" w:hAnsi="宋体" w:eastAsia="宋体" w:cs="宋体"/>
          <w:color w:val="auto"/>
          <w:sz w:val="22"/>
          <w:highlight w:val="none"/>
        </w:rPr>
      </w:pPr>
    </w:p>
    <w:p>
      <w:pPr>
        <w:tabs>
          <w:tab w:val="left" w:pos="4286"/>
        </w:tabs>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第四部分   附件</w:t>
      </w:r>
    </w:p>
    <w:p>
      <w:pPr>
        <w:snapToGrid w:val="0"/>
        <w:spacing w:before="120" w:beforeLines="50" w:after="50"/>
        <w:jc w:val="center"/>
        <w:outlineLvl w:val="1"/>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一、报价文件部分格式</w:t>
      </w:r>
    </w:p>
    <w:p>
      <w:pPr>
        <w:snapToGrid w:val="0"/>
        <w:spacing w:before="50" w:after="120" w:afterLines="50"/>
        <w:jc w:val="left"/>
        <w:rPr>
          <w:rFonts w:hint="eastAsia" w:ascii="宋体" w:hAnsi="宋体" w:eastAsia="宋体" w:cs="宋体"/>
          <w:b/>
          <w:color w:val="auto"/>
          <w:sz w:val="24"/>
          <w:highlight w:val="none"/>
        </w:rPr>
      </w:pPr>
    </w:p>
    <w:p>
      <w:pPr>
        <w:snapToGrid w:val="0"/>
        <w:spacing w:before="50" w:after="120" w:afterLines="50"/>
        <w:jc w:val="left"/>
        <w:rPr>
          <w:rFonts w:hint="eastAsia" w:ascii="宋体" w:hAnsi="宋体" w:eastAsia="宋体" w:cs="宋体"/>
          <w:b/>
          <w:color w:val="auto"/>
          <w:sz w:val="24"/>
          <w:highlight w:val="none"/>
        </w:rPr>
      </w:pPr>
    </w:p>
    <w:p>
      <w:pPr>
        <w:snapToGrid w:val="0"/>
        <w:spacing w:before="50" w:after="120" w:afterLines="50"/>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highlight w:val="none"/>
        </w:rPr>
        <w:t>投标报价文件封面格式：</w:t>
      </w:r>
    </w:p>
    <w:p>
      <w:pPr>
        <w:pStyle w:val="14"/>
        <w:ind w:left="0" w:leftChars="0" w:right="1470"/>
        <w:rPr>
          <w:rFonts w:hint="eastAsia" w:ascii="宋体" w:hAnsi="宋体" w:eastAsia="宋体" w:cs="宋体"/>
          <w:b/>
          <w:color w:val="auto"/>
          <w:sz w:val="24"/>
          <w:szCs w:val="24"/>
          <w:highlight w:val="none"/>
        </w:rPr>
      </w:pPr>
    </w:p>
    <w:p>
      <w:pPr>
        <w:snapToGrid w:val="0"/>
        <w:spacing w:line="400" w:lineRule="exact"/>
        <w:jc w:val="center"/>
        <w:outlineLvl w:val="1"/>
        <w:rPr>
          <w:rFonts w:hint="eastAsia" w:ascii="宋体" w:hAnsi="宋体" w:eastAsia="宋体" w:cs="宋体"/>
          <w:b/>
          <w:bCs/>
          <w:color w:val="auto"/>
          <w:sz w:val="24"/>
          <w:szCs w:val="20"/>
          <w:highlight w:val="none"/>
        </w:rPr>
      </w:pPr>
    </w:p>
    <w:p>
      <w:pPr>
        <w:snapToGrid w:val="0"/>
        <w:spacing w:line="400" w:lineRule="exact"/>
        <w:jc w:val="center"/>
        <w:rPr>
          <w:rFonts w:hint="eastAsia" w:ascii="宋体" w:hAnsi="宋体" w:eastAsia="宋体" w:cs="宋体"/>
          <w:bCs/>
          <w:color w:val="auto"/>
          <w:sz w:val="24"/>
          <w:szCs w:val="20"/>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389890</wp:posOffset>
                </wp:positionH>
                <wp:positionV relativeFrom="paragraph">
                  <wp:posOffset>203200</wp:posOffset>
                </wp:positionV>
                <wp:extent cx="5076825" cy="3344545"/>
                <wp:effectExtent l="0" t="0" r="9525" b="8255"/>
                <wp:wrapTopAndBottom/>
                <wp:docPr id="1" name="1027"/>
                <wp:cNvGraphicFramePr/>
                <a:graphic xmlns:a="http://schemas.openxmlformats.org/drawingml/2006/main">
                  <a:graphicData uri="http://schemas.microsoft.com/office/word/2010/wordprocessingShape">
                    <wps:wsp>
                      <wps:cNvSpPr txBox="1">
                        <a:spLocks noRot="1"/>
                      </wps:cNvSpPr>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before="120" w:beforeLines="50" w:after="50"/>
                              <w:ind w:left="-850" w:leftChars="-405"/>
                              <w:rPr>
                                <w:rFonts w:ascii="宋体" w:hAnsi="宋体"/>
                                <w:sz w:val="24"/>
                                <w:szCs w:val="20"/>
                              </w:rPr>
                            </w:pPr>
                          </w:p>
                          <w:p>
                            <w:pPr>
                              <w:pStyle w:val="26"/>
                              <w:ind w:hanging="480"/>
                            </w:pPr>
                          </w:p>
                          <w:p>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1027" o:spid="_x0000_s1026" o:spt="202" type="#_x0000_t202" style="position:absolute;left:0pt;margin-left:30.7pt;margin-top:16pt;height:263.35pt;width:399.75pt;mso-wrap-distance-bottom:0pt;mso-wrap-distance-top:0pt;z-index:251659264;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6LEN9kAAAAJAQAADwAAAAAAAAAB&#10;ACAAAAAiAAAAZHJzL2Rvd25yZXYueG1sUEsBAhQAFAAAAAgAh07iQP3AiRsPAgAAYQQAAA4AAAAA&#10;AAAAAQAgAAAAKAEAAGRycy9lMm9Eb2MueG1sUEsFBgAAAAAGAAYAWQEAAKkFAAAAAA==&#10;">
                <v:fill on="t" focussize="0,0"/>
                <v:stroke color="#000000" joinstyle="miter"/>
                <v:imagedata o:title=""/>
                <o:lock v:ext="edit" rotation="t" aspectratio="f"/>
                <v:textbox>
                  <w:txbxContent>
                    <w:p>
                      <w:pPr>
                        <w:snapToGrid w:val="0"/>
                        <w:spacing w:before="120" w:beforeLines="50" w:after="50"/>
                        <w:ind w:left="-850" w:leftChars="-405"/>
                        <w:rPr>
                          <w:rFonts w:ascii="宋体" w:hAnsi="宋体"/>
                          <w:sz w:val="24"/>
                          <w:szCs w:val="20"/>
                        </w:rPr>
                      </w:pPr>
                    </w:p>
                    <w:p>
                      <w:pPr>
                        <w:pStyle w:val="26"/>
                        <w:ind w:hanging="480"/>
                      </w:pPr>
                    </w:p>
                    <w:p>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line="400" w:lineRule="exact"/>
        <w:jc w:val="center"/>
        <w:outlineLvl w:val="1"/>
        <w:rPr>
          <w:rFonts w:hint="eastAsia" w:ascii="宋体" w:hAnsi="宋体" w:eastAsia="宋体" w:cs="宋体"/>
          <w:color w:val="auto"/>
          <w:highlight w:val="none"/>
        </w:rPr>
      </w:pPr>
    </w:p>
    <w:p>
      <w:pPr>
        <w:snapToGrid w:val="0"/>
        <w:spacing w:line="400" w:lineRule="exact"/>
        <w:jc w:val="center"/>
        <w:outlineLvl w:val="1"/>
        <w:rPr>
          <w:rFonts w:hint="eastAsia" w:ascii="宋体" w:hAnsi="宋体" w:eastAsia="宋体" w:cs="宋体"/>
          <w:color w:val="auto"/>
          <w:highlight w:val="none"/>
        </w:rPr>
      </w:pPr>
    </w:p>
    <w:p>
      <w:pPr>
        <w:snapToGrid w:val="0"/>
        <w:spacing w:line="400" w:lineRule="exact"/>
        <w:jc w:val="center"/>
        <w:outlineLvl w:val="1"/>
        <w:rPr>
          <w:rFonts w:hint="eastAsia" w:ascii="宋体" w:hAnsi="宋体" w:eastAsia="宋体" w:cs="宋体"/>
          <w:bCs/>
          <w:color w:val="auto"/>
          <w:sz w:val="24"/>
          <w:szCs w:val="20"/>
          <w:highlight w:val="none"/>
        </w:rPr>
      </w:pPr>
    </w:p>
    <w:p>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Cs/>
          <w:color w:val="auto"/>
          <w:sz w:val="24"/>
          <w:szCs w:val="20"/>
          <w:highlight w:val="none"/>
        </w:rPr>
        <w:br w:type="page"/>
      </w:r>
    </w:p>
    <w:p>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附件1</w:t>
      </w:r>
    </w:p>
    <w:p>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开标一览表</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单位：人民币（元）</w:t>
      </w:r>
    </w:p>
    <w:p>
      <w:pPr>
        <w:spacing w:line="400" w:lineRule="exact"/>
        <w:rPr>
          <w:rFonts w:hint="eastAsia" w:ascii="宋体" w:hAnsi="宋体" w:eastAsia="宋体" w:cs="宋体"/>
          <w:color w:val="auto"/>
          <w:sz w:val="24"/>
          <w:highlight w:val="none"/>
        </w:rPr>
      </w:pPr>
    </w:p>
    <w:tbl>
      <w:tblPr>
        <w:tblStyle w:val="27"/>
        <w:tblW w:w="10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143"/>
        <w:gridCol w:w="1545"/>
        <w:gridCol w:w="795"/>
        <w:gridCol w:w="1241"/>
        <w:gridCol w:w="162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Align w:val="center"/>
          </w:tcPr>
          <w:p>
            <w:pPr>
              <w:pStyle w:val="15"/>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143" w:type="dxa"/>
            <w:vAlign w:val="center"/>
          </w:tcPr>
          <w:p>
            <w:pPr>
              <w:pStyle w:val="15"/>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报价内容</w:t>
            </w:r>
          </w:p>
        </w:tc>
        <w:tc>
          <w:tcPr>
            <w:tcW w:w="1545" w:type="dxa"/>
            <w:vAlign w:val="center"/>
          </w:tcPr>
          <w:p>
            <w:pPr>
              <w:pStyle w:val="15"/>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795" w:type="dxa"/>
            <w:vAlign w:val="center"/>
          </w:tcPr>
          <w:p>
            <w:pPr>
              <w:pStyle w:val="15"/>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241" w:type="dxa"/>
            <w:vAlign w:val="center"/>
          </w:tcPr>
          <w:p>
            <w:pPr>
              <w:pStyle w:val="15"/>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单价</w:t>
            </w:r>
          </w:p>
        </w:tc>
        <w:tc>
          <w:tcPr>
            <w:tcW w:w="1623" w:type="dxa"/>
            <w:vAlign w:val="center"/>
          </w:tcPr>
          <w:p>
            <w:pPr>
              <w:pStyle w:val="15"/>
              <w:spacing w:line="400" w:lineRule="exact"/>
              <w:jc w:val="center"/>
              <w:rPr>
                <w:rFonts w:hint="eastAsia" w:ascii="宋体" w:hAnsi="宋体" w:eastAsia="宋体" w:cs="宋体"/>
                <w:color w:val="auto"/>
                <w:highlight w:val="none"/>
              </w:rPr>
            </w:pPr>
            <w:r>
              <w:rPr>
                <w:rFonts w:hint="eastAsia" w:ascii="宋体" w:hAnsi="宋体" w:eastAsia="宋体" w:cs="宋体"/>
                <w:b/>
                <w:color w:val="auto"/>
                <w:highlight w:val="none"/>
              </w:rPr>
              <w:t>投标总报价</w:t>
            </w:r>
          </w:p>
        </w:tc>
        <w:tc>
          <w:tcPr>
            <w:tcW w:w="1364" w:type="dxa"/>
            <w:vAlign w:val="center"/>
          </w:tcPr>
          <w:p>
            <w:pPr>
              <w:pStyle w:val="15"/>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Align w:val="center"/>
          </w:tcPr>
          <w:p>
            <w:pPr>
              <w:spacing w:line="340" w:lineRule="exact"/>
              <w:jc w:val="center"/>
              <w:rPr>
                <w:rFonts w:hint="eastAsia" w:ascii="宋体" w:hAnsi="宋体" w:eastAsia="宋体" w:cs="宋体"/>
                <w:color w:val="auto"/>
                <w:sz w:val="24"/>
                <w:highlight w:val="none"/>
              </w:rPr>
            </w:pPr>
          </w:p>
        </w:tc>
        <w:tc>
          <w:tcPr>
            <w:tcW w:w="2143" w:type="dxa"/>
            <w:vAlign w:val="center"/>
          </w:tcPr>
          <w:p>
            <w:pPr>
              <w:spacing w:line="340" w:lineRule="exact"/>
              <w:jc w:val="center"/>
              <w:rPr>
                <w:rFonts w:hint="eastAsia" w:ascii="宋体" w:hAnsi="宋体" w:eastAsia="宋体" w:cs="宋体"/>
                <w:color w:val="auto"/>
                <w:sz w:val="22"/>
                <w:highlight w:val="none"/>
              </w:rPr>
            </w:pPr>
          </w:p>
        </w:tc>
        <w:tc>
          <w:tcPr>
            <w:tcW w:w="1545" w:type="dxa"/>
            <w:vAlign w:val="center"/>
          </w:tcPr>
          <w:p>
            <w:pPr>
              <w:spacing w:line="400" w:lineRule="exact"/>
              <w:jc w:val="center"/>
              <w:rPr>
                <w:rFonts w:hint="eastAsia" w:ascii="宋体" w:hAnsi="宋体" w:eastAsia="宋体" w:cs="宋体"/>
                <w:color w:val="auto"/>
                <w:sz w:val="22"/>
                <w:highlight w:val="none"/>
              </w:rPr>
            </w:pPr>
          </w:p>
        </w:tc>
        <w:tc>
          <w:tcPr>
            <w:tcW w:w="795" w:type="dxa"/>
            <w:vAlign w:val="center"/>
          </w:tcPr>
          <w:p>
            <w:pPr>
              <w:spacing w:line="400" w:lineRule="exact"/>
              <w:jc w:val="center"/>
              <w:rPr>
                <w:rFonts w:hint="eastAsia" w:ascii="宋体" w:hAnsi="宋体" w:eastAsia="宋体" w:cs="宋体"/>
                <w:color w:val="auto"/>
                <w:sz w:val="24"/>
                <w:highlight w:val="none"/>
              </w:rPr>
            </w:pPr>
          </w:p>
        </w:tc>
        <w:tc>
          <w:tcPr>
            <w:tcW w:w="1241" w:type="dxa"/>
            <w:vAlign w:val="center"/>
          </w:tcPr>
          <w:p>
            <w:pPr>
              <w:pStyle w:val="15"/>
              <w:spacing w:line="400" w:lineRule="exact"/>
              <w:jc w:val="center"/>
              <w:rPr>
                <w:rFonts w:hint="eastAsia" w:ascii="宋体" w:hAnsi="宋体" w:eastAsia="宋体" w:cs="宋体"/>
                <w:color w:val="auto"/>
                <w:highlight w:val="none"/>
              </w:rPr>
            </w:pPr>
          </w:p>
        </w:tc>
        <w:tc>
          <w:tcPr>
            <w:tcW w:w="1623" w:type="dxa"/>
            <w:vAlign w:val="center"/>
          </w:tcPr>
          <w:p>
            <w:pPr>
              <w:pStyle w:val="15"/>
              <w:spacing w:line="400" w:lineRule="exact"/>
              <w:rPr>
                <w:rFonts w:hint="eastAsia" w:ascii="宋体" w:hAnsi="宋体" w:eastAsia="宋体" w:cs="宋体"/>
                <w:b/>
                <w:color w:val="auto"/>
                <w:highlight w:val="none"/>
              </w:rPr>
            </w:pPr>
            <w:r>
              <w:rPr>
                <w:rFonts w:hint="eastAsia" w:ascii="宋体" w:hAnsi="宋体" w:eastAsia="宋体" w:cs="宋体"/>
                <w:b/>
                <w:color w:val="auto"/>
                <w:highlight w:val="none"/>
              </w:rPr>
              <w:t>小写：</w:t>
            </w:r>
          </w:p>
          <w:p>
            <w:pPr>
              <w:pStyle w:val="15"/>
              <w:spacing w:line="400" w:lineRule="exact"/>
              <w:jc w:val="both"/>
              <w:rPr>
                <w:rFonts w:hint="eastAsia" w:ascii="宋体" w:hAnsi="宋体" w:eastAsia="宋体" w:cs="宋体"/>
                <w:color w:val="auto"/>
                <w:highlight w:val="none"/>
              </w:rPr>
            </w:pPr>
            <w:r>
              <w:rPr>
                <w:rFonts w:hint="eastAsia" w:ascii="宋体" w:hAnsi="宋体" w:eastAsia="宋体" w:cs="宋体"/>
                <w:b/>
                <w:color w:val="auto"/>
                <w:highlight w:val="none"/>
              </w:rPr>
              <w:t>大写：</w:t>
            </w:r>
          </w:p>
        </w:tc>
        <w:tc>
          <w:tcPr>
            <w:tcW w:w="1364" w:type="dxa"/>
            <w:vAlign w:val="center"/>
          </w:tcPr>
          <w:p>
            <w:pPr>
              <w:pStyle w:val="15"/>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5" w:type="dxa"/>
            <w:vAlign w:val="center"/>
          </w:tcPr>
          <w:p>
            <w:pPr>
              <w:pStyle w:val="15"/>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交付时间：</w:t>
            </w:r>
          </w:p>
        </w:tc>
        <w:tc>
          <w:tcPr>
            <w:tcW w:w="8711" w:type="dxa"/>
            <w:gridSpan w:val="6"/>
            <w:vAlign w:val="center"/>
          </w:tcPr>
          <w:p>
            <w:pPr>
              <w:pStyle w:val="15"/>
              <w:spacing w:line="400" w:lineRule="exact"/>
              <w:rPr>
                <w:rFonts w:hint="eastAsia" w:ascii="宋体" w:hAnsi="宋体" w:eastAsia="宋体" w:cs="宋体"/>
                <w:b/>
                <w:color w:val="auto"/>
                <w:highlight w:val="none"/>
              </w:rPr>
            </w:pPr>
          </w:p>
        </w:tc>
      </w:tr>
    </w:tbl>
    <w:p>
      <w:pPr>
        <w:spacing w:line="400" w:lineRule="exact"/>
        <w:rPr>
          <w:rFonts w:hint="eastAsia" w:ascii="宋体" w:hAnsi="宋体" w:eastAsia="宋体" w:cs="宋体"/>
          <w:color w:val="auto"/>
          <w:sz w:val="22"/>
          <w:highlight w:val="none"/>
        </w:rPr>
      </w:pPr>
    </w:p>
    <w:p>
      <w:pPr>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备注：1、投标总报价是指投标人在正确地完全履行合同义务后采购人应支付给投标人所有的货物价款，即货物的供货、包装、运输、装卸、安装调试、验收（含第三方验收）、质保期内软件升级、采购代理服务费、外贸代理服务费、售后服务、材料税费、搬运费及其他费用等全部费用，实行固定费用总包干，投标人应根据上述因素自行考虑含入投标总价。</w:t>
      </w:r>
    </w:p>
    <w:p>
      <w:pPr>
        <w:spacing w:line="360" w:lineRule="auto"/>
        <w:ind w:firstLine="550" w:firstLineChars="250"/>
        <w:rPr>
          <w:rFonts w:hint="eastAsia" w:ascii="宋体" w:hAnsi="宋体" w:eastAsia="宋体" w:cs="宋体"/>
          <w:bCs/>
          <w:color w:val="auto"/>
          <w:sz w:val="22"/>
          <w:highlight w:val="none"/>
          <w:u w:val="single"/>
        </w:rPr>
      </w:pPr>
      <w:r>
        <w:rPr>
          <w:rFonts w:hint="eastAsia" w:ascii="宋体" w:hAnsi="宋体" w:eastAsia="宋体" w:cs="宋体"/>
          <w:color w:val="auto"/>
          <w:sz w:val="22"/>
          <w:highlight w:val="none"/>
        </w:rPr>
        <w:t>2、此栏内投标报价应与“投标报价明细表”中投标总价相一致。</w:t>
      </w:r>
    </w:p>
    <w:p>
      <w:pPr>
        <w:spacing w:line="400" w:lineRule="exact"/>
        <w:rPr>
          <w:rFonts w:hint="eastAsia" w:ascii="宋体" w:hAnsi="宋体" w:eastAsia="宋体" w:cs="宋体"/>
          <w:color w:val="auto"/>
          <w:sz w:val="24"/>
          <w:highlight w:val="none"/>
        </w:rPr>
      </w:pPr>
    </w:p>
    <w:p>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w:t>
      </w:r>
    </w:p>
    <w:p>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pPr>
        <w:spacing w:line="400" w:lineRule="exact"/>
        <w:rPr>
          <w:rFonts w:hint="eastAsia" w:ascii="宋体" w:hAnsi="宋体" w:eastAsia="宋体" w:cs="宋体"/>
          <w:b/>
          <w:color w:val="auto"/>
          <w:sz w:val="24"/>
          <w:szCs w:val="24"/>
          <w:highlight w:val="none"/>
        </w:rPr>
      </w:pPr>
    </w:p>
    <w:p>
      <w:pPr>
        <w:spacing w:line="400" w:lineRule="exact"/>
        <w:rPr>
          <w:rFonts w:hint="eastAsia" w:ascii="宋体" w:hAnsi="宋体" w:eastAsia="宋体" w:cs="宋体"/>
          <w:b/>
          <w:color w:val="auto"/>
          <w:sz w:val="24"/>
          <w:szCs w:val="24"/>
          <w:highlight w:val="none"/>
        </w:rPr>
      </w:pPr>
    </w:p>
    <w:p>
      <w:pPr>
        <w:spacing w:line="400" w:lineRule="exact"/>
        <w:rPr>
          <w:rFonts w:hint="eastAsia" w:ascii="宋体" w:hAnsi="宋体" w:eastAsia="宋体" w:cs="宋体"/>
          <w:b/>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b/>
          <w:color w:val="auto"/>
          <w:sz w:val="24"/>
          <w:szCs w:val="24"/>
          <w:highlight w:val="none"/>
        </w:rPr>
      </w:pPr>
    </w:p>
    <w:p>
      <w:pPr>
        <w:pStyle w:val="3"/>
        <w:rPr>
          <w:rFonts w:hint="eastAsia" w:ascii="宋体" w:hAnsi="宋体" w:eastAsia="宋体" w:cs="宋体"/>
          <w:color w:val="auto"/>
          <w:highlight w:val="none"/>
        </w:rPr>
      </w:pPr>
    </w:p>
    <w:p>
      <w:pPr>
        <w:pStyle w:val="11"/>
        <w:ind w:firstLine="321"/>
        <w:rPr>
          <w:rFonts w:hint="eastAsia" w:ascii="宋体" w:hAnsi="宋体" w:eastAsia="宋体" w:cs="宋体"/>
          <w:color w:val="auto"/>
          <w:highlight w:val="none"/>
        </w:rPr>
      </w:pPr>
    </w:p>
    <w:p>
      <w:pPr>
        <w:pStyle w:val="11"/>
        <w:ind w:firstLine="321"/>
        <w:rPr>
          <w:rFonts w:hint="eastAsia" w:ascii="宋体" w:hAnsi="宋体" w:eastAsia="宋体" w:cs="宋体"/>
          <w:color w:val="auto"/>
          <w:highlight w:val="none"/>
        </w:rPr>
      </w:pPr>
    </w:p>
    <w:p>
      <w:pPr>
        <w:pStyle w:val="11"/>
        <w:ind w:firstLine="321"/>
        <w:rPr>
          <w:rFonts w:hint="eastAsia" w:ascii="宋体" w:hAnsi="宋体" w:eastAsia="宋体" w:cs="宋体"/>
          <w:color w:val="auto"/>
          <w:highlight w:val="none"/>
        </w:rPr>
      </w:pPr>
    </w:p>
    <w:p>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附件2</w:t>
      </w:r>
    </w:p>
    <w:p>
      <w:pPr>
        <w:pStyle w:val="15"/>
        <w:snapToGrid w:val="0"/>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投标报价明细表</w:t>
      </w:r>
    </w:p>
    <w:p>
      <w:pPr>
        <w:pStyle w:val="15"/>
        <w:snapToGrid w:val="0"/>
        <w:spacing w:line="400" w:lineRule="exact"/>
        <w:jc w:val="center"/>
        <w:rPr>
          <w:rFonts w:hint="eastAsia" w:ascii="宋体" w:hAnsi="宋体" w:eastAsia="宋体" w:cs="宋体"/>
          <w:b/>
          <w:color w:val="auto"/>
          <w:highlight w:val="none"/>
        </w:rPr>
      </w:pPr>
    </w:p>
    <w:p>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项目名称：                                               项目编号：  </w:t>
      </w:r>
    </w:p>
    <w:tbl>
      <w:tblPr>
        <w:tblStyle w:val="27"/>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1219"/>
        <w:gridCol w:w="903"/>
        <w:gridCol w:w="713"/>
        <w:gridCol w:w="1230"/>
        <w:gridCol w:w="853"/>
        <w:gridCol w:w="722"/>
        <w:gridCol w:w="1301"/>
        <w:gridCol w:w="13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highlight w:val="none"/>
              </w:rPr>
            </w:pPr>
            <w:r>
              <w:rPr>
                <w:rFonts w:hint="eastAsia" w:ascii="宋体" w:hAnsi="宋体" w:eastAsia="宋体" w:cs="宋体"/>
                <w:color w:val="auto"/>
                <w:sz w:val="22"/>
                <w:highlight w:val="none"/>
              </w:rPr>
              <w:t>序号</w:t>
            </w:r>
          </w:p>
        </w:tc>
        <w:tc>
          <w:tcPr>
            <w:tcW w:w="121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highlight w:val="none"/>
              </w:rPr>
            </w:pPr>
            <w:r>
              <w:rPr>
                <w:rFonts w:hint="eastAsia" w:ascii="宋体" w:hAnsi="宋体" w:eastAsia="宋体" w:cs="宋体"/>
                <w:color w:val="auto"/>
                <w:sz w:val="22"/>
                <w:highlight w:val="none"/>
              </w:rPr>
              <w:t>货物名称</w:t>
            </w:r>
          </w:p>
        </w:tc>
        <w:tc>
          <w:tcPr>
            <w:tcW w:w="90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w:t>
            </w:r>
          </w:p>
        </w:tc>
        <w:tc>
          <w:tcPr>
            <w:tcW w:w="7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品牌</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规格型号</w:t>
            </w:r>
          </w:p>
        </w:tc>
        <w:tc>
          <w:tcPr>
            <w:tcW w:w="8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c>
          <w:tcPr>
            <w:tcW w:w="72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单位</w:t>
            </w:r>
          </w:p>
        </w:tc>
        <w:tc>
          <w:tcPr>
            <w:tcW w:w="13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hint="eastAsia" w:ascii="宋体" w:hAnsi="宋体" w:eastAsia="宋体" w:cs="宋体"/>
                <w:color w:val="auto"/>
                <w:spacing w:val="20"/>
                <w:sz w:val="22"/>
                <w:highlight w:val="none"/>
              </w:rPr>
            </w:pPr>
            <w:r>
              <w:rPr>
                <w:rFonts w:hint="eastAsia" w:ascii="宋体" w:hAnsi="宋体" w:eastAsia="宋体" w:cs="宋体"/>
                <w:color w:val="auto"/>
                <w:sz w:val="22"/>
                <w:highlight w:val="none"/>
              </w:rPr>
              <w:t>单价（元）</w:t>
            </w:r>
          </w:p>
        </w:tc>
        <w:tc>
          <w:tcPr>
            <w:tcW w:w="13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rPr>
                <w:rFonts w:hint="eastAsia" w:ascii="宋体" w:hAnsi="宋体" w:eastAsia="宋体" w:cs="宋体"/>
                <w:color w:val="auto"/>
                <w:spacing w:val="20"/>
                <w:sz w:val="22"/>
                <w:highlight w:val="none"/>
              </w:rPr>
            </w:pPr>
            <w:r>
              <w:rPr>
                <w:rFonts w:hint="eastAsia" w:ascii="宋体" w:hAnsi="宋体" w:eastAsia="宋体" w:cs="宋体"/>
                <w:color w:val="auto"/>
                <w:sz w:val="22"/>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9012" w:type="dxa"/>
            <w:gridSpan w:val="9"/>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left"/>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投标总价（与开标一览表一致）：</w:t>
            </w:r>
          </w:p>
        </w:tc>
      </w:tr>
    </w:tbl>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备注：1、“报价明细表”内“投标总价”应与附件1“开标一览表”中“投标总报价”相一致。</w:t>
      </w:r>
    </w:p>
    <w:p>
      <w:pPr>
        <w:spacing w:line="3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2、如果含在产品价格中则填“含”，如无此项内容则填“无”，不留空白。此表投标人可根据实际需求自行编制。</w:t>
      </w:r>
    </w:p>
    <w:p>
      <w:pPr>
        <w:spacing w:line="400" w:lineRule="exact"/>
        <w:ind w:firstLine="480" w:firstLineChars="200"/>
        <w:rPr>
          <w:rFonts w:hint="eastAsia" w:ascii="宋体" w:hAnsi="宋体" w:eastAsia="宋体" w:cs="宋体"/>
          <w:color w:val="auto"/>
          <w:sz w:val="24"/>
          <w:szCs w:val="24"/>
          <w:highlight w:val="none"/>
        </w:rPr>
      </w:pPr>
    </w:p>
    <w:p>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w:t>
      </w:r>
    </w:p>
    <w:p>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pPr>
        <w:snapToGrid w:val="0"/>
        <w:spacing w:line="400" w:lineRule="exact"/>
        <w:jc w:val="left"/>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日期：    年    月    日</w:t>
      </w:r>
    </w:p>
    <w:p>
      <w:pPr>
        <w:spacing w:line="400" w:lineRule="exact"/>
        <w:rPr>
          <w:rFonts w:hint="eastAsia" w:ascii="宋体" w:hAnsi="宋体" w:eastAsia="宋体" w:cs="宋体"/>
          <w:color w:val="auto"/>
          <w:highlight w:val="none"/>
        </w:rPr>
      </w:pPr>
      <w:r>
        <w:rPr>
          <w:rFonts w:hint="eastAsia" w:ascii="宋体" w:hAnsi="宋体" w:eastAsia="宋体" w:cs="宋体"/>
          <w:b/>
          <w:color w:val="auto"/>
          <w:sz w:val="24"/>
          <w:szCs w:val="24"/>
          <w:highlight w:val="none"/>
        </w:rPr>
        <w:t>附件3</w:t>
      </w:r>
    </w:p>
    <w:p>
      <w:pPr>
        <w:widowControl/>
        <w:spacing w:line="400" w:lineRule="exact"/>
        <w:jc w:val="center"/>
        <w:rPr>
          <w:rFonts w:hint="eastAsia" w:ascii="宋体" w:hAnsi="宋体" w:eastAsia="宋体" w:cs="宋体"/>
          <w:b/>
          <w:bCs/>
          <w:color w:val="auto"/>
          <w:sz w:val="32"/>
          <w:highlight w:val="none"/>
        </w:rPr>
      </w:pPr>
      <w:r>
        <w:rPr>
          <w:rFonts w:hint="eastAsia" w:ascii="宋体" w:hAnsi="宋体" w:eastAsia="宋体" w:cs="宋体"/>
          <w:b/>
          <w:bCs/>
          <w:color w:val="auto"/>
          <w:sz w:val="24"/>
          <w:highlight w:val="none"/>
        </w:rPr>
        <w:t>小微企业证明材料（加盖电子签章）（非小微企业不用提供）</w:t>
      </w:r>
    </w:p>
    <w:p>
      <w:pPr>
        <w:widowControl/>
        <w:adjustRightInd w:val="0"/>
        <w:snapToGrid w:val="0"/>
        <w:spacing w:line="324" w:lineRule="auto"/>
        <w:ind w:firstLine="440" w:firstLineChars="200"/>
        <w:jc w:val="center"/>
        <w:rPr>
          <w:rFonts w:hint="eastAsia" w:ascii="宋体" w:hAnsi="宋体" w:eastAsia="宋体" w:cs="宋体"/>
          <w:color w:val="auto"/>
          <w:kern w:val="0"/>
          <w:sz w:val="22"/>
          <w:highlight w:val="none"/>
        </w:rPr>
      </w:pPr>
    </w:p>
    <w:p>
      <w:pPr>
        <w:pStyle w:val="24"/>
        <w:spacing w:before="0" w:beforeAutospacing="0" w:after="0" w:afterAutospacing="0" w:line="400" w:lineRule="exact"/>
        <w:jc w:val="center"/>
        <w:rPr>
          <w:rFonts w:hint="eastAsia" w:ascii="宋体" w:hAnsi="宋体" w:eastAsia="宋体" w:cs="宋体"/>
          <w:b/>
          <w:bCs/>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中小企业声明函（货物）</w:t>
      </w:r>
    </w:p>
    <w:p>
      <w:pPr>
        <w:pStyle w:val="24"/>
        <w:spacing w:before="0" w:beforeAutospacing="0" w:after="0" w:afterAutospacing="0" w:line="400" w:lineRule="exact"/>
        <w:jc w:val="center"/>
        <w:rPr>
          <w:rFonts w:hint="eastAsia" w:ascii="宋体" w:hAnsi="宋体" w:eastAsia="宋体" w:cs="宋体"/>
          <w:color w:val="auto"/>
          <w:sz w:val="28"/>
          <w:szCs w:val="28"/>
          <w:highlight w:val="none"/>
          <w:shd w:val="clear" w:color="auto" w:fill="FFFFFF"/>
        </w:rPr>
      </w:pPr>
    </w:p>
    <w:p>
      <w:pPr>
        <w:pStyle w:val="67"/>
        <w:spacing w:line="376" w:lineRule="exact"/>
        <w:ind w:firstLine="4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本公司郑重声明，根据《政府采购促进中小企业发展管理办法》（财库（2020）46号）的规定，本公司参加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单位</w:t>
      </w:r>
      <w:r>
        <w:rPr>
          <w:rFonts w:hint="eastAsia" w:ascii="宋体" w:hAnsi="宋体" w:eastAsia="宋体" w:cs="宋体"/>
          <w:color w:val="auto"/>
          <w:sz w:val="24"/>
          <w:szCs w:val="24"/>
          <w:highlight w:val="none"/>
          <w:u w:val="single"/>
        </w:rPr>
        <w:t>名</w:t>
      </w:r>
      <w:r>
        <w:rPr>
          <w:rFonts w:hint="eastAsia" w:ascii="宋体" w:hAnsi="宋体" w:eastAsia="宋体" w:cs="宋体"/>
          <w:color w:val="auto"/>
          <w:sz w:val="24"/>
          <w:szCs w:val="24"/>
          <w:highlight w:val="none"/>
          <w:u w:val="single"/>
          <w:lang w:val="en-US" w:eastAsia="zh-CN" w:bidi="en-US"/>
        </w:rPr>
        <w:t>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釆购活动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提供的货物全部由符合政策要求的中小企业制造。相关企业的具体情况如下：</w:t>
      </w:r>
    </w:p>
    <w:p>
      <w:pPr>
        <w:pStyle w:val="67"/>
        <w:numPr>
          <w:ilvl w:val="0"/>
          <w:numId w:val="5"/>
        </w:numPr>
        <w:tabs>
          <w:tab w:val="left" w:pos="908"/>
          <w:tab w:val="left" w:pos="921"/>
          <w:tab w:val="left" w:pos="3178"/>
          <w:tab w:val="left" w:pos="4761"/>
        </w:tabs>
        <w:spacing w:line="370" w:lineRule="exact"/>
        <w:ind w:firstLine="460"/>
        <w:rPr>
          <w:rFonts w:hint="eastAsia" w:ascii="宋体" w:hAnsi="宋体" w:eastAsia="宋体" w:cs="宋体"/>
          <w:color w:val="auto"/>
          <w:sz w:val="24"/>
          <w:szCs w:val="24"/>
          <w:highlight w:val="none"/>
        </w:rPr>
      </w:pPr>
      <w:bookmarkStart w:id="0" w:name="bookmark0"/>
      <w:bookmarkEnd w:id="0"/>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行</w:t>
      </w:r>
      <w:r>
        <w:rPr>
          <w:rFonts w:hint="eastAsia" w:ascii="宋体" w:hAnsi="宋体" w:eastAsia="宋体" w:cs="宋体"/>
          <w:color w:val="auto"/>
          <w:sz w:val="24"/>
          <w:szCs w:val="24"/>
          <w:highlight w:val="none"/>
        </w:rPr>
        <w:t>业；制造商为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 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Style w:val="34"/>
          <w:rFonts w:hint="eastAsia" w:ascii="宋体" w:hAnsi="宋体" w:eastAsia="宋体" w:cs="宋体"/>
          <w:color w:val="auto"/>
          <w:sz w:val="24"/>
          <w:szCs w:val="24"/>
          <w:highlight w:val="none"/>
          <w:lang w:val="en-US" w:eastAsia="en-US" w:bidi="en-US"/>
        </w:rPr>
        <w:footnoteReference w:id="0"/>
      </w:r>
      <w:r>
        <w:rPr>
          <w:rFonts w:hint="eastAsia" w:ascii="宋体" w:hAnsi="宋体" w:eastAsia="宋体" w:cs="宋体"/>
          <w:color w:val="auto"/>
          <w:sz w:val="24"/>
          <w:szCs w:val="24"/>
          <w:highlight w:val="none"/>
          <w:lang w:val="en-US" w:eastAsia="zh-CN" w:bidi="en-US"/>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lang w:eastAsia="zh-CN"/>
        </w:rPr>
        <w:t>；</w:t>
      </w:r>
    </w:p>
    <w:p>
      <w:pPr>
        <w:pStyle w:val="67"/>
        <w:numPr>
          <w:ilvl w:val="0"/>
          <w:numId w:val="5"/>
        </w:numPr>
        <w:tabs>
          <w:tab w:val="left" w:pos="662"/>
          <w:tab w:val="left" w:pos="908"/>
          <w:tab w:val="left" w:pos="2945"/>
        </w:tabs>
        <w:spacing w:line="370" w:lineRule="exact"/>
        <w:ind w:firstLine="460"/>
        <w:rPr>
          <w:rFonts w:hint="eastAsia" w:ascii="宋体" w:hAnsi="宋体" w:eastAsia="宋体" w:cs="宋体"/>
          <w:color w:val="auto"/>
          <w:sz w:val="24"/>
          <w:szCs w:val="24"/>
          <w:highlight w:val="none"/>
        </w:rPr>
      </w:pPr>
      <w:bookmarkStart w:id="1" w:name="bookmark1"/>
      <w:bookmarkEnd w:id="1"/>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u w:val="single"/>
          <w:lang w:val="zh-CN" w:eastAsia="zh-CN" w:bidi="zh-CN"/>
        </w:rPr>
        <w:t>行业</w:t>
      </w:r>
      <w:r>
        <w:rPr>
          <w:rFonts w:hint="eastAsia" w:ascii="宋体" w:hAnsi="宋体" w:eastAsia="宋体" w:cs="宋体"/>
          <w:i/>
          <w:iCs/>
          <w:color w:val="auto"/>
          <w:sz w:val="24"/>
          <w:szCs w:val="24"/>
          <w:highlight w:val="none"/>
          <w:lang w:val="zh-CN" w:eastAsia="zh-CN" w:bidi="zh-CN"/>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
          <w:iCs/>
          <w:color w:val="auto"/>
          <w:sz w:val="24"/>
          <w:szCs w:val="24"/>
          <w:highlight w:val="none"/>
          <w:u w:val="single"/>
        </w:rPr>
        <w:t>（</w:t>
      </w:r>
      <w:r>
        <w:rPr>
          <w:rFonts w:hint="eastAsia" w:ascii="宋体" w:hAnsi="宋体" w:eastAsia="宋体" w:cs="宋体"/>
          <w:color w:val="auto"/>
          <w:sz w:val="24"/>
          <w:szCs w:val="24"/>
          <w:highlight w:val="none"/>
          <w:u w:val="single"/>
        </w:rPr>
        <w:t>企业名称）</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bidi="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（中型企业、小型 企业、微型</w:t>
      </w:r>
      <w:r>
        <w:rPr>
          <w:rFonts w:hint="eastAsia" w:ascii="宋体" w:hAnsi="宋体" w:eastAsia="宋体" w:cs="宋体"/>
          <w:color w:val="auto"/>
          <w:sz w:val="24"/>
          <w:szCs w:val="24"/>
          <w:highlight w:val="none"/>
          <w:u w:val="single"/>
          <w:lang w:val="zh-CN" w:eastAsia="zh-CN" w:bidi="zh-CN"/>
        </w:rPr>
        <w:t>企业）；</w:t>
      </w:r>
    </w:p>
    <w:p>
      <w:pPr>
        <w:pStyle w:val="67"/>
        <w:tabs>
          <w:tab w:val="left" w:pos="662"/>
          <w:tab w:val="left" w:pos="908"/>
          <w:tab w:val="left" w:pos="2945"/>
        </w:tabs>
        <w:spacing w:line="370" w:lineRule="exact"/>
        <w:ind w:left="46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pPr>
        <w:pStyle w:val="67"/>
        <w:tabs>
          <w:tab w:val="left" w:pos="662"/>
          <w:tab w:val="left" w:pos="908"/>
          <w:tab w:val="left" w:pos="2945"/>
        </w:tabs>
        <w:spacing w:line="37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p>
    <w:p>
      <w:pPr>
        <w:pStyle w:val="67"/>
        <w:tabs>
          <w:tab w:val="left" w:pos="662"/>
          <w:tab w:val="left" w:pos="908"/>
          <w:tab w:val="left" w:pos="2945"/>
        </w:tabs>
        <w:spacing w:line="37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pStyle w:val="67"/>
        <w:spacing w:line="372" w:lineRule="exact"/>
        <w:jc w:val="left"/>
        <w:rPr>
          <w:rFonts w:hint="eastAsia" w:ascii="宋体" w:hAnsi="宋体" w:eastAsia="宋体" w:cs="宋体"/>
          <w:color w:val="auto"/>
          <w:sz w:val="24"/>
          <w:szCs w:val="24"/>
          <w:highlight w:val="none"/>
        </w:rPr>
      </w:pPr>
    </w:p>
    <w:p>
      <w:pPr>
        <w:pStyle w:val="67"/>
        <w:spacing w:line="372" w:lineRule="exact"/>
        <w:jc w:val="left"/>
        <w:rPr>
          <w:rFonts w:hint="eastAsia" w:ascii="宋体" w:hAnsi="宋体" w:eastAsia="宋体" w:cs="宋体"/>
          <w:color w:val="auto"/>
          <w:sz w:val="24"/>
          <w:szCs w:val="24"/>
          <w:highlight w:val="none"/>
        </w:rPr>
      </w:pPr>
    </w:p>
    <w:p>
      <w:pPr>
        <w:pStyle w:val="67"/>
        <w:spacing w:line="372" w:lineRule="exact"/>
        <w:ind w:firstLine="4468" w:firstLineChars="186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pPr>
        <w:pStyle w:val="24"/>
        <w:spacing w:before="0" w:beforeAutospacing="0" w:after="0" w:afterAutospacing="0" w:line="360" w:lineRule="auto"/>
        <w:ind w:firstLine="480" w:firstLineChars="200"/>
        <w:jc w:val="center"/>
        <w:rPr>
          <w:rFonts w:hint="eastAsia" w:ascii="宋体" w:hAnsi="宋体" w:eastAsia="宋体" w:cs="宋体"/>
          <w:color w:val="auto"/>
          <w:sz w:val="22"/>
          <w:highlight w:val="none"/>
          <w:shd w:val="clear" w:color="auto" w:fill="FFFFFF"/>
        </w:rPr>
      </w:pPr>
      <w:r>
        <w:rPr>
          <w:rFonts w:hint="eastAsia" w:ascii="宋体" w:hAnsi="宋体" w:eastAsia="宋体" w:cs="宋体"/>
          <w:color w:val="auto"/>
          <w:szCs w:val="24"/>
          <w:highlight w:val="none"/>
        </w:rPr>
        <w:t>日期：</w:t>
      </w:r>
      <w:r>
        <w:rPr>
          <w:rFonts w:hint="eastAsia" w:ascii="宋体" w:hAnsi="宋体" w:eastAsia="宋体" w:cs="宋体"/>
          <w:color w:val="auto"/>
          <w:sz w:val="22"/>
          <w:highlight w:val="none"/>
          <w:shd w:val="clear" w:color="auto" w:fill="FFFFFF"/>
        </w:rPr>
        <w:t>　</w:t>
      </w:r>
    </w:p>
    <w:p>
      <w:pPr>
        <w:pStyle w:val="24"/>
        <w:spacing w:before="0" w:beforeAutospacing="0" w:after="0" w:afterAutospacing="0" w:line="360" w:lineRule="auto"/>
        <w:ind w:firstLine="440" w:firstLineChars="200"/>
        <w:jc w:val="center"/>
        <w:rPr>
          <w:rFonts w:hint="eastAsia" w:ascii="宋体" w:hAnsi="宋体" w:eastAsia="宋体" w:cs="宋体"/>
          <w:color w:val="auto"/>
          <w:sz w:val="22"/>
          <w:highlight w:val="none"/>
          <w:shd w:val="clear" w:color="auto" w:fill="FFFFFF"/>
        </w:rPr>
      </w:pPr>
    </w:p>
    <w:p>
      <w:pPr>
        <w:pStyle w:val="67"/>
        <w:tabs>
          <w:tab w:val="left" w:pos="662"/>
          <w:tab w:val="left" w:pos="908"/>
          <w:tab w:val="left" w:pos="2945"/>
        </w:tabs>
        <w:spacing w:line="370" w:lineRule="exact"/>
        <w:ind w:firstLine="0"/>
        <w:rPr>
          <w:rFonts w:hint="eastAsia" w:ascii="宋体" w:hAnsi="宋体" w:eastAsia="宋体" w:cs="宋体"/>
          <w:b/>
          <w:bCs/>
          <w:color w:val="auto"/>
          <w:highlight w:val="none"/>
        </w:rPr>
      </w:pPr>
      <w:r>
        <w:rPr>
          <w:rFonts w:hint="eastAsia" w:ascii="宋体" w:hAnsi="宋体" w:eastAsia="宋体" w:cs="宋体"/>
          <w:b/>
          <w:bCs/>
          <w:color w:val="auto"/>
          <w:highlight w:val="none"/>
        </w:rPr>
        <w:t>注：</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从业人员、营业收入、资产总额填报上一年度数据，无上一年度数据的新成立企业可不填报。</w:t>
      </w:r>
    </w:p>
    <w:p>
      <w:pPr>
        <w:pStyle w:val="67"/>
        <w:tabs>
          <w:tab w:val="left" w:pos="662"/>
          <w:tab w:val="left" w:pos="908"/>
          <w:tab w:val="left" w:pos="2945"/>
        </w:tabs>
        <w:spacing w:line="370" w:lineRule="exact"/>
        <w:ind w:firstLine="442" w:firstLineChars="20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lang w:eastAsia="zh-CN"/>
        </w:rPr>
        <w:t>投标人提供中小企业声明函且符合《政府采购促进中小企业发展管理办法》（财库〔2020〕46号）文件规定的要求并符合《工业和信息化部、国家统计局、国家发展和改革委员会、财政部关于印发中小企业划型标准规定的通知》（工信部联企业〔2011〕300号）规定的小、微企业的划型标准规定。</w:t>
      </w:r>
    </w:p>
    <w:p>
      <w:pPr>
        <w:pStyle w:val="67"/>
        <w:tabs>
          <w:tab w:val="left" w:pos="662"/>
          <w:tab w:val="left" w:pos="908"/>
          <w:tab w:val="left" w:pos="2945"/>
        </w:tabs>
        <w:spacing w:line="370" w:lineRule="exact"/>
        <w:ind w:firstLine="44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在货物采购项目中，货物由中小企业制造，即货物由中小企业生产且使用该中小企业商号或者注册商标；如</w:t>
      </w:r>
      <w:r>
        <w:rPr>
          <w:rFonts w:hint="eastAsia" w:ascii="宋体" w:hAnsi="宋体" w:eastAsia="宋体" w:cs="宋体"/>
          <w:b/>
          <w:bCs/>
          <w:color w:val="auto"/>
          <w:highlight w:val="none"/>
          <w:lang w:eastAsia="zh-CN"/>
        </w:rPr>
        <w:t>投标人</w:t>
      </w:r>
      <w:r>
        <w:rPr>
          <w:rFonts w:hint="eastAsia" w:ascii="宋体" w:hAnsi="宋体" w:eastAsia="宋体" w:cs="宋体"/>
          <w:b/>
          <w:bCs/>
          <w:color w:val="auto"/>
          <w:highlight w:val="none"/>
        </w:rPr>
        <w:t>提供的货物既有中小企业制造货物，也有大型企业制造货物的，不享受本办法规定的中小企业扶持政策。</w:t>
      </w:r>
    </w:p>
    <w:p>
      <w:pPr>
        <w:pStyle w:val="67"/>
        <w:tabs>
          <w:tab w:val="left" w:pos="662"/>
          <w:tab w:val="left" w:pos="908"/>
          <w:tab w:val="left" w:pos="2945"/>
        </w:tabs>
        <w:spacing w:line="370" w:lineRule="exact"/>
        <w:ind w:firstLine="44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4.如</w:t>
      </w:r>
      <w:r>
        <w:rPr>
          <w:rFonts w:hint="eastAsia" w:ascii="宋体" w:hAnsi="宋体" w:eastAsia="宋体" w:cs="宋体"/>
          <w:b/>
          <w:bCs/>
          <w:color w:val="auto"/>
          <w:highlight w:val="none"/>
          <w:lang w:eastAsia="zh-CN"/>
        </w:rPr>
        <w:t>中标人</w:t>
      </w:r>
      <w:r>
        <w:rPr>
          <w:rFonts w:hint="eastAsia" w:ascii="宋体" w:hAnsi="宋体" w:eastAsia="宋体" w:cs="宋体"/>
          <w:b/>
          <w:bCs/>
          <w:color w:val="auto"/>
          <w:highlight w:val="none"/>
        </w:rPr>
        <w:t>声明为小微企业，本声明函将随中标(成交)结果同时公告，接受社会监督。</w:t>
      </w:r>
    </w:p>
    <w:p>
      <w:pPr>
        <w:pStyle w:val="24"/>
        <w:spacing w:before="0" w:beforeAutospacing="0" w:after="0" w:afterAutospacing="0" w:line="400" w:lineRule="exact"/>
        <w:jc w:val="right"/>
        <w:rPr>
          <w:rFonts w:hint="eastAsia" w:ascii="宋体" w:hAnsi="宋体" w:eastAsia="宋体" w:cs="宋体"/>
          <w:color w:val="auto"/>
          <w:kern w:val="2"/>
          <w:sz w:val="22"/>
          <w:highlight w:val="none"/>
        </w:rPr>
      </w:pPr>
      <w:r>
        <w:rPr>
          <w:rFonts w:hint="eastAsia" w:ascii="宋体" w:hAnsi="宋体" w:eastAsia="宋体" w:cs="宋体"/>
          <w:color w:val="auto"/>
          <w:kern w:val="2"/>
          <w:sz w:val="22"/>
          <w:highlight w:val="none"/>
        </w:rPr>
        <w:t>　</w:t>
      </w:r>
    </w:p>
    <w:p>
      <w:pPr>
        <w:pStyle w:val="24"/>
        <w:spacing w:before="0" w:beforeAutospacing="0" w:after="0" w:afterAutospacing="0" w:line="400" w:lineRule="exact"/>
        <w:ind w:right="560"/>
        <w:rPr>
          <w:rFonts w:hint="eastAsia" w:ascii="宋体" w:hAnsi="宋体" w:eastAsia="宋体" w:cs="宋体"/>
          <w:color w:val="auto"/>
          <w:sz w:val="28"/>
          <w:szCs w:val="28"/>
          <w:highlight w:val="none"/>
          <w:shd w:val="clear" w:color="auto" w:fill="FFFFFF"/>
        </w:rPr>
      </w:pPr>
    </w:p>
    <w:p>
      <w:pPr>
        <w:spacing w:line="400" w:lineRule="exact"/>
        <w:rPr>
          <w:rFonts w:hint="eastAsia" w:ascii="宋体" w:hAnsi="宋体" w:eastAsia="宋体" w:cs="宋体"/>
          <w:color w:val="auto"/>
          <w:sz w:val="24"/>
          <w:highlight w:val="none"/>
        </w:rPr>
      </w:pPr>
    </w:p>
    <w:p>
      <w:pPr>
        <w:jc w:val="center"/>
        <w:rPr>
          <w:rFonts w:hint="eastAsia" w:ascii="宋体" w:hAnsi="宋体" w:eastAsia="宋体" w:cs="宋体"/>
          <w:b/>
          <w:bCs/>
          <w:color w:val="auto"/>
          <w:sz w:val="24"/>
          <w:highlight w:val="none"/>
        </w:rPr>
      </w:pPr>
    </w:p>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监狱企业资格证明材料</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（注：符合条件的监狱企业请提供本函，不符合的不提供本函）</w:t>
      </w:r>
    </w:p>
    <w:p>
      <w:pPr>
        <w:pStyle w:val="14"/>
        <w:spacing w:after="0" w:line="400" w:lineRule="exact"/>
        <w:ind w:left="0" w:leftChars="0" w:right="0" w:rightChars="0"/>
        <w:jc w:val="center"/>
        <w:rPr>
          <w:rFonts w:hint="eastAsia" w:ascii="宋体" w:hAnsi="宋体" w:eastAsia="宋体" w:cs="宋体"/>
          <w:b/>
          <w:bCs/>
          <w:color w:val="auto"/>
          <w:sz w:val="24"/>
          <w:highlight w:val="none"/>
        </w:rPr>
      </w:pPr>
    </w:p>
    <w:p>
      <w:pPr>
        <w:spacing w:line="360" w:lineRule="auto"/>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（省级以上监狱管理局、戒毒管理局（含新疆生产建设兵团）出具的属于监狱企业的证明文件）</w:t>
      </w:r>
    </w:p>
    <w:p>
      <w:pPr>
        <w:pStyle w:val="14"/>
        <w:spacing w:after="0" w:line="400" w:lineRule="exact"/>
        <w:ind w:left="0" w:leftChars="0" w:right="0" w:rightChars="0"/>
        <w:rPr>
          <w:rFonts w:hint="eastAsia" w:ascii="宋体" w:hAnsi="宋体" w:eastAsia="宋体" w:cs="宋体"/>
          <w:color w:val="auto"/>
          <w:sz w:val="22"/>
          <w:highlight w:val="none"/>
        </w:rPr>
      </w:pPr>
    </w:p>
    <w:p>
      <w:pPr>
        <w:pStyle w:val="14"/>
        <w:spacing w:after="0" w:line="400" w:lineRule="exact"/>
        <w:ind w:left="0" w:leftChars="0" w:right="0" w:rightChars="0"/>
        <w:rPr>
          <w:rFonts w:hint="eastAsia" w:ascii="宋体" w:hAnsi="宋体" w:eastAsia="宋体" w:cs="宋体"/>
          <w:color w:val="auto"/>
          <w:sz w:val="22"/>
          <w:highlight w:val="none"/>
        </w:rPr>
      </w:pPr>
    </w:p>
    <w:p>
      <w:pPr>
        <w:pStyle w:val="14"/>
        <w:spacing w:after="0" w:line="400" w:lineRule="exact"/>
        <w:ind w:left="0" w:leftChars="0" w:right="0" w:rightChars="0"/>
        <w:rPr>
          <w:rFonts w:hint="eastAsia" w:ascii="宋体" w:hAnsi="宋体" w:eastAsia="宋体" w:cs="宋体"/>
          <w:color w:val="auto"/>
          <w:sz w:val="22"/>
          <w:highlight w:val="none"/>
        </w:rPr>
      </w:pPr>
    </w:p>
    <w:p>
      <w:pPr>
        <w:pStyle w:val="14"/>
        <w:spacing w:after="0" w:line="400" w:lineRule="exact"/>
        <w:ind w:left="0" w:leftChars="0" w:right="0" w:rightChars="0"/>
        <w:rPr>
          <w:rFonts w:hint="eastAsia" w:ascii="宋体" w:hAnsi="宋体" w:eastAsia="宋体" w:cs="宋体"/>
          <w:color w:val="auto"/>
          <w:sz w:val="22"/>
          <w:highlight w:val="none"/>
        </w:rPr>
      </w:pPr>
    </w:p>
    <w:p>
      <w:pPr>
        <w:pStyle w:val="14"/>
        <w:spacing w:after="0" w:line="400" w:lineRule="exact"/>
        <w:ind w:left="0" w:leftChars="0" w:right="0" w:rightChars="0"/>
        <w:rPr>
          <w:rFonts w:hint="eastAsia" w:ascii="宋体" w:hAnsi="宋体" w:eastAsia="宋体" w:cs="宋体"/>
          <w:color w:val="auto"/>
          <w:highlight w:val="none"/>
        </w:rPr>
      </w:pPr>
    </w:p>
    <w:p>
      <w:pPr>
        <w:pStyle w:val="14"/>
        <w:spacing w:after="0" w:line="400" w:lineRule="exact"/>
        <w:ind w:left="0" w:leftChars="0" w:right="0" w:rightChars="0"/>
        <w:rPr>
          <w:rFonts w:hint="eastAsia" w:ascii="宋体" w:hAnsi="宋体" w:eastAsia="宋体" w:cs="宋体"/>
          <w:color w:val="auto"/>
          <w:highlight w:val="none"/>
        </w:rPr>
      </w:pPr>
    </w:p>
    <w:p>
      <w:pPr>
        <w:pStyle w:val="14"/>
        <w:spacing w:after="0" w:line="400" w:lineRule="exact"/>
        <w:ind w:left="0" w:leftChars="0" w:right="0" w:rightChars="0"/>
        <w:rPr>
          <w:rFonts w:hint="eastAsia" w:ascii="宋体" w:hAnsi="宋体" w:eastAsia="宋体" w:cs="宋体"/>
          <w:color w:val="auto"/>
          <w:highlight w:val="none"/>
        </w:rPr>
      </w:pPr>
    </w:p>
    <w:p>
      <w:pPr>
        <w:pStyle w:val="14"/>
        <w:spacing w:after="0" w:line="400" w:lineRule="exact"/>
        <w:ind w:left="0" w:leftChars="0" w:right="0" w:rightChars="0"/>
        <w:rPr>
          <w:rFonts w:hint="eastAsia" w:ascii="宋体" w:hAnsi="宋体" w:eastAsia="宋体" w:cs="宋体"/>
          <w:color w:val="auto"/>
          <w:highlight w:val="none"/>
        </w:rPr>
      </w:pPr>
    </w:p>
    <w:p>
      <w:pPr>
        <w:pStyle w:val="14"/>
        <w:spacing w:after="0" w:line="400" w:lineRule="exact"/>
        <w:ind w:left="0" w:leftChars="0" w:right="0" w:rightChars="0"/>
        <w:rPr>
          <w:rFonts w:hint="eastAsia" w:ascii="宋体" w:hAnsi="宋体" w:eastAsia="宋体" w:cs="宋体"/>
          <w:color w:val="auto"/>
          <w:highlight w:val="none"/>
        </w:rPr>
      </w:pPr>
    </w:p>
    <w:p>
      <w:pPr>
        <w:pStyle w:val="14"/>
        <w:spacing w:after="0" w:line="400" w:lineRule="exact"/>
        <w:ind w:left="0" w:leftChars="0" w:right="0" w:rightChars="0"/>
        <w:rPr>
          <w:rFonts w:hint="eastAsia" w:ascii="宋体" w:hAnsi="宋体" w:eastAsia="宋体" w:cs="宋体"/>
          <w:color w:val="auto"/>
          <w:highlight w:val="none"/>
        </w:rPr>
      </w:pPr>
    </w:p>
    <w:p>
      <w:pPr>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残疾人福利性单位声明函</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（注：符合条件的残疾人福利性单位请提供本函，不符合的不提供本函）</w:t>
      </w:r>
    </w:p>
    <w:p>
      <w:pPr>
        <w:spacing w:line="400" w:lineRule="exact"/>
        <w:rPr>
          <w:rFonts w:hint="eastAsia" w:ascii="宋体" w:hAnsi="宋体" w:eastAsia="宋体" w:cs="宋体"/>
          <w:b/>
          <w:color w:val="auto"/>
          <w:spacing w:val="6"/>
          <w:sz w:val="30"/>
          <w:szCs w:val="30"/>
          <w:highlight w:val="none"/>
        </w:rPr>
      </w:pPr>
    </w:p>
    <w:p>
      <w:pPr>
        <w:spacing w:line="40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pPr>
        <w:spacing w:line="400" w:lineRule="exact"/>
        <w:ind w:firstLine="504" w:firstLineChars="200"/>
        <w:rPr>
          <w:rFonts w:hint="eastAsia" w:ascii="宋体" w:hAnsi="宋体" w:eastAsia="宋体" w:cs="宋体"/>
          <w:color w:val="auto"/>
          <w:spacing w:val="6"/>
          <w:sz w:val="24"/>
          <w:szCs w:val="24"/>
          <w:highlight w:val="none"/>
        </w:rPr>
      </w:pPr>
    </w:p>
    <w:p>
      <w:pPr>
        <w:tabs>
          <w:tab w:val="left" w:pos="4860"/>
        </w:tabs>
        <w:spacing w:line="400" w:lineRule="exact"/>
        <w:ind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单位名称（电子签章）：</w:t>
      </w:r>
    </w:p>
    <w:p>
      <w:pPr>
        <w:tabs>
          <w:tab w:val="left" w:pos="4860"/>
        </w:tabs>
        <w:spacing w:line="400" w:lineRule="exact"/>
        <w:ind w:firstLine="504"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                           日        期：</w:t>
      </w:r>
    </w:p>
    <w:p>
      <w:pPr>
        <w:spacing w:line="400" w:lineRule="exact"/>
        <w:rPr>
          <w:rFonts w:hint="eastAsia" w:ascii="宋体" w:hAnsi="宋体" w:eastAsia="宋体" w:cs="宋体"/>
          <w:b/>
          <w:color w:val="auto"/>
          <w:sz w:val="24"/>
          <w:szCs w:val="24"/>
          <w:highlight w:val="none"/>
        </w:rPr>
      </w:pPr>
    </w:p>
    <w:p>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投标人不属于残疾人福利性单位的，无需提供此声明函，如提供所引起的后果由投标人承担。中标、中标人为残疾人福利性单位的,采购代理机构将随中标结果同时公告其《残疾人福利性单位声明函》,接受社会监督。</w:t>
      </w:r>
    </w:p>
    <w:p>
      <w:pPr>
        <w:spacing w:line="400" w:lineRule="exact"/>
        <w:rPr>
          <w:rFonts w:hint="eastAsia" w:ascii="宋体" w:hAnsi="宋体" w:eastAsia="宋体" w:cs="宋体"/>
          <w:b/>
          <w:color w:val="auto"/>
          <w:sz w:val="24"/>
          <w:szCs w:val="24"/>
          <w:highlight w:val="none"/>
        </w:rPr>
      </w:pPr>
    </w:p>
    <w:p>
      <w:pPr>
        <w:pStyle w:val="14"/>
        <w:ind w:left="1470" w:right="1470"/>
        <w:rPr>
          <w:rFonts w:hint="eastAsia" w:ascii="宋体" w:hAnsi="宋体" w:eastAsia="宋体" w:cs="宋体"/>
          <w:color w:val="auto"/>
          <w:highlight w:val="none"/>
        </w:rPr>
      </w:pPr>
    </w:p>
    <w:p>
      <w:pPr>
        <w:pStyle w:val="14"/>
        <w:ind w:left="1470" w:right="1470"/>
        <w:rPr>
          <w:rFonts w:hint="eastAsia" w:ascii="宋体" w:hAnsi="宋体" w:eastAsia="宋体" w:cs="宋体"/>
          <w:color w:val="auto"/>
          <w:highlight w:val="none"/>
        </w:rPr>
      </w:pPr>
    </w:p>
    <w:p>
      <w:pPr>
        <w:pStyle w:val="14"/>
        <w:ind w:left="1470" w:right="1470"/>
        <w:rPr>
          <w:rFonts w:hint="eastAsia" w:ascii="宋体" w:hAnsi="宋体" w:eastAsia="宋体" w:cs="宋体"/>
          <w:color w:val="auto"/>
          <w:highlight w:val="none"/>
        </w:rPr>
      </w:pPr>
    </w:p>
    <w:p>
      <w:pPr>
        <w:snapToGrid w:val="0"/>
        <w:spacing w:before="120" w:beforeLines="50" w:after="50"/>
        <w:jc w:val="center"/>
        <w:outlineLvl w:val="1"/>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二、资格文件部分封面格式</w:t>
      </w:r>
    </w:p>
    <w:p>
      <w:pPr>
        <w:snapToGrid w:val="0"/>
        <w:spacing w:before="120" w:beforeLines="50" w:after="50"/>
        <w:jc w:val="center"/>
        <w:outlineLvl w:val="1"/>
        <w:rPr>
          <w:rFonts w:hint="eastAsia" w:ascii="宋体" w:hAnsi="宋体" w:eastAsia="宋体" w:cs="宋体"/>
          <w:b/>
          <w:bCs/>
          <w:color w:val="auto"/>
          <w:sz w:val="24"/>
          <w:highlight w:val="none"/>
        </w:rPr>
      </w:pPr>
    </w:p>
    <w:p>
      <w:pPr>
        <w:snapToGrid w:val="0"/>
        <w:spacing w:line="400" w:lineRule="exact"/>
        <w:outlineLvl w:val="1"/>
        <w:rPr>
          <w:rFonts w:hint="eastAsia" w:ascii="宋体" w:hAnsi="宋体" w:eastAsia="宋体" w:cs="宋体"/>
          <w:b/>
          <w:bCs/>
          <w:color w:val="auto"/>
          <w:sz w:val="24"/>
          <w:szCs w:val="20"/>
          <w:highlight w:val="none"/>
        </w:rPr>
      </w:pPr>
    </w:p>
    <w:p>
      <w:pPr>
        <w:snapToGrid w:val="0"/>
        <w:spacing w:line="400" w:lineRule="exact"/>
        <w:jc w:val="center"/>
        <w:rPr>
          <w:rFonts w:hint="eastAsia" w:ascii="宋体" w:hAnsi="宋体" w:eastAsia="宋体" w:cs="宋体"/>
          <w:bCs/>
          <w:color w:val="auto"/>
          <w:sz w:val="24"/>
          <w:szCs w:val="20"/>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389890</wp:posOffset>
                </wp:positionH>
                <wp:positionV relativeFrom="paragraph">
                  <wp:posOffset>203200</wp:posOffset>
                </wp:positionV>
                <wp:extent cx="5076825" cy="3344545"/>
                <wp:effectExtent l="0" t="0" r="9525" b="8255"/>
                <wp:wrapTopAndBottom/>
                <wp:docPr id="2" name="1028"/>
                <wp:cNvGraphicFramePr/>
                <a:graphic xmlns:a="http://schemas.openxmlformats.org/drawingml/2006/main">
                  <a:graphicData uri="http://schemas.microsoft.com/office/word/2010/wordprocessingShape">
                    <wps:wsp>
                      <wps:cNvSpPr txBox="1">
                        <a:spLocks noRot="1"/>
                      </wps:cNvSpPr>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资格文件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1028" o:spid="_x0000_s1026" o:spt="202" type="#_x0000_t202" style="position:absolute;left:0pt;margin-left:30.7pt;margin-top:16pt;height:263.35pt;width:399.75pt;mso-wrap-distance-bottom:0pt;mso-wrap-distance-top:0pt;z-index:251660288;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OixDfZAAAACQEAAA8AAAAAAAAAAQAg&#10;AAAAIgAAAGRycy9kb3ducmV2LnhtbFBLAQIUABQAAAAIAIdO4kBrmfRFDQIAAGEEAAAOAAAAAAAA&#10;AAEAIAAAACgBAABkcnMvZTJvRG9jLnhtbFBLBQYAAAAABgAGAFkBAACnBQAAAAA=&#10;">
                <v:fill on="t" focussize="0,0"/>
                <v:stroke color="#000000" joinstyle="miter"/>
                <v:imagedata o:title=""/>
                <o:lock v:ext="edit" rotation="t" aspectratio="f"/>
                <v:textbo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资格文件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before="120" w:beforeLines="50" w:after="50"/>
        <w:jc w:val="center"/>
        <w:outlineLvl w:val="1"/>
        <w:rPr>
          <w:rFonts w:hint="eastAsia" w:ascii="宋体" w:hAnsi="宋体" w:eastAsia="宋体" w:cs="宋体"/>
          <w:b/>
          <w:bCs/>
          <w:color w:val="auto"/>
          <w:sz w:val="24"/>
          <w:highlight w:val="none"/>
        </w:rPr>
      </w:pPr>
    </w:p>
    <w:p>
      <w:pPr>
        <w:pStyle w:val="14"/>
        <w:ind w:left="1470" w:right="1470"/>
        <w:rPr>
          <w:rFonts w:hint="eastAsia" w:ascii="宋体" w:hAnsi="宋体" w:eastAsia="宋体" w:cs="宋体"/>
          <w:b/>
          <w:bCs/>
          <w:color w:val="auto"/>
          <w:sz w:val="24"/>
          <w:highlight w:val="none"/>
        </w:rPr>
      </w:pPr>
    </w:p>
    <w:p>
      <w:pPr>
        <w:pStyle w:val="14"/>
        <w:ind w:left="1470" w:right="1470"/>
        <w:rPr>
          <w:rFonts w:hint="eastAsia" w:ascii="宋体" w:hAnsi="宋体" w:eastAsia="宋体" w:cs="宋体"/>
          <w:b/>
          <w:bCs/>
          <w:color w:val="auto"/>
          <w:sz w:val="24"/>
          <w:highlight w:val="none"/>
        </w:rPr>
      </w:pPr>
    </w:p>
    <w:p>
      <w:pPr>
        <w:pStyle w:val="14"/>
        <w:ind w:left="1470" w:right="1470"/>
        <w:rPr>
          <w:rFonts w:hint="eastAsia" w:ascii="宋体" w:hAnsi="宋体" w:eastAsia="宋体" w:cs="宋体"/>
          <w:b/>
          <w:bCs/>
          <w:color w:val="auto"/>
          <w:sz w:val="24"/>
          <w:highlight w:val="none"/>
        </w:rPr>
      </w:pPr>
    </w:p>
    <w:p>
      <w:pPr>
        <w:pStyle w:val="14"/>
        <w:ind w:left="1470" w:right="1470"/>
        <w:rPr>
          <w:rFonts w:hint="eastAsia" w:ascii="宋体" w:hAnsi="宋体" w:eastAsia="宋体" w:cs="宋体"/>
          <w:b/>
          <w:bCs/>
          <w:color w:val="auto"/>
          <w:sz w:val="24"/>
          <w:highlight w:val="none"/>
        </w:rPr>
      </w:pPr>
    </w:p>
    <w:p>
      <w:pPr>
        <w:pStyle w:val="14"/>
        <w:ind w:left="1470" w:right="1470"/>
        <w:rPr>
          <w:rFonts w:hint="eastAsia" w:ascii="宋体" w:hAnsi="宋体" w:eastAsia="宋体" w:cs="宋体"/>
          <w:b/>
          <w:bCs/>
          <w:color w:val="auto"/>
          <w:sz w:val="24"/>
          <w:highlight w:val="none"/>
        </w:rPr>
      </w:pPr>
    </w:p>
    <w:p>
      <w:pPr>
        <w:pStyle w:val="14"/>
        <w:ind w:left="1470" w:right="1470"/>
        <w:rPr>
          <w:rFonts w:hint="eastAsia" w:ascii="宋体" w:hAnsi="宋体" w:eastAsia="宋体" w:cs="宋体"/>
          <w:b/>
          <w:bCs/>
          <w:color w:val="auto"/>
          <w:sz w:val="24"/>
          <w:highlight w:val="none"/>
        </w:rPr>
      </w:pPr>
    </w:p>
    <w:p>
      <w:pPr>
        <w:pStyle w:val="14"/>
        <w:ind w:left="1470" w:right="1470"/>
        <w:rPr>
          <w:rFonts w:hint="eastAsia" w:ascii="宋体" w:hAnsi="宋体" w:eastAsia="宋体" w:cs="宋体"/>
          <w:b/>
          <w:bCs/>
          <w:color w:val="auto"/>
          <w:sz w:val="24"/>
          <w:highlight w:val="none"/>
        </w:rPr>
      </w:pPr>
    </w:p>
    <w:p>
      <w:pPr>
        <w:pStyle w:val="14"/>
        <w:ind w:left="1470" w:right="1470"/>
        <w:rPr>
          <w:rFonts w:hint="eastAsia" w:ascii="宋体" w:hAnsi="宋体" w:eastAsia="宋体" w:cs="宋体"/>
          <w:b/>
          <w:bCs/>
          <w:color w:val="auto"/>
          <w:sz w:val="24"/>
          <w:highlight w:val="none"/>
        </w:rPr>
      </w:pPr>
    </w:p>
    <w:p>
      <w:pPr>
        <w:pStyle w:val="14"/>
        <w:ind w:left="1470" w:right="1470"/>
        <w:rPr>
          <w:rFonts w:hint="eastAsia" w:ascii="宋体" w:hAnsi="宋体" w:eastAsia="宋体" w:cs="宋体"/>
          <w:b/>
          <w:bCs/>
          <w:color w:val="auto"/>
          <w:sz w:val="24"/>
          <w:highlight w:val="none"/>
        </w:rPr>
      </w:pPr>
    </w:p>
    <w:p>
      <w:pPr>
        <w:pStyle w:val="14"/>
        <w:ind w:left="1470" w:right="1470"/>
        <w:rPr>
          <w:rFonts w:hint="eastAsia" w:ascii="宋体" w:hAnsi="宋体" w:eastAsia="宋体" w:cs="宋体"/>
          <w:b/>
          <w:bCs/>
          <w:color w:val="auto"/>
          <w:sz w:val="24"/>
          <w:highlight w:val="none"/>
        </w:rPr>
      </w:pPr>
    </w:p>
    <w:p>
      <w:pPr>
        <w:pStyle w:val="14"/>
        <w:ind w:left="1470" w:right="1470"/>
        <w:rPr>
          <w:rFonts w:hint="eastAsia" w:ascii="宋体" w:hAnsi="宋体" w:eastAsia="宋体" w:cs="宋体"/>
          <w:b/>
          <w:bCs/>
          <w:color w:val="auto"/>
          <w:sz w:val="24"/>
          <w:highlight w:val="none"/>
        </w:rPr>
      </w:pPr>
    </w:p>
    <w:p>
      <w:pPr>
        <w:pStyle w:val="14"/>
        <w:ind w:left="1470" w:right="1470"/>
        <w:rPr>
          <w:rFonts w:hint="eastAsia" w:ascii="宋体" w:hAnsi="宋体" w:eastAsia="宋体" w:cs="宋体"/>
          <w:b/>
          <w:bCs/>
          <w:color w:val="auto"/>
          <w:sz w:val="24"/>
          <w:highlight w:val="none"/>
        </w:rPr>
      </w:pPr>
    </w:p>
    <w:p>
      <w:pPr>
        <w:pStyle w:val="14"/>
        <w:ind w:left="1470" w:right="1470"/>
        <w:rPr>
          <w:rFonts w:hint="eastAsia" w:ascii="宋体" w:hAnsi="宋体" w:eastAsia="宋体" w:cs="宋体"/>
          <w:b/>
          <w:bCs/>
          <w:color w:val="auto"/>
          <w:sz w:val="24"/>
          <w:highlight w:val="none"/>
        </w:rPr>
      </w:pPr>
    </w:p>
    <w:p>
      <w:pPr>
        <w:pStyle w:val="14"/>
        <w:ind w:left="1470" w:right="1470"/>
        <w:rPr>
          <w:rFonts w:hint="eastAsia" w:ascii="宋体" w:hAnsi="宋体" w:eastAsia="宋体" w:cs="宋体"/>
          <w:b/>
          <w:bCs/>
          <w:color w:val="auto"/>
          <w:sz w:val="24"/>
          <w:highlight w:val="none"/>
        </w:rPr>
      </w:pPr>
    </w:p>
    <w:p>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附件4  </w:t>
      </w:r>
    </w:p>
    <w:p>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8"/>
          <w:szCs w:val="28"/>
          <w:highlight w:val="none"/>
        </w:rPr>
        <w:t xml:space="preserve"> 资格文件</w:t>
      </w:r>
    </w:p>
    <w:p>
      <w:pPr>
        <w:pStyle w:val="14"/>
        <w:spacing w:after="0" w:line="400" w:lineRule="exact"/>
        <w:ind w:left="0" w:leftChars="0" w:right="0" w:rightChars="0"/>
        <w:rPr>
          <w:rFonts w:hint="eastAsia" w:ascii="宋体" w:hAnsi="宋体" w:eastAsia="宋体" w:cs="宋体"/>
          <w:color w:val="auto"/>
          <w:highlight w:val="none"/>
        </w:rPr>
      </w:pPr>
    </w:p>
    <w:p>
      <w:pPr>
        <w:snapToGrid w:val="0"/>
        <w:spacing w:line="400" w:lineRule="exact"/>
        <w:jc w:val="center"/>
        <w:rPr>
          <w:rFonts w:hint="eastAsia" w:ascii="宋体" w:hAnsi="宋体" w:eastAsia="宋体" w:cs="宋体"/>
          <w:b/>
          <w:color w:val="auto"/>
          <w:spacing w:val="-6"/>
          <w:sz w:val="24"/>
          <w:szCs w:val="24"/>
          <w:highlight w:val="none"/>
        </w:rPr>
      </w:pPr>
    </w:p>
    <w:p>
      <w:pPr>
        <w:spacing w:line="400" w:lineRule="exac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附件4-1</w:t>
      </w:r>
    </w:p>
    <w:p>
      <w:pPr>
        <w:spacing w:line="360" w:lineRule="auto"/>
        <w:jc w:val="center"/>
        <w:rPr>
          <w:rFonts w:hint="eastAsia" w:ascii="宋体" w:hAnsi="宋体" w:eastAsia="宋体" w:cs="宋体"/>
          <w:b/>
          <w:color w:val="auto"/>
          <w:sz w:val="22"/>
          <w:highlight w:val="none"/>
        </w:rPr>
      </w:pPr>
    </w:p>
    <w:p>
      <w:pPr>
        <w:spacing w:line="360" w:lineRule="auto"/>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有效的法人或者其他组织的营业执照等证明文件，自然人的身份证明（五选一）</w:t>
      </w:r>
    </w:p>
    <w:p>
      <w:pPr>
        <w:spacing w:line="360" w:lineRule="auto"/>
        <w:rPr>
          <w:rFonts w:hint="eastAsia" w:ascii="宋体" w:hAnsi="宋体" w:eastAsia="宋体" w:cs="宋体"/>
          <w:b/>
          <w:color w:val="auto"/>
          <w:sz w:val="22"/>
          <w:highlight w:val="none"/>
        </w:rPr>
      </w:pPr>
    </w:p>
    <w:p>
      <w:pPr>
        <w:spacing w:line="360" w:lineRule="auto"/>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说明：</w:t>
      </w:r>
    </w:p>
    <w:p>
      <w:pPr>
        <w:pStyle w:val="21"/>
        <w:spacing w:line="360" w:lineRule="auto"/>
        <w:ind w:left="418" w:hanging="418"/>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1.如投标人是企业（包括合伙企业），提供有效“企业法人营业执照”或“营业执照”；</w:t>
      </w:r>
    </w:p>
    <w:p>
      <w:pPr>
        <w:pStyle w:val="21"/>
        <w:spacing w:line="360" w:lineRule="auto"/>
        <w:ind w:left="418" w:hanging="418"/>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2.如投标人是事业单位，提供有效的“事业单位法人证书”；</w:t>
      </w:r>
    </w:p>
    <w:p>
      <w:pPr>
        <w:pStyle w:val="21"/>
        <w:spacing w:line="360" w:lineRule="auto"/>
        <w:ind w:left="418" w:hanging="418"/>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3.如投标人是非企业专业服务机构的，提供执业许可证等证明文件；</w:t>
      </w:r>
    </w:p>
    <w:p>
      <w:pPr>
        <w:pStyle w:val="21"/>
        <w:spacing w:line="360" w:lineRule="auto"/>
        <w:ind w:left="418" w:hanging="418"/>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rPr>
        <w:t>4.如投标人是个体工商户，提供有效的“个体工商户营业执照”；</w:t>
      </w:r>
    </w:p>
    <w:p>
      <w:pPr>
        <w:pStyle w:val="21"/>
        <w:spacing w:line="360" w:lineRule="auto"/>
        <w:ind w:left="418" w:hanging="418"/>
        <w:rPr>
          <w:rFonts w:hint="eastAsia" w:ascii="宋体" w:hAnsi="宋体" w:eastAsia="宋体" w:cs="宋体"/>
          <w:color w:val="auto"/>
          <w:sz w:val="22"/>
          <w:highlight w:val="none"/>
        </w:rPr>
      </w:pPr>
      <w:r>
        <w:rPr>
          <w:rFonts w:hint="eastAsia" w:ascii="宋体" w:hAnsi="宋体" w:eastAsia="宋体" w:cs="宋体"/>
          <w:b/>
          <w:color w:val="auto"/>
          <w:spacing w:val="-6"/>
          <w:sz w:val="22"/>
          <w:highlight w:val="none"/>
        </w:rPr>
        <w:t>5.如投标人是自然人，提供有效的自然人身份证明（居民身份证正反面或公安机关出具的临时居民身份证正反面或港澳台胞证或证照）。</w:t>
      </w:r>
    </w:p>
    <w:p>
      <w:pPr>
        <w:snapToGrid w:val="0"/>
        <w:spacing w:line="400" w:lineRule="exact"/>
        <w:jc w:val="center"/>
        <w:rPr>
          <w:rFonts w:hint="eastAsia" w:ascii="宋体" w:hAnsi="宋体" w:eastAsia="宋体" w:cs="宋体"/>
          <w:b/>
          <w:color w:val="auto"/>
          <w:spacing w:val="-6"/>
          <w:sz w:val="24"/>
          <w:szCs w:val="24"/>
          <w:highlight w:val="none"/>
        </w:rPr>
      </w:pP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附件4-2</w:t>
      </w:r>
    </w:p>
    <w:p>
      <w:pPr>
        <w:spacing w:before="240" w:beforeLines="100" w:after="240" w:afterLines="10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关于符合《中华人民共和国政府采购法》第二十二条规定的承诺函</w:t>
      </w:r>
    </w:p>
    <w:p>
      <w:pPr>
        <w:spacing w:before="240" w:beforeLines="100" w:after="240" w:afterLines="100" w:line="360" w:lineRule="auto"/>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致：</w:t>
      </w:r>
      <w:r>
        <w:rPr>
          <w:rFonts w:hint="eastAsia" w:ascii="宋体" w:hAnsi="宋体" w:eastAsia="宋体" w:cs="宋体"/>
          <w:color w:val="auto"/>
          <w:sz w:val="22"/>
          <w:highlight w:val="none"/>
        </w:rPr>
        <w:t>温州肯恩大学、浙江乐诚工程咨询有限公司</w:t>
      </w:r>
      <w:r>
        <w:rPr>
          <w:rFonts w:hint="eastAsia" w:ascii="宋体" w:hAnsi="宋体" w:eastAsia="宋体" w:cs="宋体"/>
          <w:color w:val="auto"/>
          <w:spacing w:val="-6"/>
          <w:sz w:val="22"/>
          <w:highlight w:val="none"/>
        </w:rPr>
        <w:t>：</w:t>
      </w:r>
    </w:p>
    <w:p>
      <w:pPr>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我单位就</w:t>
      </w:r>
      <w:r>
        <w:rPr>
          <w:rFonts w:hint="eastAsia" w:ascii="宋体" w:hAnsi="宋体" w:eastAsia="宋体" w:cs="宋体"/>
          <w:color w:val="auto"/>
          <w:sz w:val="22"/>
          <w:highlight w:val="none"/>
          <w:u w:val="single"/>
        </w:rPr>
        <w:t xml:space="preserve">            （项目名称）           （项目编号）</w:t>
      </w:r>
      <w:r>
        <w:rPr>
          <w:rFonts w:hint="eastAsia" w:ascii="宋体" w:hAnsi="宋体" w:eastAsia="宋体" w:cs="宋体"/>
          <w:color w:val="auto"/>
          <w:sz w:val="22"/>
          <w:highlight w:val="none"/>
        </w:rPr>
        <w:t>项目承诺具备下列条件：</w:t>
      </w:r>
    </w:p>
    <w:p>
      <w:pPr>
        <w:pStyle w:val="24"/>
        <w:spacing w:before="0" w:beforeAutospacing="0" w:after="0" w:afterAutospacing="0" w:line="360" w:lineRule="auto"/>
        <w:ind w:firstLine="440" w:firstLineChars="200"/>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（一）具有独立承担民事责任的能力；</w:t>
      </w:r>
    </w:p>
    <w:p>
      <w:pPr>
        <w:pStyle w:val="24"/>
        <w:spacing w:before="0" w:beforeAutospacing="0" w:after="0" w:afterAutospacing="0" w:line="360" w:lineRule="auto"/>
        <w:ind w:firstLine="440" w:firstLineChars="200"/>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（二）具有良好的商业信誉和健全的财务会计制度；</w:t>
      </w:r>
    </w:p>
    <w:p>
      <w:pPr>
        <w:pStyle w:val="24"/>
        <w:spacing w:before="0" w:beforeAutospacing="0" w:after="0" w:afterAutospacing="0" w:line="360" w:lineRule="auto"/>
        <w:ind w:firstLine="440" w:firstLineChars="200"/>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（三）具有履行合同所必需的设备和专业技术能力；</w:t>
      </w:r>
    </w:p>
    <w:p>
      <w:pPr>
        <w:pStyle w:val="24"/>
        <w:spacing w:before="0" w:beforeAutospacing="0" w:after="0" w:afterAutospacing="0" w:line="360" w:lineRule="auto"/>
        <w:ind w:firstLine="440" w:firstLineChars="200"/>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（四）有依法缴纳税收和社会保障资金的良好记录；</w:t>
      </w:r>
    </w:p>
    <w:p>
      <w:pPr>
        <w:pStyle w:val="24"/>
        <w:spacing w:before="0" w:beforeAutospacing="0" w:after="0" w:afterAutospacing="0" w:line="360" w:lineRule="auto"/>
        <w:ind w:firstLine="440" w:firstLineChars="200"/>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（五）参加政府采购活动前三年内，在经营活动中没有重大违法记录（重大违法记录是指供应商因违法经营受到刑事处罚或者责令停产停业、吊销许可证或者执照、较大数额罚款等行政处罚。）；</w:t>
      </w:r>
    </w:p>
    <w:p>
      <w:pPr>
        <w:pStyle w:val="24"/>
        <w:spacing w:before="0" w:beforeAutospacing="0" w:after="0" w:afterAutospacing="0" w:line="360" w:lineRule="auto"/>
        <w:ind w:firstLine="440" w:firstLineChars="200"/>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六）未被“信用中国”（www.creditchina.gov.cn）、中国政府采购网（www.ccgp.gov.cn）列入失信被执行人、重大税收违法案件当事人名单、政府采购严重违法失信行为记录名单：以采购代理机构在开标当日查询记录为准。</w:t>
      </w:r>
    </w:p>
    <w:p>
      <w:pPr>
        <w:pStyle w:val="24"/>
        <w:spacing w:before="0" w:beforeAutospacing="0" w:after="0" w:afterAutospacing="0" w:line="360" w:lineRule="auto"/>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kern w:val="2"/>
          <w:sz w:val="22"/>
          <w:highlight w:val="none"/>
        </w:rPr>
        <w:t>如有虚假，采购人可取消我单位任何资格（投标/中标/签订合同</w:t>
      </w:r>
      <w:r>
        <w:rPr>
          <w:rFonts w:hint="eastAsia" w:ascii="宋体" w:hAnsi="宋体" w:eastAsia="宋体" w:cs="宋体"/>
          <w:b/>
          <w:color w:val="auto"/>
          <w:sz w:val="22"/>
          <w:highlight w:val="none"/>
        </w:rPr>
        <w:t>），我单位对此无任何异议。</w:t>
      </w:r>
    </w:p>
    <w:p>
      <w:pPr>
        <w:snapToGrid w:val="0"/>
        <w:spacing w:line="360" w:lineRule="auto"/>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特此承诺！</w:t>
      </w:r>
    </w:p>
    <w:p>
      <w:pPr>
        <w:tabs>
          <w:tab w:val="left" w:pos="9180"/>
        </w:tabs>
        <w:spacing w:line="360" w:lineRule="auto"/>
        <w:ind w:firstLine="440" w:firstLineChars="200"/>
        <w:rPr>
          <w:rFonts w:hint="eastAsia" w:ascii="宋体" w:hAnsi="宋体" w:eastAsia="宋体" w:cs="宋体"/>
          <w:snapToGrid w:val="0"/>
          <w:color w:val="auto"/>
          <w:sz w:val="22"/>
          <w:highlight w:val="none"/>
        </w:rPr>
      </w:pPr>
    </w:p>
    <w:p>
      <w:pPr>
        <w:tabs>
          <w:tab w:val="left" w:pos="9180"/>
        </w:tabs>
        <w:spacing w:line="360" w:lineRule="auto"/>
        <w:ind w:firstLine="440" w:firstLineChars="2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注：（1）参加政府采购活动的时间是指供应商参加本项目的政府采购活动时间为准（具体以投标截止时间为准）。</w:t>
      </w:r>
    </w:p>
    <w:p>
      <w:pPr>
        <w:tabs>
          <w:tab w:val="left" w:pos="9180"/>
        </w:tabs>
        <w:spacing w:line="360" w:lineRule="auto"/>
        <w:ind w:firstLine="880" w:firstLineChars="400"/>
        <w:rPr>
          <w:rFonts w:hint="eastAsia" w:ascii="宋体" w:hAnsi="宋体" w:eastAsia="宋体" w:cs="宋体"/>
          <w:snapToGrid w:val="0"/>
          <w:color w:val="auto"/>
          <w:sz w:val="22"/>
          <w:highlight w:val="none"/>
        </w:rPr>
      </w:pPr>
      <w:r>
        <w:rPr>
          <w:rFonts w:hint="eastAsia" w:ascii="宋体" w:hAnsi="宋体" w:eastAsia="宋体" w:cs="宋体"/>
          <w:snapToGrid w:val="0"/>
          <w:color w:val="auto"/>
          <w:sz w:val="22"/>
          <w:highlight w:val="none"/>
        </w:rPr>
        <w:t>（2）本承诺函必须提供。</w:t>
      </w:r>
    </w:p>
    <w:p>
      <w:pPr>
        <w:spacing w:line="360" w:lineRule="auto"/>
        <w:ind w:left="4620" w:leftChars="2200"/>
        <w:rPr>
          <w:rFonts w:hint="eastAsia" w:ascii="宋体" w:hAnsi="宋体" w:eastAsia="宋体" w:cs="宋体"/>
          <w:color w:val="auto"/>
          <w:szCs w:val="21"/>
          <w:highlight w:val="none"/>
        </w:rPr>
      </w:pPr>
    </w:p>
    <w:p>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w:t>
      </w:r>
    </w:p>
    <w:p>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pPr>
        <w:pStyle w:val="14"/>
        <w:spacing w:after="0" w:line="400" w:lineRule="exact"/>
        <w:ind w:left="0" w:leftChars="0" w:right="0" w:rightChars="0"/>
        <w:rPr>
          <w:rFonts w:hint="eastAsia" w:ascii="宋体" w:hAnsi="宋体" w:eastAsia="宋体" w:cs="宋体"/>
          <w:color w:val="auto"/>
          <w:highlight w:val="none"/>
        </w:rPr>
      </w:pPr>
    </w:p>
    <w:p>
      <w:pPr>
        <w:pStyle w:val="14"/>
        <w:spacing w:after="0" w:line="400" w:lineRule="exact"/>
        <w:ind w:left="0" w:leftChars="0" w:right="0" w:rightChars="0"/>
        <w:rPr>
          <w:rFonts w:hint="eastAsia" w:ascii="宋体" w:hAnsi="宋体" w:eastAsia="宋体" w:cs="宋体"/>
          <w:color w:val="auto"/>
          <w:highlight w:val="none"/>
        </w:rPr>
      </w:pPr>
    </w:p>
    <w:p>
      <w:pPr>
        <w:pStyle w:val="14"/>
        <w:spacing w:after="0" w:line="400" w:lineRule="exact"/>
        <w:ind w:left="0" w:leftChars="0" w:right="0" w:rightChars="0"/>
        <w:rPr>
          <w:rFonts w:hint="eastAsia" w:ascii="宋体" w:hAnsi="宋体" w:eastAsia="宋体" w:cs="宋体"/>
          <w:color w:val="auto"/>
          <w:highlight w:val="none"/>
        </w:rPr>
      </w:pPr>
    </w:p>
    <w:p>
      <w:pPr>
        <w:pStyle w:val="14"/>
        <w:spacing w:after="0" w:line="400" w:lineRule="exact"/>
        <w:ind w:left="0" w:leftChars="0" w:right="0" w:rightChars="0"/>
        <w:rPr>
          <w:rFonts w:hint="eastAsia" w:ascii="宋体" w:hAnsi="宋体" w:eastAsia="宋体" w:cs="宋体"/>
          <w:color w:val="auto"/>
          <w:highlight w:val="none"/>
        </w:rPr>
      </w:pPr>
    </w:p>
    <w:p>
      <w:pPr>
        <w:pStyle w:val="14"/>
        <w:spacing w:after="0" w:line="400" w:lineRule="exact"/>
        <w:ind w:left="0" w:leftChars="0" w:right="0" w:rightChars="0"/>
        <w:rPr>
          <w:rFonts w:hint="eastAsia" w:ascii="宋体" w:hAnsi="宋体" w:eastAsia="宋体" w:cs="宋体"/>
          <w:color w:val="auto"/>
          <w:highlight w:val="none"/>
        </w:rPr>
      </w:pPr>
    </w:p>
    <w:p>
      <w:pPr>
        <w:pStyle w:val="14"/>
        <w:spacing w:after="0" w:line="400" w:lineRule="exact"/>
        <w:ind w:left="0" w:leftChars="0" w:right="0" w:rightChars="0"/>
        <w:rPr>
          <w:rFonts w:hint="eastAsia" w:ascii="宋体" w:hAnsi="宋体" w:eastAsia="宋体" w:cs="宋体"/>
          <w:color w:val="auto"/>
          <w:highlight w:val="none"/>
        </w:rPr>
      </w:pPr>
    </w:p>
    <w:p>
      <w:pPr>
        <w:pStyle w:val="14"/>
        <w:spacing w:after="0" w:line="400" w:lineRule="exact"/>
        <w:ind w:left="0" w:leftChars="0" w:right="0" w:rightChars="0"/>
        <w:rPr>
          <w:rFonts w:hint="eastAsia" w:ascii="宋体" w:hAnsi="宋体" w:eastAsia="宋体" w:cs="宋体"/>
          <w:color w:val="auto"/>
          <w:highlight w:val="none"/>
        </w:rPr>
      </w:pPr>
    </w:p>
    <w:p>
      <w:pPr>
        <w:snapToGrid w:val="0"/>
        <w:spacing w:before="120" w:beforeLines="50" w:after="50"/>
        <w:outlineLvl w:val="1"/>
        <w:rPr>
          <w:rFonts w:hint="eastAsia" w:ascii="宋体" w:hAnsi="宋体" w:eastAsia="宋体" w:cs="宋体"/>
          <w:b/>
          <w:color w:val="auto"/>
          <w:sz w:val="24"/>
          <w:szCs w:val="24"/>
          <w:highlight w:val="none"/>
        </w:rPr>
      </w:pPr>
    </w:p>
    <w:p>
      <w:pPr>
        <w:snapToGrid w:val="0"/>
        <w:spacing w:before="120" w:beforeLines="50" w:after="50"/>
        <w:jc w:val="center"/>
        <w:outlineLvl w:val="1"/>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三、商务和技术文件部分封面格式</w:t>
      </w:r>
    </w:p>
    <w:p>
      <w:pPr>
        <w:snapToGrid w:val="0"/>
        <w:spacing w:before="120" w:beforeLines="50" w:after="50"/>
        <w:outlineLvl w:val="1"/>
        <w:rPr>
          <w:rFonts w:hint="eastAsia" w:ascii="宋体" w:hAnsi="宋体" w:eastAsia="宋体" w:cs="宋体"/>
          <w:b/>
          <w:bCs/>
          <w:color w:val="auto"/>
          <w:sz w:val="24"/>
          <w:highlight w:val="none"/>
        </w:rPr>
      </w:pPr>
    </w:p>
    <w:p>
      <w:pPr>
        <w:pStyle w:val="14"/>
        <w:ind w:left="0" w:leftChars="0" w:right="1470"/>
        <w:rPr>
          <w:rFonts w:hint="eastAsia" w:ascii="宋体" w:hAnsi="宋体" w:eastAsia="宋体" w:cs="宋体"/>
          <w:b/>
          <w:color w:val="auto"/>
          <w:sz w:val="24"/>
          <w:szCs w:val="24"/>
          <w:highlight w:val="none"/>
        </w:rPr>
      </w:pPr>
    </w:p>
    <w:p>
      <w:pPr>
        <w:snapToGrid w:val="0"/>
        <w:spacing w:line="400" w:lineRule="exact"/>
        <w:jc w:val="center"/>
        <w:outlineLvl w:val="1"/>
        <w:rPr>
          <w:rFonts w:hint="eastAsia" w:ascii="宋体" w:hAnsi="宋体" w:eastAsia="宋体" w:cs="宋体"/>
          <w:b/>
          <w:bCs/>
          <w:color w:val="auto"/>
          <w:sz w:val="24"/>
          <w:szCs w:val="20"/>
          <w:highlight w:val="none"/>
        </w:rPr>
      </w:pPr>
    </w:p>
    <w:p>
      <w:pPr>
        <w:snapToGrid w:val="0"/>
        <w:spacing w:line="400" w:lineRule="exact"/>
        <w:jc w:val="center"/>
        <w:rPr>
          <w:rFonts w:hint="eastAsia" w:ascii="宋体" w:hAnsi="宋体" w:eastAsia="宋体" w:cs="宋体"/>
          <w:bCs/>
          <w:color w:val="auto"/>
          <w:sz w:val="24"/>
          <w:szCs w:val="20"/>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389890</wp:posOffset>
                </wp:positionH>
                <wp:positionV relativeFrom="paragraph">
                  <wp:posOffset>203200</wp:posOffset>
                </wp:positionV>
                <wp:extent cx="5076825" cy="3344545"/>
                <wp:effectExtent l="0" t="0" r="9525" b="8255"/>
                <wp:wrapTopAndBottom/>
                <wp:docPr id="3" name="1029"/>
                <wp:cNvGraphicFramePr/>
                <a:graphic xmlns:a="http://schemas.openxmlformats.org/drawingml/2006/main">
                  <a:graphicData uri="http://schemas.microsoft.com/office/word/2010/wordprocessingShape">
                    <wps:wsp>
                      <wps:cNvSpPr txBox="1">
                        <a:spLocks noRot="1"/>
                      </wps:cNvSpPr>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1029" o:spid="_x0000_s1026" o:spt="202" type="#_x0000_t202" style="position:absolute;left:0pt;margin-left:30.7pt;margin-top:16pt;height:263.35pt;width:399.75pt;mso-wrap-distance-bottom:0pt;mso-wrap-distance-top:0pt;z-index:251661312;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zosQ32QAAAAkBAAAPAAAAAAAAAAEA&#10;IAAAACIAAABkcnMvZG93bnJldi54bWxQSwECFAAUAAAACACHTuJAndFjDA4CAABhBAAADgAAAAAA&#10;AAABACAAAAAoAQAAZHJzL2Uyb0RvYy54bWxQSwUGAAAAAAYABgBZAQAAqAUAAAAA&#10;">
                <v:fill on="t" focussize="0,0"/>
                <v:stroke color="#000000" joinstyle="miter"/>
                <v:imagedata o:title=""/>
                <o:lock v:ext="edit" rotation="t" aspectratio="f"/>
                <v:textbo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before="120" w:beforeLines="50" w:after="50"/>
        <w:jc w:val="center"/>
        <w:outlineLvl w:val="1"/>
        <w:rPr>
          <w:rFonts w:hint="eastAsia" w:ascii="宋体" w:hAnsi="宋体" w:eastAsia="宋体" w:cs="宋体"/>
          <w:b/>
          <w:bCs/>
          <w:color w:val="auto"/>
          <w:sz w:val="24"/>
          <w:highlight w:val="none"/>
        </w:rPr>
      </w:pPr>
    </w:p>
    <w:p>
      <w:pPr>
        <w:pStyle w:val="14"/>
        <w:ind w:left="1470" w:right="1470"/>
        <w:rPr>
          <w:rFonts w:hint="eastAsia" w:ascii="宋体" w:hAnsi="宋体" w:eastAsia="宋体" w:cs="宋体"/>
          <w:b/>
          <w:bCs/>
          <w:color w:val="auto"/>
          <w:sz w:val="24"/>
          <w:highlight w:val="none"/>
        </w:rPr>
      </w:pPr>
    </w:p>
    <w:p>
      <w:pPr>
        <w:pStyle w:val="14"/>
        <w:ind w:left="1470" w:right="1470"/>
        <w:rPr>
          <w:rFonts w:hint="eastAsia" w:ascii="宋体" w:hAnsi="宋体" w:eastAsia="宋体" w:cs="宋体"/>
          <w:b/>
          <w:bCs/>
          <w:color w:val="auto"/>
          <w:sz w:val="24"/>
          <w:highlight w:val="none"/>
        </w:rPr>
      </w:pPr>
    </w:p>
    <w:p>
      <w:pPr>
        <w:pStyle w:val="14"/>
        <w:ind w:left="1470" w:right="1470"/>
        <w:rPr>
          <w:rFonts w:hint="eastAsia" w:ascii="宋体" w:hAnsi="宋体" w:eastAsia="宋体" w:cs="宋体"/>
          <w:b/>
          <w:bCs/>
          <w:color w:val="auto"/>
          <w:sz w:val="24"/>
          <w:highlight w:val="none"/>
        </w:rPr>
      </w:pPr>
    </w:p>
    <w:p>
      <w:pPr>
        <w:pStyle w:val="14"/>
        <w:ind w:left="1470" w:right="1470"/>
        <w:rPr>
          <w:rFonts w:hint="eastAsia" w:ascii="宋体" w:hAnsi="宋体" w:eastAsia="宋体" w:cs="宋体"/>
          <w:b/>
          <w:bCs/>
          <w:color w:val="auto"/>
          <w:sz w:val="24"/>
          <w:highlight w:val="none"/>
        </w:rPr>
      </w:pPr>
    </w:p>
    <w:p>
      <w:pPr>
        <w:pStyle w:val="14"/>
        <w:ind w:left="1470" w:right="1470"/>
        <w:rPr>
          <w:rFonts w:hint="eastAsia" w:ascii="宋体" w:hAnsi="宋体" w:eastAsia="宋体" w:cs="宋体"/>
          <w:b/>
          <w:bCs/>
          <w:color w:val="auto"/>
          <w:sz w:val="24"/>
          <w:highlight w:val="none"/>
        </w:rPr>
      </w:pPr>
    </w:p>
    <w:p>
      <w:pPr>
        <w:pStyle w:val="14"/>
        <w:ind w:left="1470" w:right="1470"/>
        <w:rPr>
          <w:rFonts w:hint="eastAsia" w:ascii="宋体" w:hAnsi="宋体" w:eastAsia="宋体" w:cs="宋体"/>
          <w:b/>
          <w:bCs/>
          <w:color w:val="auto"/>
          <w:sz w:val="24"/>
          <w:highlight w:val="none"/>
        </w:rPr>
      </w:pPr>
    </w:p>
    <w:p>
      <w:pPr>
        <w:pStyle w:val="14"/>
        <w:ind w:left="1470" w:right="1470"/>
        <w:rPr>
          <w:rFonts w:hint="eastAsia" w:ascii="宋体" w:hAnsi="宋体" w:eastAsia="宋体" w:cs="宋体"/>
          <w:b/>
          <w:bCs/>
          <w:color w:val="auto"/>
          <w:sz w:val="24"/>
          <w:highlight w:val="none"/>
        </w:rPr>
      </w:pPr>
    </w:p>
    <w:p>
      <w:pPr>
        <w:pStyle w:val="14"/>
        <w:ind w:left="1470" w:right="1470"/>
        <w:rPr>
          <w:rFonts w:hint="eastAsia" w:ascii="宋体" w:hAnsi="宋体" w:eastAsia="宋体" w:cs="宋体"/>
          <w:b/>
          <w:bCs/>
          <w:color w:val="auto"/>
          <w:sz w:val="24"/>
          <w:highlight w:val="none"/>
        </w:rPr>
      </w:pPr>
    </w:p>
    <w:p>
      <w:pPr>
        <w:pStyle w:val="14"/>
        <w:ind w:left="0" w:leftChars="0" w:right="1470"/>
        <w:rPr>
          <w:rFonts w:hint="eastAsia" w:ascii="宋体" w:hAnsi="宋体" w:eastAsia="宋体" w:cs="宋体"/>
          <w:b/>
          <w:bCs/>
          <w:color w:val="auto"/>
          <w:sz w:val="24"/>
          <w:highlight w:val="none"/>
        </w:rPr>
      </w:pPr>
    </w:p>
    <w:p>
      <w:pPr>
        <w:pStyle w:val="14"/>
        <w:ind w:left="0" w:leftChars="0" w:right="1470"/>
        <w:rPr>
          <w:rFonts w:hint="eastAsia" w:ascii="宋体" w:hAnsi="宋体" w:eastAsia="宋体" w:cs="宋体"/>
          <w:b/>
          <w:bCs/>
          <w:color w:val="auto"/>
          <w:sz w:val="24"/>
          <w:highlight w:val="none"/>
        </w:rPr>
      </w:pPr>
    </w:p>
    <w:p>
      <w:pPr>
        <w:pStyle w:val="14"/>
        <w:ind w:left="0" w:leftChars="0" w:right="1470"/>
        <w:rPr>
          <w:rFonts w:hint="eastAsia" w:ascii="宋体" w:hAnsi="宋体" w:eastAsia="宋体" w:cs="宋体"/>
          <w:b/>
          <w:bCs/>
          <w:color w:val="auto"/>
          <w:sz w:val="24"/>
          <w:highlight w:val="none"/>
        </w:rPr>
      </w:pPr>
    </w:p>
    <w:p>
      <w:pPr>
        <w:pStyle w:val="14"/>
        <w:ind w:left="0" w:leftChars="0" w:right="1470"/>
        <w:rPr>
          <w:rFonts w:hint="eastAsia" w:ascii="宋体" w:hAnsi="宋体" w:eastAsia="宋体" w:cs="宋体"/>
          <w:b/>
          <w:bCs/>
          <w:color w:val="auto"/>
          <w:sz w:val="24"/>
          <w:highlight w:val="none"/>
        </w:rPr>
      </w:pPr>
    </w:p>
    <w:p>
      <w:pPr>
        <w:pStyle w:val="14"/>
        <w:ind w:left="0" w:leftChars="0" w:right="1470"/>
        <w:rPr>
          <w:rFonts w:hint="eastAsia" w:ascii="宋体" w:hAnsi="宋体" w:eastAsia="宋体" w:cs="宋体"/>
          <w:b/>
          <w:bCs/>
          <w:color w:val="auto"/>
          <w:sz w:val="24"/>
          <w:highlight w:val="none"/>
        </w:rPr>
      </w:pPr>
    </w:p>
    <w:p>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8"/>
          <w:highlight w:val="none"/>
        </w:rPr>
        <w:t>商务和技术文件</w:t>
      </w:r>
    </w:p>
    <w:p>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附件5</w:t>
      </w:r>
    </w:p>
    <w:p>
      <w:pPr>
        <w:spacing w:line="400" w:lineRule="exac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商务和技术文件投标文件</w:t>
      </w:r>
    </w:p>
    <w:p>
      <w:pPr>
        <w:spacing w:line="400" w:lineRule="exac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评分索引表</w:t>
      </w:r>
    </w:p>
    <w:p>
      <w:pPr>
        <w:spacing w:line="40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为了方便专家评审投标文件，针对招标文件评分细则要求，投标人应制作投标文件索引，置于投标文件首页，格式如下：</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序号</w:t>
            </w:r>
          </w:p>
        </w:tc>
        <w:tc>
          <w:tcPr>
            <w:tcW w:w="6956" w:type="dxa"/>
            <w:vAlign w:val="center"/>
          </w:tcPr>
          <w:p>
            <w:pPr>
              <w:spacing w:line="400" w:lineRule="exact"/>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评分内容</w:t>
            </w:r>
          </w:p>
        </w:tc>
        <w:tc>
          <w:tcPr>
            <w:tcW w:w="1313" w:type="dxa"/>
            <w:vAlign w:val="center"/>
          </w:tcPr>
          <w:p>
            <w:pPr>
              <w:pStyle w:val="53"/>
              <w:spacing w:line="400" w:lineRule="exact"/>
              <w:rPr>
                <w:rFonts w:hint="eastAsia" w:ascii="宋体" w:hAnsi="宋体" w:eastAsia="宋体" w:cs="宋体"/>
                <w:b/>
                <w:color w:val="auto"/>
                <w:spacing w:val="-6"/>
                <w:szCs w:val="24"/>
                <w:highlight w:val="none"/>
              </w:rPr>
            </w:pPr>
            <w:r>
              <w:rPr>
                <w:rFonts w:hint="eastAsia" w:ascii="宋体" w:hAnsi="宋体" w:eastAsia="宋体" w:cs="宋体"/>
                <w:b/>
                <w:color w:val="auto"/>
                <w:spacing w:val="-6"/>
                <w:szCs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1</w:t>
            </w:r>
          </w:p>
        </w:tc>
        <w:tc>
          <w:tcPr>
            <w:tcW w:w="6956" w:type="dxa"/>
            <w:vAlign w:val="center"/>
          </w:tcPr>
          <w:p>
            <w:pPr>
              <w:spacing w:line="400" w:lineRule="exact"/>
              <w:jc w:val="left"/>
              <w:rPr>
                <w:rFonts w:hint="eastAsia" w:ascii="宋体" w:hAnsi="宋体" w:eastAsia="宋体" w:cs="宋体"/>
                <w:color w:val="auto"/>
                <w:kern w:val="0"/>
                <w:sz w:val="24"/>
                <w:szCs w:val="24"/>
                <w:highlight w:val="none"/>
              </w:rPr>
            </w:pPr>
          </w:p>
          <w:p>
            <w:pPr>
              <w:spacing w:line="400" w:lineRule="exact"/>
              <w:jc w:val="left"/>
              <w:rPr>
                <w:rFonts w:hint="eastAsia" w:ascii="宋体" w:hAnsi="宋体" w:eastAsia="宋体" w:cs="宋体"/>
                <w:color w:val="auto"/>
                <w:kern w:val="0"/>
                <w:sz w:val="24"/>
                <w:szCs w:val="24"/>
                <w:highlight w:val="none"/>
              </w:rPr>
            </w:pPr>
          </w:p>
        </w:tc>
        <w:tc>
          <w:tcPr>
            <w:tcW w:w="1313" w:type="dxa"/>
            <w:vAlign w:val="center"/>
          </w:tcPr>
          <w:p>
            <w:pPr>
              <w:pStyle w:val="12"/>
              <w:spacing w:line="400" w:lineRule="exact"/>
              <w:ind w:left="456" w:hanging="456"/>
              <w:rPr>
                <w:rFonts w:hint="eastAsia" w:ascii="宋体" w:hAnsi="宋体" w:eastAsia="宋体" w:cs="宋体"/>
                <w:color w:val="auto"/>
                <w:spacing w:val="-6"/>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2</w:t>
            </w:r>
          </w:p>
        </w:tc>
        <w:tc>
          <w:tcPr>
            <w:tcW w:w="6956" w:type="dxa"/>
            <w:vAlign w:val="center"/>
          </w:tcPr>
          <w:p>
            <w:pPr>
              <w:spacing w:line="400" w:lineRule="exact"/>
              <w:jc w:val="left"/>
              <w:rPr>
                <w:rFonts w:hint="eastAsia" w:ascii="宋体" w:hAnsi="宋体" w:eastAsia="宋体" w:cs="宋体"/>
                <w:color w:val="auto"/>
                <w:kern w:val="0"/>
                <w:sz w:val="24"/>
                <w:szCs w:val="24"/>
                <w:highlight w:val="none"/>
              </w:rPr>
            </w:pPr>
          </w:p>
        </w:tc>
        <w:tc>
          <w:tcPr>
            <w:tcW w:w="1313" w:type="dxa"/>
            <w:vAlign w:val="center"/>
          </w:tcPr>
          <w:p>
            <w:pPr>
              <w:pStyle w:val="12"/>
              <w:spacing w:line="400" w:lineRule="exact"/>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w:t>
            </w:r>
          </w:p>
        </w:tc>
        <w:tc>
          <w:tcPr>
            <w:tcW w:w="6956" w:type="dxa"/>
            <w:vAlign w:val="center"/>
          </w:tcPr>
          <w:p>
            <w:pPr>
              <w:spacing w:line="400" w:lineRule="exact"/>
              <w:rPr>
                <w:rFonts w:hint="eastAsia" w:ascii="宋体" w:hAnsi="宋体" w:eastAsia="宋体" w:cs="宋体"/>
                <w:color w:val="auto"/>
                <w:sz w:val="24"/>
                <w:szCs w:val="24"/>
                <w:highlight w:val="none"/>
              </w:rPr>
            </w:pPr>
          </w:p>
        </w:tc>
        <w:tc>
          <w:tcPr>
            <w:tcW w:w="1313" w:type="dxa"/>
          </w:tcPr>
          <w:p>
            <w:pPr>
              <w:spacing w:line="400" w:lineRule="exac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w:t>
            </w:r>
          </w:p>
        </w:tc>
        <w:tc>
          <w:tcPr>
            <w:tcW w:w="6956" w:type="dxa"/>
            <w:vAlign w:val="center"/>
          </w:tcPr>
          <w:p>
            <w:pPr>
              <w:spacing w:line="400" w:lineRule="exact"/>
              <w:rPr>
                <w:rFonts w:hint="eastAsia" w:ascii="宋体" w:hAnsi="宋体" w:eastAsia="宋体" w:cs="宋体"/>
                <w:color w:val="auto"/>
                <w:sz w:val="24"/>
                <w:szCs w:val="24"/>
                <w:highlight w:val="none"/>
              </w:rPr>
            </w:pPr>
          </w:p>
        </w:tc>
        <w:tc>
          <w:tcPr>
            <w:tcW w:w="1313" w:type="dxa"/>
          </w:tcPr>
          <w:p>
            <w:pPr>
              <w:spacing w:line="400" w:lineRule="exac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w:t>
            </w:r>
          </w:p>
        </w:tc>
        <w:tc>
          <w:tcPr>
            <w:tcW w:w="6956" w:type="dxa"/>
            <w:vAlign w:val="center"/>
          </w:tcPr>
          <w:p>
            <w:pPr>
              <w:spacing w:line="400" w:lineRule="exact"/>
              <w:jc w:val="left"/>
              <w:rPr>
                <w:rFonts w:hint="eastAsia" w:ascii="宋体" w:hAnsi="宋体" w:eastAsia="宋体" w:cs="宋体"/>
                <w:color w:val="auto"/>
                <w:sz w:val="24"/>
                <w:szCs w:val="24"/>
                <w:highlight w:val="none"/>
              </w:rPr>
            </w:pPr>
          </w:p>
        </w:tc>
        <w:tc>
          <w:tcPr>
            <w:tcW w:w="1313" w:type="dxa"/>
          </w:tcPr>
          <w:p>
            <w:pPr>
              <w:spacing w:line="400" w:lineRule="exac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w:t>
            </w:r>
          </w:p>
        </w:tc>
        <w:tc>
          <w:tcPr>
            <w:tcW w:w="6956" w:type="dxa"/>
            <w:vAlign w:val="center"/>
          </w:tcPr>
          <w:p>
            <w:pPr>
              <w:spacing w:line="400" w:lineRule="exact"/>
              <w:jc w:val="left"/>
              <w:rPr>
                <w:rFonts w:hint="eastAsia" w:ascii="宋体" w:hAnsi="宋体" w:eastAsia="宋体" w:cs="宋体"/>
                <w:color w:val="auto"/>
                <w:sz w:val="24"/>
                <w:szCs w:val="24"/>
                <w:highlight w:val="none"/>
              </w:rPr>
            </w:pPr>
          </w:p>
        </w:tc>
        <w:tc>
          <w:tcPr>
            <w:tcW w:w="1313" w:type="dxa"/>
          </w:tcPr>
          <w:p>
            <w:pPr>
              <w:spacing w:line="400" w:lineRule="exac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w:t>
            </w:r>
          </w:p>
        </w:tc>
        <w:tc>
          <w:tcPr>
            <w:tcW w:w="6956" w:type="dxa"/>
            <w:vAlign w:val="center"/>
          </w:tcPr>
          <w:p>
            <w:pPr>
              <w:spacing w:line="400" w:lineRule="exact"/>
              <w:jc w:val="left"/>
              <w:rPr>
                <w:rFonts w:hint="eastAsia" w:ascii="宋体" w:hAnsi="宋体" w:eastAsia="宋体" w:cs="宋体"/>
                <w:color w:val="auto"/>
                <w:sz w:val="24"/>
                <w:szCs w:val="24"/>
                <w:highlight w:val="none"/>
              </w:rPr>
            </w:pPr>
          </w:p>
        </w:tc>
        <w:tc>
          <w:tcPr>
            <w:tcW w:w="1313" w:type="dxa"/>
          </w:tcPr>
          <w:p>
            <w:pPr>
              <w:spacing w:line="400" w:lineRule="exac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8</w:t>
            </w:r>
          </w:p>
        </w:tc>
        <w:tc>
          <w:tcPr>
            <w:tcW w:w="6956" w:type="dxa"/>
            <w:vAlign w:val="center"/>
          </w:tcPr>
          <w:p>
            <w:pPr>
              <w:spacing w:line="400" w:lineRule="exact"/>
              <w:rPr>
                <w:rFonts w:hint="eastAsia" w:ascii="宋体" w:hAnsi="宋体" w:eastAsia="宋体" w:cs="宋体"/>
                <w:color w:val="auto"/>
                <w:sz w:val="24"/>
                <w:szCs w:val="24"/>
                <w:highlight w:val="none"/>
              </w:rPr>
            </w:pPr>
          </w:p>
        </w:tc>
        <w:tc>
          <w:tcPr>
            <w:tcW w:w="1313" w:type="dxa"/>
          </w:tcPr>
          <w:p>
            <w:pPr>
              <w:spacing w:line="400" w:lineRule="exac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9</w:t>
            </w:r>
          </w:p>
        </w:tc>
        <w:tc>
          <w:tcPr>
            <w:tcW w:w="6956" w:type="dxa"/>
            <w:vAlign w:val="center"/>
          </w:tcPr>
          <w:p>
            <w:pPr>
              <w:spacing w:line="400" w:lineRule="exact"/>
              <w:jc w:val="left"/>
              <w:rPr>
                <w:rFonts w:hint="eastAsia" w:ascii="宋体" w:hAnsi="宋体" w:eastAsia="宋体" w:cs="宋体"/>
                <w:color w:val="auto"/>
                <w:sz w:val="24"/>
                <w:szCs w:val="24"/>
                <w:highlight w:val="none"/>
              </w:rPr>
            </w:pPr>
          </w:p>
        </w:tc>
        <w:tc>
          <w:tcPr>
            <w:tcW w:w="1313" w:type="dxa"/>
          </w:tcPr>
          <w:p>
            <w:pPr>
              <w:spacing w:line="400" w:lineRule="exact"/>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w:t>
            </w:r>
          </w:p>
        </w:tc>
        <w:tc>
          <w:tcPr>
            <w:tcW w:w="6956" w:type="dxa"/>
            <w:vAlign w:val="center"/>
          </w:tcPr>
          <w:p>
            <w:pPr>
              <w:spacing w:line="400" w:lineRule="exact"/>
              <w:jc w:val="left"/>
              <w:rPr>
                <w:rFonts w:hint="eastAsia" w:ascii="宋体" w:hAnsi="宋体" w:eastAsia="宋体" w:cs="宋体"/>
                <w:color w:val="auto"/>
                <w:sz w:val="24"/>
                <w:szCs w:val="24"/>
                <w:highlight w:val="none"/>
              </w:rPr>
            </w:pPr>
          </w:p>
        </w:tc>
        <w:tc>
          <w:tcPr>
            <w:tcW w:w="1313" w:type="dxa"/>
          </w:tcPr>
          <w:p>
            <w:pPr>
              <w:spacing w:line="400" w:lineRule="exact"/>
              <w:rPr>
                <w:rFonts w:hint="eastAsia" w:ascii="宋体" w:hAnsi="宋体" w:eastAsia="宋体" w:cs="宋体"/>
                <w:bCs/>
                <w:color w:val="auto"/>
                <w:sz w:val="24"/>
                <w:szCs w:val="24"/>
                <w:highlight w:val="none"/>
              </w:rPr>
            </w:pPr>
          </w:p>
        </w:tc>
      </w:tr>
    </w:tbl>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备注：一.“评分内容”对应“第六部分”评标原则及方法。</w:t>
      </w:r>
    </w:p>
    <w:p>
      <w:pPr>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二.评标内容自行添加。本表可扩展。</w:t>
      </w:r>
    </w:p>
    <w:p>
      <w:pPr>
        <w:spacing w:line="400" w:lineRule="exact"/>
        <w:ind w:firstLine="720" w:firstLineChars="3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三.各投标人在投标文件最前页根据本评标细则制作评分索引表，清楚标注响应内容及证明材料的所在页码。</w:t>
      </w:r>
    </w:p>
    <w:p>
      <w:pPr>
        <w:spacing w:line="400" w:lineRule="exact"/>
        <w:ind w:hanging="1"/>
        <w:rPr>
          <w:rFonts w:hint="eastAsia" w:ascii="宋体" w:hAnsi="宋体" w:eastAsia="宋体" w:cs="宋体"/>
          <w:b/>
          <w:color w:val="auto"/>
          <w:sz w:val="22"/>
          <w:highlight w:val="none"/>
        </w:rPr>
      </w:pPr>
    </w:p>
    <w:p>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附件6</w:t>
      </w:r>
    </w:p>
    <w:p>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 标 函</w:t>
      </w: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温州肯恩大学、浙江乐诚工程咨询有限公司</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根据贵方为温州肯恩大学</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）的投标邀请，我方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（投标人名称）作为投标人正式授权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（授权代表全名，职务）代表我方处理本次项目中的一切投标相关事宜。</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我方己完全明白招标文件的所有条款要求，并重申以下几点：</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（一）本投标文件的有效期自提交投标文件的截止之日起 </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天内有效，如中标，有效期将延至合同终止日为止；</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（二）我方已详细研究了招标文件的所有内容包括修改书（如有）和所有已提供的参考资料以及有关附件，我方完全理解并同意放弃在此方面提出含糊意见或误解的一切权力；</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（三）我方明白并愿意在规定的开标时间之后，投标人在投标有效期内不撤回投标；</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（四）我方同意提供按照贵方可能要求的与投标有关的一切数据或资料；</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（五）我方理解贵方不一定接受最低报价。</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（六）如中标，我方承诺按照招标文件规定向你方递交履约保证金，本投标文件至本项目合同履行完毕止均保持有效，本投标人将按“招标文件”及政府采购法律、法规的规定履行合同责任和义务。</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（七）所有与本投标有关的函件请发往下列地址：</w:t>
      </w:r>
    </w:p>
    <w:p>
      <w:pPr>
        <w:spacing w:line="40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w:t>
      </w:r>
      <w:r>
        <w:rPr>
          <w:rFonts w:hint="eastAsia" w:ascii="宋体" w:hAnsi="宋体" w:eastAsia="宋体" w:cs="宋体"/>
          <w:color w:val="auto"/>
          <w:sz w:val="24"/>
          <w:szCs w:val="24"/>
          <w:highlight w:val="none"/>
          <w:u w:val="single"/>
        </w:rPr>
        <w:t xml:space="preserve">                　　  　　</w:t>
      </w:r>
    </w:p>
    <w:p>
      <w:pPr>
        <w:spacing w:line="40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pPr>
        <w:spacing w:line="400" w:lineRule="exact"/>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pPr>
        <w:spacing w:line="400" w:lineRule="exact"/>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电子邮件</w:t>
      </w:r>
      <w:r>
        <w:rPr>
          <w:rFonts w:hint="eastAsia" w:ascii="宋体" w:hAnsi="宋体" w:eastAsia="宋体" w:cs="宋体"/>
          <w:color w:val="auto"/>
          <w:sz w:val="24"/>
          <w:szCs w:val="24"/>
          <w:highlight w:val="none"/>
          <w:u w:val="single"/>
        </w:rPr>
        <w:t xml:space="preserve">         　　         </w:t>
      </w:r>
    </w:p>
    <w:p>
      <w:pPr>
        <w:spacing w:line="400" w:lineRule="exact"/>
        <w:rPr>
          <w:rFonts w:hint="eastAsia" w:ascii="宋体" w:hAnsi="宋体" w:eastAsia="宋体" w:cs="宋体"/>
          <w:color w:val="auto"/>
          <w:sz w:val="24"/>
          <w:szCs w:val="24"/>
          <w:highlight w:val="none"/>
        </w:rPr>
      </w:pPr>
    </w:p>
    <w:p>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w:t>
      </w:r>
    </w:p>
    <w:p>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pPr>
        <w:snapToGrid w:val="0"/>
        <w:spacing w:line="400" w:lineRule="exact"/>
        <w:jc w:val="center"/>
        <w:rPr>
          <w:rFonts w:hint="eastAsia" w:ascii="宋体" w:hAnsi="宋体" w:eastAsia="宋体" w:cs="宋体"/>
          <w:b/>
          <w:bCs/>
          <w:color w:val="auto"/>
          <w:sz w:val="28"/>
          <w:szCs w:val="28"/>
          <w:highlight w:val="none"/>
        </w:rPr>
      </w:pPr>
    </w:p>
    <w:p>
      <w:pPr>
        <w:snapToGrid w:val="0"/>
        <w:spacing w:line="400" w:lineRule="exact"/>
        <w:jc w:val="center"/>
        <w:rPr>
          <w:rFonts w:hint="eastAsia" w:ascii="宋体" w:hAnsi="宋体" w:eastAsia="宋体" w:cs="宋体"/>
          <w:b/>
          <w:bCs/>
          <w:color w:val="auto"/>
          <w:sz w:val="28"/>
          <w:szCs w:val="28"/>
          <w:highlight w:val="none"/>
        </w:rPr>
      </w:pPr>
    </w:p>
    <w:p>
      <w:pPr>
        <w:pStyle w:val="12"/>
        <w:ind w:left="562" w:hanging="562"/>
        <w:rPr>
          <w:rFonts w:hint="eastAsia" w:ascii="宋体" w:hAnsi="宋体" w:eastAsia="宋体" w:cs="宋体"/>
          <w:b/>
          <w:bCs/>
          <w:color w:val="auto"/>
          <w:sz w:val="28"/>
          <w:szCs w:val="28"/>
          <w:highlight w:val="none"/>
        </w:rPr>
      </w:pPr>
    </w:p>
    <w:p>
      <w:pPr>
        <w:rPr>
          <w:rFonts w:hint="eastAsia" w:ascii="宋体" w:hAnsi="宋体" w:eastAsia="宋体" w:cs="宋体"/>
          <w:color w:val="auto"/>
          <w:highlight w:val="none"/>
        </w:rPr>
      </w:pPr>
    </w:p>
    <w:p>
      <w:pPr>
        <w:snapToGrid w:val="0"/>
        <w:spacing w:line="400" w:lineRule="exact"/>
        <w:jc w:val="center"/>
        <w:rPr>
          <w:rFonts w:hint="eastAsia" w:ascii="宋体" w:hAnsi="宋体" w:eastAsia="宋体" w:cs="宋体"/>
          <w:b/>
          <w:bCs/>
          <w:color w:val="auto"/>
          <w:sz w:val="28"/>
          <w:szCs w:val="28"/>
          <w:highlight w:val="none"/>
        </w:rPr>
      </w:pPr>
    </w:p>
    <w:p>
      <w:pPr>
        <w:snapToGrid w:val="0"/>
        <w:spacing w:line="400" w:lineRule="exact"/>
        <w:jc w:val="center"/>
        <w:rPr>
          <w:rFonts w:hint="eastAsia" w:ascii="宋体" w:hAnsi="宋体" w:eastAsia="宋体" w:cs="宋体"/>
          <w:b/>
          <w:bCs/>
          <w:color w:val="auto"/>
          <w:sz w:val="28"/>
          <w:szCs w:val="28"/>
          <w:highlight w:val="none"/>
        </w:rPr>
      </w:pPr>
    </w:p>
    <w:p>
      <w:pPr>
        <w:pStyle w:val="14"/>
        <w:ind w:left="1470" w:right="1470"/>
        <w:rPr>
          <w:rFonts w:hint="eastAsia" w:ascii="宋体" w:hAnsi="宋体" w:eastAsia="宋体" w:cs="宋体"/>
          <w:color w:val="auto"/>
          <w:highlight w:val="none"/>
        </w:rPr>
      </w:pPr>
    </w:p>
    <w:p>
      <w:pPr>
        <w:pStyle w:val="11"/>
        <w:ind w:firstLine="0" w:firstLineChars="0"/>
        <w:rPr>
          <w:rFonts w:hint="eastAsia" w:ascii="宋体" w:hAnsi="宋体" w:eastAsia="宋体" w:cs="宋体"/>
          <w:color w:val="auto"/>
          <w:highlight w:val="none"/>
        </w:rPr>
      </w:pPr>
    </w:p>
    <w:p>
      <w:pPr>
        <w:spacing w:line="400" w:lineRule="exact"/>
        <w:rPr>
          <w:rFonts w:hint="eastAsia" w:ascii="宋体" w:hAnsi="宋体" w:eastAsia="宋体" w:cs="宋体"/>
          <w:b/>
          <w:color w:val="auto"/>
          <w:sz w:val="24"/>
          <w:szCs w:val="24"/>
          <w:highlight w:val="none"/>
        </w:rPr>
      </w:pPr>
    </w:p>
    <w:p>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附件7</w:t>
      </w:r>
    </w:p>
    <w:p>
      <w:pPr>
        <w:pStyle w:val="12"/>
        <w:ind w:left="0" w:firstLine="0" w:firstLineChars="0"/>
        <w:rPr>
          <w:rFonts w:hint="eastAsia" w:ascii="宋体" w:hAnsi="宋体" w:eastAsia="宋体" w:cs="宋体"/>
          <w:color w:val="auto"/>
          <w:highlight w:val="none"/>
        </w:rPr>
      </w:pPr>
    </w:p>
    <w:p>
      <w:pPr>
        <w:ind w:right="-1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法定代表人资格证明书</w:t>
      </w:r>
    </w:p>
    <w:p>
      <w:pPr>
        <w:spacing w:line="480" w:lineRule="auto"/>
        <w:jc w:val="left"/>
        <w:rPr>
          <w:rFonts w:hint="eastAsia" w:ascii="宋体" w:hAnsi="宋体" w:eastAsia="宋体" w:cs="宋体"/>
          <w:color w:val="auto"/>
          <w:sz w:val="24"/>
          <w:szCs w:val="24"/>
          <w:highlight w:val="none"/>
        </w:rPr>
      </w:pPr>
    </w:p>
    <w:p>
      <w:pPr>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致：温州肯恩大学、浙江乐诚工程咨询有限公司：</w:t>
      </w:r>
    </w:p>
    <w:p>
      <w:pPr>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（姓名、性别、年龄）</w:t>
      </w:r>
      <w:r>
        <w:rPr>
          <w:rFonts w:hint="eastAsia" w:ascii="宋体" w:hAnsi="宋体" w:eastAsia="宋体" w:cs="宋体"/>
          <w:color w:val="auto"/>
          <w:sz w:val="24"/>
          <w:szCs w:val="24"/>
          <w:highlight w:val="none"/>
        </w:rPr>
        <w:t>在我单位任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（职务名称）职务，是我单位的法定代表人。</w:t>
      </w:r>
    </w:p>
    <w:p>
      <w:pPr>
        <w:spacing w:line="48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line="400" w:lineRule="exact"/>
        <w:jc w:val="left"/>
        <w:rPr>
          <w:rFonts w:hint="eastAsia" w:ascii="宋体" w:hAnsi="宋体" w:eastAsia="宋体" w:cs="宋体"/>
          <w:b/>
          <w:bCs/>
          <w:color w:val="auto"/>
          <w:sz w:val="24"/>
          <w:szCs w:val="24"/>
          <w:highlight w:val="none"/>
        </w:rPr>
      </w:pPr>
    </w:p>
    <w:p>
      <w:pPr>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法定代表人身份证号：（身份证复印附后）</w:t>
      </w:r>
    </w:p>
    <w:p>
      <w:pPr>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法定代表人电话：</w:t>
      </w:r>
    </w:p>
    <w:p>
      <w:pPr>
        <w:spacing w:line="400" w:lineRule="exact"/>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投标人全称（电子签章）</w:t>
      </w:r>
    </w:p>
    <w:p>
      <w:pPr>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 期：   年  月  日</w:t>
      </w:r>
    </w:p>
    <w:p>
      <w:pPr>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598170</wp:posOffset>
                </wp:positionH>
                <wp:positionV relativeFrom="paragraph">
                  <wp:posOffset>158115</wp:posOffset>
                </wp:positionV>
                <wp:extent cx="3400425" cy="2377440"/>
                <wp:effectExtent l="0" t="0" r="9525" b="3810"/>
                <wp:wrapNone/>
                <wp:docPr id="4" name="1030"/>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法人代表身份证复印件粘贴：</w:t>
                            </w:r>
                          </w:p>
                        </w:txbxContent>
                      </wps:txbx>
                      <wps:bodyPr upright="1"/>
                    </wps:wsp>
                  </a:graphicData>
                </a:graphic>
              </wp:anchor>
            </w:drawing>
          </mc:Choice>
          <mc:Fallback>
            <w:pict>
              <v:shape id="1030" o:spid="_x0000_s1026" o:spt="202" type="#_x0000_t202" style="position:absolute;left:0pt;margin-left:47.1pt;margin-top:12.45pt;height:187.2pt;width:267.75pt;z-index:251662336;mso-width-relative:page;mso-height-relative:page;" fillcolor="#FFFFFF" filled="t" stroked="t" coordsize="21600,21600" o:gfxdata="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ZfJg7YAAAACQEAAA8AAAAAAAAAAQAgAAAAIgAAAGRycy9kb3du&#10;cmV2LnhtbFBLAQIUABQAAAAIAIdO4kCX5sHE/wEAAD4EAAAOAAAAAAAAAAEAIAAAACcBAABkcnMv&#10;ZTJvRG9jLnhtbFBLBQYAAAAABgAGAFkBAACYBQAAAAA=&#10;">
                <v:fill on="t" focussize="0,0"/>
                <v:stroke color="#000000" joinstyle="miter"/>
                <v:imagedata o:title=""/>
                <o:lock v:ext="edit" aspectratio="f"/>
                <v:textbox>
                  <w:txbxContent>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法人代表身份证复印件粘贴：</w:t>
                      </w:r>
                    </w:p>
                  </w:txbxContent>
                </v:textbox>
              </v:shape>
            </w:pict>
          </mc:Fallback>
        </mc:AlternateContent>
      </w: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b/>
          <w:bCs/>
          <w:color w:val="auto"/>
          <w:sz w:val="24"/>
          <w:szCs w:val="24"/>
          <w:highlight w:val="none"/>
        </w:rPr>
      </w:pPr>
    </w:p>
    <w:p>
      <w:pPr>
        <w:snapToGrid w:val="0"/>
        <w:spacing w:line="400" w:lineRule="exact"/>
        <w:rPr>
          <w:rFonts w:hint="eastAsia" w:ascii="宋体" w:hAnsi="宋体" w:eastAsia="宋体" w:cs="宋体"/>
          <w:color w:val="auto"/>
          <w:sz w:val="24"/>
          <w:szCs w:val="24"/>
          <w:highlight w:val="none"/>
        </w:rPr>
      </w:pPr>
    </w:p>
    <w:p>
      <w:pPr>
        <w:spacing w:line="400" w:lineRule="exact"/>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说明：投标人的法定代表人参加投标，须在投标文件中提供法定代表人资格证明书；投标人的法定代表人委托授权代表参加投标，须在投标文件中提供法定代表人授权委托书。</w:t>
      </w: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snapToGrid w:val="0"/>
        <w:spacing w:line="360" w:lineRule="auto"/>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法定代表人授权委托书</w:t>
      </w:r>
    </w:p>
    <w:p>
      <w:pPr>
        <w:snapToGrid w:val="0"/>
        <w:spacing w:line="360" w:lineRule="auto"/>
        <w:rPr>
          <w:rFonts w:hint="eastAsia" w:ascii="宋体" w:hAnsi="宋体" w:eastAsia="宋体" w:cs="宋体"/>
          <w:b/>
          <w:bCs/>
          <w:color w:val="auto"/>
          <w:spacing w:val="-6"/>
          <w:sz w:val="24"/>
          <w:szCs w:val="24"/>
          <w:highlight w:val="none"/>
        </w:rPr>
      </w:pPr>
      <w:r>
        <w:rPr>
          <w:rFonts w:hint="eastAsia" w:ascii="宋体" w:hAnsi="宋体" w:eastAsia="宋体" w:cs="宋体"/>
          <w:bCs/>
          <w:color w:val="auto"/>
          <w:spacing w:val="-6"/>
          <w:sz w:val="24"/>
          <w:szCs w:val="24"/>
          <w:highlight w:val="none"/>
        </w:rPr>
        <w:t>致：</w:t>
      </w:r>
      <w:r>
        <w:rPr>
          <w:rFonts w:hint="eastAsia" w:ascii="宋体" w:hAnsi="宋体" w:eastAsia="宋体" w:cs="宋体"/>
          <w:color w:val="auto"/>
          <w:sz w:val="24"/>
          <w:szCs w:val="24"/>
          <w:highlight w:val="none"/>
        </w:rPr>
        <w:t>温州肯恩大学、浙江乐诚工程咨询有限公司</w:t>
      </w:r>
      <w:r>
        <w:rPr>
          <w:rFonts w:hint="eastAsia" w:ascii="宋体" w:hAnsi="宋体" w:eastAsia="宋体" w:cs="宋体"/>
          <w:color w:val="auto"/>
          <w:spacing w:val="-6"/>
          <w:sz w:val="24"/>
          <w:szCs w:val="24"/>
          <w:highlight w:val="none"/>
        </w:rPr>
        <w:t>：</w:t>
      </w:r>
    </w:p>
    <w:p>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我 </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（姓名）系</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（投标人名称）的法定代表人，现授权委托本单位在职职工</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 xml:space="preserve"> （姓名）（身份证号：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）以我方的名义参加温州肯恩大学（采购项目</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）的投标活动，并代表我方全权办理针对上述项目的投标、开标、评标、签约等具体事务和签署相关文件。</w:t>
      </w:r>
    </w:p>
    <w:p>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我方对被授权人的签名负全部责任。</w:t>
      </w:r>
    </w:p>
    <w:p>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在撤销授权的书面通知以前，本授权书一直有效。被授权人在授权书有效期内签署的所有文件不因授权的撤销而失效。</w:t>
      </w:r>
    </w:p>
    <w:p>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被授权人无转委托权，特此委托。</w:t>
      </w:r>
    </w:p>
    <w:p>
      <w:pPr>
        <w:snapToGrid w:val="0"/>
        <w:spacing w:line="288" w:lineRule="auto"/>
        <w:rPr>
          <w:rFonts w:hint="eastAsia" w:ascii="宋体" w:hAnsi="宋体" w:eastAsia="宋体" w:cs="宋体"/>
          <w:color w:val="auto"/>
          <w:spacing w:val="-6"/>
          <w:sz w:val="24"/>
          <w:szCs w:val="24"/>
          <w:highlight w:val="none"/>
        </w:rPr>
      </w:pPr>
    </w:p>
    <w:p>
      <w:pPr>
        <w:snapToGrid w:val="0"/>
        <w:spacing w:line="288" w:lineRule="auto"/>
        <w:rPr>
          <w:rFonts w:hint="eastAsia" w:ascii="宋体" w:hAnsi="宋体" w:eastAsia="宋体" w:cs="宋体"/>
          <w:color w:val="auto"/>
          <w:spacing w:val="-6"/>
          <w:sz w:val="24"/>
          <w:szCs w:val="24"/>
          <w:highlight w:val="none"/>
        </w:rPr>
      </w:pPr>
    </w:p>
    <w:p>
      <w:pPr>
        <w:snapToGrid w:val="0"/>
        <w:spacing w:line="288" w:lineRule="auto"/>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被授权人签字：                              法定代表人签字或签章：</w:t>
      </w:r>
    </w:p>
    <w:p>
      <w:pPr>
        <w:snapToGrid w:val="0"/>
        <w:spacing w:line="288" w:lineRule="auto"/>
        <w:ind w:firstLine="912" w:firstLineChars="4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职务：                               职务：</w:t>
      </w:r>
    </w:p>
    <w:p>
      <w:pPr>
        <w:snapToGrid w:val="0"/>
        <w:spacing w:line="288"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被授权人身份证号码：</w:t>
      </w:r>
    </w:p>
    <w:p>
      <w:pPr>
        <w:snapToGrid w:val="0"/>
        <w:spacing w:line="288"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供应商名称（CA电子公章）：</w:t>
      </w:r>
    </w:p>
    <w:p>
      <w:pPr>
        <w:snapToGrid w:val="0"/>
        <w:spacing w:line="288" w:lineRule="auto"/>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年    月    日</w:t>
      </w:r>
    </w:p>
    <w:p>
      <w:pPr>
        <w:spacing w:line="288" w:lineRule="auto"/>
        <w:rPr>
          <w:rFonts w:hint="eastAsia" w:ascii="宋体" w:hAnsi="宋体" w:eastAsia="宋体" w:cs="宋体"/>
          <w:color w:val="auto"/>
          <w:spacing w:val="-6"/>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512445</wp:posOffset>
                </wp:positionH>
                <wp:positionV relativeFrom="paragraph">
                  <wp:posOffset>148590</wp:posOffset>
                </wp:positionV>
                <wp:extent cx="5191125" cy="2360295"/>
                <wp:effectExtent l="0" t="0" r="9525" b="1905"/>
                <wp:wrapNone/>
                <wp:docPr id="5" name="1031"/>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ascii="宋体" w:hAnsi="宋体"/>
                                <w:sz w:val="24"/>
                              </w:rPr>
                              <w:t xml:space="preserve">       </w:t>
                            </w:r>
                            <w:r>
                              <w:rPr>
                                <w:rFonts w:hint="eastAsia" w:ascii="宋体" w:hAnsi="宋体"/>
                                <w:sz w:val="24"/>
                              </w:rPr>
                              <w:t>复印件粘贴处</w:t>
                            </w:r>
                          </w:p>
                        </w:txbxContent>
                      </wps:txbx>
                      <wps:bodyPr upright="1"/>
                    </wps:wsp>
                  </a:graphicData>
                </a:graphic>
              </wp:anchor>
            </w:drawing>
          </mc:Choice>
          <mc:Fallback>
            <w:pict>
              <v:shape id="1031" o:spid="_x0000_s1026" o:spt="202" type="#_x0000_t202" style="position:absolute;left:0pt;margin-left:40.35pt;margin-top:11.7pt;height:185.85pt;width:408.75pt;z-index:251662336;mso-width-relative:page;mso-height-relative:page;" fillcolor="#FFFFFF" filled="t" stroked="t" coordsize="21600,21600" o:gfxdata="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0pXydkAAAAJAQAADwAAAAAAAAABACAAAAAiAAAAZHJzL2Rvd25y&#10;ZXYueG1sUEsBAhQAFAAAAAgAh07iQJrXeRr9AQAAPgQAAA4AAAAAAAAAAQAgAAAAKAEAAGRycy9l&#10;Mm9Eb2MueG1sUEsFBgAAAAAGAAYAWQEAAJcFAAAAAA==&#10;">
                <v:fill on="t" focussize="0,0"/>
                <v:stroke color="#000000" joinstyle="miter"/>
                <v:imagedata o:title=""/>
                <o:lock v:ext="edit" aspectratio="f"/>
                <v:textbox>
                  <w:txbxContent>
                    <w:p>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ascii="宋体" w:hAnsi="宋体"/>
                          <w:sz w:val="24"/>
                        </w:rPr>
                        <w:t xml:space="preserve">       </w:t>
                      </w:r>
                      <w:r>
                        <w:rPr>
                          <w:rFonts w:hint="eastAsia" w:ascii="宋体" w:hAnsi="宋体"/>
                          <w:sz w:val="24"/>
                        </w:rPr>
                        <w:t>复印件粘贴处</w:t>
                      </w:r>
                    </w:p>
                  </w:txbxContent>
                </v:textbox>
              </v:shape>
            </w:pict>
          </mc:Fallback>
        </mc:AlternateContent>
      </w:r>
    </w:p>
    <w:p>
      <w:pPr>
        <w:spacing w:line="288" w:lineRule="auto"/>
        <w:rPr>
          <w:rFonts w:hint="eastAsia" w:ascii="宋体" w:hAnsi="宋体" w:eastAsia="宋体" w:cs="宋体"/>
          <w:color w:val="auto"/>
          <w:spacing w:val="-6"/>
          <w:sz w:val="24"/>
          <w:szCs w:val="24"/>
          <w:highlight w:val="none"/>
        </w:rPr>
      </w:pPr>
    </w:p>
    <w:p>
      <w:pPr>
        <w:spacing w:line="288" w:lineRule="auto"/>
        <w:rPr>
          <w:rFonts w:hint="eastAsia" w:ascii="宋体" w:hAnsi="宋体" w:eastAsia="宋体" w:cs="宋体"/>
          <w:color w:val="auto"/>
          <w:spacing w:val="-6"/>
          <w:sz w:val="24"/>
          <w:szCs w:val="24"/>
          <w:highlight w:val="none"/>
        </w:rPr>
      </w:pPr>
    </w:p>
    <w:p>
      <w:pPr>
        <w:spacing w:line="288" w:lineRule="auto"/>
        <w:rPr>
          <w:rFonts w:hint="eastAsia" w:ascii="宋体" w:hAnsi="宋体" w:eastAsia="宋体" w:cs="宋体"/>
          <w:color w:val="auto"/>
          <w:spacing w:val="-6"/>
          <w:sz w:val="24"/>
          <w:szCs w:val="24"/>
          <w:highlight w:val="none"/>
        </w:rPr>
      </w:pPr>
    </w:p>
    <w:p>
      <w:pPr>
        <w:spacing w:line="288" w:lineRule="auto"/>
        <w:rPr>
          <w:rFonts w:hint="eastAsia" w:ascii="宋体" w:hAnsi="宋体" w:eastAsia="宋体" w:cs="宋体"/>
          <w:color w:val="auto"/>
          <w:spacing w:val="-6"/>
          <w:sz w:val="24"/>
          <w:szCs w:val="24"/>
          <w:highlight w:val="none"/>
        </w:rPr>
      </w:pPr>
    </w:p>
    <w:p>
      <w:pPr>
        <w:spacing w:line="288" w:lineRule="auto"/>
        <w:rPr>
          <w:rFonts w:hint="eastAsia" w:ascii="宋体" w:hAnsi="宋体" w:eastAsia="宋体" w:cs="宋体"/>
          <w:color w:val="auto"/>
          <w:spacing w:val="-6"/>
          <w:sz w:val="24"/>
          <w:szCs w:val="24"/>
          <w:highlight w:val="none"/>
        </w:rPr>
      </w:pPr>
    </w:p>
    <w:p>
      <w:pPr>
        <w:spacing w:line="288" w:lineRule="auto"/>
        <w:rPr>
          <w:rFonts w:hint="eastAsia" w:ascii="宋体" w:hAnsi="宋体" w:eastAsia="宋体" w:cs="宋体"/>
          <w:color w:val="auto"/>
          <w:spacing w:val="-6"/>
          <w:sz w:val="24"/>
          <w:szCs w:val="24"/>
          <w:highlight w:val="none"/>
        </w:rPr>
      </w:pPr>
    </w:p>
    <w:p>
      <w:pPr>
        <w:spacing w:line="288" w:lineRule="auto"/>
        <w:rPr>
          <w:rFonts w:hint="eastAsia" w:ascii="宋体" w:hAnsi="宋体" w:eastAsia="宋体" w:cs="宋体"/>
          <w:color w:val="auto"/>
          <w:spacing w:val="-6"/>
          <w:sz w:val="24"/>
          <w:szCs w:val="24"/>
          <w:highlight w:val="none"/>
        </w:rPr>
      </w:pPr>
    </w:p>
    <w:p>
      <w:pPr>
        <w:spacing w:line="288" w:lineRule="auto"/>
        <w:rPr>
          <w:rFonts w:hint="eastAsia" w:ascii="宋体" w:hAnsi="宋体" w:eastAsia="宋体" w:cs="宋体"/>
          <w:color w:val="auto"/>
          <w:spacing w:val="-6"/>
          <w:sz w:val="24"/>
          <w:szCs w:val="24"/>
          <w:highlight w:val="none"/>
        </w:rPr>
      </w:pPr>
    </w:p>
    <w:p>
      <w:pPr>
        <w:spacing w:line="360" w:lineRule="auto"/>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法定代表人授权书</w:t>
      </w:r>
    </w:p>
    <w:p>
      <w:pPr>
        <w:spacing w:line="360" w:lineRule="auto"/>
        <w:ind w:firstLine="240" w:firstLineChars="100"/>
        <w:rPr>
          <w:rFonts w:hint="eastAsia" w:ascii="宋体" w:hAnsi="宋体" w:eastAsia="宋体" w:cs="宋体"/>
          <w:color w:val="auto"/>
          <w:sz w:val="24"/>
          <w:szCs w:val="24"/>
          <w:highlight w:val="none"/>
        </w:rPr>
      </w:pPr>
    </w:p>
    <w:p>
      <w:pPr>
        <w:pStyle w:val="14"/>
        <w:spacing w:after="0"/>
        <w:ind w:left="1470" w:right="0" w:rightChars="0"/>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spacing w:line="400" w:lineRule="exact"/>
        <w:rPr>
          <w:rFonts w:hint="eastAsia" w:ascii="宋体" w:hAnsi="宋体" w:eastAsia="宋体" w:cs="宋体"/>
          <w:b/>
          <w:bCs/>
          <w:color w:val="auto"/>
          <w:sz w:val="28"/>
          <w:szCs w:val="28"/>
          <w:highlight w:val="none"/>
        </w:rPr>
      </w:pPr>
      <w:r>
        <w:rPr>
          <w:rFonts w:hint="eastAsia" w:ascii="宋体" w:hAnsi="宋体" w:eastAsia="宋体" w:cs="宋体"/>
          <w:b/>
          <w:color w:val="auto"/>
          <w:sz w:val="24"/>
          <w:szCs w:val="24"/>
          <w:highlight w:val="none"/>
        </w:rPr>
        <w:t>附件8</w:t>
      </w:r>
    </w:p>
    <w:p>
      <w:pPr>
        <w:snapToGrid w:val="0"/>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8"/>
          <w:szCs w:val="28"/>
          <w:highlight w:val="none"/>
        </w:rPr>
        <w:t>投标声明书</w:t>
      </w: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温州肯恩大学、浙江乐诚工程咨询有限公司</w:t>
      </w:r>
      <w:r>
        <w:rPr>
          <w:rFonts w:hint="eastAsia" w:ascii="宋体" w:hAnsi="宋体" w:eastAsia="宋体" w:cs="宋体"/>
          <w:color w:val="auto"/>
          <w:sz w:val="24"/>
          <w:szCs w:val="24"/>
          <w:highlight w:val="none"/>
        </w:rPr>
        <w:t>：</w:t>
      </w:r>
    </w:p>
    <w:p>
      <w:pPr>
        <w:snapToGrid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系中华人民共和国合法企业，经营地址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400" w:lineRule="exact"/>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的法定代表人，我方愿意参加贵方组织的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）的投标，为便于贵方公正、择优地确定中标人及其服务，我方就本次投标有关事项郑重声明如下：</w:t>
      </w:r>
    </w:p>
    <w:p>
      <w:pPr>
        <w:spacing w:line="40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1.我方向贵方提交的所有投标文件、资料都是准确的和真实的；</w:t>
      </w:r>
    </w:p>
    <w:p>
      <w:pPr>
        <w:spacing w:line="400" w:lineRule="exact"/>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2.我方不是采购人的附属机构；在获知本项目采购信息后，与采购人聘请的为此项目提供咨询服务的公司及其附属机构没有任何联系；</w:t>
      </w:r>
    </w:p>
    <w:p>
      <w:pPr>
        <w:spacing w:line="400" w:lineRule="exact"/>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3.我方在参加政府采购活动前3年内：</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pacing w:val="-6"/>
          <w:sz w:val="24"/>
          <w:szCs w:val="24"/>
          <w:highlight w:val="none"/>
        </w:rPr>
        <w:t>（填写“有”或“没有”，如实填写，如不填写视同未按要求填写）</w:t>
      </w:r>
      <w:r>
        <w:rPr>
          <w:rFonts w:hint="eastAsia" w:ascii="宋体" w:hAnsi="宋体" w:eastAsia="宋体" w:cs="宋体"/>
          <w:color w:val="auto"/>
          <w:spacing w:val="-6"/>
          <w:sz w:val="24"/>
          <w:szCs w:val="24"/>
          <w:highlight w:val="none"/>
        </w:rPr>
        <w:t>因违法经营被禁止在一定期限内参加政府采购活动，且期限未满的情形；</w:t>
      </w:r>
    </w:p>
    <w:p>
      <w:pPr>
        <w:spacing w:line="400" w:lineRule="exact"/>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4.以上事项如有虚假或隐瞒，我方愿意承担一切后果和责任。</w:t>
      </w:r>
    </w:p>
    <w:p>
      <w:pPr>
        <w:pStyle w:val="13"/>
        <w:tabs>
          <w:tab w:val="left" w:pos="939"/>
        </w:tabs>
        <w:snapToGrid w:val="0"/>
        <w:spacing w:line="400" w:lineRule="exact"/>
        <w:ind w:left="458" w:leftChars="0" w:hanging="458" w:hangingChars="191"/>
        <w:rPr>
          <w:rFonts w:hint="eastAsia" w:ascii="宋体" w:hAnsi="宋体" w:eastAsia="宋体" w:cs="宋体"/>
          <w:color w:val="auto"/>
          <w:sz w:val="24"/>
          <w:szCs w:val="24"/>
          <w:highlight w:val="none"/>
        </w:rPr>
      </w:pPr>
    </w:p>
    <w:p>
      <w:pPr>
        <w:pStyle w:val="54"/>
        <w:snapToGrid w:val="0"/>
        <w:spacing w:line="400" w:lineRule="exact"/>
        <w:ind w:firstLine="200"/>
        <w:rPr>
          <w:rFonts w:hint="eastAsia" w:ascii="宋体" w:hAnsi="宋体" w:eastAsia="宋体" w:cs="宋体"/>
          <w:color w:val="auto"/>
          <w:highlight w:val="none"/>
        </w:rPr>
      </w:pPr>
    </w:p>
    <w:p>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w:t>
      </w:r>
    </w:p>
    <w:p>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pPr>
        <w:spacing w:line="400" w:lineRule="exact"/>
        <w:ind w:firstLine="435"/>
        <w:jc w:val="center"/>
        <w:rPr>
          <w:rFonts w:hint="eastAsia" w:ascii="宋体" w:hAnsi="宋体" w:eastAsia="宋体" w:cs="宋体"/>
          <w:b/>
          <w:color w:val="auto"/>
          <w:spacing w:val="-6"/>
          <w:sz w:val="24"/>
          <w:highlight w:val="none"/>
        </w:rPr>
      </w:pPr>
    </w:p>
    <w:p>
      <w:pPr>
        <w:pStyle w:val="14"/>
        <w:spacing w:after="0" w:line="400" w:lineRule="exact"/>
        <w:ind w:left="0" w:leftChars="0" w:right="0" w:rightChars="0"/>
        <w:rPr>
          <w:rFonts w:hint="eastAsia" w:ascii="宋体" w:hAnsi="宋体" w:eastAsia="宋体" w:cs="宋体"/>
          <w:color w:val="auto"/>
          <w:highlight w:val="none"/>
        </w:rPr>
      </w:pPr>
    </w:p>
    <w:p>
      <w:pPr>
        <w:spacing w:line="400" w:lineRule="exact"/>
        <w:ind w:firstLine="435"/>
        <w:jc w:val="center"/>
        <w:rPr>
          <w:rFonts w:hint="eastAsia" w:ascii="宋体" w:hAnsi="宋体" w:eastAsia="宋体" w:cs="宋体"/>
          <w:b/>
          <w:color w:val="auto"/>
          <w:spacing w:val="-6"/>
          <w:sz w:val="24"/>
          <w:highlight w:val="none"/>
        </w:rPr>
      </w:pPr>
    </w:p>
    <w:p>
      <w:pPr>
        <w:spacing w:line="400" w:lineRule="exact"/>
        <w:ind w:firstLine="435"/>
        <w:jc w:val="center"/>
        <w:rPr>
          <w:rFonts w:hint="eastAsia" w:ascii="宋体" w:hAnsi="宋体" w:eastAsia="宋体" w:cs="宋体"/>
          <w:b/>
          <w:color w:val="auto"/>
          <w:spacing w:val="-6"/>
          <w:sz w:val="24"/>
          <w:highlight w:val="none"/>
        </w:rPr>
      </w:pPr>
    </w:p>
    <w:p>
      <w:pPr>
        <w:spacing w:line="400" w:lineRule="exact"/>
        <w:ind w:firstLine="435"/>
        <w:jc w:val="center"/>
        <w:rPr>
          <w:rFonts w:hint="eastAsia" w:ascii="宋体" w:hAnsi="宋体" w:eastAsia="宋体" w:cs="宋体"/>
          <w:b/>
          <w:color w:val="auto"/>
          <w:spacing w:val="-6"/>
          <w:sz w:val="24"/>
          <w:highlight w:val="none"/>
        </w:rPr>
      </w:pPr>
    </w:p>
    <w:p>
      <w:pPr>
        <w:spacing w:line="400" w:lineRule="exact"/>
        <w:ind w:firstLine="435"/>
        <w:jc w:val="center"/>
        <w:rPr>
          <w:rFonts w:hint="eastAsia" w:ascii="宋体" w:hAnsi="宋体" w:eastAsia="宋体" w:cs="宋体"/>
          <w:b/>
          <w:color w:val="auto"/>
          <w:spacing w:val="-6"/>
          <w:sz w:val="24"/>
          <w:highlight w:val="none"/>
        </w:rPr>
      </w:pPr>
    </w:p>
    <w:p>
      <w:pPr>
        <w:spacing w:line="400" w:lineRule="exact"/>
        <w:ind w:firstLine="435"/>
        <w:jc w:val="center"/>
        <w:rPr>
          <w:rFonts w:hint="eastAsia" w:ascii="宋体" w:hAnsi="宋体" w:eastAsia="宋体" w:cs="宋体"/>
          <w:b/>
          <w:color w:val="auto"/>
          <w:spacing w:val="-6"/>
          <w:sz w:val="24"/>
          <w:highlight w:val="none"/>
        </w:rPr>
      </w:pPr>
    </w:p>
    <w:p>
      <w:pPr>
        <w:spacing w:line="400" w:lineRule="exact"/>
        <w:ind w:firstLine="435"/>
        <w:jc w:val="center"/>
        <w:rPr>
          <w:rFonts w:hint="eastAsia" w:ascii="宋体" w:hAnsi="宋体" w:eastAsia="宋体" w:cs="宋体"/>
          <w:b/>
          <w:color w:val="auto"/>
          <w:spacing w:val="-6"/>
          <w:sz w:val="24"/>
          <w:highlight w:val="none"/>
        </w:rPr>
      </w:pPr>
    </w:p>
    <w:p>
      <w:pPr>
        <w:spacing w:line="400" w:lineRule="exact"/>
        <w:ind w:firstLine="435"/>
        <w:jc w:val="center"/>
        <w:rPr>
          <w:rFonts w:hint="eastAsia" w:ascii="宋体" w:hAnsi="宋体" w:eastAsia="宋体" w:cs="宋体"/>
          <w:b/>
          <w:color w:val="auto"/>
          <w:spacing w:val="-6"/>
          <w:sz w:val="24"/>
          <w:highlight w:val="none"/>
        </w:rPr>
      </w:pPr>
    </w:p>
    <w:p>
      <w:pPr>
        <w:spacing w:line="400" w:lineRule="exact"/>
        <w:ind w:firstLine="435"/>
        <w:jc w:val="center"/>
        <w:rPr>
          <w:rFonts w:hint="eastAsia" w:ascii="宋体" w:hAnsi="宋体" w:eastAsia="宋体" w:cs="宋体"/>
          <w:b/>
          <w:color w:val="auto"/>
          <w:spacing w:val="-6"/>
          <w:sz w:val="24"/>
          <w:highlight w:val="none"/>
        </w:rPr>
      </w:pPr>
    </w:p>
    <w:p>
      <w:pPr>
        <w:spacing w:line="400" w:lineRule="exact"/>
        <w:ind w:firstLine="435"/>
        <w:jc w:val="center"/>
        <w:rPr>
          <w:rFonts w:hint="eastAsia" w:ascii="宋体" w:hAnsi="宋体" w:eastAsia="宋体" w:cs="宋体"/>
          <w:b/>
          <w:color w:val="auto"/>
          <w:spacing w:val="-6"/>
          <w:sz w:val="24"/>
          <w:highlight w:val="none"/>
        </w:rPr>
      </w:pPr>
    </w:p>
    <w:p>
      <w:pPr>
        <w:pStyle w:val="14"/>
        <w:ind w:left="1470" w:right="1470"/>
        <w:rPr>
          <w:rFonts w:hint="eastAsia" w:ascii="宋体" w:hAnsi="宋体" w:eastAsia="宋体" w:cs="宋体"/>
          <w:b/>
          <w:color w:val="auto"/>
          <w:spacing w:val="-6"/>
          <w:sz w:val="24"/>
          <w:highlight w:val="none"/>
        </w:rPr>
      </w:pPr>
    </w:p>
    <w:p>
      <w:pPr>
        <w:pStyle w:val="14"/>
        <w:ind w:left="1470" w:right="1470"/>
        <w:rPr>
          <w:rFonts w:hint="eastAsia" w:ascii="宋体" w:hAnsi="宋体" w:eastAsia="宋体" w:cs="宋体"/>
          <w:b/>
          <w:color w:val="auto"/>
          <w:spacing w:val="-6"/>
          <w:sz w:val="24"/>
          <w:highlight w:val="none"/>
        </w:rPr>
      </w:pPr>
    </w:p>
    <w:p>
      <w:pPr>
        <w:spacing w:line="400" w:lineRule="exact"/>
        <w:rPr>
          <w:rFonts w:hint="eastAsia" w:ascii="宋体" w:hAnsi="宋体" w:eastAsia="宋体" w:cs="宋体"/>
          <w:b/>
          <w:color w:val="auto"/>
          <w:sz w:val="32"/>
          <w:highlight w:val="none"/>
        </w:rPr>
      </w:pPr>
    </w:p>
    <w:p>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z w:val="24"/>
          <w:szCs w:val="24"/>
          <w:highlight w:val="none"/>
        </w:rPr>
        <w:t>附件9</w:t>
      </w:r>
    </w:p>
    <w:p>
      <w:pPr>
        <w:spacing w:line="400" w:lineRule="exact"/>
        <w:ind w:firstLine="435"/>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投标人基本情况表</w:t>
      </w:r>
    </w:p>
    <w:tbl>
      <w:tblPr>
        <w:tblStyle w:val="27"/>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w:t>
            </w:r>
          </w:p>
        </w:tc>
        <w:tc>
          <w:tcPr>
            <w:tcW w:w="8490" w:type="dxa"/>
            <w:gridSpan w:val="3"/>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w:t>
            </w:r>
          </w:p>
        </w:tc>
        <w:tc>
          <w:tcPr>
            <w:tcW w:w="8490" w:type="dxa"/>
            <w:gridSpan w:val="3"/>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3</w:t>
            </w:r>
          </w:p>
        </w:tc>
        <w:tc>
          <w:tcPr>
            <w:tcW w:w="8490" w:type="dxa"/>
            <w:gridSpan w:val="3"/>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4</w:t>
            </w:r>
          </w:p>
        </w:tc>
        <w:tc>
          <w:tcPr>
            <w:tcW w:w="4305" w:type="dxa"/>
            <w:gridSpan w:val="2"/>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电话：</w:t>
            </w:r>
          </w:p>
        </w:tc>
        <w:tc>
          <w:tcPr>
            <w:tcW w:w="4185" w:type="dxa"/>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5</w:t>
            </w:r>
          </w:p>
        </w:tc>
        <w:tc>
          <w:tcPr>
            <w:tcW w:w="4305" w:type="dxa"/>
            <w:gridSpan w:val="2"/>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传真：</w:t>
            </w:r>
          </w:p>
        </w:tc>
        <w:tc>
          <w:tcPr>
            <w:tcW w:w="4185" w:type="dxa"/>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6</w:t>
            </w:r>
          </w:p>
        </w:tc>
        <w:tc>
          <w:tcPr>
            <w:tcW w:w="4305" w:type="dxa"/>
            <w:gridSpan w:val="2"/>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注册地：</w:t>
            </w:r>
          </w:p>
        </w:tc>
        <w:tc>
          <w:tcPr>
            <w:tcW w:w="4185" w:type="dxa"/>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7</w:t>
            </w:r>
          </w:p>
        </w:tc>
        <w:tc>
          <w:tcPr>
            <w:tcW w:w="8490" w:type="dxa"/>
            <w:gridSpan w:val="3"/>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8</w:t>
            </w:r>
          </w:p>
        </w:tc>
        <w:tc>
          <w:tcPr>
            <w:tcW w:w="8490" w:type="dxa"/>
            <w:gridSpan w:val="3"/>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9</w:t>
            </w:r>
          </w:p>
        </w:tc>
        <w:tc>
          <w:tcPr>
            <w:tcW w:w="2520" w:type="dxa"/>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作为承包人经历年数</w:t>
            </w:r>
          </w:p>
        </w:tc>
        <w:tc>
          <w:tcPr>
            <w:tcW w:w="5970" w:type="dxa"/>
            <w:gridSpan w:val="2"/>
            <w:vAlign w:val="center"/>
          </w:tcPr>
          <w:p>
            <w:pPr>
              <w:spacing w:line="400" w:lineRule="exact"/>
              <w:rPr>
                <w:rFonts w:hint="eastAsia" w:ascii="宋体" w:hAnsi="宋体" w:eastAsia="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10</w:t>
            </w:r>
          </w:p>
        </w:tc>
        <w:tc>
          <w:tcPr>
            <w:tcW w:w="2520" w:type="dxa"/>
            <w:vAlign w:val="center"/>
          </w:tcPr>
          <w:p>
            <w:pPr>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其他需要说明的情况</w:t>
            </w:r>
          </w:p>
        </w:tc>
        <w:tc>
          <w:tcPr>
            <w:tcW w:w="5970" w:type="dxa"/>
            <w:gridSpan w:val="2"/>
            <w:vAlign w:val="center"/>
          </w:tcPr>
          <w:p>
            <w:pPr>
              <w:spacing w:line="400" w:lineRule="exact"/>
              <w:rPr>
                <w:rFonts w:hint="eastAsia" w:ascii="宋体" w:hAnsi="宋体" w:eastAsia="宋体" w:cs="宋体"/>
                <w:color w:val="auto"/>
                <w:spacing w:val="-6"/>
                <w:sz w:val="24"/>
                <w:highlight w:val="none"/>
              </w:rPr>
            </w:pPr>
          </w:p>
        </w:tc>
      </w:tr>
    </w:tbl>
    <w:p>
      <w:pPr>
        <w:spacing w:line="400" w:lineRule="exact"/>
        <w:rPr>
          <w:rFonts w:hint="eastAsia" w:ascii="宋体" w:hAnsi="宋体" w:eastAsia="宋体" w:cs="宋体"/>
          <w:color w:val="auto"/>
          <w:spacing w:val="-6"/>
          <w:sz w:val="24"/>
          <w:highlight w:val="none"/>
        </w:rPr>
      </w:pPr>
    </w:p>
    <w:p>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说明：所有投标人都须填写此表，此表可根据实际情况自行调整。</w:t>
      </w:r>
    </w:p>
    <w:p>
      <w:pPr>
        <w:spacing w:line="400" w:lineRule="exact"/>
        <w:rPr>
          <w:rFonts w:hint="eastAsia" w:ascii="宋体" w:hAnsi="宋体" w:eastAsia="宋体" w:cs="宋体"/>
          <w:color w:val="auto"/>
          <w:spacing w:val="-6"/>
          <w:sz w:val="24"/>
          <w:highlight w:val="none"/>
        </w:rPr>
      </w:pPr>
    </w:p>
    <w:p>
      <w:pPr>
        <w:spacing w:line="400" w:lineRule="exact"/>
        <w:rPr>
          <w:rFonts w:hint="eastAsia" w:ascii="宋体" w:hAnsi="宋体" w:eastAsia="宋体" w:cs="宋体"/>
          <w:color w:val="auto"/>
          <w:spacing w:val="-6"/>
          <w:sz w:val="24"/>
          <w:highlight w:val="none"/>
        </w:rPr>
      </w:pPr>
    </w:p>
    <w:p>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w:t>
      </w:r>
    </w:p>
    <w:p>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pPr>
        <w:spacing w:line="400" w:lineRule="exact"/>
        <w:jc w:val="center"/>
        <w:rPr>
          <w:rFonts w:hint="eastAsia" w:ascii="宋体" w:hAnsi="宋体" w:eastAsia="宋体" w:cs="宋体"/>
          <w:color w:val="auto"/>
          <w:sz w:val="24"/>
          <w:szCs w:val="24"/>
          <w:highlight w:val="none"/>
        </w:rPr>
      </w:pPr>
    </w:p>
    <w:p>
      <w:pPr>
        <w:spacing w:line="400" w:lineRule="exact"/>
        <w:jc w:val="center"/>
        <w:rPr>
          <w:rFonts w:hint="eastAsia" w:ascii="宋体" w:hAnsi="宋体" w:eastAsia="宋体" w:cs="宋体"/>
          <w:color w:val="auto"/>
          <w:sz w:val="24"/>
          <w:szCs w:val="24"/>
          <w:highlight w:val="none"/>
        </w:rPr>
      </w:pPr>
    </w:p>
    <w:p>
      <w:pPr>
        <w:spacing w:line="400" w:lineRule="exact"/>
        <w:jc w:val="center"/>
        <w:rPr>
          <w:rFonts w:hint="eastAsia" w:ascii="宋体" w:hAnsi="宋体" w:eastAsia="宋体" w:cs="宋体"/>
          <w:color w:val="auto"/>
          <w:sz w:val="24"/>
          <w:szCs w:val="24"/>
          <w:highlight w:val="none"/>
        </w:rPr>
      </w:pPr>
    </w:p>
    <w:p>
      <w:pPr>
        <w:spacing w:line="400" w:lineRule="exact"/>
        <w:jc w:val="center"/>
        <w:rPr>
          <w:rFonts w:hint="eastAsia" w:ascii="宋体" w:hAnsi="宋体" w:eastAsia="宋体" w:cs="宋体"/>
          <w:color w:val="auto"/>
          <w:sz w:val="24"/>
          <w:szCs w:val="24"/>
          <w:highlight w:val="none"/>
        </w:rPr>
      </w:pPr>
    </w:p>
    <w:p>
      <w:pPr>
        <w:spacing w:line="400" w:lineRule="exact"/>
        <w:jc w:val="center"/>
        <w:rPr>
          <w:rFonts w:hint="eastAsia" w:ascii="宋体" w:hAnsi="宋体" w:eastAsia="宋体" w:cs="宋体"/>
          <w:color w:val="auto"/>
          <w:sz w:val="24"/>
          <w:szCs w:val="24"/>
          <w:highlight w:val="none"/>
        </w:rPr>
      </w:pPr>
    </w:p>
    <w:p>
      <w:pPr>
        <w:spacing w:line="400" w:lineRule="exact"/>
        <w:jc w:val="center"/>
        <w:rPr>
          <w:rFonts w:hint="eastAsia" w:ascii="宋体" w:hAnsi="宋体" w:eastAsia="宋体" w:cs="宋体"/>
          <w:color w:val="auto"/>
          <w:sz w:val="24"/>
          <w:szCs w:val="24"/>
          <w:highlight w:val="none"/>
        </w:rPr>
      </w:pPr>
    </w:p>
    <w:p>
      <w:pPr>
        <w:spacing w:line="400" w:lineRule="exact"/>
        <w:jc w:val="center"/>
        <w:rPr>
          <w:rFonts w:hint="eastAsia" w:ascii="宋体" w:hAnsi="宋体" w:eastAsia="宋体" w:cs="宋体"/>
          <w:color w:val="auto"/>
          <w:sz w:val="24"/>
          <w:szCs w:val="24"/>
          <w:highlight w:val="none"/>
        </w:rPr>
      </w:pPr>
    </w:p>
    <w:p>
      <w:pPr>
        <w:spacing w:line="400" w:lineRule="exact"/>
        <w:jc w:val="center"/>
        <w:rPr>
          <w:rFonts w:hint="eastAsia" w:ascii="宋体" w:hAnsi="宋体" w:eastAsia="宋体" w:cs="宋体"/>
          <w:color w:val="auto"/>
          <w:sz w:val="24"/>
          <w:szCs w:val="24"/>
          <w:highlight w:val="none"/>
        </w:rPr>
      </w:pPr>
    </w:p>
    <w:p>
      <w:pPr>
        <w:pStyle w:val="14"/>
        <w:spacing w:after="0" w:line="400" w:lineRule="exact"/>
        <w:ind w:left="0" w:leftChars="0" w:right="0" w:rightChars="0"/>
        <w:rPr>
          <w:rFonts w:hint="eastAsia" w:ascii="宋体" w:hAnsi="宋体" w:eastAsia="宋体" w:cs="宋体"/>
          <w:color w:val="auto"/>
          <w:highlight w:val="none"/>
        </w:rPr>
      </w:pPr>
    </w:p>
    <w:p>
      <w:pPr>
        <w:spacing w:line="400" w:lineRule="exact"/>
        <w:rPr>
          <w:rFonts w:hint="eastAsia" w:ascii="宋体" w:hAnsi="宋体" w:eastAsia="宋体" w:cs="宋体"/>
          <w:color w:val="auto"/>
          <w:sz w:val="24"/>
          <w:szCs w:val="24"/>
          <w:highlight w:val="none"/>
        </w:rPr>
      </w:pPr>
    </w:p>
    <w:p>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附件10</w:t>
      </w:r>
    </w:p>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节能、环保产品证明材料（如有）</w:t>
      </w:r>
    </w:p>
    <w:p>
      <w:pPr>
        <w:spacing w:line="360" w:lineRule="exac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pPr>
        <w:spacing w:line="360" w:lineRule="exac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市场监管总局关于调整优化节能产品、环境标志产品政府采购执行机制的通知财库〔2019〕9号文件要求，投标人所投产品如属于节能产品政府采购品目清单或环境标志产品政府采购品目清单内的（详见：</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"http://www.ccgp.gov.cn/zcfg/mof/201903/t20190330_11833800.htm" \t "http://www.ccgp.gov.cn/jnhb/jnhbqd/_blank" \o "关于印发环境标志产品政府采购品目清单的通知（财库〔2019〕18号）"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2"/>
          <w:highlight w:val="none"/>
        </w:rPr>
        <w:t>关于印发环境标志产品政府采购品目清单的通知（财库〔2019〕18号）</w:t>
      </w:r>
      <w:r>
        <w:rPr>
          <w:rFonts w:hint="eastAsia" w:ascii="宋体" w:hAnsi="宋体" w:eastAsia="宋体" w:cs="宋体"/>
          <w:b/>
          <w:color w:val="auto"/>
          <w:sz w:val="22"/>
          <w:highlight w:val="none"/>
        </w:rPr>
        <w:fldChar w:fldCharType="end"/>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"http://www.ccgp.gov.cn/zcfg/mof/201903/t20190330_11833800.htm"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2"/>
          <w:highlight w:val="none"/>
        </w:rPr>
        <w:t>http://www.ccgp.gov.cn/zcfg/mof/201903/t20190330_11833800.htm</w:t>
      </w:r>
      <w:r>
        <w:rPr>
          <w:rFonts w:hint="eastAsia" w:ascii="宋体" w:hAnsi="宋体" w:eastAsia="宋体" w:cs="宋体"/>
          <w:b/>
          <w:color w:val="auto"/>
          <w:sz w:val="22"/>
          <w:highlight w:val="none"/>
        </w:rPr>
        <w:fldChar w:fldCharType="end"/>
      </w:r>
      <w:r>
        <w:rPr>
          <w:rFonts w:hint="eastAsia" w:ascii="宋体" w:hAnsi="宋体" w:eastAsia="宋体" w:cs="宋体"/>
          <w:b/>
          <w:color w:val="auto"/>
          <w:sz w:val="22"/>
          <w:highlight w:val="none"/>
        </w:rPr>
        <w:t>和</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"http://www.ccgp.gov.cn/zcfg/mof/201904/t20190403_11849836.htm" \t "http://www.ccgp.gov.cn/jnhb/jnhbqd/_blank" \o "关于印发节能产品政府采购品目清单的通知（财库〔2019〕19号）"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2"/>
          <w:highlight w:val="none"/>
        </w:rPr>
        <w:t>关于印发节能产品政府采购品目清单的通知（财库〔2019〕19号）</w:t>
      </w:r>
      <w:r>
        <w:rPr>
          <w:rFonts w:hint="eastAsia" w:ascii="宋体" w:hAnsi="宋体" w:eastAsia="宋体" w:cs="宋体"/>
          <w:b/>
          <w:color w:val="auto"/>
          <w:sz w:val="22"/>
          <w:highlight w:val="none"/>
        </w:rPr>
        <w:fldChar w:fldCharType="end"/>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"http://www.ccgp.gov.cn/zcfg/mof/201904/t20190403_11849836.htm"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2"/>
          <w:highlight w:val="none"/>
        </w:rPr>
        <w:t>http://www.ccgp.gov.cn/zcfg/mof/201904/t20190403_11849836.htm</w:t>
      </w:r>
      <w:r>
        <w:rPr>
          <w:rFonts w:hint="eastAsia" w:ascii="宋体" w:hAnsi="宋体" w:eastAsia="宋体" w:cs="宋体"/>
          <w:b/>
          <w:color w:val="auto"/>
          <w:sz w:val="22"/>
          <w:highlight w:val="none"/>
        </w:rPr>
        <w:fldChar w:fldCharType="end"/>
      </w:r>
      <w:r>
        <w:rPr>
          <w:rFonts w:hint="eastAsia" w:ascii="宋体" w:hAnsi="宋体" w:eastAsia="宋体" w:cs="宋体"/>
          <w:b/>
          <w:color w:val="auto"/>
          <w:sz w:val="22"/>
          <w:highlight w:val="none"/>
        </w:rPr>
        <w:t>），投标人提供投标产品经国家确定的认证机构（市场监管总局关于发布参与实施政府采购节能产品、环境标志产品认证机构名录的公告（2019年第16号）http://www.ccgp.gov.cn/zcfg/bwfile/201904/t20190403_11853998.htm）出具的处于有效期之内的节能产品、环境标志产品认证证书”或“投标产品在‘中国政府采购网’上节能产品或环境标志产品查询截图”；</w:t>
      </w:r>
    </w:p>
    <w:p>
      <w:pPr>
        <w:spacing w:line="360" w:lineRule="exact"/>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▲注：采购需求中要求提供的产品属于节能产品政府采购品目清单中强制采购的，投标人须提供该清单内产品，并按上款要求提供节能产品认证证书或规定网站证书查询截图，否则其投标无效。</w:t>
      </w:r>
    </w:p>
    <w:p>
      <w:pPr>
        <w:spacing w:line="360" w:lineRule="exac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2、评审小组成员审查此项只根据投标文件本身的内容，不再寻求其他的外部证据。</w:t>
      </w:r>
    </w:p>
    <w:p>
      <w:pPr>
        <w:spacing w:line="400" w:lineRule="exact"/>
        <w:jc w:val="center"/>
        <w:rPr>
          <w:rFonts w:hint="eastAsia" w:ascii="宋体" w:hAnsi="宋体" w:eastAsia="宋体" w:cs="宋体"/>
          <w:b/>
          <w:color w:val="auto"/>
          <w:sz w:val="24"/>
          <w:szCs w:val="24"/>
          <w:highlight w:val="none"/>
        </w:rPr>
      </w:pPr>
    </w:p>
    <w:p>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w:t>
      </w:r>
    </w:p>
    <w:p>
      <w:pPr>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（1）投标产品中节能产品明细清单</w:t>
      </w:r>
    </w:p>
    <w:tbl>
      <w:tblPr>
        <w:tblStyle w:val="27"/>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41"/>
        <w:gridCol w:w="1342"/>
        <w:gridCol w:w="1342"/>
        <w:gridCol w:w="1342"/>
        <w:gridCol w:w="1920"/>
        <w:gridCol w:w="764"/>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品牌</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产品名称、规格型号</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节能产品认证证书编号</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节能产品认证证书有效截止日期</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产品所在节能产品政府采购品目清单品目序号</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认证机构</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r>
    </w:tbl>
    <w:p>
      <w:pPr>
        <w:rPr>
          <w:rFonts w:hint="eastAsia" w:ascii="宋体" w:hAnsi="宋体" w:eastAsia="宋体" w:cs="宋体"/>
          <w:color w:val="auto"/>
          <w:sz w:val="22"/>
          <w:highlight w:val="none"/>
        </w:rPr>
      </w:pPr>
    </w:p>
    <w:p>
      <w:pPr>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（2）投标产品中环保产品明细清单</w:t>
      </w:r>
    </w:p>
    <w:tbl>
      <w:tblPr>
        <w:tblStyle w:val="27"/>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916"/>
        <w:gridCol w:w="1222"/>
        <w:gridCol w:w="1362"/>
        <w:gridCol w:w="1550"/>
        <w:gridCol w:w="2000"/>
        <w:gridCol w:w="7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w:t>
            </w: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品牌</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产品名称、规格型号</w:t>
            </w:r>
          </w:p>
        </w:tc>
        <w:tc>
          <w:tcPr>
            <w:tcW w:w="13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环境标志产品认证证书编号</w:t>
            </w: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环境标志产品认证证书有效截止日期</w:t>
            </w: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产品所在环境标志产品政府采购品目清单品目序号</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认证机构</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91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91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2"/>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2"/>
                <w:highlight w:val="none"/>
              </w:rPr>
            </w:pPr>
          </w:p>
        </w:tc>
      </w:tr>
    </w:tbl>
    <w:p>
      <w:pPr>
        <w:rPr>
          <w:rFonts w:hint="eastAsia" w:ascii="宋体" w:hAnsi="宋体" w:eastAsia="宋体" w:cs="宋体"/>
          <w:color w:val="auto"/>
          <w:sz w:val="22"/>
          <w:highlight w:val="none"/>
        </w:rPr>
      </w:pPr>
    </w:p>
    <w:p>
      <w:pPr>
        <w:rPr>
          <w:rFonts w:hint="eastAsia" w:ascii="宋体" w:hAnsi="宋体" w:eastAsia="宋体" w:cs="宋体"/>
          <w:b/>
          <w:color w:val="auto"/>
          <w:sz w:val="22"/>
          <w:highlight w:val="none"/>
        </w:rPr>
      </w:pPr>
      <w:r>
        <w:rPr>
          <w:rFonts w:hint="eastAsia" w:ascii="宋体" w:hAnsi="宋体" w:eastAsia="宋体" w:cs="宋体"/>
          <w:color w:val="auto"/>
          <w:sz w:val="22"/>
          <w:highlight w:val="none"/>
        </w:rPr>
        <w:t>备注：节能产品、环境标志产品认证证书或查询截图附后</w:t>
      </w:r>
    </w:p>
    <w:p>
      <w:pPr>
        <w:pStyle w:val="35"/>
        <w:rPr>
          <w:rFonts w:hint="eastAsia" w:ascii="宋体" w:hAnsi="宋体" w:eastAsia="宋体" w:cs="宋体"/>
          <w:b/>
          <w:color w:val="auto"/>
          <w:szCs w:val="24"/>
          <w:highlight w:val="none"/>
        </w:rPr>
      </w:pPr>
    </w:p>
    <w:p>
      <w:pPr>
        <w:pStyle w:val="35"/>
        <w:rPr>
          <w:rFonts w:hint="eastAsia" w:ascii="宋体" w:hAnsi="宋体" w:eastAsia="宋体" w:cs="宋体"/>
          <w:b/>
          <w:color w:val="auto"/>
          <w:szCs w:val="24"/>
          <w:highlight w:val="none"/>
        </w:rPr>
      </w:pPr>
    </w:p>
    <w:p>
      <w:pPr>
        <w:pStyle w:val="35"/>
        <w:rPr>
          <w:rFonts w:hint="eastAsia" w:ascii="宋体" w:hAnsi="宋体" w:eastAsia="宋体" w:cs="宋体"/>
          <w:b/>
          <w:color w:val="auto"/>
          <w:szCs w:val="24"/>
          <w:highlight w:val="none"/>
        </w:rPr>
      </w:pPr>
    </w:p>
    <w:p>
      <w:pPr>
        <w:pStyle w:val="35"/>
        <w:rPr>
          <w:rFonts w:hint="eastAsia" w:ascii="宋体" w:hAnsi="宋体" w:eastAsia="宋体" w:cs="宋体"/>
          <w:b/>
          <w:color w:val="auto"/>
          <w:szCs w:val="24"/>
          <w:highlight w:val="none"/>
        </w:rPr>
      </w:pPr>
    </w:p>
    <w:p>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附件11</w:t>
      </w:r>
    </w:p>
    <w:p>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投标人同类项目业绩一览表（如有）</w:t>
      </w:r>
    </w:p>
    <w:p>
      <w:pPr>
        <w:spacing w:line="400" w:lineRule="exact"/>
        <w:rPr>
          <w:rFonts w:hint="eastAsia" w:ascii="宋体" w:hAnsi="宋体" w:eastAsia="宋体" w:cs="宋体"/>
          <w:b/>
          <w:bCs/>
          <w:color w:val="auto"/>
          <w:sz w:val="24"/>
          <w:szCs w:val="24"/>
          <w:highlight w:val="none"/>
        </w:rPr>
      </w:pPr>
    </w:p>
    <w:p>
      <w:pPr>
        <w:pStyle w:val="14"/>
        <w:spacing w:after="0" w:line="400" w:lineRule="exact"/>
        <w:ind w:left="0" w:leftChars="0" w:right="0" w:rightChars="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 xml:space="preserve">项目名称：                         项目编号：                  </w:t>
      </w:r>
    </w:p>
    <w:tbl>
      <w:tblPr>
        <w:tblStyle w:val="27"/>
        <w:tblW w:w="89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4"/>
        <w:gridCol w:w="1483"/>
        <w:gridCol w:w="1463"/>
        <w:gridCol w:w="1275"/>
        <w:gridCol w:w="1276"/>
        <w:gridCol w:w="25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483" w:type="dxa"/>
            <w:vAlign w:val="center"/>
          </w:tcPr>
          <w:p>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用户名称</w:t>
            </w:r>
          </w:p>
        </w:tc>
        <w:tc>
          <w:tcPr>
            <w:tcW w:w="1463" w:type="dxa"/>
            <w:vAlign w:val="center"/>
          </w:tcPr>
          <w:p>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1275" w:type="dxa"/>
            <w:vAlign w:val="center"/>
          </w:tcPr>
          <w:p>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276" w:type="dxa"/>
            <w:vAlign w:val="center"/>
          </w:tcPr>
          <w:p>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合同金额</w:t>
            </w:r>
          </w:p>
        </w:tc>
        <w:tc>
          <w:tcPr>
            <w:tcW w:w="2535" w:type="dxa"/>
            <w:vAlign w:val="center"/>
          </w:tcPr>
          <w:p>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用户联系方式/手机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hint="eastAsia" w:ascii="宋体" w:hAnsi="宋体" w:eastAsia="宋体" w:cs="宋体"/>
                <w:b/>
                <w:bCs/>
                <w:color w:val="auto"/>
                <w:sz w:val="24"/>
                <w:szCs w:val="24"/>
                <w:highlight w:val="none"/>
              </w:rPr>
            </w:pPr>
          </w:p>
        </w:tc>
        <w:tc>
          <w:tcPr>
            <w:tcW w:w="1483" w:type="dxa"/>
            <w:vAlign w:val="center"/>
          </w:tcPr>
          <w:p>
            <w:pPr>
              <w:spacing w:line="400" w:lineRule="exact"/>
              <w:jc w:val="center"/>
              <w:rPr>
                <w:rFonts w:hint="eastAsia" w:ascii="宋体" w:hAnsi="宋体" w:eastAsia="宋体" w:cs="宋体"/>
                <w:b/>
                <w:bCs/>
                <w:color w:val="auto"/>
                <w:sz w:val="24"/>
                <w:szCs w:val="24"/>
                <w:highlight w:val="none"/>
              </w:rPr>
            </w:pPr>
          </w:p>
        </w:tc>
        <w:tc>
          <w:tcPr>
            <w:tcW w:w="1463" w:type="dxa"/>
            <w:vAlign w:val="center"/>
          </w:tcPr>
          <w:p>
            <w:pPr>
              <w:spacing w:line="400" w:lineRule="exact"/>
              <w:jc w:val="center"/>
              <w:rPr>
                <w:rFonts w:hint="eastAsia" w:ascii="宋体" w:hAnsi="宋体" w:eastAsia="宋体" w:cs="宋体"/>
                <w:b/>
                <w:bCs/>
                <w:color w:val="auto"/>
                <w:sz w:val="24"/>
                <w:szCs w:val="24"/>
                <w:highlight w:val="none"/>
              </w:rPr>
            </w:pPr>
          </w:p>
        </w:tc>
        <w:tc>
          <w:tcPr>
            <w:tcW w:w="1275" w:type="dxa"/>
            <w:vAlign w:val="center"/>
          </w:tcPr>
          <w:p>
            <w:pPr>
              <w:spacing w:line="400" w:lineRule="exact"/>
              <w:jc w:val="center"/>
              <w:rPr>
                <w:rFonts w:hint="eastAsia" w:ascii="宋体" w:hAnsi="宋体" w:eastAsia="宋体" w:cs="宋体"/>
                <w:b/>
                <w:bCs/>
                <w:color w:val="auto"/>
                <w:sz w:val="24"/>
                <w:szCs w:val="24"/>
                <w:highlight w:val="none"/>
              </w:rPr>
            </w:pPr>
          </w:p>
        </w:tc>
        <w:tc>
          <w:tcPr>
            <w:tcW w:w="1276" w:type="dxa"/>
            <w:vAlign w:val="center"/>
          </w:tcPr>
          <w:p>
            <w:pPr>
              <w:spacing w:line="400" w:lineRule="exact"/>
              <w:jc w:val="center"/>
              <w:rPr>
                <w:rFonts w:hint="eastAsia" w:ascii="宋体" w:hAnsi="宋体" w:eastAsia="宋体" w:cs="宋体"/>
                <w:b/>
                <w:bCs/>
                <w:color w:val="auto"/>
                <w:sz w:val="24"/>
                <w:szCs w:val="24"/>
                <w:highlight w:val="none"/>
              </w:rPr>
            </w:pPr>
          </w:p>
        </w:tc>
        <w:tc>
          <w:tcPr>
            <w:tcW w:w="2535"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hint="eastAsia" w:ascii="宋体" w:hAnsi="宋体" w:eastAsia="宋体" w:cs="宋体"/>
                <w:b/>
                <w:bCs/>
                <w:color w:val="auto"/>
                <w:sz w:val="24"/>
                <w:szCs w:val="24"/>
                <w:highlight w:val="none"/>
              </w:rPr>
            </w:pPr>
          </w:p>
        </w:tc>
        <w:tc>
          <w:tcPr>
            <w:tcW w:w="1483" w:type="dxa"/>
            <w:vAlign w:val="center"/>
          </w:tcPr>
          <w:p>
            <w:pPr>
              <w:spacing w:line="400" w:lineRule="exact"/>
              <w:jc w:val="center"/>
              <w:rPr>
                <w:rFonts w:hint="eastAsia" w:ascii="宋体" w:hAnsi="宋体" w:eastAsia="宋体" w:cs="宋体"/>
                <w:b/>
                <w:bCs/>
                <w:color w:val="auto"/>
                <w:sz w:val="24"/>
                <w:szCs w:val="24"/>
                <w:highlight w:val="none"/>
              </w:rPr>
            </w:pPr>
          </w:p>
        </w:tc>
        <w:tc>
          <w:tcPr>
            <w:tcW w:w="1463" w:type="dxa"/>
            <w:vAlign w:val="center"/>
          </w:tcPr>
          <w:p>
            <w:pPr>
              <w:spacing w:line="400" w:lineRule="exact"/>
              <w:jc w:val="center"/>
              <w:rPr>
                <w:rFonts w:hint="eastAsia" w:ascii="宋体" w:hAnsi="宋体" w:eastAsia="宋体" w:cs="宋体"/>
                <w:b/>
                <w:bCs/>
                <w:color w:val="auto"/>
                <w:sz w:val="24"/>
                <w:szCs w:val="24"/>
                <w:highlight w:val="none"/>
              </w:rPr>
            </w:pPr>
          </w:p>
        </w:tc>
        <w:tc>
          <w:tcPr>
            <w:tcW w:w="1275" w:type="dxa"/>
            <w:vAlign w:val="center"/>
          </w:tcPr>
          <w:p>
            <w:pPr>
              <w:spacing w:line="400" w:lineRule="exact"/>
              <w:jc w:val="center"/>
              <w:rPr>
                <w:rFonts w:hint="eastAsia" w:ascii="宋体" w:hAnsi="宋体" w:eastAsia="宋体" w:cs="宋体"/>
                <w:b/>
                <w:bCs/>
                <w:color w:val="auto"/>
                <w:sz w:val="24"/>
                <w:szCs w:val="24"/>
                <w:highlight w:val="none"/>
              </w:rPr>
            </w:pPr>
          </w:p>
        </w:tc>
        <w:tc>
          <w:tcPr>
            <w:tcW w:w="1276" w:type="dxa"/>
            <w:vAlign w:val="center"/>
          </w:tcPr>
          <w:p>
            <w:pPr>
              <w:spacing w:line="400" w:lineRule="exact"/>
              <w:jc w:val="center"/>
              <w:rPr>
                <w:rFonts w:hint="eastAsia" w:ascii="宋体" w:hAnsi="宋体" w:eastAsia="宋体" w:cs="宋体"/>
                <w:b/>
                <w:bCs/>
                <w:color w:val="auto"/>
                <w:sz w:val="24"/>
                <w:szCs w:val="24"/>
                <w:highlight w:val="none"/>
              </w:rPr>
            </w:pPr>
          </w:p>
        </w:tc>
        <w:tc>
          <w:tcPr>
            <w:tcW w:w="2535"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hint="eastAsia" w:ascii="宋体" w:hAnsi="宋体" w:eastAsia="宋体" w:cs="宋体"/>
                <w:b/>
                <w:bCs/>
                <w:color w:val="auto"/>
                <w:sz w:val="24"/>
                <w:szCs w:val="24"/>
                <w:highlight w:val="none"/>
              </w:rPr>
            </w:pPr>
          </w:p>
        </w:tc>
        <w:tc>
          <w:tcPr>
            <w:tcW w:w="1483" w:type="dxa"/>
            <w:vAlign w:val="center"/>
          </w:tcPr>
          <w:p>
            <w:pPr>
              <w:spacing w:line="400" w:lineRule="exact"/>
              <w:jc w:val="center"/>
              <w:rPr>
                <w:rFonts w:hint="eastAsia" w:ascii="宋体" w:hAnsi="宋体" w:eastAsia="宋体" w:cs="宋体"/>
                <w:b/>
                <w:bCs/>
                <w:color w:val="auto"/>
                <w:sz w:val="24"/>
                <w:szCs w:val="24"/>
                <w:highlight w:val="none"/>
              </w:rPr>
            </w:pPr>
          </w:p>
        </w:tc>
        <w:tc>
          <w:tcPr>
            <w:tcW w:w="1463" w:type="dxa"/>
            <w:vAlign w:val="center"/>
          </w:tcPr>
          <w:p>
            <w:pPr>
              <w:spacing w:line="400" w:lineRule="exact"/>
              <w:jc w:val="center"/>
              <w:rPr>
                <w:rFonts w:hint="eastAsia" w:ascii="宋体" w:hAnsi="宋体" w:eastAsia="宋体" w:cs="宋体"/>
                <w:b/>
                <w:bCs/>
                <w:color w:val="auto"/>
                <w:sz w:val="24"/>
                <w:szCs w:val="24"/>
                <w:highlight w:val="none"/>
              </w:rPr>
            </w:pPr>
          </w:p>
        </w:tc>
        <w:tc>
          <w:tcPr>
            <w:tcW w:w="1275" w:type="dxa"/>
            <w:vAlign w:val="center"/>
          </w:tcPr>
          <w:p>
            <w:pPr>
              <w:spacing w:line="400" w:lineRule="exact"/>
              <w:jc w:val="center"/>
              <w:rPr>
                <w:rFonts w:hint="eastAsia" w:ascii="宋体" w:hAnsi="宋体" w:eastAsia="宋体" w:cs="宋体"/>
                <w:b/>
                <w:bCs/>
                <w:color w:val="auto"/>
                <w:sz w:val="24"/>
                <w:szCs w:val="24"/>
                <w:highlight w:val="none"/>
              </w:rPr>
            </w:pPr>
          </w:p>
        </w:tc>
        <w:tc>
          <w:tcPr>
            <w:tcW w:w="1276" w:type="dxa"/>
            <w:vAlign w:val="center"/>
          </w:tcPr>
          <w:p>
            <w:pPr>
              <w:spacing w:line="400" w:lineRule="exact"/>
              <w:jc w:val="center"/>
              <w:rPr>
                <w:rFonts w:hint="eastAsia" w:ascii="宋体" w:hAnsi="宋体" w:eastAsia="宋体" w:cs="宋体"/>
                <w:b/>
                <w:bCs/>
                <w:color w:val="auto"/>
                <w:sz w:val="24"/>
                <w:szCs w:val="24"/>
                <w:highlight w:val="none"/>
              </w:rPr>
            </w:pPr>
          </w:p>
        </w:tc>
        <w:tc>
          <w:tcPr>
            <w:tcW w:w="2535"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hint="eastAsia" w:ascii="宋体" w:hAnsi="宋体" w:eastAsia="宋体" w:cs="宋体"/>
                <w:b/>
                <w:bCs/>
                <w:color w:val="auto"/>
                <w:sz w:val="24"/>
                <w:szCs w:val="24"/>
                <w:highlight w:val="none"/>
              </w:rPr>
            </w:pPr>
          </w:p>
        </w:tc>
        <w:tc>
          <w:tcPr>
            <w:tcW w:w="1483" w:type="dxa"/>
            <w:vAlign w:val="center"/>
          </w:tcPr>
          <w:p>
            <w:pPr>
              <w:spacing w:line="400" w:lineRule="exact"/>
              <w:jc w:val="center"/>
              <w:rPr>
                <w:rFonts w:hint="eastAsia" w:ascii="宋体" w:hAnsi="宋体" w:eastAsia="宋体" w:cs="宋体"/>
                <w:b/>
                <w:bCs/>
                <w:color w:val="auto"/>
                <w:sz w:val="24"/>
                <w:szCs w:val="24"/>
                <w:highlight w:val="none"/>
              </w:rPr>
            </w:pPr>
          </w:p>
        </w:tc>
        <w:tc>
          <w:tcPr>
            <w:tcW w:w="1463" w:type="dxa"/>
            <w:vAlign w:val="center"/>
          </w:tcPr>
          <w:p>
            <w:pPr>
              <w:spacing w:line="400" w:lineRule="exact"/>
              <w:jc w:val="center"/>
              <w:rPr>
                <w:rFonts w:hint="eastAsia" w:ascii="宋体" w:hAnsi="宋体" w:eastAsia="宋体" w:cs="宋体"/>
                <w:b/>
                <w:bCs/>
                <w:color w:val="auto"/>
                <w:sz w:val="24"/>
                <w:szCs w:val="24"/>
                <w:highlight w:val="none"/>
              </w:rPr>
            </w:pPr>
          </w:p>
        </w:tc>
        <w:tc>
          <w:tcPr>
            <w:tcW w:w="1275" w:type="dxa"/>
            <w:vAlign w:val="center"/>
          </w:tcPr>
          <w:p>
            <w:pPr>
              <w:spacing w:line="400" w:lineRule="exact"/>
              <w:jc w:val="center"/>
              <w:rPr>
                <w:rFonts w:hint="eastAsia" w:ascii="宋体" w:hAnsi="宋体" w:eastAsia="宋体" w:cs="宋体"/>
                <w:b/>
                <w:bCs/>
                <w:color w:val="auto"/>
                <w:sz w:val="24"/>
                <w:szCs w:val="24"/>
                <w:highlight w:val="none"/>
              </w:rPr>
            </w:pPr>
          </w:p>
        </w:tc>
        <w:tc>
          <w:tcPr>
            <w:tcW w:w="1276" w:type="dxa"/>
            <w:vAlign w:val="center"/>
          </w:tcPr>
          <w:p>
            <w:pPr>
              <w:spacing w:line="400" w:lineRule="exact"/>
              <w:jc w:val="center"/>
              <w:rPr>
                <w:rFonts w:hint="eastAsia" w:ascii="宋体" w:hAnsi="宋体" w:eastAsia="宋体" w:cs="宋体"/>
                <w:b/>
                <w:bCs/>
                <w:color w:val="auto"/>
                <w:sz w:val="24"/>
                <w:szCs w:val="24"/>
                <w:highlight w:val="none"/>
              </w:rPr>
            </w:pPr>
          </w:p>
        </w:tc>
        <w:tc>
          <w:tcPr>
            <w:tcW w:w="2535"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hint="eastAsia" w:ascii="宋体" w:hAnsi="宋体" w:eastAsia="宋体" w:cs="宋体"/>
                <w:b/>
                <w:bCs/>
                <w:color w:val="auto"/>
                <w:sz w:val="24"/>
                <w:szCs w:val="24"/>
                <w:highlight w:val="none"/>
              </w:rPr>
            </w:pPr>
          </w:p>
        </w:tc>
        <w:tc>
          <w:tcPr>
            <w:tcW w:w="1483" w:type="dxa"/>
            <w:vAlign w:val="center"/>
          </w:tcPr>
          <w:p>
            <w:pPr>
              <w:spacing w:line="400" w:lineRule="exact"/>
              <w:jc w:val="center"/>
              <w:rPr>
                <w:rFonts w:hint="eastAsia" w:ascii="宋体" w:hAnsi="宋体" w:eastAsia="宋体" w:cs="宋体"/>
                <w:b/>
                <w:bCs/>
                <w:color w:val="auto"/>
                <w:sz w:val="24"/>
                <w:szCs w:val="24"/>
                <w:highlight w:val="none"/>
              </w:rPr>
            </w:pPr>
          </w:p>
        </w:tc>
        <w:tc>
          <w:tcPr>
            <w:tcW w:w="1463" w:type="dxa"/>
            <w:vAlign w:val="center"/>
          </w:tcPr>
          <w:p>
            <w:pPr>
              <w:spacing w:line="400" w:lineRule="exact"/>
              <w:jc w:val="center"/>
              <w:rPr>
                <w:rFonts w:hint="eastAsia" w:ascii="宋体" w:hAnsi="宋体" w:eastAsia="宋体" w:cs="宋体"/>
                <w:b/>
                <w:bCs/>
                <w:color w:val="auto"/>
                <w:sz w:val="24"/>
                <w:szCs w:val="24"/>
                <w:highlight w:val="none"/>
              </w:rPr>
            </w:pPr>
          </w:p>
        </w:tc>
        <w:tc>
          <w:tcPr>
            <w:tcW w:w="1275" w:type="dxa"/>
            <w:vAlign w:val="center"/>
          </w:tcPr>
          <w:p>
            <w:pPr>
              <w:spacing w:line="400" w:lineRule="exact"/>
              <w:jc w:val="center"/>
              <w:rPr>
                <w:rFonts w:hint="eastAsia" w:ascii="宋体" w:hAnsi="宋体" w:eastAsia="宋体" w:cs="宋体"/>
                <w:b/>
                <w:bCs/>
                <w:color w:val="auto"/>
                <w:sz w:val="24"/>
                <w:szCs w:val="24"/>
                <w:highlight w:val="none"/>
              </w:rPr>
            </w:pPr>
          </w:p>
        </w:tc>
        <w:tc>
          <w:tcPr>
            <w:tcW w:w="1276" w:type="dxa"/>
            <w:vAlign w:val="center"/>
          </w:tcPr>
          <w:p>
            <w:pPr>
              <w:spacing w:line="400" w:lineRule="exact"/>
              <w:jc w:val="center"/>
              <w:rPr>
                <w:rFonts w:hint="eastAsia" w:ascii="宋体" w:hAnsi="宋体" w:eastAsia="宋体" w:cs="宋体"/>
                <w:b/>
                <w:bCs/>
                <w:color w:val="auto"/>
                <w:sz w:val="24"/>
                <w:szCs w:val="24"/>
                <w:highlight w:val="none"/>
              </w:rPr>
            </w:pPr>
          </w:p>
        </w:tc>
        <w:tc>
          <w:tcPr>
            <w:tcW w:w="2535"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hint="eastAsia" w:ascii="宋体" w:hAnsi="宋体" w:eastAsia="宋体" w:cs="宋体"/>
                <w:b/>
                <w:bCs/>
                <w:color w:val="auto"/>
                <w:sz w:val="24"/>
                <w:szCs w:val="24"/>
                <w:highlight w:val="none"/>
              </w:rPr>
            </w:pPr>
          </w:p>
        </w:tc>
        <w:tc>
          <w:tcPr>
            <w:tcW w:w="1483" w:type="dxa"/>
            <w:vAlign w:val="center"/>
          </w:tcPr>
          <w:p>
            <w:pPr>
              <w:spacing w:line="400" w:lineRule="exact"/>
              <w:jc w:val="center"/>
              <w:rPr>
                <w:rFonts w:hint="eastAsia" w:ascii="宋体" w:hAnsi="宋体" w:eastAsia="宋体" w:cs="宋体"/>
                <w:b/>
                <w:bCs/>
                <w:color w:val="auto"/>
                <w:sz w:val="24"/>
                <w:szCs w:val="24"/>
                <w:highlight w:val="none"/>
              </w:rPr>
            </w:pPr>
          </w:p>
        </w:tc>
        <w:tc>
          <w:tcPr>
            <w:tcW w:w="1463" w:type="dxa"/>
            <w:vAlign w:val="center"/>
          </w:tcPr>
          <w:p>
            <w:pPr>
              <w:spacing w:line="400" w:lineRule="exact"/>
              <w:jc w:val="center"/>
              <w:rPr>
                <w:rFonts w:hint="eastAsia" w:ascii="宋体" w:hAnsi="宋体" w:eastAsia="宋体" w:cs="宋体"/>
                <w:b/>
                <w:bCs/>
                <w:color w:val="auto"/>
                <w:sz w:val="24"/>
                <w:szCs w:val="24"/>
                <w:highlight w:val="none"/>
              </w:rPr>
            </w:pPr>
          </w:p>
        </w:tc>
        <w:tc>
          <w:tcPr>
            <w:tcW w:w="1275" w:type="dxa"/>
            <w:vAlign w:val="center"/>
          </w:tcPr>
          <w:p>
            <w:pPr>
              <w:spacing w:line="400" w:lineRule="exact"/>
              <w:jc w:val="center"/>
              <w:rPr>
                <w:rFonts w:hint="eastAsia" w:ascii="宋体" w:hAnsi="宋体" w:eastAsia="宋体" w:cs="宋体"/>
                <w:b/>
                <w:bCs/>
                <w:color w:val="auto"/>
                <w:sz w:val="24"/>
                <w:szCs w:val="24"/>
                <w:highlight w:val="none"/>
              </w:rPr>
            </w:pPr>
          </w:p>
        </w:tc>
        <w:tc>
          <w:tcPr>
            <w:tcW w:w="1276" w:type="dxa"/>
            <w:vAlign w:val="center"/>
          </w:tcPr>
          <w:p>
            <w:pPr>
              <w:spacing w:line="400" w:lineRule="exact"/>
              <w:jc w:val="center"/>
              <w:rPr>
                <w:rFonts w:hint="eastAsia" w:ascii="宋体" w:hAnsi="宋体" w:eastAsia="宋体" w:cs="宋体"/>
                <w:b/>
                <w:bCs/>
                <w:color w:val="auto"/>
                <w:sz w:val="24"/>
                <w:szCs w:val="24"/>
                <w:highlight w:val="none"/>
              </w:rPr>
            </w:pPr>
          </w:p>
        </w:tc>
        <w:tc>
          <w:tcPr>
            <w:tcW w:w="2535"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hint="eastAsia" w:ascii="宋体" w:hAnsi="宋体" w:eastAsia="宋体" w:cs="宋体"/>
                <w:b/>
                <w:bCs/>
                <w:color w:val="auto"/>
                <w:sz w:val="24"/>
                <w:szCs w:val="24"/>
                <w:highlight w:val="none"/>
              </w:rPr>
            </w:pPr>
          </w:p>
        </w:tc>
        <w:tc>
          <w:tcPr>
            <w:tcW w:w="1483" w:type="dxa"/>
            <w:vAlign w:val="center"/>
          </w:tcPr>
          <w:p>
            <w:pPr>
              <w:spacing w:line="400" w:lineRule="exact"/>
              <w:jc w:val="center"/>
              <w:rPr>
                <w:rFonts w:hint="eastAsia" w:ascii="宋体" w:hAnsi="宋体" w:eastAsia="宋体" w:cs="宋体"/>
                <w:b/>
                <w:bCs/>
                <w:color w:val="auto"/>
                <w:sz w:val="24"/>
                <w:szCs w:val="24"/>
                <w:highlight w:val="none"/>
              </w:rPr>
            </w:pPr>
          </w:p>
        </w:tc>
        <w:tc>
          <w:tcPr>
            <w:tcW w:w="1463" w:type="dxa"/>
            <w:vAlign w:val="center"/>
          </w:tcPr>
          <w:p>
            <w:pPr>
              <w:spacing w:line="400" w:lineRule="exact"/>
              <w:jc w:val="center"/>
              <w:rPr>
                <w:rFonts w:hint="eastAsia" w:ascii="宋体" w:hAnsi="宋体" w:eastAsia="宋体" w:cs="宋体"/>
                <w:b/>
                <w:bCs/>
                <w:color w:val="auto"/>
                <w:sz w:val="24"/>
                <w:szCs w:val="24"/>
                <w:highlight w:val="none"/>
              </w:rPr>
            </w:pPr>
          </w:p>
        </w:tc>
        <w:tc>
          <w:tcPr>
            <w:tcW w:w="1275" w:type="dxa"/>
            <w:vAlign w:val="center"/>
          </w:tcPr>
          <w:p>
            <w:pPr>
              <w:spacing w:line="400" w:lineRule="exact"/>
              <w:jc w:val="center"/>
              <w:rPr>
                <w:rFonts w:hint="eastAsia" w:ascii="宋体" w:hAnsi="宋体" w:eastAsia="宋体" w:cs="宋体"/>
                <w:b/>
                <w:bCs/>
                <w:color w:val="auto"/>
                <w:sz w:val="24"/>
                <w:szCs w:val="24"/>
                <w:highlight w:val="none"/>
              </w:rPr>
            </w:pPr>
          </w:p>
        </w:tc>
        <w:tc>
          <w:tcPr>
            <w:tcW w:w="1276" w:type="dxa"/>
            <w:vAlign w:val="center"/>
          </w:tcPr>
          <w:p>
            <w:pPr>
              <w:spacing w:line="400" w:lineRule="exact"/>
              <w:jc w:val="center"/>
              <w:rPr>
                <w:rFonts w:hint="eastAsia" w:ascii="宋体" w:hAnsi="宋体" w:eastAsia="宋体" w:cs="宋体"/>
                <w:b/>
                <w:bCs/>
                <w:color w:val="auto"/>
                <w:sz w:val="24"/>
                <w:szCs w:val="24"/>
                <w:highlight w:val="none"/>
              </w:rPr>
            </w:pPr>
          </w:p>
        </w:tc>
        <w:tc>
          <w:tcPr>
            <w:tcW w:w="2535"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hint="eastAsia" w:ascii="宋体" w:hAnsi="宋体" w:eastAsia="宋体" w:cs="宋体"/>
                <w:b/>
                <w:bCs/>
                <w:color w:val="auto"/>
                <w:sz w:val="24"/>
                <w:szCs w:val="24"/>
                <w:highlight w:val="none"/>
              </w:rPr>
            </w:pPr>
          </w:p>
        </w:tc>
        <w:tc>
          <w:tcPr>
            <w:tcW w:w="1483" w:type="dxa"/>
            <w:vAlign w:val="center"/>
          </w:tcPr>
          <w:p>
            <w:pPr>
              <w:spacing w:line="400" w:lineRule="exact"/>
              <w:jc w:val="center"/>
              <w:rPr>
                <w:rFonts w:hint="eastAsia" w:ascii="宋体" w:hAnsi="宋体" w:eastAsia="宋体" w:cs="宋体"/>
                <w:b/>
                <w:bCs/>
                <w:color w:val="auto"/>
                <w:sz w:val="24"/>
                <w:szCs w:val="24"/>
                <w:highlight w:val="none"/>
              </w:rPr>
            </w:pPr>
          </w:p>
        </w:tc>
        <w:tc>
          <w:tcPr>
            <w:tcW w:w="1463" w:type="dxa"/>
            <w:vAlign w:val="center"/>
          </w:tcPr>
          <w:p>
            <w:pPr>
              <w:spacing w:line="400" w:lineRule="exact"/>
              <w:jc w:val="center"/>
              <w:rPr>
                <w:rFonts w:hint="eastAsia" w:ascii="宋体" w:hAnsi="宋体" w:eastAsia="宋体" w:cs="宋体"/>
                <w:b/>
                <w:bCs/>
                <w:color w:val="auto"/>
                <w:sz w:val="24"/>
                <w:szCs w:val="24"/>
                <w:highlight w:val="none"/>
              </w:rPr>
            </w:pPr>
          </w:p>
        </w:tc>
        <w:tc>
          <w:tcPr>
            <w:tcW w:w="1275" w:type="dxa"/>
            <w:vAlign w:val="center"/>
          </w:tcPr>
          <w:p>
            <w:pPr>
              <w:spacing w:line="400" w:lineRule="exact"/>
              <w:jc w:val="center"/>
              <w:rPr>
                <w:rFonts w:hint="eastAsia" w:ascii="宋体" w:hAnsi="宋体" w:eastAsia="宋体" w:cs="宋体"/>
                <w:b/>
                <w:bCs/>
                <w:color w:val="auto"/>
                <w:sz w:val="24"/>
                <w:szCs w:val="24"/>
                <w:highlight w:val="none"/>
              </w:rPr>
            </w:pPr>
          </w:p>
        </w:tc>
        <w:tc>
          <w:tcPr>
            <w:tcW w:w="1276" w:type="dxa"/>
            <w:vAlign w:val="center"/>
          </w:tcPr>
          <w:p>
            <w:pPr>
              <w:spacing w:line="400" w:lineRule="exact"/>
              <w:jc w:val="center"/>
              <w:rPr>
                <w:rFonts w:hint="eastAsia" w:ascii="宋体" w:hAnsi="宋体" w:eastAsia="宋体" w:cs="宋体"/>
                <w:b/>
                <w:bCs/>
                <w:color w:val="auto"/>
                <w:sz w:val="24"/>
                <w:szCs w:val="24"/>
                <w:highlight w:val="none"/>
              </w:rPr>
            </w:pPr>
          </w:p>
        </w:tc>
        <w:tc>
          <w:tcPr>
            <w:tcW w:w="2535"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hint="eastAsia" w:ascii="宋体" w:hAnsi="宋体" w:eastAsia="宋体" w:cs="宋体"/>
                <w:b/>
                <w:bCs/>
                <w:color w:val="auto"/>
                <w:sz w:val="24"/>
                <w:szCs w:val="24"/>
                <w:highlight w:val="none"/>
              </w:rPr>
            </w:pPr>
          </w:p>
        </w:tc>
        <w:tc>
          <w:tcPr>
            <w:tcW w:w="1483" w:type="dxa"/>
            <w:vAlign w:val="center"/>
          </w:tcPr>
          <w:p>
            <w:pPr>
              <w:spacing w:line="400" w:lineRule="exact"/>
              <w:jc w:val="center"/>
              <w:rPr>
                <w:rFonts w:hint="eastAsia" w:ascii="宋体" w:hAnsi="宋体" w:eastAsia="宋体" w:cs="宋体"/>
                <w:b/>
                <w:bCs/>
                <w:color w:val="auto"/>
                <w:sz w:val="24"/>
                <w:szCs w:val="24"/>
                <w:highlight w:val="none"/>
              </w:rPr>
            </w:pPr>
          </w:p>
        </w:tc>
        <w:tc>
          <w:tcPr>
            <w:tcW w:w="1463" w:type="dxa"/>
            <w:vAlign w:val="center"/>
          </w:tcPr>
          <w:p>
            <w:pPr>
              <w:spacing w:line="400" w:lineRule="exact"/>
              <w:jc w:val="center"/>
              <w:rPr>
                <w:rFonts w:hint="eastAsia" w:ascii="宋体" w:hAnsi="宋体" w:eastAsia="宋体" w:cs="宋体"/>
                <w:b/>
                <w:bCs/>
                <w:color w:val="auto"/>
                <w:sz w:val="24"/>
                <w:szCs w:val="24"/>
                <w:highlight w:val="none"/>
              </w:rPr>
            </w:pPr>
          </w:p>
        </w:tc>
        <w:tc>
          <w:tcPr>
            <w:tcW w:w="1275" w:type="dxa"/>
            <w:vAlign w:val="center"/>
          </w:tcPr>
          <w:p>
            <w:pPr>
              <w:spacing w:line="400" w:lineRule="exact"/>
              <w:jc w:val="center"/>
              <w:rPr>
                <w:rFonts w:hint="eastAsia" w:ascii="宋体" w:hAnsi="宋体" w:eastAsia="宋体" w:cs="宋体"/>
                <w:b/>
                <w:bCs/>
                <w:color w:val="auto"/>
                <w:sz w:val="24"/>
                <w:szCs w:val="24"/>
                <w:highlight w:val="none"/>
              </w:rPr>
            </w:pPr>
          </w:p>
        </w:tc>
        <w:tc>
          <w:tcPr>
            <w:tcW w:w="1276" w:type="dxa"/>
            <w:vAlign w:val="center"/>
          </w:tcPr>
          <w:p>
            <w:pPr>
              <w:spacing w:line="400" w:lineRule="exact"/>
              <w:jc w:val="center"/>
              <w:rPr>
                <w:rFonts w:hint="eastAsia" w:ascii="宋体" w:hAnsi="宋体" w:eastAsia="宋体" w:cs="宋体"/>
                <w:b/>
                <w:bCs/>
                <w:color w:val="auto"/>
                <w:sz w:val="24"/>
                <w:szCs w:val="24"/>
                <w:highlight w:val="none"/>
              </w:rPr>
            </w:pPr>
          </w:p>
        </w:tc>
        <w:tc>
          <w:tcPr>
            <w:tcW w:w="2535"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hint="eastAsia" w:ascii="宋体" w:hAnsi="宋体" w:eastAsia="宋体" w:cs="宋体"/>
                <w:b/>
                <w:bCs/>
                <w:color w:val="auto"/>
                <w:sz w:val="24"/>
                <w:szCs w:val="24"/>
                <w:highlight w:val="none"/>
              </w:rPr>
            </w:pPr>
          </w:p>
        </w:tc>
        <w:tc>
          <w:tcPr>
            <w:tcW w:w="1483" w:type="dxa"/>
            <w:vAlign w:val="center"/>
          </w:tcPr>
          <w:p>
            <w:pPr>
              <w:spacing w:line="400" w:lineRule="exact"/>
              <w:jc w:val="center"/>
              <w:rPr>
                <w:rFonts w:hint="eastAsia" w:ascii="宋体" w:hAnsi="宋体" w:eastAsia="宋体" w:cs="宋体"/>
                <w:b/>
                <w:bCs/>
                <w:color w:val="auto"/>
                <w:sz w:val="24"/>
                <w:szCs w:val="24"/>
                <w:highlight w:val="none"/>
              </w:rPr>
            </w:pPr>
          </w:p>
        </w:tc>
        <w:tc>
          <w:tcPr>
            <w:tcW w:w="1463" w:type="dxa"/>
            <w:vAlign w:val="center"/>
          </w:tcPr>
          <w:p>
            <w:pPr>
              <w:spacing w:line="400" w:lineRule="exact"/>
              <w:jc w:val="center"/>
              <w:rPr>
                <w:rFonts w:hint="eastAsia" w:ascii="宋体" w:hAnsi="宋体" w:eastAsia="宋体" w:cs="宋体"/>
                <w:b/>
                <w:bCs/>
                <w:color w:val="auto"/>
                <w:sz w:val="24"/>
                <w:szCs w:val="24"/>
                <w:highlight w:val="none"/>
              </w:rPr>
            </w:pPr>
          </w:p>
        </w:tc>
        <w:tc>
          <w:tcPr>
            <w:tcW w:w="1275" w:type="dxa"/>
            <w:vAlign w:val="center"/>
          </w:tcPr>
          <w:p>
            <w:pPr>
              <w:spacing w:line="400" w:lineRule="exact"/>
              <w:jc w:val="center"/>
              <w:rPr>
                <w:rFonts w:hint="eastAsia" w:ascii="宋体" w:hAnsi="宋体" w:eastAsia="宋体" w:cs="宋体"/>
                <w:b/>
                <w:bCs/>
                <w:color w:val="auto"/>
                <w:sz w:val="24"/>
                <w:szCs w:val="24"/>
                <w:highlight w:val="none"/>
              </w:rPr>
            </w:pPr>
          </w:p>
        </w:tc>
        <w:tc>
          <w:tcPr>
            <w:tcW w:w="1276" w:type="dxa"/>
            <w:vAlign w:val="center"/>
          </w:tcPr>
          <w:p>
            <w:pPr>
              <w:spacing w:line="400" w:lineRule="exact"/>
              <w:jc w:val="center"/>
              <w:rPr>
                <w:rFonts w:hint="eastAsia" w:ascii="宋体" w:hAnsi="宋体" w:eastAsia="宋体" w:cs="宋体"/>
                <w:b/>
                <w:bCs/>
                <w:color w:val="auto"/>
                <w:sz w:val="24"/>
                <w:szCs w:val="24"/>
                <w:highlight w:val="none"/>
              </w:rPr>
            </w:pPr>
          </w:p>
        </w:tc>
        <w:tc>
          <w:tcPr>
            <w:tcW w:w="2535"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hint="eastAsia" w:ascii="宋体" w:hAnsi="宋体" w:eastAsia="宋体" w:cs="宋体"/>
                <w:b/>
                <w:bCs/>
                <w:color w:val="auto"/>
                <w:sz w:val="24"/>
                <w:szCs w:val="24"/>
                <w:highlight w:val="none"/>
              </w:rPr>
            </w:pPr>
          </w:p>
        </w:tc>
        <w:tc>
          <w:tcPr>
            <w:tcW w:w="1483" w:type="dxa"/>
            <w:vAlign w:val="center"/>
          </w:tcPr>
          <w:p>
            <w:pPr>
              <w:spacing w:line="400" w:lineRule="exact"/>
              <w:jc w:val="center"/>
              <w:rPr>
                <w:rFonts w:hint="eastAsia" w:ascii="宋体" w:hAnsi="宋体" w:eastAsia="宋体" w:cs="宋体"/>
                <w:b/>
                <w:bCs/>
                <w:color w:val="auto"/>
                <w:sz w:val="24"/>
                <w:szCs w:val="24"/>
                <w:highlight w:val="none"/>
              </w:rPr>
            </w:pPr>
          </w:p>
        </w:tc>
        <w:tc>
          <w:tcPr>
            <w:tcW w:w="1463" w:type="dxa"/>
            <w:vAlign w:val="center"/>
          </w:tcPr>
          <w:p>
            <w:pPr>
              <w:spacing w:line="400" w:lineRule="exact"/>
              <w:jc w:val="center"/>
              <w:rPr>
                <w:rFonts w:hint="eastAsia" w:ascii="宋体" w:hAnsi="宋体" w:eastAsia="宋体" w:cs="宋体"/>
                <w:b/>
                <w:bCs/>
                <w:color w:val="auto"/>
                <w:sz w:val="24"/>
                <w:szCs w:val="24"/>
                <w:highlight w:val="none"/>
              </w:rPr>
            </w:pPr>
          </w:p>
        </w:tc>
        <w:tc>
          <w:tcPr>
            <w:tcW w:w="1275" w:type="dxa"/>
            <w:vAlign w:val="center"/>
          </w:tcPr>
          <w:p>
            <w:pPr>
              <w:spacing w:line="400" w:lineRule="exact"/>
              <w:jc w:val="center"/>
              <w:rPr>
                <w:rFonts w:hint="eastAsia" w:ascii="宋体" w:hAnsi="宋体" w:eastAsia="宋体" w:cs="宋体"/>
                <w:b/>
                <w:bCs/>
                <w:color w:val="auto"/>
                <w:sz w:val="24"/>
                <w:szCs w:val="24"/>
                <w:highlight w:val="none"/>
              </w:rPr>
            </w:pPr>
          </w:p>
        </w:tc>
        <w:tc>
          <w:tcPr>
            <w:tcW w:w="1276" w:type="dxa"/>
            <w:vAlign w:val="center"/>
          </w:tcPr>
          <w:p>
            <w:pPr>
              <w:spacing w:line="400" w:lineRule="exact"/>
              <w:jc w:val="center"/>
              <w:rPr>
                <w:rFonts w:hint="eastAsia" w:ascii="宋体" w:hAnsi="宋体" w:eastAsia="宋体" w:cs="宋体"/>
                <w:b/>
                <w:bCs/>
                <w:color w:val="auto"/>
                <w:sz w:val="24"/>
                <w:szCs w:val="24"/>
                <w:highlight w:val="none"/>
              </w:rPr>
            </w:pPr>
          </w:p>
        </w:tc>
        <w:tc>
          <w:tcPr>
            <w:tcW w:w="2535"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hint="eastAsia" w:ascii="宋体" w:hAnsi="宋体" w:eastAsia="宋体" w:cs="宋体"/>
                <w:b/>
                <w:bCs/>
                <w:color w:val="auto"/>
                <w:sz w:val="24"/>
                <w:szCs w:val="24"/>
                <w:highlight w:val="none"/>
              </w:rPr>
            </w:pPr>
          </w:p>
        </w:tc>
        <w:tc>
          <w:tcPr>
            <w:tcW w:w="1483" w:type="dxa"/>
            <w:vAlign w:val="center"/>
          </w:tcPr>
          <w:p>
            <w:pPr>
              <w:spacing w:line="400" w:lineRule="exact"/>
              <w:jc w:val="center"/>
              <w:rPr>
                <w:rFonts w:hint="eastAsia" w:ascii="宋体" w:hAnsi="宋体" w:eastAsia="宋体" w:cs="宋体"/>
                <w:b/>
                <w:bCs/>
                <w:color w:val="auto"/>
                <w:sz w:val="24"/>
                <w:szCs w:val="24"/>
                <w:highlight w:val="none"/>
              </w:rPr>
            </w:pPr>
          </w:p>
        </w:tc>
        <w:tc>
          <w:tcPr>
            <w:tcW w:w="1463" w:type="dxa"/>
            <w:vAlign w:val="center"/>
          </w:tcPr>
          <w:p>
            <w:pPr>
              <w:spacing w:line="400" w:lineRule="exact"/>
              <w:jc w:val="center"/>
              <w:rPr>
                <w:rFonts w:hint="eastAsia" w:ascii="宋体" w:hAnsi="宋体" w:eastAsia="宋体" w:cs="宋体"/>
                <w:b/>
                <w:bCs/>
                <w:color w:val="auto"/>
                <w:sz w:val="24"/>
                <w:szCs w:val="24"/>
                <w:highlight w:val="none"/>
              </w:rPr>
            </w:pPr>
          </w:p>
        </w:tc>
        <w:tc>
          <w:tcPr>
            <w:tcW w:w="1275" w:type="dxa"/>
            <w:vAlign w:val="center"/>
          </w:tcPr>
          <w:p>
            <w:pPr>
              <w:spacing w:line="400" w:lineRule="exact"/>
              <w:jc w:val="center"/>
              <w:rPr>
                <w:rFonts w:hint="eastAsia" w:ascii="宋体" w:hAnsi="宋体" w:eastAsia="宋体" w:cs="宋体"/>
                <w:b/>
                <w:bCs/>
                <w:color w:val="auto"/>
                <w:sz w:val="24"/>
                <w:szCs w:val="24"/>
                <w:highlight w:val="none"/>
              </w:rPr>
            </w:pPr>
          </w:p>
        </w:tc>
        <w:tc>
          <w:tcPr>
            <w:tcW w:w="1276" w:type="dxa"/>
            <w:vAlign w:val="center"/>
          </w:tcPr>
          <w:p>
            <w:pPr>
              <w:spacing w:line="400" w:lineRule="exact"/>
              <w:jc w:val="center"/>
              <w:rPr>
                <w:rFonts w:hint="eastAsia" w:ascii="宋体" w:hAnsi="宋体" w:eastAsia="宋体" w:cs="宋体"/>
                <w:b/>
                <w:bCs/>
                <w:color w:val="auto"/>
                <w:sz w:val="24"/>
                <w:szCs w:val="24"/>
                <w:highlight w:val="none"/>
              </w:rPr>
            </w:pPr>
          </w:p>
        </w:tc>
        <w:tc>
          <w:tcPr>
            <w:tcW w:w="2535" w:type="dxa"/>
          </w:tcPr>
          <w:p>
            <w:pPr>
              <w:spacing w:line="40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hint="eastAsia" w:ascii="宋体" w:hAnsi="宋体" w:eastAsia="宋体" w:cs="宋体"/>
                <w:b/>
                <w:bCs/>
                <w:color w:val="auto"/>
                <w:sz w:val="24"/>
                <w:szCs w:val="24"/>
                <w:highlight w:val="none"/>
              </w:rPr>
            </w:pPr>
          </w:p>
        </w:tc>
        <w:tc>
          <w:tcPr>
            <w:tcW w:w="1483" w:type="dxa"/>
            <w:vAlign w:val="center"/>
          </w:tcPr>
          <w:p>
            <w:pPr>
              <w:spacing w:line="400" w:lineRule="exact"/>
              <w:jc w:val="center"/>
              <w:rPr>
                <w:rFonts w:hint="eastAsia" w:ascii="宋体" w:hAnsi="宋体" w:eastAsia="宋体" w:cs="宋体"/>
                <w:b/>
                <w:bCs/>
                <w:color w:val="auto"/>
                <w:sz w:val="24"/>
                <w:szCs w:val="24"/>
                <w:highlight w:val="none"/>
              </w:rPr>
            </w:pPr>
          </w:p>
        </w:tc>
        <w:tc>
          <w:tcPr>
            <w:tcW w:w="1463" w:type="dxa"/>
            <w:vAlign w:val="center"/>
          </w:tcPr>
          <w:p>
            <w:pPr>
              <w:spacing w:line="400" w:lineRule="exact"/>
              <w:jc w:val="center"/>
              <w:rPr>
                <w:rFonts w:hint="eastAsia" w:ascii="宋体" w:hAnsi="宋体" w:eastAsia="宋体" w:cs="宋体"/>
                <w:b/>
                <w:bCs/>
                <w:color w:val="auto"/>
                <w:sz w:val="24"/>
                <w:szCs w:val="24"/>
                <w:highlight w:val="none"/>
              </w:rPr>
            </w:pPr>
          </w:p>
        </w:tc>
        <w:tc>
          <w:tcPr>
            <w:tcW w:w="1275" w:type="dxa"/>
            <w:vAlign w:val="center"/>
          </w:tcPr>
          <w:p>
            <w:pPr>
              <w:spacing w:line="400" w:lineRule="exact"/>
              <w:jc w:val="center"/>
              <w:rPr>
                <w:rFonts w:hint="eastAsia" w:ascii="宋体" w:hAnsi="宋体" w:eastAsia="宋体" w:cs="宋体"/>
                <w:b/>
                <w:bCs/>
                <w:color w:val="auto"/>
                <w:sz w:val="24"/>
                <w:szCs w:val="24"/>
                <w:highlight w:val="none"/>
              </w:rPr>
            </w:pPr>
          </w:p>
        </w:tc>
        <w:tc>
          <w:tcPr>
            <w:tcW w:w="1276" w:type="dxa"/>
            <w:vAlign w:val="center"/>
          </w:tcPr>
          <w:p>
            <w:pPr>
              <w:spacing w:line="400" w:lineRule="exact"/>
              <w:jc w:val="center"/>
              <w:rPr>
                <w:rFonts w:hint="eastAsia" w:ascii="宋体" w:hAnsi="宋体" w:eastAsia="宋体" w:cs="宋体"/>
                <w:b/>
                <w:bCs/>
                <w:color w:val="auto"/>
                <w:sz w:val="24"/>
                <w:szCs w:val="24"/>
                <w:highlight w:val="none"/>
              </w:rPr>
            </w:pPr>
          </w:p>
        </w:tc>
        <w:tc>
          <w:tcPr>
            <w:tcW w:w="2535" w:type="dxa"/>
          </w:tcPr>
          <w:p>
            <w:pPr>
              <w:spacing w:line="400" w:lineRule="exact"/>
              <w:jc w:val="center"/>
              <w:rPr>
                <w:rFonts w:hint="eastAsia" w:ascii="宋体" w:hAnsi="宋体" w:eastAsia="宋体" w:cs="宋体"/>
                <w:b/>
                <w:bCs/>
                <w:color w:val="auto"/>
                <w:sz w:val="24"/>
                <w:szCs w:val="24"/>
                <w:highlight w:val="none"/>
              </w:rPr>
            </w:pPr>
          </w:p>
        </w:tc>
      </w:tr>
    </w:tbl>
    <w:p>
      <w:pPr>
        <w:spacing w:line="400" w:lineRule="exact"/>
        <w:ind w:left="706" w:hanging="705" w:hangingChars="29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备注：证明材料附后</w:t>
      </w:r>
    </w:p>
    <w:p>
      <w:pPr>
        <w:widowControl/>
        <w:spacing w:line="400" w:lineRule="exact"/>
        <w:rPr>
          <w:rFonts w:hint="eastAsia" w:ascii="宋体" w:hAnsi="宋体" w:eastAsia="宋体" w:cs="宋体"/>
          <w:color w:val="auto"/>
          <w:kern w:val="0"/>
          <w:sz w:val="24"/>
          <w:szCs w:val="24"/>
          <w:highlight w:val="none"/>
        </w:rPr>
      </w:pPr>
    </w:p>
    <w:p>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w:t>
      </w:r>
    </w:p>
    <w:p>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pPr>
        <w:spacing w:line="400" w:lineRule="exact"/>
        <w:rPr>
          <w:rFonts w:hint="eastAsia" w:ascii="宋体" w:hAnsi="宋体" w:eastAsia="宋体" w:cs="宋体"/>
          <w:b/>
          <w:color w:val="auto"/>
          <w:sz w:val="24"/>
          <w:szCs w:val="24"/>
          <w:highlight w:val="none"/>
        </w:rPr>
      </w:pPr>
    </w:p>
    <w:p>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附件12</w:t>
      </w:r>
    </w:p>
    <w:p>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采购需求偏离表</w:t>
      </w:r>
    </w:p>
    <w:p>
      <w:pPr>
        <w:pStyle w:val="14"/>
        <w:spacing w:after="0" w:line="400" w:lineRule="exact"/>
        <w:ind w:left="0" w:leftChars="0" w:right="0" w:rightChars="0"/>
        <w:rPr>
          <w:rFonts w:hint="eastAsia" w:ascii="宋体" w:hAnsi="宋体" w:eastAsia="宋体" w:cs="宋体"/>
          <w:color w:val="auto"/>
          <w:highlight w:val="none"/>
        </w:rPr>
      </w:pPr>
      <w:r>
        <w:rPr>
          <w:rFonts w:hint="eastAsia" w:ascii="宋体" w:hAnsi="宋体" w:eastAsia="宋体" w:cs="宋体"/>
          <w:b/>
          <w:color w:val="auto"/>
          <w:sz w:val="24"/>
          <w:szCs w:val="24"/>
          <w:highlight w:val="none"/>
        </w:rPr>
        <w:t xml:space="preserve">项目名称：                       项目编号：                  </w:t>
      </w:r>
    </w:p>
    <w:tbl>
      <w:tblPr>
        <w:tblStyle w:val="27"/>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6"/>
        <w:gridCol w:w="3219"/>
        <w:gridCol w:w="1822"/>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序号</w:t>
            </w:r>
          </w:p>
        </w:tc>
        <w:tc>
          <w:tcPr>
            <w:tcW w:w="1656" w:type="dxa"/>
            <w:vAlign w:val="center"/>
          </w:tcPr>
          <w:p>
            <w:pPr>
              <w:snapToGrid w:val="0"/>
              <w:spacing w:line="400" w:lineRule="exact"/>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招标文件要求</w:t>
            </w:r>
          </w:p>
        </w:tc>
        <w:tc>
          <w:tcPr>
            <w:tcW w:w="3219" w:type="dxa"/>
            <w:vAlign w:val="center"/>
          </w:tcPr>
          <w:p>
            <w:pPr>
              <w:snapToGrid w:val="0"/>
              <w:spacing w:line="400" w:lineRule="exact"/>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投标文件对应规范</w:t>
            </w:r>
          </w:p>
        </w:tc>
        <w:tc>
          <w:tcPr>
            <w:tcW w:w="1822" w:type="dxa"/>
            <w:vAlign w:val="center"/>
          </w:tcPr>
          <w:p>
            <w:pPr>
              <w:snapToGrid w:val="0"/>
              <w:spacing w:line="400" w:lineRule="exact"/>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是否偏离</w:t>
            </w:r>
          </w:p>
          <w:p>
            <w:pPr>
              <w:snapToGrid w:val="0"/>
              <w:spacing w:line="400" w:lineRule="exact"/>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（提供说明）</w:t>
            </w:r>
          </w:p>
        </w:tc>
        <w:tc>
          <w:tcPr>
            <w:tcW w:w="1676" w:type="dxa"/>
            <w:vAlign w:val="center"/>
          </w:tcPr>
          <w:p>
            <w:pPr>
              <w:snapToGrid w:val="0"/>
              <w:spacing w:line="400" w:lineRule="exact"/>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要求提供的证明材料页码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4" w:type="dxa"/>
            <w:gridSpan w:val="5"/>
            <w:vAlign w:val="center"/>
          </w:tcPr>
          <w:p>
            <w:pPr>
              <w:snapToGrid w:val="0"/>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56"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3219"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76" w:type="dxa"/>
            <w:vAlign w:val="center"/>
          </w:tcPr>
          <w:p>
            <w:pPr>
              <w:snapToGrid w:val="0"/>
              <w:spacing w:line="400" w:lineRule="exact"/>
              <w:jc w:val="center"/>
              <w:rPr>
                <w:rFonts w:hint="eastAsia" w:ascii="宋体" w:hAnsi="宋体" w:eastAsia="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56"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3219"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76" w:type="dxa"/>
            <w:vAlign w:val="center"/>
          </w:tcPr>
          <w:p>
            <w:pPr>
              <w:snapToGrid w:val="0"/>
              <w:spacing w:line="400" w:lineRule="exact"/>
              <w:jc w:val="center"/>
              <w:rPr>
                <w:rFonts w:hint="eastAsia" w:ascii="宋体" w:hAnsi="宋体" w:eastAsia="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56"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3219"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76" w:type="dxa"/>
            <w:vAlign w:val="center"/>
          </w:tcPr>
          <w:p>
            <w:pPr>
              <w:snapToGrid w:val="0"/>
              <w:spacing w:line="400" w:lineRule="exact"/>
              <w:jc w:val="center"/>
              <w:rPr>
                <w:rFonts w:hint="eastAsia" w:ascii="宋体" w:hAnsi="宋体" w:eastAsia="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56"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3219"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76" w:type="dxa"/>
            <w:vAlign w:val="center"/>
          </w:tcPr>
          <w:p>
            <w:pPr>
              <w:snapToGrid w:val="0"/>
              <w:spacing w:line="400" w:lineRule="exact"/>
              <w:jc w:val="center"/>
              <w:rPr>
                <w:rFonts w:hint="eastAsia" w:ascii="宋体" w:hAnsi="宋体" w:eastAsia="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rPr>
                <w:rFonts w:hint="eastAsia" w:ascii="宋体" w:hAnsi="宋体" w:eastAsia="宋体" w:cs="宋体"/>
                <w:color w:val="auto"/>
                <w:spacing w:val="-6"/>
                <w:sz w:val="24"/>
                <w:highlight w:val="none"/>
              </w:rPr>
            </w:pPr>
          </w:p>
        </w:tc>
        <w:tc>
          <w:tcPr>
            <w:tcW w:w="1656" w:type="dxa"/>
            <w:vAlign w:val="center"/>
          </w:tcPr>
          <w:p>
            <w:pPr>
              <w:snapToGrid w:val="0"/>
              <w:spacing w:line="400" w:lineRule="exact"/>
              <w:rPr>
                <w:rFonts w:hint="eastAsia" w:ascii="宋体" w:hAnsi="宋体" w:eastAsia="宋体" w:cs="宋体"/>
                <w:color w:val="auto"/>
                <w:spacing w:val="-6"/>
                <w:sz w:val="24"/>
                <w:highlight w:val="none"/>
              </w:rPr>
            </w:pPr>
          </w:p>
        </w:tc>
        <w:tc>
          <w:tcPr>
            <w:tcW w:w="3219"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76" w:type="dxa"/>
            <w:vAlign w:val="center"/>
          </w:tcPr>
          <w:p>
            <w:pPr>
              <w:snapToGrid w:val="0"/>
              <w:spacing w:line="400" w:lineRule="exact"/>
              <w:jc w:val="center"/>
              <w:rPr>
                <w:rFonts w:hint="eastAsia" w:ascii="宋体" w:hAnsi="宋体" w:eastAsia="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4" w:type="dxa"/>
            <w:gridSpan w:val="5"/>
            <w:vAlign w:val="center"/>
          </w:tcPr>
          <w:p>
            <w:pPr>
              <w:snapToGrid w:val="0"/>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rPr>
                <w:rFonts w:hint="eastAsia" w:ascii="宋体" w:hAnsi="宋体" w:eastAsia="宋体" w:cs="宋体"/>
                <w:color w:val="auto"/>
                <w:spacing w:val="-6"/>
                <w:sz w:val="24"/>
                <w:highlight w:val="none"/>
              </w:rPr>
            </w:pPr>
          </w:p>
        </w:tc>
        <w:tc>
          <w:tcPr>
            <w:tcW w:w="1656" w:type="dxa"/>
            <w:vAlign w:val="center"/>
          </w:tcPr>
          <w:p>
            <w:pPr>
              <w:snapToGrid w:val="0"/>
              <w:spacing w:line="400" w:lineRule="exact"/>
              <w:rPr>
                <w:rFonts w:hint="eastAsia" w:ascii="宋体" w:hAnsi="宋体" w:eastAsia="宋体" w:cs="宋体"/>
                <w:color w:val="auto"/>
                <w:spacing w:val="-6"/>
                <w:sz w:val="24"/>
                <w:highlight w:val="none"/>
              </w:rPr>
            </w:pPr>
          </w:p>
        </w:tc>
        <w:tc>
          <w:tcPr>
            <w:tcW w:w="3219"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76" w:type="dxa"/>
            <w:vAlign w:val="center"/>
          </w:tcPr>
          <w:p>
            <w:pPr>
              <w:snapToGrid w:val="0"/>
              <w:spacing w:line="400" w:lineRule="exact"/>
              <w:jc w:val="center"/>
              <w:rPr>
                <w:rFonts w:hint="eastAsia" w:ascii="宋体" w:hAnsi="宋体" w:eastAsia="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56"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3219"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76" w:type="dxa"/>
            <w:vAlign w:val="center"/>
          </w:tcPr>
          <w:p>
            <w:pPr>
              <w:snapToGrid w:val="0"/>
              <w:spacing w:line="400" w:lineRule="exact"/>
              <w:jc w:val="center"/>
              <w:rPr>
                <w:rFonts w:hint="eastAsia" w:ascii="宋体" w:hAnsi="宋体" w:eastAsia="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56"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3219"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76" w:type="dxa"/>
            <w:vAlign w:val="center"/>
          </w:tcPr>
          <w:p>
            <w:pPr>
              <w:snapToGrid w:val="0"/>
              <w:spacing w:line="400" w:lineRule="exact"/>
              <w:jc w:val="center"/>
              <w:rPr>
                <w:rFonts w:hint="eastAsia" w:ascii="宋体" w:hAnsi="宋体" w:eastAsia="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56"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3219"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76" w:type="dxa"/>
            <w:vAlign w:val="center"/>
          </w:tcPr>
          <w:p>
            <w:pPr>
              <w:snapToGrid w:val="0"/>
              <w:spacing w:line="400" w:lineRule="exact"/>
              <w:jc w:val="center"/>
              <w:rPr>
                <w:rFonts w:hint="eastAsia" w:ascii="宋体" w:hAnsi="宋体" w:eastAsia="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56"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3219"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822" w:type="dxa"/>
            <w:vAlign w:val="center"/>
          </w:tcPr>
          <w:p>
            <w:pPr>
              <w:snapToGrid w:val="0"/>
              <w:spacing w:line="400" w:lineRule="exact"/>
              <w:jc w:val="center"/>
              <w:rPr>
                <w:rFonts w:hint="eastAsia" w:ascii="宋体" w:hAnsi="宋体" w:eastAsia="宋体" w:cs="宋体"/>
                <w:color w:val="auto"/>
                <w:spacing w:val="-6"/>
                <w:sz w:val="24"/>
                <w:highlight w:val="none"/>
              </w:rPr>
            </w:pPr>
          </w:p>
        </w:tc>
        <w:tc>
          <w:tcPr>
            <w:tcW w:w="1676" w:type="dxa"/>
            <w:vAlign w:val="center"/>
          </w:tcPr>
          <w:p>
            <w:pPr>
              <w:snapToGrid w:val="0"/>
              <w:spacing w:line="400" w:lineRule="exact"/>
              <w:jc w:val="center"/>
              <w:rPr>
                <w:rFonts w:hint="eastAsia" w:ascii="宋体" w:hAnsi="宋体" w:eastAsia="宋体" w:cs="宋体"/>
                <w:color w:val="auto"/>
                <w:spacing w:val="-6"/>
                <w:sz w:val="24"/>
                <w:highlight w:val="none"/>
              </w:rPr>
            </w:pPr>
          </w:p>
        </w:tc>
      </w:tr>
    </w:tbl>
    <w:p>
      <w:pPr>
        <w:adjustRightInd w:val="0"/>
        <w:snapToGrid w:val="0"/>
        <w:spacing w:line="400" w:lineRule="exact"/>
        <w:jc w:val="left"/>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highlight w:val="none"/>
        </w:rPr>
        <w:t>注意：</w:t>
      </w:r>
      <w:r>
        <w:rPr>
          <w:rFonts w:hint="eastAsia" w:ascii="宋体" w:hAnsi="宋体" w:eastAsia="宋体" w:cs="宋体"/>
          <w:b/>
          <w:bCs/>
          <w:color w:val="auto"/>
          <w:spacing w:val="-6"/>
          <w:sz w:val="24"/>
          <w:szCs w:val="24"/>
          <w:highlight w:val="none"/>
        </w:rPr>
        <w:t>1.此表对应本招标文件“第五部分 采购需求”中的商务要求和技术要求，逐项按照招标文件要求填写响应规格；未按采购需求要求提供相应证明材料的视为负偏离。</w:t>
      </w:r>
    </w:p>
    <w:p>
      <w:pPr>
        <w:adjustRightInd w:val="0"/>
        <w:snapToGrid w:val="0"/>
        <w:spacing w:line="400" w:lineRule="exact"/>
        <w:ind w:firstLine="458" w:firstLineChars="200"/>
        <w:jc w:val="left"/>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2.偏离说明是指对招标文件要求存在不同之处的解释说明。偏离系指：正偏离（高于采购需求）、负偏离（低于采购需求）、无偏离（满足采购需求）；</w:t>
      </w:r>
    </w:p>
    <w:p>
      <w:pPr>
        <w:adjustRightInd w:val="0"/>
        <w:snapToGrid w:val="0"/>
        <w:spacing w:line="400" w:lineRule="exact"/>
        <w:ind w:firstLine="458" w:firstLineChars="200"/>
        <w:jc w:val="left"/>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3.按采购需求中所要求的证明材料（如证书、检测报告等）的，请在“要求提供的证明材料页码”一栏中提供证明材料所在页码，未标明要求提供的证明材料页码或由不清晰或者模糊造成无法判断证明材料是否符合要求的风险由投标人自行承担。</w:t>
      </w:r>
    </w:p>
    <w:p>
      <w:pPr>
        <w:adjustRightInd w:val="0"/>
        <w:snapToGrid w:val="0"/>
        <w:spacing w:line="400" w:lineRule="exact"/>
        <w:ind w:firstLine="687" w:firstLineChars="300"/>
        <w:jc w:val="left"/>
        <w:rPr>
          <w:rFonts w:hint="eastAsia" w:ascii="宋体" w:hAnsi="宋体" w:eastAsia="宋体" w:cs="宋体"/>
          <w:b/>
          <w:bCs/>
          <w:color w:val="auto"/>
          <w:spacing w:val="-6"/>
          <w:sz w:val="24"/>
          <w:szCs w:val="24"/>
          <w:highlight w:val="none"/>
        </w:rPr>
      </w:pPr>
    </w:p>
    <w:p>
      <w:pPr>
        <w:widowControl/>
        <w:spacing w:line="400" w:lineRule="exact"/>
        <w:rPr>
          <w:rFonts w:hint="eastAsia" w:ascii="宋体" w:hAnsi="宋体" w:eastAsia="宋体" w:cs="宋体"/>
          <w:color w:val="auto"/>
          <w:kern w:val="0"/>
          <w:sz w:val="24"/>
          <w:szCs w:val="24"/>
          <w:highlight w:val="none"/>
        </w:rPr>
      </w:pPr>
    </w:p>
    <w:p>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w:t>
      </w:r>
    </w:p>
    <w:p>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附件13</w:t>
      </w:r>
    </w:p>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货物配置清单</w:t>
      </w:r>
    </w:p>
    <w:p>
      <w:pPr>
        <w:pStyle w:val="14"/>
        <w:spacing w:after="0" w:line="400" w:lineRule="exact"/>
        <w:ind w:left="482" w:leftChars="0" w:right="0" w:rightChars="0" w:hanging="482"/>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 xml:space="preserve">项目名称：                                      项目编号：                </w:t>
      </w:r>
    </w:p>
    <w:tbl>
      <w:tblPr>
        <w:tblStyle w:val="27"/>
        <w:tblW w:w="97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8"/>
        <w:gridCol w:w="1286"/>
        <w:gridCol w:w="900"/>
        <w:gridCol w:w="693"/>
        <w:gridCol w:w="827"/>
        <w:gridCol w:w="1237"/>
        <w:gridCol w:w="1538"/>
        <w:gridCol w:w="1462"/>
        <w:gridCol w:w="8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958" w:type="dxa"/>
            <w:tcBorders>
              <w:top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制造商</w:t>
            </w:r>
          </w:p>
        </w:tc>
        <w:tc>
          <w:tcPr>
            <w:tcW w:w="6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单位及数量</w:t>
            </w: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性能及指标</w:t>
            </w:r>
          </w:p>
        </w:tc>
        <w:tc>
          <w:tcPr>
            <w:tcW w:w="803" w:type="dxa"/>
            <w:tcBorders>
              <w:top w:val="single" w:color="auto" w:sz="4" w:space="0"/>
              <w:left w:val="single" w:color="auto" w:sz="4" w:space="0"/>
              <w:bottom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958" w:type="dxa"/>
            <w:tcBorders>
              <w:top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p>
            <w:pPr>
              <w:snapToGrid w:val="0"/>
              <w:spacing w:line="400" w:lineRule="exact"/>
              <w:jc w:val="center"/>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6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803" w:type="dxa"/>
            <w:tcBorders>
              <w:top w:val="single" w:color="auto" w:sz="4" w:space="0"/>
              <w:left w:val="single" w:color="auto" w:sz="4" w:space="0"/>
              <w:bottom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958" w:type="dxa"/>
            <w:tcBorders>
              <w:top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6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803" w:type="dxa"/>
            <w:tcBorders>
              <w:top w:val="single" w:color="auto" w:sz="4" w:space="0"/>
              <w:left w:val="single" w:color="auto" w:sz="4" w:space="0"/>
              <w:bottom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958" w:type="dxa"/>
            <w:tcBorders>
              <w:top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6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803" w:type="dxa"/>
            <w:tcBorders>
              <w:top w:val="single" w:color="auto" w:sz="4" w:space="0"/>
              <w:left w:val="single" w:color="auto" w:sz="4" w:space="0"/>
              <w:bottom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958" w:type="dxa"/>
            <w:tcBorders>
              <w:top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6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1462"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803" w:type="dxa"/>
            <w:tcBorders>
              <w:top w:val="single" w:color="auto" w:sz="4" w:space="0"/>
              <w:left w:val="single" w:color="auto" w:sz="4" w:space="0"/>
              <w:bottom w:val="nil"/>
            </w:tcBorders>
            <w:vAlign w:val="center"/>
          </w:tcPr>
          <w:p>
            <w:pPr>
              <w:snapToGrid w:val="0"/>
              <w:spacing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958" w:type="dxa"/>
            <w:tcBorders>
              <w:top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hanging="480"/>
              <w:jc w:val="center"/>
              <w:rPr>
                <w:rFonts w:hint="eastAsia" w:ascii="宋体" w:hAnsi="宋体" w:eastAsia="宋体" w:cs="宋体"/>
                <w:color w:val="auto"/>
                <w:sz w:val="24"/>
                <w:szCs w:val="24"/>
                <w:highlight w:val="none"/>
              </w:rPr>
            </w:pPr>
          </w:p>
        </w:tc>
        <w:tc>
          <w:tcPr>
            <w:tcW w:w="6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hanging="480"/>
              <w:jc w:val="center"/>
              <w:rPr>
                <w:rFonts w:hint="eastAsia" w:ascii="宋体" w:hAnsi="宋体" w:eastAsia="宋体" w:cs="宋体"/>
                <w:color w:val="auto"/>
                <w:sz w:val="24"/>
                <w:szCs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c>
          <w:tcPr>
            <w:tcW w:w="803" w:type="dxa"/>
            <w:tcBorders>
              <w:top w:val="single" w:color="auto" w:sz="4" w:space="0"/>
              <w:left w:val="single" w:color="auto" w:sz="4" w:space="0"/>
              <w:bottom w:val="single" w:color="auto" w:sz="4" w:space="0"/>
            </w:tcBorders>
            <w:vAlign w:val="center"/>
          </w:tcPr>
          <w:p>
            <w:pPr>
              <w:snapToGrid w:val="0"/>
              <w:spacing w:line="400" w:lineRule="exact"/>
              <w:jc w:val="center"/>
              <w:rPr>
                <w:rFonts w:hint="eastAsia" w:ascii="宋体" w:hAnsi="宋体" w:eastAsia="宋体" w:cs="宋体"/>
                <w:color w:val="auto"/>
                <w:sz w:val="24"/>
                <w:szCs w:val="24"/>
                <w:highlight w:val="none"/>
              </w:rPr>
            </w:pPr>
          </w:p>
        </w:tc>
      </w:tr>
    </w:tbl>
    <w:p>
      <w:pPr>
        <w:snapToGrid w:val="0"/>
        <w:spacing w:line="400" w:lineRule="exact"/>
        <w:rPr>
          <w:rFonts w:hint="eastAsia" w:ascii="宋体" w:hAnsi="宋体" w:eastAsia="宋体" w:cs="宋体"/>
          <w:color w:val="auto"/>
          <w:sz w:val="24"/>
          <w:szCs w:val="24"/>
          <w:highlight w:val="none"/>
        </w:rPr>
      </w:pPr>
    </w:p>
    <w:p>
      <w:pPr>
        <w:widowControl/>
        <w:spacing w:line="400" w:lineRule="exact"/>
        <w:ind w:firstLine="420"/>
        <w:rPr>
          <w:rFonts w:hint="eastAsia" w:ascii="宋体" w:hAnsi="宋体" w:eastAsia="宋体" w:cs="宋体"/>
          <w:color w:val="auto"/>
          <w:kern w:val="0"/>
          <w:sz w:val="24"/>
          <w:szCs w:val="24"/>
          <w:highlight w:val="none"/>
        </w:rPr>
      </w:pPr>
    </w:p>
    <w:p>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w:t>
      </w:r>
    </w:p>
    <w:p>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pPr>
        <w:pStyle w:val="15"/>
        <w:spacing w:line="400" w:lineRule="atLeast"/>
        <w:rPr>
          <w:rFonts w:hint="eastAsia" w:ascii="宋体" w:hAnsi="宋体" w:eastAsia="宋体" w:cs="宋体"/>
          <w:b/>
          <w:color w:val="auto"/>
          <w:szCs w:val="24"/>
          <w:highlight w:val="none"/>
        </w:rPr>
      </w:pPr>
    </w:p>
    <w:p>
      <w:pPr>
        <w:pStyle w:val="15"/>
        <w:spacing w:line="400" w:lineRule="atLeast"/>
        <w:rPr>
          <w:rFonts w:hint="eastAsia" w:ascii="宋体" w:hAnsi="宋体" w:eastAsia="宋体" w:cs="宋体"/>
          <w:b/>
          <w:color w:val="auto"/>
          <w:szCs w:val="24"/>
          <w:highlight w:val="none"/>
        </w:rPr>
      </w:pPr>
    </w:p>
    <w:p>
      <w:pPr>
        <w:pStyle w:val="15"/>
        <w:spacing w:line="400" w:lineRule="atLeast"/>
        <w:rPr>
          <w:rFonts w:hint="eastAsia" w:ascii="宋体" w:hAnsi="宋体" w:eastAsia="宋体" w:cs="宋体"/>
          <w:b/>
          <w:color w:val="auto"/>
          <w:szCs w:val="24"/>
          <w:highlight w:val="none"/>
        </w:rPr>
      </w:pPr>
    </w:p>
    <w:p>
      <w:pPr>
        <w:pStyle w:val="15"/>
        <w:spacing w:line="400" w:lineRule="atLeast"/>
        <w:rPr>
          <w:rFonts w:hint="eastAsia" w:ascii="宋体" w:hAnsi="宋体" w:eastAsia="宋体" w:cs="宋体"/>
          <w:b/>
          <w:color w:val="auto"/>
          <w:szCs w:val="24"/>
          <w:highlight w:val="none"/>
        </w:rPr>
      </w:pPr>
    </w:p>
    <w:p>
      <w:pPr>
        <w:pStyle w:val="15"/>
        <w:spacing w:line="400" w:lineRule="atLeast"/>
        <w:rPr>
          <w:rFonts w:hint="eastAsia" w:ascii="宋体" w:hAnsi="宋体" w:eastAsia="宋体" w:cs="宋体"/>
          <w:b/>
          <w:color w:val="auto"/>
          <w:szCs w:val="24"/>
          <w:highlight w:val="none"/>
        </w:rPr>
      </w:pPr>
    </w:p>
    <w:p>
      <w:pPr>
        <w:pStyle w:val="15"/>
        <w:spacing w:line="400" w:lineRule="atLeast"/>
        <w:rPr>
          <w:rFonts w:hint="eastAsia" w:ascii="宋体" w:hAnsi="宋体" w:eastAsia="宋体" w:cs="宋体"/>
          <w:b/>
          <w:color w:val="auto"/>
          <w:szCs w:val="24"/>
          <w:highlight w:val="none"/>
        </w:rPr>
      </w:pPr>
    </w:p>
    <w:p>
      <w:pPr>
        <w:pStyle w:val="15"/>
        <w:spacing w:line="400" w:lineRule="atLeast"/>
        <w:rPr>
          <w:rFonts w:hint="eastAsia" w:ascii="宋体" w:hAnsi="宋体" w:eastAsia="宋体" w:cs="宋体"/>
          <w:b/>
          <w:color w:val="auto"/>
          <w:szCs w:val="24"/>
          <w:highlight w:val="none"/>
        </w:rPr>
      </w:pPr>
    </w:p>
    <w:p>
      <w:pPr>
        <w:pStyle w:val="15"/>
        <w:spacing w:line="400" w:lineRule="atLeast"/>
        <w:rPr>
          <w:rFonts w:hint="eastAsia" w:ascii="宋体" w:hAnsi="宋体" w:eastAsia="宋体" w:cs="宋体"/>
          <w:b/>
          <w:color w:val="auto"/>
          <w:szCs w:val="24"/>
          <w:highlight w:val="none"/>
        </w:rPr>
      </w:pPr>
    </w:p>
    <w:p>
      <w:pPr>
        <w:pStyle w:val="15"/>
        <w:spacing w:line="400" w:lineRule="atLeast"/>
        <w:rPr>
          <w:rFonts w:hint="eastAsia" w:ascii="宋体" w:hAnsi="宋体" w:eastAsia="宋体" w:cs="宋体"/>
          <w:b/>
          <w:color w:val="auto"/>
          <w:szCs w:val="24"/>
          <w:highlight w:val="none"/>
        </w:rPr>
      </w:pPr>
    </w:p>
    <w:p>
      <w:pPr>
        <w:pStyle w:val="15"/>
        <w:spacing w:line="400" w:lineRule="atLeast"/>
        <w:rPr>
          <w:rFonts w:hint="eastAsia" w:ascii="宋体" w:hAnsi="宋体" w:eastAsia="宋体" w:cs="宋体"/>
          <w:b/>
          <w:color w:val="auto"/>
          <w:szCs w:val="24"/>
          <w:highlight w:val="none"/>
        </w:rPr>
      </w:pPr>
    </w:p>
    <w:p>
      <w:pPr>
        <w:pStyle w:val="15"/>
        <w:spacing w:line="400" w:lineRule="atLeast"/>
        <w:rPr>
          <w:rFonts w:hint="eastAsia" w:ascii="宋体" w:hAnsi="宋体" w:eastAsia="宋体" w:cs="宋体"/>
          <w:b/>
          <w:color w:val="auto"/>
          <w:szCs w:val="24"/>
          <w:highlight w:val="none"/>
        </w:rPr>
      </w:pPr>
    </w:p>
    <w:p>
      <w:pPr>
        <w:pStyle w:val="15"/>
        <w:spacing w:line="400" w:lineRule="atLeast"/>
        <w:rPr>
          <w:rFonts w:hint="eastAsia" w:ascii="宋体" w:hAnsi="宋体" w:eastAsia="宋体" w:cs="宋体"/>
          <w:b/>
          <w:color w:val="auto"/>
          <w:szCs w:val="24"/>
          <w:highlight w:val="none"/>
        </w:rPr>
      </w:pPr>
    </w:p>
    <w:p>
      <w:pPr>
        <w:pStyle w:val="15"/>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附件14</w:t>
      </w:r>
    </w:p>
    <w:p>
      <w:pPr>
        <w:adjustRightInd w:val="0"/>
        <w:snapToGrid w:val="0"/>
        <w:spacing w:line="360" w:lineRule="auto"/>
        <w:jc w:val="center"/>
        <w:rPr>
          <w:rFonts w:hint="eastAsia" w:ascii="宋体" w:hAnsi="宋体" w:eastAsia="宋体" w:cs="宋体"/>
          <w:b/>
          <w:snapToGrid w:val="0"/>
          <w:color w:val="auto"/>
          <w:sz w:val="24"/>
          <w:szCs w:val="24"/>
          <w:highlight w:val="none"/>
        </w:rPr>
      </w:pPr>
      <w:r>
        <w:rPr>
          <w:rFonts w:hint="eastAsia" w:ascii="宋体" w:hAnsi="宋体" w:eastAsia="宋体" w:cs="宋体"/>
          <w:b/>
          <w:color w:val="auto"/>
          <w:sz w:val="24"/>
          <w:szCs w:val="24"/>
          <w:highlight w:val="none"/>
        </w:rPr>
        <w:t>常用材料、</w:t>
      </w:r>
      <w:r>
        <w:rPr>
          <w:rFonts w:hint="eastAsia" w:ascii="宋体" w:hAnsi="宋体" w:eastAsia="宋体" w:cs="宋体"/>
          <w:b/>
          <w:snapToGrid w:val="0"/>
          <w:color w:val="auto"/>
          <w:sz w:val="24"/>
          <w:szCs w:val="24"/>
          <w:highlight w:val="none"/>
        </w:rPr>
        <w:t>零配件报价清单</w:t>
      </w:r>
    </w:p>
    <w:p>
      <w:pPr>
        <w:pStyle w:val="15"/>
        <w:snapToGrid w:val="0"/>
        <w:spacing w:line="288" w:lineRule="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项目名称：                           项目编号：                  </w:t>
      </w:r>
      <w:r>
        <w:rPr>
          <w:rFonts w:hint="eastAsia" w:ascii="宋体" w:hAnsi="宋体" w:eastAsia="宋体" w:cs="宋体"/>
          <w:color w:val="auto"/>
          <w:spacing w:val="-6"/>
          <w:sz w:val="22"/>
          <w:highlight w:val="none"/>
        </w:rPr>
        <w:t>金额单位：人民币（元）</w:t>
      </w:r>
    </w:p>
    <w:tbl>
      <w:tblPr>
        <w:tblStyle w:val="27"/>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12"/>
        <w:gridCol w:w="992"/>
        <w:gridCol w:w="808"/>
        <w:gridCol w:w="656"/>
        <w:gridCol w:w="1238"/>
        <w:gridCol w:w="675"/>
        <w:gridCol w:w="675"/>
        <w:gridCol w:w="1237"/>
        <w:gridCol w:w="1350"/>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序号</w:t>
            </w:r>
          </w:p>
        </w:tc>
        <w:tc>
          <w:tcPr>
            <w:tcW w:w="712" w:type="dxa"/>
            <w:vAlign w:val="center"/>
          </w:tcPr>
          <w:p>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名称</w:t>
            </w:r>
          </w:p>
        </w:tc>
        <w:tc>
          <w:tcPr>
            <w:tcW w:w="992" w:type="dxa"/>
            <w:vAlign w:val="center"/>
          </w:tcPr>
          <w:p>
            <w:pPr>
              <w:pStyle w:val="64"/>
              <w:snapToGrid w:val="0"/>
              <w:spacing w:line="360" w:lineRule="auto"/>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制造商</w:t>
            </w:r>
          </w:p>
        </w:tc>
        <w:tc>
          <w:tcPr>
            <w:tcW w:w="808" w:type="dxa"/>
            <w:vAlign w:val="center"/>
          </w:tcPr>
          <w:p>
            <w:pPr>
              <w:pStyle w:val="64"/>
              <w:snapToGrid w:val="0"/>
              <w:spacing w:line="360" w:lineRule="auto"/>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产地</w:t>
            </w:r>
          </w:p>
        </w:tc>
        <w:tc>
          <w:tcPr>
            <w:tcW w:w="656" w:type="dxa"/>
            <w:vAlign w:val="center"/>
          </w:tcPr>
          <w:p>
            <w:pPr>
              <w:pStyle w:val="64"/>
              <w:snapToGrid w:val="0"/>
              <w:spacing w:line="360" w:lineRule="auto"/>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品牌</w:t>
            </w:r>
          </w:p>
        </w:tc>
        <w:tc>
          <w:tcPr>
            <w:tcW w:w="1238" w:type="dxa"/>
            <w:vAlign w:val="center"/>
          </w:tcPr>
          <w:p>
            <w:pPr>
              <w:pStyle w:val="64"/>
              <w:snapToGrid w:val="0"/>
              <w:spacing w:line="360" w:lineRule="auto"/>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型号规格</w:t>
            </w: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单位</w:t>
            </w: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数量</w:t>
            </w:r>
          </w:p>
        </w:tc>
        <w:tc>
          <w:tcPr>
            <w:tcW w:w="1237" w:type="dxa"/>
            <w:vAlign w:val="center"/>
          </w:tcPr>
          <w:p>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单价（元）</w:t>
            </w:r>
          </w:p>
        </w:tc>
        <w:tc>
          <w:tcPr>
            <w:tcW w:w="1350" w:type="dxa"/>
            <w:vAlign w:val="center"/>
          </w:tcPr>
          <w:p>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总价（元）</w:t>
            </w:r>
          </w:p>
        </w:tc>
        <w:tc>
          <w:tcPr>
            <w:tcW w:w="656" w:type="dxa"/>
            <w:vAlign w:val="center"/>
          </w:tcPr>
          <w:p>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pPr>
              <w:pStyle w:val="19"/>
              <w:pBdr>
                <w:bottom w:val="none" w:color="auto" w:sz="0" w:space="0"/>
              </w:pBdr>
              <w:tabs>
                <w:tab w:val="left" w:pos="420"/>
              </w:tabs>
              <w:spacing w:line="360" w:lineRule="auto"/>
              <w:rPr>
                <w:rFonts w:hint="eastAsia" w:ascii="宋体" w:hAnsi="宋体" w:eastAsia="宋体" w:cs="宋体"/>
                <w:snapToGrid w:val="0"/>
                <w:color w:val="auto"/>
                <w:kern w:val="0"/>
                <w:sz w:val="22"/>
                <w:highlight w:val="none"/>
              </w:rPr>
            </w:pPr>
          </w:p>
        </w:tc>
        <w:tc>
          <w:tcPr>
            <w:tcW w:w="1237"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pStyle w:val="16"/>
              <w:adjustRightInd w:val="0"/>
              <w:snapToGrid w:val="0"/>
              <w:spacing w:line="360" w:lineRule="auto"/>
              <w:ind w:left="5250" w:leftChars="0"/>
              <w:rPr>
                <w:rFonts w:hint="eastAsia" w:ascii="宋体" w:hAnsi="宋体" w:eastAsia="宋体" w:cs="宋体"/>
                <w:snapToGrid w:val="0"/>
                <w:color w:val="auto"/>
                <w:kern w:val="0"/>
                <w:sz w:val="22"/>
                <w:szCs w:val="22"/>
                <w:highlight w:val="none"/>
              </w:rPr>
            </w:pPr>
          </w:p>
        </w:tc>
        <w:tc>
          <w:tcPr>
            <w:tcW w:w="712"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pPr>
              <w:adjustRightInd w:val="0"/>
              <w:snapToGrid w:val="0"/>
              <w:spacing w:line="360" w:lineRule="auto"/>
              <w:jc w:val="center"/>
              <w:rPr>
                <w:rFonts w:hint="eastAsia" w:ascii="宋体" w:hAnsi="宋体" w:eastAsia="宋体" w:cs="宋体"/>
                <w:b/>
                <w:bCs/>
                <w:snapToGrid w:val="0"/>
                <w:color w:val="auto"/>
                <w:kern w:val="0"/>
                <w:sz w:val="22"/>
                <w:highlight w:val="none"/>
              </w:rPr>
            </w:pPr>
          </w:p>
        </w:tc>
        <w:tc>
          <w:tcPr>
            <w:tcW w:w="992"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pPr>
              <w:adjustRightInd w:val="0"/>
              <w:snapToGrid w:val="0"/>
              <w:spacing w:line="360" w:lineRule="auto"/>
              <w:rPr>
                <w:rFonts w:hint="eastAsia" w:ascii="宋体" w:hAnsi="宋体" w:eastAsia="宋体" w:cs="宋体"/>
                <w:snapToGrid w:val="0"/>
                <w:color w:val="auto"/>
                <w:kern w:val="0"/>
                <w:sz w:val="22"/>
                <w:highlight w:val="none"/>
              </w:rPr>
            </w:pPr>
          </w:p>
        </w:tc>
      </w:tr>
    </w:tbl>
    <w:p>
      <w:pPr>
        <w:pStyle w:val="15"/>
        <w:snapToGrid w:val="0"/>
        <w:spacing w:line="360" w:lineRule="auto"/>
        <w:rPr>
          <w:rFonts w:hint="eastAsia" w:ascii="宋体" w:hAnsi="宋体" w:eastAsia="宋体" w:cs="宋体"/>
          <w:color w:val="auto"/>
          <w:kern w:val="0"/>
          <w:sz w:val="22"/>
          <w:highlight w:val="none"/>
        </w:rPr>
      </w:pPr>
    </w:p>
    <w:p>
      <w:pPr>
        <w:adjustRightInd w:val="0"/>
        <w:snapToGrid w:val="0"/>
        <w:spacing w:line="360" w:lineRule="auto"/>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注：投标人根据实际情况填写</w:t>
      </w:r>
    </w:p>
    <w:p>
      <w:pPr>
        <w:pStyle w:val="15"/>
        <w:snapToGrid w:val="0"/>
        <w:spacing w:line="360" w:lineRule="auto"/>
        <w:rPr>
          <w:rFonts w:hint="eastAsia" w:ascii="宋体" w:hAnsi="宋体" w:eastAsia="宋体" w:cs="宋体"/>
          <w:color w:val="auto"/>
          <w:kern w:val="0"/>
          <w:sz w:val="22"/>
          <w:highlight w:val="none"/>
        </w:rPr>
      </w:pPr>
    </w:p>
    <w:p>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w:t>
      </w:r>
    </w:p>
    <w:p>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pPr>
        <w:spacing w:before="120" w:beforeLines="50" w:line="360" w:lineRule="auto"/>
        <w:rPr>
          <w:rFonts w:hint="eastAsia" w:ascii="宋体" w:hAnsi="宋体" w:eastAsia="宋体" w:cs="宋体"/>
          <w:b/>
          <w:color w:val="auto"/>
          <w:sz w:val="24"/>
          <w:szCs w:val="24"/>
          <w:highlight w:val="none"/>
        </w:rPr>
      </w:pPr>
    </w:p>
    <w:p>
      <w:pPr>
        <w:pStyle w:val="14"/>
        <w:ind w:left="1470" w:right="1470"/>
        <w:rPr>
          <w:rFonts w:hint="eastAsia" w:ascii="宋体" w:hAnsi="宋体" w:eastAsia="宋体" w:cs="宋体"/>
          <w:b/>
          <w:color w:val="auto"/>
          <w:sz w:val="24"/>
          <w:szCs w:val="24"/>
          <w:highlight w:val="none"/>
        </w:rPr>
      </w:pPr>
    </w:p>
    <w:p>
      <w:pPr>
        <w:pStyle w:val="14"/>
        <w:ind w:left="1470" w:right="1470"/>
        <w:rPr>
          <w:rFonts w:hint="eastAsia" w:ascii="宋体" w:hAnsi="宋体" w:eastAsia="宋体" w:cs="宋体"/>
          <w:b/>
          <w:color w:val="auto"/>
          <w:sz w:val="24"/>
          <w:szCs w:val="24"/>
          <w:highlight w:val="none"/>
        </w:rPr>
      </w:pPr>
    </w:p>
    <w:p>
      <w:pPr>
        <w:spacing w:line="400" w:lineRule="exact"/>
        <w:rPr>
          <w:rFonts w:hint="eastAsia" w:ascii="宋体" w:hAnsi="宋体" w:eastAsia="宋体" w:cs="宋体"/>
          <w:b/>
          <w:color w:val="auto"/>
          <w:sz w:val="24"/>
          <w:szCs w:val="24"/>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400" w:lineRule="exac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附件15</w:t>
      </w:r>
    </w:p>
    <w:p>
      <w:pPr>
        <w:spacing w:line="400" w:lineRule="exact"/>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投标</w:t>
      </w:r>
      <w:r>
        <w:rPr>
          <w:rFonts w:hint="eastAsia" w:ascii="宋体" w:hAnsi="宋体" w:eastAsia="宋体" w:cs="宋体"/>
          <w:b/>
          <w:bCs/>
          <w:color w:val="auto"/>
          <w:sz w:val="24"/>
          <w:szCs w:val="24"/>
          <w:highlight w:val="none"/>
        </w:rPr>
        <w:t>产品</w:t>
      </w:r>
      <w:r>
        <w:rPr>
          <w:rFonts w:hint="eastAsia" w:ascii="宋体" w:hAnsi="宋体" w:eastAsia="宋体" w:cs="宋体"/>
          <w:b/>
          <w:color w:val="auto"/>
          <w:spacing w:val="-6"/>
          <w:sz w:val="24"/>
          <w:highlight w:val="none"/>
        </w:rPr>
        <w:t>技术支持材料</w:t>
      </w:r>
    </w:p>
    <w:p>
      <w:pPr>
        <w:spacing w:line="400" w:lineRule="exact"/>
        <w:rPr>
          <w:rFonts w:hint="eastAsia" w:ascii="宋体" w:hAnsi="宋体" w:eastAsia="宋体" w:cs="宋体"/>
          <w:b/>
          <w:color w:val="auto"/>
          <w:spacing w:val="-6"/>
          <w:sz w:val="24"/>
          <w:highlight w:val="none"/>
        </w:rPr>
      </w:pPr>
    </w:p>
    <w:p>
      <w:pPr>
        <w:spacing w:line="400" w:lineRule="exact"/>
        <w:rPr>
          <w:rFonts w:hint="eastAsia" w:ascii="宋体" w:hAnsi="宋体" w:eastAsia="宋体" w:cs="宋体"/>
          <w:b/>
          <w:color w:val="auto"/>
          <w:spacing w:val="-6"/>
          <w:sz w:val="24"/>
          <w:highlight w:val="none"/>
        </w:rPr>
      </w:pPr>
    </w:p>
    <w:p>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说明：</w:t>
      </w:r>
    </w:p>
    <w:p>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1.投标人提供技术支持资料以证明其对技术指标的应答；</w:t>
      </w:r>
    </w:p>
    <w:p>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2.技术支持资料应是制造商公开发布的印刷资料（彩页、Datasheet）或由有关政府部门或检测机构合法出具的文件或报告；</w:t>
      </w:r>
    </w:p>
    <w:p>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3.不符合上述要求的资料，可被视为是无效的技术支持资料；</w:t>
      </w:r>
    </w:p>
    <w:p>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4.如上述资料之间存在不一致的，以有关政府部门或检测机构合法出具的文件或报告为准；</w:t>
      </w:r>
    </w:p>
    <w:p>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5.若对技术指标的应答无技术支持资料证明，评审小组可不予承认，并可认为该应答不符合招标文件要求，将作出不利于投标人的技术评审，其后果将由投标人自行承担；</w:t>
      </w:r>
    </w:p>
    <w:p>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6.投标人可提供同等于或优于招标文件要求的产品和服务；</w:t>
      </w:r>
    </w:p>
    <w:p>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7.投标人在商务和技术文件中说明本次投标产品的技术参数是否与官网上公开的技术参数一致，如不一致，明确哪些参数不一致，不一致的原因以及使用何种技术可以达到投标产品参数。</w:t>
      </w: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p>
    <w:p>
      <w:pPr>
        <w:pStyle w:val="14"/>
        <w:ind w:left="1470" w:right="1470"/>
        <w:rPr>
          <w:rFonts w:hint="eastAsia" w:ascii="宋体" w:hAnsi="宋体" w:eastAsia="宋体" w:cs="宋体"/>
          <w:b/>
          <w:color w:val="auto"/>
          <w:sz w:val="32"/>
          <w:highlight w:val="none"/>
        </w:rPr>
      </w:pPr>
    </w:p>
    <w:p>
      <w:pPr>
        <w:pStyle w:val="14"/>
        <w:ind w:left="1470" w:right="1470"/>
        <w:rPr>
          <w:rFonts w:hint="eastAsia" w:ascii="宋体" w:hAnsi="宋体" w:eastAsia="宋体" w:cs="宋体"/>
          <w:b/>
          <w:color w:val="auto"/>
          <w:sz w:val="32"/>
          <w:highlight w:val="none"/>
        </w:rPr>
      </w:pPr>
    </w:p>
    <w:p>
      <w:pPr>
        <w:pStyle w:val="14"/>
        <w:ind w:left="1470" w:right="1470"/>
        <w:rPr>
          <w:rFonts w:hint="eastAsia" w:ascii="宋体" w:hAnsi="宋体" w:eastAsia="宋体" w:cs="宋体"/>
          <w:b/>
          <w:color w:val="auto"/>
          <w:sz w:val="32"/>
          <w:highlight w:val="none"/>
        </w:rPr>
      </w:pPr>
    </w:p>
    <w:p>
      <w:pPr>
        <w:pStyle w:val="14"/>
        <w:ind w:left="1470" w:right="1470"/>
        <w:rPr>
          <w:rFonts w:hint="eastAsia" w:ascii="宋体" w:hAnsi="宋体" w:eastAsia="宋体" w:cs="宋体"/>
          <w:b/>
          <w:color w:val="auto"/>
          <w:sz w:val="32"/>
          <w:highlight w:val="none"/>
        </w:rPr>
      </w:pPr>
    </w:p>
    <w:p>
      <w:pPr>
        <w:pStyle w:val="14"/>
        <w:ind w:left="1470" w:right="1470"/>
        <w:rPr>
          <w:rFonts w:hint="eastAsia" w:ascii="宋体" w:hAnsi="宋体" w:eastAsia="宋体" w:cs="宋体"/>
          <w:b/>
          <w:color w:val="auto"/>
          <w:sz w:val="32"/>
          <w:highlight w:val="none"/>
        </w:rPr>
      </w:pPr>
    </w:p>
    <w:p>
      <w:pPr>
        <w:pStyle w:val="14"/>
        <w:ind w:left="1470" w:right="1470"/>
        <w:rPr>
          <w:rFonts w:hint="eastAsia" w:ascii="宋体" w:hAnsi="宋体" w:eastAsia="宋体" w:cs="宋体"/>
          <w:b/>
          <w:color w:val="auto"/>
          <w:sz w:val="32"/>
          <w:highlight w:val="none"/>
        </w:rPr>
      </w:pPr>
    </w:p>
    <w:p>
      <w:pPr>
        <w:pStyle w:val="14"/>
        <w:ind w:left="1470" w:right="1470"/>
        <w:rPr>
          <w:rFonts w:hint="eastAsia" w:ascii="宋体" w:hAnsi="宋体" w:eastAsia="宋体" w:cs="宋体"/>
          <w:b/>
          <w:color w:val="auto"/>
          <w:sz w:val="32"/>
          <w:highlight w:val="none"/>
        </w:rPr>
      </w:pPr>
    </w:p>
    <w:p>
      <w:pPr>
        <w:pStyle w:val="14"/>
        <w:ind w:left="1470" w:right="1470"/>
        <w:rPr>
          <w:rFonts w:hint="eastAsia" w:ascii="宋体" w:hAnsi="宋体" w:eastAsia="宋体" w:cs="宋体"/>
          <w:b/>
          <w:color w:val="auto"/>
          <w:sz w:val="32"/>
          <w:highlight w:val="none"/>
        </w:rPr>
      </w:pPr>
    </w:p>
    <w:p>
      <w:pPr>
        <w:pStyle w:val="14"/>
        <w:ind w:left="1470" w:right="1470"/>
        <w:rPr>
          <w:rFonts w:hint="eastAsia" w:ascii="宋体" w:hAnsi="宋体" w:eastAsia="宋体" w:cs="宋体"/>
          <w:b/>
          <w:color w:val="auto"/>
          <w:sz w:val="32"/>
          <w:highlight w:val="none"/>
        </w:rPr>
      </w:pPr>
    </w:p>
    <w:p>
      <w:pPr>
        <w:pStyle w:val="14"/>
        <w:ind w:left="0" w:leftChars="0" w:right="1470"/>
        <w:rPr>
          <w:rFonts w:hint="eastAsia" w:ascii="宋体" w:hAnsi="宋体" w:eastAsia="宋体" w:cs="宋体"/>
          <w:b/>
          <w:color w:val="auto"/>
          <w:sz w:val="32"/>
          <w:highlight w:val="none"/>
        </w:rPr>
      </w:pPr>
    </w:p>
    <w:p>
      <w:pPr>
        <w:pStyle w:val="14"/>
        <w:ind w:left="0" w:leftChars="0" w:right="1470"/>
        <w:rPr>
          <w:rFonts w:hint="eastAsia" w:ascii="宋体" w:hAnsi="宋体" w:eastAsia="宋体" w:cs="宋体"/>
          <w:b/>
          <w:color w:val="auto"/>
          <w:sz w:val="32"/>
          <w:highlight w:val="none"/>
        </w:rPr>
      </w:pPr>
    </w:p>
    <w:p>
      <w:pPr>
        <w:spacing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z w:val="24"/>
          <w:szCs w:val="24"/>
          <w:highlight w:val="none"/>
        </w:rPr>
        <w:t>附件16</w:t>
      </w:r>
    </w:p>
    <w:p>
      <w:pPr>
        <w:pStyle w:val="60"/>
        <w:snapToGrid w:val="0"/>
        <w:spacing w:line="600" w:lineRule="exac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政府采购活动现场确认声明书</w:t>
      </w:r>
    </w:p>
    <w:p>
      <w:pPr>
        <w:pStyle w:val="60"/>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u w:val="single"/>
        </w:rPr>
        <w:t>浙江乐诚工程咨询有限公司</w:t>
      </w:r>
      <w:r>
        <w:rPr>
          <w:rFonts w:hint="eastAsia" w:ascii="宋体" w:hAnsi="宋体" w:eastAsia="宋体" w:cs="宋体"/>
          <w:color w:val="auto"/>
          <w:kern w:val="0"/>
          <w:sz w:val="24"/>
          <w:szCs w:val="24"/>
          <w:highlight w:val="none"/>
        </w:rPr>
        <w:t>：</w:t>
      </w:r>
    </w:p>
    <w:p>
      <w:pPr>
        <w:pStyle w:val="60"/>
        <w:snapToGrid w:val="0"/>
        <w:spacing w:line="40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本人经由</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spacing w:val="6"/>
          <w:sz w:val="24"/>
          <w:szCs w:val="24"/>
          <w:highlight w:val="none"/>
          <w:u w:val="single"/>
        </w:rPr>
        <w:t>单位）</w:t>
      </w:r>
      <w:r>
        <w:rPr>
          <w:rFonts w:hint="eastAsia" w:ascii="宋体" w:hAnsi="宋体" w:eastAsia="宋体" w:cs="宋体"/>
          <w:color w:val="auto"/>
          <w:spacing w:val="6"/>
          <w:sz w:val="24"/>
          <w:szCs w:val="24"/>
          <w:highlight w:val="none"/>
        </w:rPr>
        <w:t>法人代表负责人</w:t>
      </w:r>
      <w:r>
        <w:rPr>
          <w:rFonts w:hint="eastAsia" w:ascii="宋体" w:hAnsi="宋体" w:eastAsia="宋体" w:cs="宋体"/>
          <w:color w:val="auto"/>
          <w:spacing w:val="6"/>
          <w:sz w:val="24"/>
          <w:szCs w:val="24"/>
          <w:highlight w:val="none"/>
          <w:u w:val="single"/>
        </w:rPr>
        <w:t xml:space="preserve">         （姓名）</w:t>
      </w:r>
      <w:r>
        <w:rPr>
          <w:rFonts w:hint="eastAsia" w:ascii="宋体" w:hAnsi="宋体" w:eastAsia="宋体" w:cs="宋体"/>
          <w:color w:val="auto"/>
          <w:spacing w:val="6"/>
          <w:sz w:val="24"/>
          <w:szCs w:val="24"/>
          <w:highlight w:val="none"/>
        </w:rPr>
        <w:t>合法授权参加（项目编号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 xml:space="preserve">）政府采购活动，经与本单位法人代表（负责人）联系确认，现就有关公平竞争事项郑重声明如下： </w:t>
      </w:r>
    </w:p>
    <w:p>
      <w:pPr>
        <w:pStyle w:val="60"/>
        <w:numPr>
          <w:ilvl w:val="0"/>
          <w:numId w:val="6"/>
        </w:numPr>
        <w:snapToGrid w:val="0"/>
        <w:spacing w:line="4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本单位与采购人之间□不存在利害关系 □存在下列利害关系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60"/>
        <w:snapToGrid w:val="0"/>
        <w:spacing w:line="4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A.投资关系    B.行政隶属关系    C.业务指导关系</w:t>
      </w:r>
    </w:p>
    <w:p>
      <w:pPr>
        <w:pStyle w:val="60"/>
        <w:snapToGrid w:val="0"/>
        <w:spacing w:line="4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pPr>
        <w:pStyle w:val="61"/>
        <w:widowControl/>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 xml:space="preserve">  二、</w:t>
      </w:r>
      <w:r>
        <w:rPr>
          <w:rFonts w:hint="eastAsia" w:ascii="宋体" w:hAnsi="宋体" w:eastAsia="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highlight w:val="none"/>
          <w:u w:val="single"/>
        </w:rPr>
        <w:t xml:space="preserve">           （供应商名称）</w:t>
      </w:r>
      <w:r>
        <w:rPr>
          <w:rFonts w:hint="eastAsia" w:ascii="宋体" w:hAnsi="宋体" w:eastAsia="宋体" w:cs="宋体"/>
          <w:color w:val="auto"/>
          <w:kern w:val="0"/>
          <w:sz w:val="24"/>
          <w:szCs w:val="24"/>
          <w:highlight w:val="none"/>
        </w:rPr>
        <w:t>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60"/>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pPr>
        <w:pStyle w:val="60"/>
        <w:snapToGrid w:val="0"/>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pPr>
        <w:pStyle w:val="60"/>
        <w:snapToGrid w:val="0"/>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pPr>
        <w:pStyle w:val="60"/>
        <w:snapToGrid w:val="0"/>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pPr>
        <w:pStyle w:val="60"/>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pPr>
        <w:pStyle w:val="60"/>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pPr>
        <w:pStyle w:val="60"/>
        <w:snapToGrid w:val="0"/>
        <w:spacing w:line="400" w:lineRule="exact"/>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G.存在共同直接或间接投资设立子公司、联营企业和合营企业情况</w:t>
      </w:r>
    </w:p>
    <w:p>
      <w:pPr>
        <w:pStyle w:val="6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pPr>
        <w:pStyle w:val="60"/>
        <w:snapToGrid w:val="0"/>
        <w:spacing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61"/>
        <w:widowControl/>
        <w:numPr>
          <w:ilvl w:val="0"/>
          <w:numId w:val="7"/>
        </w:numPr>
        <w:snapToGrid w:val="0"/>
        <w:spacing w:line="40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严格遵守政府采购法律法规和现场纪律。</w:t>
      </w:r>
    </w:p>
    <w:p>
      <w:pPr>
        <w:pStyle w:val="61"/>
        <w:widowControl/>
        <w:numPr>
          <w:ilvl w:val="0"/>
          <w:numId w:val="7"/>
        </w:numPr>
        <w:snapToGrid w:val="0"/>
        <w:spacing w:line="40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p>
    <w:p>
      <w:pPr>
        <w:pStyle w:val="60"/>
        <w:snapToGrid w:val="0"/>
        <w:spacing w:line="400" w:lineRule="exact"/>
        <w:ind w:firstLine="480" w:firstLineChars="200"/>
        <w:rPr>
          <w:rFonts w:hint="eastAsia" w:ascii="宋体" w:hAnsi="宋体" w:eastAsia="宋体" w:cs="宋体"/>
          <w:color w:val="auto"/>
          <w:sz w:val="24"/>
          <w:szCs w:val="24"/>
          <w:highlight w:val="none"/>
        </w:rPr>
      </w:pPr>
    </w:p>
    <w:p>
      <w:pPr>
        <w:pStyle w:val="60"/>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供应商授权代表签名：</w:t>
      </w:r>
    </w:p>
    <w:p>
      <w:pPr>
        <w:pStyle w:val="60"/>
        <w:snapToGrid w:val="0"/>
        <w:spacing w:line="60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月  日  </w:t>
      </w:r>
    </w:p>
    <w:p>
      <w:pPr>
        <w:pStyle w:val="14"/>
        <w:ind w:left="1470" w:right="1470"/>
        <w:rPr>
          <w:rFonts w:hint="eastAsia" w:ascii="宋体" w:hAnsi="宋体" w:eastAsia="宋体" w:cs="宋体"/>
          <w:color w:val="auto"/>
          <w:sz w:val="22"/>
          <w:highlight w:val="none"/>
        </w:rPr>
      </w:pPr>
    </w:p>
    <w:p>
      <w:pPr>
        <w:pStyle w:val="14"/>
        <w:ind w:left="1470" w:right="1470"/>
        <w:rPr>
          <w:rFonts w:hint="eastAsia" w:ascii="宋体" w:hAnsi="宋体" w:eastAsia="宋体" w:cs="宋体"/>
          <w:color w:val="auto"/>
          <w:sz w:val="22"/>
          <w:highlight w:val="none"/>
        </w:rPr>
      </w:pPr>
    </w:p>
    <w:p>
      <w:pPr>
        <w:pStyle w:val="14"/>
        <w:ind w:left="1470" w:right="1470"/>
        <w:rPr>
          <w:rFonts w:hint="eastAsia" w:ascii="宋体" w:hAnsi="宋体" w:eastAsia="宋体" w:cs="宋体"/>
          <w:color w:val="auto"/>
          <w:sz w:val="22"/>
          <w:highlight w:val="none"/>
        </w:rPr>
      </w:pPr>
    </w:p>
    <w:p>
      <w:pPr>
        <w:pStyle w:val="14"/>
        <w:ind w:left="1470" w:right="1470"/>
        <w:rPr>
          <w:rFonts w:hint="eastAsia" w:ascii="宋体" w:hAnsi="宋体" w:eastAsia="宋体" w:cs="宋体"/>
          <w:color w:val="auto"/>
          <w:sz w:val="22"/>
          <w:highlight w:val="none"/>
        </w:rPr>
      </w:pPr>
    </w:p>
    <w:p>
      <w:pPr>
        <w:pStyle w:val="14"/>
        <w:ind w:left="1470" w:right="1470"/>
        <w:rPr>
          <w:rFonts w:hint="eastAsia" w:ascii="宋体" w:hAnsi="宋体" w:eastAsia="宋体" w:cs="宋体"/>
          <w:color w:val="auto"/>
          <w:sz w:val="22"/>
          <w:highlight w:val="none"/>
        </w:rPr>
      </w:pPr>
    </w:p>
    <w:p>
      <w:pPr>
        <w:snapToGrid w:val="0"/>
        <w:spacing w:before="120" w:beforeLines="50" w:after="50"/>
        <w:outlineLvl w:val="1"/>
        <w:rPr>
          <w:rFonts w:hint="eastAsia" w:ascii="宋体" w:hAnsi="宋体" w:eastAsia="宋体" w:cs="宋体"/>
          <w:b/>
          <w:bCs/>
          <w:color w:val="auto"/>
          <w:sz w:val="24"/>
          <w:highlight w:val="none"/>
        </w:rPr>
      </w:pP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第五部分 采购需求</w:t>
      </w:r>
    </w:p>
    <w:p>
      <w:pPr>
        <w:pStyle w:val="11"/>
        <w:spacing w:line="360" w:lineRule="exact"/>
        <w:ind w:firstLine="221"/>
        <w:rPr>
          <w:rFonts w:hint="eastAsia" w:ascii="宋体" w:hAnsi="宋体" w:eastAsia="宋体" w:cs="宋体"/>
          <w:color w:val="auto"/>
          <w:sz w:val="22"/>
          <w:szCs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lang w:eastAsia="zh-CN"/>
        </w:rPr>
      </w:pPr>
      <w:r>
        <w:rPr>
          <w:rFonts w:hint="eastAsia" w:ascii="宋体" w:hAnsi="宋体" w:eastAsia="宋体" w:cs="宋体"/>
          <w:b/>
          <w:bCs/>
          <w:color w:val="auto"/>
          <w:sz w:val="22"/>
          <w:highlight w:val="none"/>
        </w:rPr>
        <w:t>标项1：</w:t>
      </w:r>
      <w:r>
        <w:rPr>
          <w:rFonts w:hint="eastAsia" w:ascii="宋体" w:hAnsi="宋体" w:eastAsia="宋体" w:cs="宋体"/>
          <w:b/>
          <w:bCs/>
          <w:color w:val="auto"/>
          <w:spacing w:val="-6"/>
          <w:sz w:val="22"/>
          <w:highlight w:val="none"/>
          <w:lang w:eastAsia="zh-CN"/>
        </w:rPr>
        <w:t>激光共聚焦显微镜</w:t>
      </w:r>
    </w:p>
    <w:p>
      <w:pPr>
        <w:pStyle w:val="15"/>
        <w:overflowPunct/>
        <w:autoSpaceDE/>
        <w:autoSpaceDN/>
        <w:adjustRightInd/>
        <w:snapToGrid w:val="0"/>
        <w:spacing w:line="360" w:lineRule="exact"/>
        <w:textAlignment w:val="auto"/>
        <w:outlineLvl w:val="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一、采购内容及数量</w:t>
      </w:r>
    </w:p>
    <w:tbl>
      <w:tblPr>
        <w:tblStyle w:val="27"/>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626"/>
        <w:gridCol w:w="2067"/>
        <w:gridCol w:w="1039"/>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序号</w:t>
            </w:r>
          </w:p>
        </w:tc>
        <w:tc>
          <w:tcPr>
            <w:tcW w:w="2626"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内容</w:t>
            </w:r>
          </w:p>
        </w:tc>
        <w:tc>
          <w:tcPr>
            <w:tcW w:w="2067"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是否允许进口</w:t>
            </w:r>
          </w:p>
        </w:tc>
        <w:tc>
          <w:tcPr>
            <w:tcW w:w="1039"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数量</w:t>
            </w:r>
          </w:p>
        </w:tc>
        <w:tc>
          <w:tcPr>
            <w:tcW w:w="1951"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Align w:val="center"/>
          </w:tcPr>
          <w:p>
            <w:pPr>
              <w:widowControl/>
              <w:snapToGrid w:val="0"/>
              <w:spacing w:line="360" w:lineRule="exact"/>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1</w:t>
            </w:r>
          </w:p>
        </w:tc>
        <w:tc>
          <w:tcPr>
            <w:tcW w:w="2626" w:type="dxa"/>
            <w:vAlign w:val="center"/>
          </w:tcPr>
          <w:p>
            <w:pPr>
              <w:widowControl/>
              <w:snapToGrid w:val="0"/>
              <w:spacing w:line="360" w:lineRule="exact"/>
              <w:jc w:val="center"/>
              <w:rPr>
                <w:rFonts w:hint="eastAsia" w:ascii="宋体" w:hAnsi="宋体" w:eastAsia="宋体" w:cs="宋体"/>
                <w:b/>
                <w:bCs/>
                <w:color w:val="auto"/>
                <w:spacing w:val="-6"/>
                <w:sz w:val="22"/>
                <w:highlight w:val="none"/>
                <w:lang w:eastAsia="zh-CN"/>
              </w:rPr>
            </w:pPr>
            <w:r>
              <w:rPr>
                <w:rFonts w:hint="eastAsia" w:ascii="宋体" w:hAnsi="宋体" w:eastAsia="宋体" w:cs="宋体"/>
                <w:b/>
                <w:bCs/>
                <w:color w:val="auto"/>
                <w:spacing w:val="-6"/>
                <w:sz w:val="22"/>
                <w:highlight w:val="none"/>
                <w:lang w:eastAsia="zh-CN"/>
              </w:rPr>
              <w:t>激光共聚焦显微镜</w:t>
            </w:r>
          </w:p>
        </w:tc>
        <w:tc>
          <w:tcPr>
            <w:tcW w:w="2067"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是</w:t>
            </w:r>
          </w:p>
        </w:tc>
        <w:tc>
          <w:tcPr>
            <w:tcW w:w="1039" w:type="dxa"/>
            <w:vAlign w:val="center"/>
          </w:tcPr>
          <w:p>
            <w:pPr>
              <w:widowControl/>
              <w:snapToGrid w:val="0"/>
              <w:spacing w:line="360" w:lineRule="exact"/>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1</w:t>
            </w:r>
            <w:r>
              <w:rPr>
                <w:rFonts w:hint="eastAsia" w:ascii="宋体" w:hAnsi="宋体" w:eastAsia="宋体" w:cs="宋体"/>
                <w:b/>
                <w:bCs/>
                <w:color w:val="auto"/>
                <w:sz w:val="22"/>
                <w:highlight w:val="none"/>
              </w:rPr>
              <w:t>套</w:t>
            </w:r>
          </w:p>
        </w:tc>
        <w:tc>
          <w:tcPr>
            <w:tcW w:w="1951"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2800000</w:t>
            </w:r>
          </w:p>
        </w:tc>
      </w:tr>
    </w:tbl>
    <w:p>
      <w:pPr>
        <w:widowControl/>
        <w:adjustRightInd w:val="0"/>
        <w:snapToGrid w:val="0"/>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二.为落实政府采购政策需满足的要求：</w:t>
      </w:r>
    </w:p>
    <w:tbl>
      <w:tblPr>
        <w:tblStyle w:val="27"/>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866"/>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866"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政策名称</w:t>
            </w:r>
          </w:p>
        </w:tc>
        <w:tc>
          <w:tcPr>
            <w:tcW w:w="5898"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2866"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政府采购促进中小企业发展</w:t>
            </w:r>
          </w:p>
        </w:tc>
        <w:tc>
          <w:tcPr>
            <w:tcW w:w="5898" w:type="dxa"/>
            <w:vAlign w:val="center"/>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提供材料详见招标文件第四部分附件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2866"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政府采购支持监狱企业发展</w:t>
            </w:r>
          </w:p>
        </w:tc>
        <w:tc>
          <w:tcPr>
            <w:tcW w:w="5898" w:type="dxa"/>
            <w:vAlign w:val="center"/>
          </w:tcPr>
          <w:p>
            <w:pPr>
              <w:widowControl/>
              <w:adjustRightInd w:val="0"/>
              <w:snapToGri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2866"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政府采购促进残疾人就业</w:t>
            </w:r>
          </w:p>
        </w:tc>
        <w:tc>
          <w:tcPr>
            <w:tcW w:w="5898" w:type="dxa"/>
            <w:vAlign w:val="center"/>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2866"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政府采购节能环保产品</w:t>
            </w:r>
          </w:p>
        </w:tc>
        <w:tc>
          <w:tcPr>
            <w:tcW w:w="5898" w:type="dxa"/>
            <w:vAlign w:val="center"/>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按照招标文件第四部分附件要求提供“投标产品经国家确定的认证机构出具的处于有效期之内的节能产品、环境标志产品认证证书”或“投标产品在‘中国政府采购网’上节能产品或环境标志产品查询截图”。</w:t>
            </w:r>
          </w:p>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▲2、采购需求中要求提供的产品属于节能产品政府采购品目清单中强制采购的，投标人须提供该清单内产品，并按上款要求提供节能产品认证证书或规定网站证书查询截图，否则其投标无效。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2866"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政府采购进口产品</w:t>
            </w:r>
          </w:p>
        </w:tc>
        <w:tc>
          <w:tcPr>
            <w:tcW w:w="5898" w:type="dxa"/>
            <w:vAlign w:val="center"/>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允许</w:t>
            </w:r>
          </w:p>
        </w:tc>
      </w:tr>
    </w:tbl>
    <w:p>
      <w:pPr>
        <w:widowControl/>
        <w:adjustRightInd w:val="0"/>
        <w:snapToGrid w:val="0"/>
        <w:spacing w:line="360" w:lineRule="exact"/>
        <w:outlineLvl w:val="0"/>
        <w:rPr>
          <w:rFonts w:hint="eastAsia" w:ascii="宋体" w:hAnsi="宋体" w:eastAsia="宋体" w:cs="宋体"/>
          <w:b/>
          <w:bCs/>
          <w:color w:val="auto"/>
          <w:spacing w:val="-6"/>
          <w:sz w:val="22"/>
          <w:highlight w:val="none"/>
        </w:rPr>
      </w:pPr>
      <w:r>
        <w:rPr>
          <w:rFonts w:hint="eastAsia" w:ascii="宋体" w:hAnsi="宋体" w:eastAsia="宋体" w:cs="宋体"/>
          <w:b/>
          <w:bCs/>
          <w:color w:val="auto"/>
          <w:kern w:val="0"/>
          <w:sz w:val="22"/>
          <w:highlight w:val="none"/>
        </w:rPr>
        <w:t>三.</w:t>
      </w:r>
      <w:r>
        <w:rPr>
          <w:rFonts w:hint="eastAsia" w:ascii="宋体" w:hAnsi="宋体" w:eastAsia="宋体" w:cs="宋体"/>
          <w:b/>
          <w:bCs/>
          <w:color w:val="auto"/>
          <w:spacing w:val="-6"/>
          <w:sz w:val="22"/>
          <w:highlight w:val="none"/>
        </w:rPr>
        <w:t>商务要求（技术要求里另有注明的以技术要求为准）</w:t>
      </w:r>
    </w:p>
    <w:tbl>
      <w:tblPr>
        <w:tblStyle w:val="27"/>
        <w:tblW w:w="94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1"/>
        <w:gridCol w:w="79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履约保证金</w:t>
            </w:r>
          </w:p>
        </w:tc>
        <w:tc>
          <w:tcPr>
            <w:tcW w:w="7953"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▲签订合同后5个工作日内中标人应向采购人交纳合同总金额的5％作为履约保证金。履约保证金在货到安装验收合格且质保期满后并收到中标人开具的收据15个工作日内无息退还。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支付方式</w:t>
            </w:r>
          </w:p>
        </w:tc>
        <w:tc>
          <w:tcPr>
            <w:tcW w:w="7953"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▲（1）进口免税货物付款方式：</w:t>
            </w:r>
          </w:p>
          <w:p>
            <w:pPr>
              <w:pStyle w:val="9"/>
              <w:widowControl/>
              <w:adjustRightInd w:val="0"/>
              <w:snapToGrid w:val="0"/>
              <w:spacing w:line="360" w:lineRule="exac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合同生效以及具备实施条件后15日内采购人先预付合同金额的30%给中标人或中标人委托的外贸代理公司，中标人</w:t>
            </w:r>
            <w:r>
              <w:rPr>
                <w:rFonts w:hint="eastAsia" w:ascii="宋体" w:hAnsi="宋体" w:eastAsia="宋体" w:cs="宋体"/>
                <w:color w:val="auto"/>
                <w:sz w:val="22"/>
                <w:highlight w:val="none"/>
                <w:u w:val="single"/>
                <w:lang w:val="zh-CN"/>
              </w:rPr>
              <w:t>完成全部供货及安装、</w:t>
            </w:r>
            <w:r>
              <w:rPr>
                <w:rFonts w:hint="eastAsia" w:ascii="宋体" w:hAnsi="宋体" w:eastAsia="宋体" w:cs="宋体"/>
                <w:color w:val="auto"/>
                <w:sz w:val="22"/>
                <w:highlight w:val="none"/>
                <w:u w:val="single"/>
              </w:rPr>
              <w:t>施工</w:t>
            </w:r>
            <w:r>
              <w:rPr>
                <w:rFonts w:hint="eastAsia" w:ascii="宋体" w:hAnsi="宋体" w:eastAsia="宋体" w:cs="宋体"/>
                <w:color w:val="auto"/>
                <w:sz w:val="22"/>
                <w:highlight w:val="none"/>
                <w:u w:val="single"/>
                <w:lang w:val="zh-CN"/>
              </w:rPr>
              <w:t>、调试并通过</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验收且</w:t>
            </w:r>
            <w:r>
              <w:rPr>
                <w:rFonts w:hint="eastAsia" w:ascii="宋体" w:hAnsi="宋体" w:eastAsia="宋体" w:cs="宋体"/>
                <w:color w:val="auto"/>
                <w:sz w:val="22"/>
                <w:highlight w:val="none"/>
                <w:u w:val="single"/>
              </w:rPr>
              <w:t>中标人</w:t>
            </w:r>
            <w:r>
              <w:rPr>
                <w:rFonts w:hint="eastAsia" w:ascii="宋体" w:hAnsi="宋体" w:eastAsia="宋体" w:cs="宋体"/>
                <w:color w:val="auto"/>
                <w:sz w:val="22"/>
                <w:highlight w:val="none"/>
                <w:u w:val="single"/>
                <w:lang w:val="zh-CN"/>
              </w:rPr>
              <w:t>对</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的培训完成后，</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15个工作日内</w:t>
            </w:r>
            <w:r>
              <w:rPr>
                <w:rFonts w:hint="eastAsia" w:ascii="宋体" w:hAnsi="宋体" w:eastAsia="宋体" w:cs="宋体"/>
                <w:color w:val="auto"/>
                <w:sz w:val="22"/>
                <w:highlight w:val="none"/>
                <w:u w:val="single"/>
              </w:rPr>
              <w:t>支付剩余的货款。中标人或中标人委托的外贸代理公司各阶段均需开具全额正规发票。</w:t>
            </w:r>
          </w:p>
          <w:p>
            <w:pPr>
              <w:pStyle w:val="9"/>
              <w:widowControl/>
              <w:adjustRightInd w:val="0"/>
              <w:snapToGrid w:val="0"/>
              <w:spacing w:line="360" w:lineRule="exac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▲（2）国产货物付款方式：</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合同生效以及具备实施条件后15日内采购人先预付合同金额的30%给中标人，中标人</w:t>
            </w:r>
            <w:r>
              <w:rPr>
                <w:rFonts w:hint="eastAsia" w:ascii="宋体" w:hAnsi="宋体" w:eastAsia="宋体" w:cs="宋体"/>
                <w:color w:val="auto"/>
                <w:sz w:val="22"/>
                <w:highlight w:val="none"/>
                <w:u w:val="single"/>
                <w:lang w:val="zh-CN"/>
              </w:rPr>
              <w:t>完成全部供货及安装、</w:t>
            </w:r>
            <w:r>
              <w:rPr>
                <w:rFonts w:hint="eastAsia" w:ascii="宋体" w:hAnsi="宋体" w:eastAsia="宋体" w:cs="宋体"/>
                <w:color w:val="auto"/>
                <w:sz w:val="22"/>
                <w:highlight w:val="none"/>
                <w:u w:val="single"/>
              </w:rPr>
              <w:t>施工</w:t>
            </w:r>
            <w:r>
              <w:rPr>
                <w:rFonts w:hint="eastAsia" w:ascii="宋体" w:hAnsi="宋体" w:eastAsia="宋体" w:cs="宋体"/>
                <w:color w:val="auto"/>
                <w:sz w:val="22"/>
                <w:highlight w:val="none"/>
                <w:u w:val="single"/>
                <w:lang w:val="zh-CN"/>
              </w:rPr>
              <w:t>、调试并通过</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验收且</w:t>
            </w:r>
            <w:r>
              <w:rPr>
                <w:rFonts w:hint="eastAsia" w:ascii="宋体" w:hAnsi="宋体" w:eastAsia="宋体" w:cs="宋体"/>
                <w:color w:val="auto"/>
                <w:sz w:val="22"/>
                <w:highlight w:val="none"/>
                <w:u w:val="single"/>
              </w:rPr>
              <w:t>中标人</w:t>
            </w:r>
            <w:r>
              <w:rPr>
                <w:rFonts w:hint="eastAsia" w:ascii="宋体" w:hAnsi="宋体" w:eastAsia="宋体" w:cs="宋体"/>
                <w:color w:val="auto"/>
                <w:sz w:val="22"/>
                <w:highlight w:val="none"/>
                <w:u w:val="single"/>
                <w:lang w:val="zh-CN"/>
              </w:rPr>
              <w:t>对</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的培训完成后，</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15个工作日内</w:t>
            </w:r>
            <w:r>
              <w:rPr>
                <w:rFonts w:hint="eastAsia" w:ascii="宋体" w:hAnsi="宋体" w:eastAsia="宋体" w:cs="宋体"/>
                <w:color w:val="auto"/>
                <w:sz w:val="22"/>
                <w:highlight w:val="none"/>
                <w:u w:val="single"/>
              </w:rPr>
              <w:t>支付剩余的货款。中标人各阶段均需开具全额正规发票。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交付时间</w:t>
            </w:r>
          </w:p>
        </w:tc>
        <w:tc>
          <w:tcPr>
            <w:tcW w:w="7953"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进口免税产品在收到免税办妥通知并信用证（L/C）开出后90天内。</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国产产品在合同签订后30天内交货完毕、安装调试完成。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交付地点</w:t>
            </w:r>
          </w:p>
        </w:tc>
        <w:tc>
          <w:tcPr>
            <w:tcW w:w="7953"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温州肯恩大学指定地点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质保期</w:t>
            </w:r>
          </w:p>
        </w:tc>
        <w:tc>
          <w:tcPr>
            <w:tcW w:w="79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整机质保期应根据招标参数要求不小于1年，质保期时间自验收合格之日开始计算。在此质保期内，如在正常使用过程中出现的质量问题，投标人须负责免费维修或调换。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服务标准</w:t>
            </w:r>
          </w:p>
        </w:tc>
        <w:tc>
          <w:tcPr>
            <w:tcW w:w="7953"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质保期内因不能排除的故障而影响工作的情况每发生一次，其质保期相应延长60天，质保期内因货物本身缺陷造成各种故障或无法排除故障的应由中标人免费予以更换同等新设备，否则将扣除履约保证金或故障设备同等价值违约金作为对采购人的补偿。</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2.在质保期内，所有服务及软硬配件全部免费。质保期满后，仅收配件或易损件优惠费用(优惠价格不高于7折），所涉及软件终身免费升级。</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3.中标人应确保设备正常使用，零配件在该设备停产后仍需保证至少5年的供应。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服务效率</w:t>
            </w:r>
          </w:p>
        </w:tc>
        <w:tc>
          <w:tcPr>
            <w:tcW w:w="7953"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合同货物出现故障后，电话响应2小时，电话不能解决的24小时到现场并解决问题，要求时限内不能修复的问题，无偿提供新备品、新备件或新备机，以保证用户的正常运行。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验收标准</w:t>
            </w:r>
          </w:p>
        </w:tc>
        <w:tc>
          <w:tcPr>
            <w:tcW w:w="7953"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合同履约验收参照《温州市政府采购履约验收办法》(温财采[2020]6号)相关规定。合同履约达到验收条件时，卖方按冋买方书面发起验收申请，买方或者其委托的采购代理机构(以下简称验收组织机构)在收到卖方验收申请五个工作日内启动项目验收。</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合同金额在采购限额标准以上的，原则上应采用一般程序验收。验收小组应当由五人以上(含本数)单数、熟悉项目需求和标的人员组成，其中相关专业技术人员人数不得少于验收小组人员总数的三分之二。验收组织机构应当按照采购文件、投标(响应)文件、采购合同、封存样品等约定的质量、数量、技术指标或者服务要求设验收指标及其标准。未约定的，应当符合国家强制性规定、政策要求、安全标准、行业或企业有关标准等。</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3.买方依据验收书和卖方其他履约情况，对验收项目作出整体评价和分类评价，形成验收结果，除涉密情形外，买方应在评价后2个工作日内在浙江政府采购网发布验收结果。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其他技术、服务要求</w:t>
            </w:r>
          </w:p>
        </w:tc>
        <w:tc>
          <w:tcPr>
            <w:tcW w:w="7953"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1.培训：</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1.1 对采购人的操作人员、维修人员每年定期免费进行培训。</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1.2 提供完整详细的实施、培训和运维计划方案，并得到采购人的批准。实施过程严格按照批准后的计划进行，如有变更需再次得到采购人的批准。</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2.技术支持：</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中标人应及时免费提供合同货物软件的升级，免费提供合同货物新功能和应用的资料。</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3.安装调试（若需要安装调试）：</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3.1 安装地点：采购人指定地点。</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3.2 安装完成时间：接到采购人通知后在规定时间内完成安装和调试，如在规定的时间内由于中标人的原因不能完成安装和调试，中标人应承担由此给采购人造成的损失。</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3.3 安装标准：符合我国国家有关技术规范要求和技术标准，所有的软件和硬件必须保证同时安装到位。</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3.4 中标人免费提供合同货物的安装服务。</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3.5 投标人在投标文件中应提供安装调试计划、对安装场地和环境的要求。</w:t>
            </w:r>
          </w:p>
        </w:tc>
      </w:tr>
    </w:tbl>
    <w:p>
      <w:pPr>
        <w:widowControl/>
        <w:adjustRightInd w:val="0"/>
        <w:snapToGrid w:val="0"/>
        <w:spacing w:line="360" w:lineRule="exac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四．技术要求</w:t>
      </w:r>
    </w:p>
    <w:tbl>
      <w:tblPr>
        <w:tblStyle w:val="27"/>
        <w:tblW w:w="942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8"/>
        <w:gridCol w:w="871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一</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用途</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1.1</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该设备用于获取清晰的高质量的以及超高分辨率的共聚焦荧光图像，可用于观测固定细胞，活细胞，动植物组织的深层结构，得到清晰锐利的多层Z平面结构 （光学切片）。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二</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技术参数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激光器部分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1.1</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激光器：采用单模保偏光纤，典型动态范围 10000:1；直接调制 500:1</w:t>
            </w:r>
          </w:p>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－固态激光器405nm；</w:t>
            </w:r>
          </w:p>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－固态激光器488nm；</w:t>
            </w:r>
          </w:p>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－固态激光器561nm；</w:t>
            </w:r>
          </w:p>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－固态激光器640nm；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1.2</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bookmarkStart w:id="2" w:name="_Hlk532718579"/>
            <w:r>
              <w:rPr>
                <w:rFonts w:hint="eastAsia" w:ascii="宋体" w:hAnsi="宋体" w:eastAsia="宋体" w:cs="宋体"/>
                <w:color w:val="auto"/>
                <w:sz w:val="22"/>
                <w:highlight w:val="none"/>
              </w:rPr>
              <w:t>软件可以直接调节所有激光器开关以及强度，</w:t>
            </w:r>
            <w:bookmarkEnd w:id="2"/>
            <w:r>
              <w:rPr>
                <w:rFonts w:hint="eastAsia" w:ascii="宋体" w:hAnsi="宋体" w:eastAsia="宋体" w:cs="宋体"/>
                <w:color w:val="auto"/>
                <w:sz w:val="22"/>
                <w:highlight w:val="none"/>
              </w:rPr>
              <w:t>并具有实验中未使用自动进入关闭状态（Switch off）功能。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扫描模块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2.1</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扫描器与显微镜一体化设计，一体化像差及色差校正。所有扫描器组件都直接耦合，无光纤连接。</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2.2</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共聚焦针孔采用复消色差校正，调节范围0-10AU（Airy Unit）。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2.3</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bookmarkStart w:id="3" w:name="_Hlk532720046"/>
            <w:r>
              <w:rPr>
                <w:rFonts w:hint="eastAsia" w:ascii="宋体" w:hAnsi="宋体" w:eastAsia="宋体" w:cs="宋体"/>
                <w:color w:val="auto"/>
                <w:sz w:val="22"/>
                <w:highlight w:val="none"/>
              </w:rPr>
              <w:t>检测器数量：荧光检测器≥3个，透射光检测器≥1个。</w:t>
            </w:r>
            <w:bookmarkEnd w:id="3"/>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2.4</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bookmarkStart w:id="4" w:name="_Hlk532718658"/>
            <w:r>
              <w:rPr>
                <w:rFonts w:hint="eastAsia" w:ascii="宋体" w:hAnsi="宋体" w:eastAsia="宋体" w:cs="宋体"/>
                <w:color w:val="auto"/>
                <w:sz w:val="22"/>
                <w:highlight w:val="none"/>
              </w:rPr>
              <w:t>荧光检测器类型： 荧光检测器全部为光谱型检测器，检测范围调节精度1nm；其中GaAsP超高灵敏度检测器（QE45%）≥1个，PMT检测器≥2个。</w:t>
            </w:r>
            <w:bookmarkEnd w:id="4"/>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2.5</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主分光镜：小角度入射，10°，提供更好的激光压制效率，OD值6-7</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2.6</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光谱分光：利用VSD分光，分光精度1nm。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2.7</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X、Y轴独立的检流计（Galvo）双扫描镜，采用超快线扫及帧飞回技术。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2.8</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扫描头绝对线性扫描运动，回转时间短，&gt;85%的帧时间（frame time）有效地用于图像采样。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2.9</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扫描方式：xy，xyz，xyt，xyzt，xz，xt，xzt， x</w:t>
            </w:r>
            <w:r>
              <w:rPr>
                <w:rFonts w:hint="eastAsia" w:ascii="宋体" w:hAnsi="宋体" w:eastAsia="宋体" w:cs="宋体"/>
                <w:color w:val="auto"/>
                <w:sz w:val="22"/>
                <w:highlight w:val="none"/>
              </w:rPr>
              <w:sym w:font="Symbol" w:char="F06C"/>
            </w:r>
            <w:r>
              <w:rPr>
                <w:rFonts w:hint="eastAsia" w:ascii="宋体" w:hAnsi="宋体" w:eastAsia="宋体" w:cs="宋体"/>
                <w:color w:val="auto"/>
                <w:sz w:val="22"/>
                <w:highlight w:val="none"/>
              </w:rPr>
              <w:t>，xy</w:t>
            </w:r>
            <w:r>
              <w:rPr>
                <w:rFonts w:hint="eastAsia" w:ascii="宋体" w:hAnsi="宋体" w:eastAsia="宋体" w:cs="宋体"/>
                <w:color w:val="auto"/>
                <w:sz w:val="22"/>
                <w:highlight w:val="none"/>
              </w:rPr>
              <w:sym w:font="Symbol" w:char="F06C"/>
            </w:r>
            <w:r>
              <w:rPr>
                <w:rFonts w:hint="eastAsia" w:ascii="宋体" w:hAnsi="宋体" w:eastAsia="宋体" w:cs="宋体"/>
                <w:color w:val="auto"/>
                <w:sz w:val="22"/>
                <w:highlight w:val="none"/>
              </w:rPr>
              <w:t>，xyz</w:t>
            </w:r>
            <w:r>
              <w:rPr>
                <w:rFonts w:hint="eastAsia" w:ascii="宋体" w:hAnsi="宋体" w:eastAsia="宋体" w:cs="宋体"/>
                <w:color w:val="auto"/>
                <w:sz w:val="22"/>
                <w:highlight w:val="none"/>
              </w:rPr>
              <w:sym w:font="Symbol" w:char="F06C"/>
            </w:r>
            <w:r>
              <w:rPr>
                <w:rFonts w:hint="eastAsia" w:ascii="宋体" w:hAnsi="宋体" w:eastAsia="宋体" w:cs="宋体"/>
                <w:color w:val="auto"/>
                <w:sz w:val="22"/>
                <w:highlight w:val="none"/>
              </w:rPr>
              <w:t>，xyt</w:t>
            </w:r>
            <w:r>
              <w:rPr>
                <w:rFonts w:hint="eastAsia" w:ascii="宋体" w:hAnsi="宋体" w:eastAsia="宋体" w:cs="宋体"/>
                <w:color w:val="auto"/>
                <w:sz w:val="22"/>
                <w:highlight w:val="none"/>
              </w:rPr>
              <w:sym w:font="Symbol" w:char="F06C"/>
            </w:r>
            <w:r>
              <w:rPr>
                <w:rFonts w:hint="eastAsia" w:ascii="宋体" w:hAnsi="宋体" w:eastAsia="宋体" w:cs="宋体"/>
                <w:color w:val="auto"/>
                <w:sz w:val="22"/>
                <w:highlight w:val="none"/>
              </w:rPr>
              <w:t>，xyzt</w:t>
            </w:r>
            <w:r>
              <w:rPr>
                <w:rFonts w:hint="eastAsia" w:ascii="宋体" w:hAnsi="宋体" w:eastAsia="宋体" w:cs="宋体"/>
                <w:color w:val="auto"/>
                <w:sz w:val="22"/>
                <w:highlight w:val="none"/>
              </w:rPr>
              <w:sym w:font="Symbol" w:char="F06C"/>
            </w:r>
            <w:r>
              <w:rPr>
                <w:rFonts w:hint="eastAsia" w:ascii="宋体" w:hAnsi="宋体" w:eastAsia="宋体" w:cs="宋体"/>
                <w:color w:val="auto"/>
                <w:sz w:val="22"/>
                <w:highlight w:val="none"/>
              </w:rPr>
              <w:t>，xz</w:t>
            </w:r>
            <w:r>
              <w:rPr>
                <w:rFonts w:hint="eastAsia" w:ascii="宋体" w:hAnsi="宋体" w:eastAsia="宋体" w:cs="宋体"/>
                <w:color w:val="auto"/>
                <w:sz w:val="22"/>
                <w:highlight w:val="none"/>
              </w:rPr>
              <w:sym w:font="Symbol" w:char="F06C"/>
            </w:r>
            <w:r>
              <w:rPr>
                <w:rFonts w:hint="eastAsia" w:ascii="宋体" w:hAnsi="宋体" w:eastAsia="宋体" w:cs="宋体"/>
                <w:color w:val="auto"/>
                <w:sz w:val="22"/>
                <w:highlight w:val="none"/>
              </w:rPr>
              <w:t>，xt</w:t>
            </w:r>
            <w:r>
              <w:rPr>
                <w:rFonts w:hint="eastAsia" w:ascii="宋体" w:hAnsi="宋体" w:eastAsia="宋体" w:cs="宋体"/>
                <w:color w:val="auto"/>
                <w:sz w:val="22"/>
                <w:highlight w:val="none"/>
              </w:rPr>
              <w:sym w:font="Symbol" w:char="F06C"/>
            </w:r>
            <w:r>
              <w:rPr>
                <w:rFonts w:hint="eastAsia" w:ascii="宋体" w:hAnsi="宋体" w:eastAsia="宋体" w:cs="宋体"/>
                <w:color w:val="auto"/>
                <w:sz w:val="22"/>
                <w:highlight w:val="none"/>
              </w:rPr>
              <w:t>，xzt</w:t>
            </w:r>
            <w:r>
              <w:rPr>
                <w:rFonts w:hint="eastAsia" w:ascii="宋体" w:hAnsi="宋体" w:eastAsia="宋体" w:cs="宋体"/>
                <w:color w:val="auto"/>
                <w:sz w:val="22"/>
                <w:highlight w:val="none"/>
              </w:rPr>
              <w:sym w:font="Symbol" w:char="F06C"/>
            </w:r>
            <w:r>
              <w:rPr>
                <w:rFonts w:hint="eastAsia" w:ascii="宋体" w:hAnsi="宋体" w:eastAsia="宋体" w:cs="宋体"/>
                <w:color w:val="auto"/>
                <w:sz w:val="22"/>
                <w:highlight w:val="none"/>
              </w:rPr>
              <w:t>，直线扫描，剪切扫描</w:t>
            </w:r>
            <w:bookmarkStart w:id="5" w:name="_Hlk532720176"/>
            <w:r>
              <w:rPr>
                <w:rFonts w:hint="eastAsia" w:ascii="宋体" w:hAnsi="宋体" w:eastAsia="宋体" w:cs="宋体"/>
                <w:color w:val="auto"/>
                <w:sz w:val="22"/>
                <w:highlight w:val="none"/>
              </w:rPr>
              <w:t>、旋转扫描及变倍扫描。</w:t>
            </w:r>
            <w:bookmarkEnd w:id="5"/>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2.10</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在所有扫描方式下，均可以进行360°任意旋转扫描线的方向，同时可以变倍以及在XY方向移动扫描区域。旋转、变倍、移动中心均可以实时（扫描过程中）进行。</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w:t>
            </w:r>
            <w:r>
              <w:rPr>
                <w:rFonts w:hint="eastAsia" w:ascii="宋体" w:hAnsi="宋体" w:eastAsia="宋体" w:cs="宋体"/>
                <w:color w:val="auto"/>
                <w:sz w:val="22"/>
                <w:highlight w:val="none"/>
              </w:rPr>
              <w:t>2.11</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bookmarkStart w:id="6" w:name="_Hlk532718819"/>
            <w:bookmarkStart w:id="7" w:name="_Hlk532720286"/>
            <w:r>
              <w:rPr>
                <w:rFonts w:hint="eastAsia" w:ascii="宋体" w:hAnsi="宋体" w:eastAsia="宋体" w:cs="宋体"/>
                <w:color w:val="auto"/>
                <w:sz w:val="22"/>
                <w:highlight w:val="none"/>
                <w:u w:val="single"/>
              </w:rPr>
              <w:t>扫描光学变倍：在所有成像模式下，起始变倍范围≦0.7，连续调节，调节精度0.1x。</w:t>
            </w:r>
            <w:bookmarkEnd w:id="6"/>
            <w:bookmarkEnd w:id="7"/>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2.12</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bookmarkStart w:id="8" w:name="_Hlk532718849"/>
            <w:bookmarkStart w:id="9" w:name="_Hlk532720313"/>
            <w:r>
              <w:rPr>
                <w:rFonts w:hint="eastAsia" w:ascii="宋体" w:hAnsi="宋体" w:eastAsia="宋体" w:cs="宋体"/>
                <w:color w:val="auto"/>
                <w:sz w:val="22"/>
                <w:highlight w:val="none"/>
              </w:rPr>
              <w:t>在常规线性扫描模式下，可同时满足以下扫描速度指标：8幅/秒（512x512像素，16位）；64幅/秒（512x64像素，16位）；250幅/秒（512x16像素，16位）</w:t>
            </w:r>
            <w:bookmarkEnd w:id="8"/>
            <w:r>
              <w:rPr>
                <w:rFonts w:hint="eastAsia" w:ascii="宋体" w:hAnsi="宋体" w:eastAsia="宋体" w:cs="宋体"/>
                <w:color w:val="auto"/>
                <w:sz w:val="22"/>
                <w:highlight w:val="none"/>
              </w:rPr>
              <w:t>。</w:t>
            </w:r>
            <w:bookmarkEnd w:id="9"/>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w:t>
            </w:r>
            <w:r>
              <w:rPr>
                <w:rFonts w:hint="eastAsia" w:ascii="宋体" w:hAnsi="宋体" w:eastAsia="宋体" w:cs="宋体"/>
                <w:color w:val="auto"/>
                <w:sz w:val="22"/>
                <w:highlight w:val="none"/>
              </w:rPr>
              <w:t>2.13</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光谱成像：全部荧光检测器均可用于光谱成像，扫描过程无荧光信号损失；光谱分辨率精度1nm，调节步进1nm。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2.14</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透射光检测器：用于明场或DIC等非共聚焦图像的检测通道，自动切换透射光照明及透射光成像。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2.15</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bookmarkStart w:id="10" w:name="_Hlk532719023"/>
            <w:r>
              <w:rPr>
                <w:rFonts w:hint="eastAsia" w:ascii="宋体" w:hAnsi="宋体" w:eastAsia="宋体" w:cs="宋体"/>
                <w:color w:val="auto"/>
                <w:sz w:val="22"/>
                <w:highlight w:val="none"/>
              </w:rPr>
              <w:t>具有实时电子组件：控制显微镜、激光器、扫描模块和其他附件；通过实时电路进行数据采集和同步管理；过量采样读取逻辑电路，用以获得最佳灵敏度；数据在实时电路与用户计算机之间通过 LVDS 进行交换，在采集图像的同时可进行数据在线分析。</w:t>
            </w:r>
            <w:bookmarkEnd w:id="10"/>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2.16</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bookmarkStart w:id="11" w:name="_Hlk532720328"/>
            <w:r>
              <w:rPr>
                <w:rFonts w:hint="eastAsia" w:ascii="宋体" w:hAnsi="宋体" w:eastAsia="宋体" w:cs="宋体"/>
                <w:color w:val="auto"/>
                <w:sz w:val="22"/>
                <w:highlight w:val="none"/>
              </w:rPr>
              <w:t>一次实验中单次扫描可以实现三个荧光检测通道同时成像，如果一次实验设置分次扫描，</w:t>
            </w:r>
            <w:bookmarkStart w:id="12" w:name="_Hlk532718948"/>
            <w:r>
              <w:rPr>
                <w:rFonts w:hint="eastAsia" w:ascii="宋体" w:hAnsi="宋体" w:eastAsia="宋体" w:cs="宋体"/>
                <w:color w:val="auto"/>
                <w:sz w:val="22"/>
                <w:highlight w:val="none"/>
              </w:rPr>
              <w:t>分次扫描次数不限。</w:t>
            </w:r>
            <w:bookmarkEnd w:id="11"/>
            <w:bookmarkEnd w:id="12"/>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超高分辨率部分（由硬件实现）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★3.1</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bookmarkStart w:id="13" w:name="_Hlk532721482"/>
            <w:r>
              <w:rPr>
                <w:rFonts w:hint="eastAsia" w:ascii="宋体" w:hAnsi="宋体" w:eastAsia="宋体" w:cs="宋体"/>
                <w:color w:val="auto"/>
                <w:sz w:val="22"/>
                <w:highlight w:val="none"/>
              </w:rPr>
              <w:t>超高分辨率检测器（由硬件实现）：采用≥32个（磷酸砷化镓）GaAsP-PMT组成的高灵敏度面阵列探测器。</w:t>
            </w:r>
            <w:bookmarkEnd w:id="13"/>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★3.2</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bookmarkStart w:id="14" w:name="_Hlk532721489"/>
            <w:r>
              <w:rPr>
                <w:rFonts w:hint="eastAsia" w:ascii="宋体" w:hAnsi="宋体" w:eastAsia="宋体" w:cs="宋体"/>
                <w:color w:val="auto"/>
                <w:sz w:val="22"/>
                <w:highlight w:val="none"/>
              </w:rPr>
              <w:t>超高成像分辨率：共聚焦物理针孔≥1.25AU情况下，XY方向上120nm；Z方向上350nm。</w:t>
            </w:r>
            <w:bookmarkEnd w:id="14"/>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3.3</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超高分辨率多通道成像：可以灵活选择荧光收集波段，调节精度1nm。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3.4</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超高分辨率成像可使用激光器波段：405nm， 488nm， 561nm 和640nm。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3.5</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荧光样品制备：无需选择特定的荧光标记物，常规的激光共聚焦样品都可以进行超高分辨率成像。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3.6</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超高分辨率成像深度：同一样品具有与共聚焦相同的超高分辨率成像深度。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显微镜主机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4.1</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研究型全自动倒置显微镜，高效率V型光路设计。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4.2</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显微镜内置电动调焦驱动马达，最小步进10nm。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4.3</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bookmarkStart w:id="15" w:name="_Hlk532719072"/>
            <w:r>
              <w:rPr>
                <w:rFonts w:hint="eastAsia" w:ascii="宋体" w:hAnsi="宋体" w:eastAsia="宋体" w:cs="宋体"/>
                <w:color w:val="auto"/>
                <w:sz w:val="22"/>
                <w:highlight w:val="none"/>
              </w:rPr>
              <w:t>配置全电动扫描台，扫描台面积325mm x 144mm，行程130 mm x 100 mm，精度 0.1 µm，最大速度 25 mm/s，具有独立的控制器及操控手柄。</w:t>
            </w:r>
            <w:bookmarkEnd w:id="15"/>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4.4</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显微镜透射光源： LED光源，采用与透射光检测器一体化部件，电子控制方式切换。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4.5</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bookmarkStart w:id="16" w:name="_Hlk532719106"/>
            <w:r>
              <w:rPr>
                <w:rFonts w:hint="eastAsia" w:ascii="宋体" w:hAnsi="宋体" w:eastAsia="宋体" w:cs="宋体"/>
                <w:color w:val="auto"/>
                <w:sz w:val="22"/>
                <w:highlight w:val="none"/>
              </w:rPr>
              <w:t>荧光附件：复消色差荧光光路，六位电动滤色镜转盘，电动光闸，含UV、B、G激发滤色镜组件和长寿命荧光光源。</w:t>
            </w:r>
            <w:bookmarkEnd w:id="16"/>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4.6</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全套微分干涉部件（DIC），有与不同数值孔径的物镜一一对应的棱镜。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4.7</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bookmarkStart w:id="17" w:name="_Hlk532719119"/>
            <w:r>
              <w:rPr>
                <w:rFonts w:hint="eastAsia" w:ascii="宋体" w:hAnsi="宋体" w:eastAsia="宋体" w:cs="宋体"/>
                <w:color w:val="auto"/>
                <w:sz w:val="22"/>
                <w:highlight w:val="none"/>
              </w:rPr>
              <w:t>多功能长工作距离电动聚光镜，NA为0.55。</w:t>
            </w:r>
            <w:bookmarkEnd w:id="17"/>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4.8</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目镜一对：10X，视场数23mm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4.9</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bookmarkStart w:id="18" w:name="_Hlk532719142"/>
            <w:r>
              <w:rPr>
                <w:rFonts w:hint="eastAsia" w:ascii="宋体" w:hAnsi="宋体" w:eastAsia="宋体" w:cs="宋体"/>
                <w:color w:val="auto"/>
                <w:sz w:val="22"/>
                <w:highlight w:val="none"/>
              </w:rPr>
              <w:t>6孔位电动物镜转盘。</w:t>
            </w:r>
            <w:bookmarkEnd w:id="18"/>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w:t>
            </w:r>
            <w:r>
              <w:rPr>
                <w:rFonts w:hint="eastAsia" w:ascii="宋体" w:hAnsi="宋体" w:eastAsia="宋体" w:cs="宋体"/>
                <w:color w:val="auto"/>
                <w:sz w:val="22"/>
                <w:highlight w:val="none"/>
              </w:rPr>
              <w:t>4.10</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物镜：</w:t>
            </w:r>
          </w:p>
          <w:p>
            <w:pPr>
              <w:pStyle w:val="73"/>
              <w:widowControl/>
              <w:adjustRightInd w:val="0"/>
              <w:snapToGrid w:val="0"/>
              <w:spacing w:line="360" w:lineRule="exact"/>
              <w:ind w:firstLine="0" w:firstLineChars="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2.5x干镜，数值孔径不小于0.085；</w:t>
            </w:r>
          </w:p>
          <w:p>
            <w:pPr>
              <w:pStyle w:val="73"/>
              <w:widowControl/>
              <w:adjustRightInd w:val="0"/>
              <w:snapToGrid w:val="0"/>
              <w:spacing w:line="360" w:lineRule="exact"/>
              <w:ind w:firstLine="0" w:firstLineChars="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10x复消色差干镜，数值孔径不小于0.45；</w:t>
            </w:r>
          </w:p>
          <w:p>
            <w:pPr>
              <w:pStyle w:val="73"/>
              <w:widowControl/>
              <w:adjustRightInd w:val="0"/>
              <w:snapToGrid w:val="0"/>
              <w:spacing w:line="360" w:lineRule="exact"/>
              <w:ind w:firstLine="0" w:firstLineChars="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20x复消色差干镜，数值孔径不小于0.8；</w:t>
            </w:r>
          </w:p>
          <w:p>
            <w:pPr>
              <w:pStyle w:val="73"/>
              <w:widowControl/>
              <w:adjustRightInd w:val="0"/>
              <w:snapToGrid w:val="0"/>
              <w:spacing w:line="360" w:lineRule="exact"/>
              <w:ind w:firstLine="0" w:firstLineChars="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40x复消色差干镜，数值孔径不小于0.95；</w:t>
            </w:r>
          </w:p>
          <w:p>
            <w:pPr>
              <w:pStyle w:val="73"/>
              <w:widowControl/>
              <w:adjustRightInd w:val="0"/>
              <w:snapToGrid w:val="0"/>
              <w:spacing w:line="360" w:lineRule="exact"/>
              <w:ind w:firstLine="0" w:firstLineChars="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40x复消色差水镜，数值孔径不小1.2；</w:t>
            </w:r>
          </w:p>
          <w:p>
            <w:pPr>
              <w:pStyle w:val="73"/>
              <w:widowControl/>
              <w:adjustRightInd w:val="0"/>
              <w:snapToGrid w:val="0"/>
              <w:spacing w:line="360" w:lineRule="exact"/>
              <w:ind w:firstLine="0" w:firstLineChars="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63x复消色差油镜，数值孔径不小于1.4；工作距离不小于190um；</w:t>
            </w:r>
          </w:p>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100x复消色差油镜，数值孔径不小于1.4。</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4.11</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配有专业共聚焦显微镜系统防震装置。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软件部分及图像工作站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5.1</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智能化光路设置：通过选择样品的染料标记，提供3种光路配置模式，一键自动设置所有的光路。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5.2</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自动预扫描功能，可以自动、快速设定扫描参数，减少荧光淬灭。</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5.3</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自动聚焦，可以实现自动寻找样品焦平面的功能。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5.4</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多维获取图像获取：包括多通道荧光、Z轴序列扫描、时间序列扫描、区域扫描、旋转扫描、变倍扫描、光谱扫描、多点扫描和大视野拼图扫描等。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5.5</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Z轴深度补偿功能，自动补偿由于样品深度增加造成的信号衰减。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5.6</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REUSE功能：它可以再次调用存储在每张图像里的所有的拍照参数来重现实验。</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5.7</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图像操作：加减乘除、比例、位移、滤波（低通滤波、中值滤波、高通滤波）。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5.8</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三维图像渲染与重构：多种图像渲染与显示模式，包括但不限于最大、透明化、正交、投影等。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5.9</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多位点及大视野拼图成像：可对任意形状的预设区域进行拼图扫描以及根据位点列表进行多点成像，支持聚焦校正地图、拼接以及阴影校正；支持自定义多孔板及各种样品载具规格，多种模式设定获取图像的多个位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5.10</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可在图像拍摄的同时将数据传输至数据处理电脑进行实时的图像处理，支持多种模的图像处理。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5.11</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硬件配置不低于以下要求： Xeon CPU处理器，主频3.6 GHz，64GB内存，2个4T硬盘，8GB独立显卡，DVD刻录机，Windows 7 Ultimate x64操作系统；32英寸液晶显示器，16：9，对角线80cm，分辨率3840 × 2160。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活细胞培养系统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6.1</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可控制温度、CO2浓度以及湿度，控温系统可同时控制通道温度设定，温度控制范围：室温至60℃，精度0.1℃。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6.2</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可进行CO2浓度控制，范围：0至8%，调节精度为0.1%，内置精度0.01%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8" w:type="dxa"/>
            <w:shd w:val="clear" w:color="auto" w:fill="auto"/>
            <w:vAlign w:val="center"/>
          </w:tcPr>
          <w:p>
            <w:pPr>
              <w:pStyle w:val="73"/>
              <w:widowControl/>
              <w:adjustRightInd w:val="0"/>
              <w:snapToGrid w:val="0"/>
              <w:spacing w:line="3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6.3</w:t>
            </w:r>
          </w:p>
        </w:tc>
        <w:tc>
          <w:tcPr>
            <w:tcW w:w="8716" w:type="dxa"/>
            <w:shd w:val="clear" w:color="auto" w:fill="auto"/>
            <w:vAlign w:val="center"/>
          </w:tcPr>
          <w:p>
            <w:pPr>
              <w:pStyle w:val="73"/>
              <w:widowControl/>
              <w:adjustRightInd w:val="0"/>
              <w:snapToGrid w:val="0"/>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整个活细胞培养系统可完全由共聚焦软件一体化控制，并在软件及显微镜显示器上可以直接显示、调节 。</w:t>
            </w:r>
          </w:p>
        </w:tc>
      </w:tr>
    </w:tbl>
    <w:p>
      <w:pPr>
        <w:widowControl/>
        <w:adjustRightInd w:val="0"/>
        <w:snapToGrid w:val="0"/>
        <w:spacing w:line="360" w:lineRule="exact"/>
        <w:jc w:val="left"/>
        <w:rPr>
          <w:rFonts w:hint="eastAsia" w:ascii="宋体" w:hAnsi="宋体" w:eastAsia="宋体" w:cs="宋体"/>
          <w:bCs/>
          <w:color w:val="auto"/>
          <w:sz w:val="22"/>
          <w:highlight w:val="none"/>
          <w:u w:val="single"/>
        </w:rPr>
      </w:pPr>
      <w:r>
        <w:rPr>
          <w:rFonts w:hint="eastAsia" w:ascii="宋体" w:hAnsi="宋体" w:eastAsia="宋体" w:cs="宋体"/>
          <w:bCs/>
          <w:color w:val="auto"/>
          <w:sz w:val="22"/>
          <w:highlight w:val="none"/>
        </w:rPr>
        <w:t>注：</w:t>
      </w:r>
      <w:r>
        <w:rPr>
          <w:rFonts w:hint="eastAsia" w:ascii="宋体" w:hAnsi="宋体" w:eastAsia="宋体" w:cs="宋体"/>
          <w:bCs/>
          <w:color w:val="auto"/>
          <w:sz w:val="22"/>
          <w:highlight w:val="none"/>
          <w:u w:val="single"/>
        </w:rPr>
        <w:t>▲投标人所投产品为进口产品的，必须提供进口货物生产厂家针对本项目的授权函。</w:t>
      </w:r>
    </w:p>
    <w:p>
      <w:pPr>
        <w:widowControl/>
        <w:adjustRightInd w:val="0"/>
        <w:snapToGrid w:val="0"/>
        <w:spacing w:line="360" w:lineRule="exact"/>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五．其他</w:t>
      </w:r>
    </w:p>
    <w:p>
      <w:pPr>
        <w:widowControl/>
        <w:adjustRightInd w:val="0"/>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1.除招标文件中所明确的采购需求外，欢迎其他能满足本项目采购需求且性能相当于或高于所明确采购需求的产品参加投标报价。同时在采购需求偏离表中作出详细对比说明。</w:t>
      </w:r>
    </w:p>
    <w:p>
      <w:pPr>
        <w:widowControl/>
        <w:adjustRightInd w:val="0"/>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2.带“★”的有关技术和商务条款为重要条款。带“▲且加下划线”的有关技术和商务条款为实质性条款，投标人必须做出实质性响应，否则视为投标无效。</w:t>
      </w:r>
    </w:p>
    <w:p>
      <w:pPr>
        <w:widowControl/>
        <w:adjustRightInd w:val="0"/>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3.如技术要求中未特别注明需执行的国家相关标准、行业标准、地方标准或者其他标准、规范，则统一执行最新标准、规范。</w:t>
      </w:r>
    </w:p>
    <w:p>
      <w:pPr>
        <w:widowControl/>
        <w:adjustRightInd w:val="0"/>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4.技术部分中需要提供的证明材料有有效期的必须在有效期内，否则视为未提供。</w:t>
      </w:r>
    </w:p>
    <w:p>
      <w:pPr>
        <w:snapToGrid w:val="0"/>
        <w:spacing w:line="360" w:lineRule="exact"/>
        <w:ind w:firstLine="418" w:firstLineChars="200"/>
        <w:jc w:val="left"/>
        <w:rPr>
          <w:rFonts w:hint="eastAsia" w:ascii="宋体" w:hAnsi="宋体" w:eastAsia="宋体" w:cs="宋体"/>
          <w:b/>
          <w:bCs/>
          <w:color w:val="auto"/>
          <w:spacing w:val="-6"/>
          <w:sz w:val="22"/>
          <w:highlight w:val="none"/>
        </w:rPr>
      </w:pPr>
    </w:p>
    <w:p>
      <w:pPr>
        <w:spacing w:line="360" w:lineRule="exact"/>
        <w:rPr>
          <w:rFonts w:hint="eastAsia" w:ascii="宋体" w:hAnsi="宋体" w:eastAsia="宋体" w:cs="宋体"/>
          <w:color w:val="auto"/>
          <w:sz w:val="22"/>
          <w:highlight w:val="none"/>
        </w:rPr>
      </w:pPr>
    </w:p>
    <w:p>
      <w:pPr>
        <w:pStyle w:val="3"/>
        <w:spacing w:before="0" w:after="0" w:line="360" w:lineRule="exact"/>
        <w:rPr>
          <w:rFonts w:hint="eastAsia" w:ascii="宋体" w:hAnsi="宋体" w:eastAsia="宋体" w:cs="宋体"/>
          <w:color w:val="auto"/>
          <w:sz w:val="22"/>
          <w:szCs w:val="22"/>
          <w:highlight w:val="none"/>
        </w:rPr>
      </w:pPr>
    </w:p>
    <w:p>
      <w:pPr>
        <w:spacing w:line="360" w:lineRule="exact"/>
        <w:rPr>
          <w:rFonts w:hint="eastAsia" w:ascii="宋体" w:hAnsi="宋体" w:eastAsia="宋体" w:cs="宋体"/>
          <w:color w:val="auto"/>
          <w:sz w:val="22"/>
          <w:highlight w:val="none"/>
        </w:rPr>
      </w:pPr>
    </w:p>
    <w:p>
      <w:pPr>
        <w:pStyle w:val="3"/>
        <w:spacing w:before="0" w:after="0" w:line="360" w:lineRule="exact"/>
        <w:rPr>
          <w:rFonts w:hint="eastAsia" w:ascii="宋体" w:hAnsi="宋体" w:eastAsia="宋体" w:cs="宋体"/>
          <w:color w:val="auto"/>
          <w:sz w:val="22"/>
          <w:szCs w:val="22"/>
          <w:highlight w:val="none"/>
        </w:rPr>
      </w:pPr>
    </w:p>
    <w:p>
      <w:pPr>
        <w:spacing w:line="360" w:lineRule="exact"/>
        <w:rPr>
          <w:rFonts w:hint="eastAsia" w:ascii="宋体" w:hAnsi="宋体" w:eastAsia="宋体" w:cs="宋体"/>
          <w:color w:val="auto"/>
          <w:sz w:val="22"/>
          <w:highlight w:val="none"/>
        </w:rPr>
      </w:pPr>
    </w:p>
    <w:p>
      <w:pPr>
        <w:pStyle w:val="2"/>
        <w:spacing w:line="360" w:lineRule="exact"/>
        <w:rPr>
          <w:rFonts w:hint="eastAsia" w:ascii="宋体" w:hAnsi="宋体" w:eastAsia="宋体" w:cs="宋体"/>
          <w:color w:val="auto"/>
          <w:sz w:val="22"/>
          <w:szCs w:val="22"/>
          <w:highlight w:val="none"/>
        </w:rPr>
      </w:pPr>
    </w:p>
    <w:p>
      <w:pPr>
        <w:spacing w:line="360" w:lineRule="exact"/>
        <w:rPr>
          <w:rFonts w:hint="eastAsia" w:ascii="宋体" w:hAnsi="宋体" w:eastAsia="宋体" w:cs="宋体"/>
          <w:color w:val="auto"/>
          <w:sz w:val="22"/>
          <w:highlight w:val="none"/>
        </w:rPr>
      </w:pPr>
    </w:p>
    <w:p>
      <w:pPr>
        <w:pStyle w:val="2"/>
        <w:spacing w:line="360" w:lineRule="exact"/>
        <w:rPr>
          <w:rFonts w:hint="eastAsia" w:ascii="宋体" w:hAnsi="宋体" w:eastAsia="宋体" w:cs="宋体"/>
          <w:color w:val="auto"/>
          <w:sz w:val="22"/>
          <w:szCs w:val="22"/>
          <w:highlight w:val="none"/>
        </w:rPr>
      </w:pPr>
    </w:p>
    <w:p>
      <w:pPr>
        <w:spacing w:line="360" w:lineRule="exact"/>
        <w:rPr>
          <w:rFonts w:hint="eastAsia" w:ascii="宋体" w:hAnsi="宋体" w:eastAsia="宋体" w:cs="宋体"/>
          <w:color w:val="auto"/>
          <w:sz w:val="22"/>
          <w:highlight w:val="none"/>
        </w:rPr>
      </w:pPr>
    </w:p>
    <w:p>
      <w:pPr>
        <w:pStyle w:val="2"/>
        <w:spacing w:line="360" w:lineRule="exact"/>
        <w:rPr>
          <w:rFonts w:hint="eastAsia" w:ascii="宋体" w:hAnsi="宋体" w:eastAsia="宋体" w:cs="宋体"/>
          <w:color w:val="auto"/>
          <w:sz w:val="22"/>
          <w:szCs w:val="22"/>
          <w:highlight w:val="none"/>
        </w:rPr>
      </w:pPr>
    </w:p>
    <w:p>
      <w:pPr>
        <w:spacing w:line="360" w:lineRule="exact"/>
        <w:rPr>
          <w:rFonts w:hint="eastAsia" w:ascii="宋体" w:hAnsi="宋体" w:eastAsia="宋体" w:cs="宋体"/>
          <w:color w:val="auto"/>
          <w:sz w:val="22"/>
          <w:highlight w:val="none"/>
        </w:rPr>
      </w:pPr>
    </w:p>
    <w:p>
      <w:pPr>
        <w:pStyle w:val="2"/>
        <w:spacing w:line="360" w:lineRule="exact"/>
        <w:rPr>
          <w:rFonts w:hint="eastAsia" w:ascii="宋体" w:hAnsi="宋体" w:eastAsia="宋体" w:cs="宋体"/>
          <w:color w:val="auto"/>
          <w:sz w:val="22"/>
          <w:szCs w:val="22"/>
          <w:highlight w:val="none"/>
        </w:rPr>
      </w:pPr>
    </w:p>
    <w:p>
      <w:pPr>
        <w:rPr>
          <w:rFonts w:hint="eastAsia" w:ascii="宋体" w:hAnsi="宋体" w:eastAsia="宋体" w:cs="宋体"/>
          <w:color w:val="auto"/>
          <w:sz w:val="22"/>
          <w:highlight w:val="none"/>
        </w:rPr>
      </w:pPr>
    </w:p>
    <w:p>
      <w:pPr>
        <w:pStyle w:val="2"/>
        <w:rPr>
          <w:rFonts w:hint="eastAsia" w:ascii="宋体" w:hAnsi="宋体" w:eastAsia="宋体" w:cs="宋体"/>
          <w:color w:val="auto"/>
          <w:sz w:val="22"/>
          <w:szCs w:val="22"/>
          <w:highlight w:val="none"/>
        </w:rPr>
      </w:pPr>
    </w:p>
    <w:p>
      <w:pPr>
        <w:rPr>
          <w:rFonts w:hint="eastAsia" w:ascii="宋体" w:hAnsi="宋体" w:eastAsia="宋体" w:cs="宋体"/>
          <w:color w:val="auto"/>
          <w:sz w:val="22"/>
          <w:highlight w:val="none"/>
        </w:rPr>
      </w:pPr>
    </w:p>
    <w:p>
      <w:pPr>
        <w:pStyle w:val="2"/>
        <w:rPr>
          <w:rFonts w:hint="eastAsia" w:ascii="宋体" w:hAnsi="宋体" w:eastAsia="宋体" w:cs="宋体"/>
          <w:color w:val="auto"/>
          <w:sz w:val="22"/>
          <w:szCs w:val="22"/>
          <w:highlight w:val="none"/>
        </w:rPr>
      </w:pPr>
    </w:p>
    <w:p>
      <w:pPr>
        <w:rPr>
          <w:rFonts w:hint="eastAsia" w:ascii="宋体" w:hAnsi="宋体" w:eastAsia="宋体" w:cs="宋体"/>
          <w:color w:val="auto"/>
          <w:sz w:val="22"/>
          <w:highlight w:val="none"/>
        </w:rPr>
      </w:pPr>
    </w:p>
    <w:p>
      <w:pPr>
        <w:pStyle w:val="2"/>
        <w:rPr>
          <w:rFonts w:hint="eastAsia" w:ascii="宋体" w:hAnsi="宋体" w:eastAsia="宋体" w:cs="宋体"/>
          <w:color w:val="auto"/>
          <w:sz w:val="22"/>
          <w:szCs w:val="22"/>
          <w:highlight w:val="none"/>
        </w:rPr>
      </w:pPr>
    </w:p>
    <w:p>
      <w:pPr>
        <w:rPr>
          <w:rFonts w:hint="eastAsia" w:ascii="宋体" w:hAnsi="宋体" w:eastAsia="宋体" w:cs="宋体"/>
          <w:color w:val="auto"/>
          <w:sz w:val="22"/>
          <w:highlight w:val="none"/>
        </w:rPr>
      </w:pPr>
    </w:p>
    <w:p>
      <w:pPr>
        <w:pStyle w:val="2"/>
        <w:rPr>
          <w:rFonts w:hint="eastAsia" w:ascii="宋体" w:hAnsi="宋体" w:eastAsia="宋体" w:cs="宋体"/>
          <w:color w:val="auto"/>
          <w:sz w:val="22"/>
          <w:highlight w:val="none"/>
        </w:rPr>
      </w:pPr>
    </w:p>
    <w:p>
      <w:pPr>
        <w:rPr>
          <w:rFonts w:hint="eastAsia"/>
        </w:rPr>
      </w:pPr>
    </w:p>
    <w:p>
      <w:pPr>
        <w:pStyle w:val="2"/>
        <w:rPr>
          <w:rFonts w:hint="eastAsia" w:ascii="宋体" w:hAnsi="宋体" w:eastAsia="宋体" w:cs="宋体"/>
          <w:color w:val="auto"/>
          <w:sz w:val="22"/>
          <w:szCs w:val="22"/>
          <w:highlight w:val="none"/>
        </w:rPr>
      </w:pPr>
    </w:p>
    <w:p>
      <w:pPr>
        <w:rPr>
          <w:rFonts w:hint="eastAsia" w:ascii="宋体" w:hAnsi="宋体" w:eastAsia="宋体" w:cs="宋体"/>
          <w:color w:val="auto"/>
          <w:highlight w:val="none"/>
        </w:rPr>
      </w:pPr>
    </w:p>
    <w:p>
      <w:pPr>
        <w:spacing w:line="360" w:lineRule="exact"/>
        <w:rPr>
          <w:rFonts w:hint="eastAsia" w:ascii="宋体" w:hAnsi="宋体" w:eastAsia="宋体" w:cs="宋体"/>
          <w:color w:val="auto"/>
          <w:sz w:val="22"/>
          <w:highlight w:val="none"/>
        </w:rPr>
      </w:pPr>
    </w:p>
    <w:p>
      <w:pPr>
        <w:spacing w:line="360" w:lineRule="exact"/>
        <w:rPr>
          <w:rFonts w:hint="eastAsia" w:ascii="宋体" w:hAnsi="宋体" w:eastAsia="宋体" w:cs="宋体"/>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lang w:eastAsia="zh-CN"/>
        </w:rPr>
      </w:pPr>
      <w:r>
        <w:rPr>
          <w:rFonts w:hint="eastAsia" w:ascii="宋体" w:hAnsi="宋体" w:eastAsia="宋体" w:cs="宋体"/>
          <w:b/>
          <w:bCs/>
          <w:color w:val="auto"/>
          <w:sz w:val="22"/>
          <w:highlight w:val="none"/>
        </w:rPr>
        <w:t>标项2：</w:t>
      </w:r>
      <w:r>
        <w:rPr>
          <w:rFonts w:hint="eastAsia" w:ascii="宋体" w:hAnsi="宋体" w:eastAsia="宋体" w:cs="宋体"/>
          <w:b/>
          <w:bCs/>
          <w:color w:val="auto"/>
          <w:spacing w:val="-6"/>
          <w:sz w:val="22"/>
          <w:highlight w:val="none"/>
          <w:lang w:eastAsia="zh-CN"/>
        </w:rPr>
        <w:t>液质联用仪（质谱仪）</w:t>
      </w:r>
    </w:p>
    <w:p>
      <w:pPr>
        <w:pStyle w:val="15"/>
        <w:overflowPunct/>
        <w:autoSpaceDE/>
        <w:autoSpaceDN/>
        <w:adjustRightInd/>
        <w:snapToGrid w:val="0"/>
        <w:spacing w:line="360" w:lineRule="exact"/>
        <w:textAlignment w:val="auto"/>
        <w:outlineLvl w:val="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一、采购内容及数量</w:t>
      </w:r>
    </w:p>
    <w:tbl>
      <w:tblPr>
        <w:tblStyle w:val="27"/>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626"/>
        <w:gridCol w:w="2067"/>
        <w:gridCol w:w="1039"/>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序号</w:t>
            </w:r>
          </w:p>
        </w:tc>
        <w:tc>
          <w:tcPr>
            <w:tcW w:w="2626"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内容</w:t>
            </w:r>
          </w:p>
        </w:tc>
        <w:tc>
          <w:tcPr>
            <w:tcW w:w="2067"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是否允许进口</w:t>
            </w:r>
          </w:p>
        </w:tc>
        <w:tc>
          <w:tcPr>
            <w:tcW w:w="1039"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数量</w:t>
            </w:r>
          </w:p>
        </w:tc>
        <w:tc>
          <w:tcPr>
            <w:tcW w:w="1951"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Align w:val="center"/>
          </w:tcPr>
          <w:p>
            <w:pPr>
              <w:widowControl/>
              <w:snapToGrid w:val="0"/>
              <w:spacing w:line="360" w:lineRule="exact"/>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1</w:t>
            </w:r>
          </w:p>
        </w:tc>
        <w:tc>
          <w:tcPr>
            <w:tcW w:w="2626" w:type="dxa"/>
            <w:vAlign w:val="center"/>
          </w:tcPr>
          <w:p>
            <w:pPr>
              <w:widowControl/>
              <w:snapToGrid w:val="0"/>
              <w:spacing w:line="360" w:lineRule="exact"/>
              <w:jc w:val="center"/>
              <w:rPr>
                <w:rFonts w:hint="eastAsia" w:ascii="宋体" w:hAnsi="宋体" w:eastAsia="宋体" w:cs="宋体"/>
                <w:b/>
                <w:bCs/>
                <w:color w:val="auto"/>
                <w:spacing w:val="-6"/>
                <w:sz w:val="22"/>
                <w:highlight w:val="none"/>
                <w:lang w:eastAsia="zh-CN"/>
              </w:rPr>
            </w:pPr>
            <w:r>
              <w:rPr>
                <w:rFonts w:hint="eastAsia" w:ascii="宋体" w:hAnsi="宋体" w:eastAsia="宋体" w:cs="宋体"/>
                <w:b/>
                <w:bCs/>
                <w:color w:val="auto"/>
                <w:spacing w:val="-6"/>
                <w:sz w:val="22"/>
                <w:highlight w:val="none"/>
                <w:lang w:eastAsia="zh-CN"/>
              </w:rPr>
              <w:t>液质联用仪（质谱仪）</w:t>
            </w:r>
          </w:p>
        </w:tc>
        <w:tc>
          <w:tcPr>
            <w:tcW w:w="2067"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是</w:t>
            </w:r>
          </w:p>
        </w:tc>
        <w:tc>
          <w:tcPr>
            <w:tcW w:w="1039" w:type="dxa"/>
            <w:vAlign w:val="center"/>
          </w:tcPr>
          <w:p>
            <w:pPr>
              <w:widowControl/>
              <w:snapToGrid w:val="0"/>
              <w:spacing w:line="360" w:lineRule="exact"/>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1</w:t>
            </w:r>
            <w:r>
              <w:rPr>
                <w:rFonts w:hint="eastAsia" w:ascii="宋体" w:hAnsi="宋体" w:eastAsia="宋体" w:cs="宋体"/>
                <w:b/>
                <w:bCs/>
                <w:color w:val="auto"/>
                <w:sz w:val="22"/>
                <w:highlight w:val="none"/>
              </w:rPr>
              <w:t>套</w:t>
            </w:r>
          </w:p>
        </w:tc>
        <w:tc>
          <w:tcPr>
            <w:tcW w:w="1951"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3000000</w:t>
            </w:r>
          </w:p>
        </w:tc>
      </w:tr>
    </w:tbl>
    <w:p>
      <w:pPr>
        <w:widowControl/>
        <w:adjustRightInd w:val="0"/>
        <w:snapToGrid w:val="0"/>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二.为落实政府采购政策需满足的要求：</w:t>
      </w:r>
    </w:p>
    <w:tbl>
      <w:tblPr>
        <w:tblStyle w:val="27"/>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3070"/>
        <w:gridCol w:w="5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3070"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政策名称</w:t>
            </w:r>
          </w:p>
        </w:tc>
        <w:tc>
          <w:tcPr>
            <w:tcW w:w="5651"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3070"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政府采购促进中小企业发展</w:t>
            </w:r>
          </w:p>
        </w:tc>
        <w:tc>
          <w:tcPr>
            <w:tcW w:w="5651" w:type="dxa"/>
            <w:vAlign w:val="center"/>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提供材料详见招标文件第四部分附件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3070"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政府采购支持监狱企业发展</w:t>
            </w:r>
          </w:p>
        </w:tc>
        <w:tc>
          <w:tcPr>
            <w:tcW w:w="5651" w:type="dxa"/>
            <w:vAlign w:val="center"/>
          </w:tcPr>
          <w:p>
            <w:pPr>
              <w:widowControl/>
              <w:adjustRightInd w:val="0"/>
              <w:snapToGri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3070"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政府采购促进残疾人就业</w:t>
            </w:r>
          </w:p>
        </w:tc>
        <w:tc>
          <w:tcPr>
            <w:tcW w:w="5651" w:type="dxa"/>
            <w:vAlign w:val="center"/>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3070"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政府采购节能环保产品</w:t>
            </w:r>
          </w:p>
        </w:tc>
        <w:tc>
          <w:tcPr>
            <w:tcW w:w="5651" w:type="dxa"/>
            <w:vAlign w:val="center"/>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按照招标文件第四部分附件要求提供“投标产品经国家确定的认证机构出具的处于有效期之内的节能产品、环境标志产品认证证书”或“投标产品在‘中国政府采购网’上节能产品或环境标志产品查询截图”。</w:t>
            </w:r>
          </w:p>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▲2、采购需求中要求提供的产品属于节能产品政府采购品目清单中强制采购的，投标人须提供该清单内产品，并按上款要求提供节能产品认证证书或规定网站证书查询截图，否则其投标无效。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3070"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政府采购进口产品</w:t>
            </w:r>
          </w:p>
        </w:tc>
        <w:tc>
          <w:tcPr>
            <w:tcW w:w="5651" w:type="dxa"/>
            <w:vAlign w:val="center"/>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允许</w:t>
            </w:r>
          </w:p>
        </w:tc>
      </w:tr>
    </w:tbl>
    <w:p>
      <w:pPr>
        <w:widowControl/>
        <w:adjustRightInd w:val="0"/>
        <w:snapToGrid w:val="0"/>
        <w:spacing w:line="360" w:lineRule="exact"/>
        <w:outlineLvl w:val="0"/>
        <w:rPr>
          <w:rFonts w:hint="eastAsia" w:ascii="宋体" w:hAnsi="宋体" w:eastAsia="宋体" w:cs="宋体"/>
          <w:b/>
          <w:bCs/>
          <w:color w:val="auto"/>
          <w:spacing w:val="-6"/>
          <w:sz w:val="22"/>
          <w:highlight w:val="none"/>
        </w:rPr>
      </w:pPr>
      <w:r>
        <w:rPr>
          <w:rFonts w:hint="eastAsia" w:ascii="宋体" w:hAnsi="宋体" w:eastAsia="宋体" w:cs="宋体"/>
          <w:b/>
          <w:bCs/>
          <w:color w:val="auto"/>
          <w:kern w:val="0"/>
          <w:sz w:val="22"/>
          <w:highlight w:val="none"/>
        </w:rPr>
        <w:t>三.</w:t>
      </w:r>
      <w:r>
        <w:rPr>
          <w:rFonts w:hint="eastAsia" w:ascii="宋体" w:hAnsi="宋体" w:eastAsia="宋体" w:cs="宋体"/>
          <w:b/>
          <w:bCs/>
          <w:color w:val="auto"/>
          <w:spacing w:val="-6"/>
          <w:sz w:val="22"/>
          <w:highlight w:val="none"/>
        </w:rPr>
        <w:t>商务要求（技术要求里另有注明的以技术要求为准）</w:t>
      </w:r>
    </w:p>
    <w:tbl>
      <w:tblPr>
        <w:tblStyle w:val="27"/>
        <w:tblW w:w="94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1"/>
        <w:gridCol w:w="79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履约保证金</w:t>
            </w:r>
          </w:p>
        </w:tc>
        <w:tc>
          <w:tcPr>
            <w:tcW w:w="7940"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▲签订合同后5个工作日内中标人应向采购人交纳合同总金额的5％作为履约保证金。履约保证金在货到安装验收合格且质保期满后并收到中标人开具的收据15个工作日内无息退还。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支付方式</w:t>
            </w:r>
          </w:p>
        </w:tc>
        <w:tc>
          <w:tcPr>
            <w:tcW w:w="7940"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▲（1）进口免税货物付款方式：</w:t>
            </w:r>
          </w:p>
          <w:p>
            <w:pPr>
              <w:pStyle w:val="9"/>
              <w:widowControl/>
              <w:adjustRightInd w:val="0"/>
              <w:snapToGrid w:val="0"/>
              <w:spacing w:line="360" w:lineRule="exac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合同生效以及具备实施条件后15日内采购人先预付合同金额的30%给中标人或中标人委托的外贸代理公司，中标人</w:t>
            </w:r>
            <w:r>
              <w:rPr>
                <w:rFonts w:hint="eastAsia" w:ascii="宋体" w:hAnsi="宋体" w:eastAsia="宋体" w:cs="宋体"/>
                <w:color w:val="auto"/>
                <w:sz w:val="22"/>
                <w:highlight w:val="none"/>
                <w:u w:val="single"/>
                <w:lang w:val="zh-CN"/>
              </w:rPr>
              <w:t>完成全部供货及安装、</w:t>
            </w:r>
            <w:r>
              <w:rPr>
                <w:rFonts w:hint="eastAsia" w:ascii="宋体" w:hAnsi="宋体" w:eastAsia="宋体" w:cs="宋体"/>
                <w:color w:val="auto"/>
                <w:sz w:val="22"/>
                <w:highlight w:val="none"/>
                <w:u w:val="single"/>
              </w:rPr>
              <w:t>施工</w:t>
            </w:r>
            <w:r>
              <w:rPr>
                <w:rFonts w:hint="eastAsia" w:ascii="宋体" w:hAnsi="宋体" w:eastAsia="宋体" w:cs="宋体"/>
                <w:color w:val="auto"/>
                <w:sz w:val="22"/>
                <w:highlight w:val="none"/>
                <w:u w:val="single"/>
                <w:lang w:val="zh-CN"/>
              </w:rPr>
              <w:t>、调试并通过</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验收且</w:t>
            </w:r>
            <w:r>
              <w:rPr>
                <w:rFonts w:hint="eastAsia" w:ascii="宋体" w:hAnsi="宋体" w:eastAsia="宋体" w:cs="宋体"/>
                <w:color w:val="auto"/>
                <w:sz w:val="22"/>
                <w:highlight w:val="none"/>
                <w:u w:val="single"/>
              </w:rPr>
              <w:t>中标人</w:t>
            </w:r>
            <w:r>
              <w:rPr>
                <w:rFonts w:hint="eastAsia" w:ascii="宋体" w:hAnsi="宋体" w:eastAsia="宋体" w:cs="宋体"/>
                <w:color w:val="auto"/>
                <w:sz w:val="22"/>
                <w:highlight w:val="none"/>
                <w:u w:val="single"/>
                <w:lang w:val="zh-CN"/>
              </w:rPr>
              <w:t>对</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的培训完成后，</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15个工作日内</w:t>
            </w:r>
            <w:r>
              <w:rPr>
                <w:rFonts w:hint="eastAsia" w:ascii="宋体" w:hAnsi="宋体" w:eastAsia="宋体" w:cs="宋体"/>
                <w:color w:val="auto"/>
                <w:sz w:val="22"/>
                <w:highlight w:val="none"/>
                <w:u w:val="single"/>
              </w:rPr>
              <w:t>支付剩余的货款。中标人或中标人委托的外贸代理公司各阶段均需开具全额正规发票。</w:t>
            </w:r>
          </w:p>
          <w:p>
            <w:pPr>
              <w:pStyle w:val="9"/>
              <w:widowControl/>
              <w:adjustRightInd w:val="0"/>
              <w:snapToGrid w:val="0"/>
              <w:spacing w:line="360" w:lineRule="exac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▲（2）国产货物付款方式：</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合同生效以及具备实施条件后15日内采购人先预付合同金额的30%给中标人，中标人</w:t>
            </w:r>
            <w:r>
              <w:rPr>
                <w:rFonts w:hint="eastAsia" w:ascii="宋体" w:hAnsi="宋体" w:eastAsia="宋体" w:cs="宋体"/>
                <w:color w:val="auto"/>
                <w:sz w:val="22"/>
                <w:highlight w:val="none"/>
                <w:u w:val="single"/>
                <w:lang w:val="zh-CN"/>
              </w:rPr>
              <w:t>完成全部供货及安装、</w:t>
            </w:r>
            <w:r>
              <w:rPr>
                <w:rFonts w:hint="eastAsia" w:ascii="宋体" w:hAnsi="宋体" w:eastAsia="宋体" w:cs="宋体"/>
                <w:color w:val="auto"/>
                <w:sz w:val="22"/>
                <w:highlight w:val="none"/>
                <w:u w:val="single"/>
              </w:rPr>
              <w:t>施工</w:t>
            </w:r>
            <w:r>
              <w:rPr>
                <w:rFonts w:hint="eastAsia" w:ascii="宋体" w:hAnsi="宋体" w:eastAsia="宋体" w:cs="宋体"/>
                <w:color w:val="auto"/>
                <w:sz w:val="22"/>
                <w:highlight w:val="none"/>
                <w:u w:val="single"/>
                <w:lang w:val="zh-CN"/>
              </w:rPr>
              <w:t>、调试并通过</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验收且</w:t>
            </w:r>
            <w:r>
              <w:rPr>
                <w:rFonts w:hint="eastAsia" w:ascii="宋体" w:hAnsi="宋体" w:eastAsia="宋体" w:cs="宋体"/>
                <w:color w:val="auto"/>
                <w:sz w:val="22"/>
                <w:highlight w:val="none"/>
                <w:u w:val="single"/>
              </w:rPr>
              <w:t>中标人</w:t>
            </w:r>
            <w:r>
              <w:rPr>
                <w:rFonts w:hint="eastAsia" w:ascii="宋体" w:hAnsi="宋体" w:eastAsia="宋体" w:cs="宋体"/>
                <w:color w:val="auto"/>
                <w:sz w:val="22"/>
                <w:highlight w:val="none"/>
                <w:u w:val="single"/>
                <w:lang w:val="zh-CN"/>
              </w:rPr>
              <w:t>对</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的培训完成后，</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15个工作日内</w:t>
            </w:r>
            <w:r>
              <w:rPr>
                <w:rFonts w:hint="eastAsia" w:ascii="宋体" w:hAnsi="宋体" w:eastAsia="宋体" w:cs="宋体"/>
                <w:color w:val="auto"/>
                <w:sz w:val="22"/>
                <w:highlight w:val="none"/>
                <w:u w:val="single"/>
              </w:rPr>
              <w:t>支付剩余的货款。中标人各阶段均需开具全额正规发票。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交付时间</w:t>
            </w:r>
          </w:p>
        </w:tc>
        <w:tc>
          <w:tcPr>
            <w:tcW w:w="7940"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进口免税产品在收到免税办妥通知并信用证（L/C）开出后90天内。</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国产产品在合同签订后30天内交货完毕、安装调试完成。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交付地点</w:t>
            </w:r>
          </w:p>
        </w:tc>
        <w:tc>
          <w:tcPr>
            <w:tcW w:w="7940"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温州肯恩大学指定地点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质保期</w:t>
            </w:r>
          </w:p>
        </w:tc>
        <w:tc>
          <w:tcPr>
            <w:tcW w:w="79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整机质保期应对应招标参数且不小于1年，质保期时间自验收合格之日开始计算。在此质保期内，如在正常使用过程中出现的质量问题，投标人须负责免费维修或调换。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服务标准</w:t>
            </w:r>
          </w:p>
        </w:tc>
        <w:tc>
          <w:tcPr>
            <w:tcW w:w="7940"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质保期内因不能排除的故障而影响工作的情况每发生一次，其质保期相应延长60天，质保期内因货物本身缺陷造成各种故障或无法排除故障的应由中标人免费予以更换同等新设备，否则将扣除履约保证金或故障设备同等价值违约金作为对采购人的补偿。</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2.在质保期内，所有服务及软硬配件全部免费。质保期满后，仅收配件或易损件优惠费用(优惠价格不高于7折），所涉及软件终身免费升级。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服务效率</w:t>
            </w:r>
          </w:p>
        </w:tc>
        <w:tc>
          <w:tcPr>
            <w:tcW w:w="79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在设备整个使用期内，卖方应确保设备的正常使用。在接到用户维修要求后须在2小时内作出回应，并在8小时内派员到达买方现场实施维修。零配件在该设备停产后仍需保证十年的供应。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验收标准</w:t>
            </w:r>
          </w:p>
        </w:tc>
        <w:tc>
          <w:tcPr>
            <w:tcW w:w="7940"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合同履约验收参照《温州市政府采购履约验收办法》(温财采[2020]6号)相关规定。合同履约达到验收条件时，卖方按冋买方书面发起验收申请，买方或者其委托的采购代理机构(以下简称验收组织机构)在收到卖方验收申请五个工作日内启动项目验收。</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eastAsia="zh-CN"/>
              </w:rPr>
              <w:t>合同金额在采购限额标准以上的</w:t>
            </w:r>
            <w:r>
              <w:rPr>
                <w:rFonts w:hint="eastAsia" w:ascii="宋体" w:hAnsi="宋体" w:eastAsia="宋体" w:cs="宋体"/>
                <w:color w:val="auto"/>
                <w:sz w:val="22"/>
                <w:highlight w:val="none"/>
              </w:rPr>
              <w:t>，原则上应采用一般程序验收。验收小组应当由五人以上(含本数)单数、熟悉项目需求和标的人员组成，其中相关专业技术人员人数不得少于验收小组人员总数的三分之二。验收组织机构应当按照采购文件、投标(响应)文件、采购合同、封存样品等约定的质量、数量、技术指标或者服务要求设验收指标及其标准。未约定的，应当符合国家强制性规定、政策要求、安全标准、行业或企业有关标准等。</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3.买方依据验收书和卖方其他履约情况，对验收项目作出整体评价和分类评价，形成验收结果，除涉密情形外，买方应在评价后2个工作日内在浙江政府采购网发布验收结果。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其他技术、服务要求</w:t>
            </w:r>
          </w:p>
        </w:tc>
        <w:tc>
          <w:tcPr>
            <w:tcW w:w="7940" w:type="dxa"/>
            <w:tcBorders>
              <w:top w:val="single" w:color="auto" w:sz="4" w:space="0"/>
              <w:left w:val="single" w:color="auto" w:sz="4" w:space="0"/>
              <w:bottom w:val="single" w:color="auto" w:sz="4" w:space="0"/>
              <w:right w:val="single" w:color="auto" w:sz="4" w:space="0"/>
            </w:tcBorders>
            <w:vAlign w:val="center"/>
          </w:tcPr>
          <w:p>
            <w:pPr>
              <w:widowControl/>
              <w:numPr>
                <w:ilvl w:val="0"/>
                <w:numId w:val="8"/>
              </w:numPr>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安装：</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卖方须在交货日期15天内到买方提供的现场免费安装、调试设备并验收。验收时必须由仪器制造厂技术人员到现场安装仪器并在用户实验室人员在场的情况下完成仪器设备性能的证明文件。只有在仪器完全正常运转和用户实验室人员确认后，仪器的安装工作才能认为已全部完成。验收指标在安装完成1个月内无法通过，买方有权要求无条件退货，卖方必须赔偿经济损失。</w:t>
            </w:r>
          </w:p>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2.培训：</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2.1安装调试后免费提供现场培训，内容包括仪器的基本原理、操作应用及仪器的维护保养知识，直到用户能正常使用和维护仪器.</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2.2根据客户要求，每年提供至少一次的上门培训，包括仪器使用及应用培训。国内培训中心集中培训免费名额2名。</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2.3技术支持：厂家长期提供技术支持，免费提供所有公开发表的应用文献和最新仪器有关资料、通讯和用户论文集等。采购人进行检测方法开发，设备生产厂家必须提供相应的技术服务支撑。</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2.3免费提供仪器使用手册、培训教材、应用资料等。</w:t>
            </w:r>
          </w:p>
        </w:tc>
      </w:tr>
    </w:tbl>
    <w:p>
      <w:pPr>
        <w:widowControl/>
        <w:adjustRightInd w:val="0"/>
        <w:snapToGrid w:val="0"/>
        <w:spacing w:line="360" w:lineRule="exac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四．技术要求</w:t>
      </w:r>
    </w:p>
    <w:p>
      <w:pPr>
        <w:widowControl/>
        <w:adjustRightInd w:val="0"/>
        <w:snapToGrid w:val="0"/>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1、纳升级超高效液相色谱四极杆飞行时间质谱联用仪主要技术和性能规格要求</w:t>
      </w:r>
    </w:p>
    <w:p>
      <w:pPr>
        <w:widowControl/>
        <w:adjustRightInd w:val="0"/>
        <w:snapToGrid w:val="0"/>
        <w:spacing w:line="360" w:lineRule="exact"/>
        <w:ind w:firstLine="442" w:firstLineChars="200"/>
        <w:rPr>
          <w:rFonts w:hint="eastAsia" w:ascii="宋体" w:hAnsi="宋体" w:eastAsia="宋体" w:cs="宋体"/>
          <w:color w:val="auto"/>
          <w:sz w:val="22"/>
          <w:highlight w:val="none"/>
        </w:rPr>
      </w:pPr>
      <w:r>
        <w:rPr>
          <w:rFonts w:hint="eastAsia" w:ascii="宋体" w:hAnsi="宋体" w:eastAsia="宋体" w:cs="宋体"/>
          <w:b/>
          <w:color w:val="auto"/>
          <w:sz w:val="22"/>
          <w:highlight w:val="none"/>
        </w:rPr>
        <w:t>1.1  质谱硬件部分</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1.1.1 大气压离子源是双正交设计，有效防止大量复杂样品对仪器的污染。</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1.1.2离子源和质谱间有隔断阀，待机时及清洗离子源时均可真空隔断，清洗时不必放空真空系统。</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1.1.3 待机过程时，离子源不消耗氮气。</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★1.1.4 大气压离子源除标准配置ESCi复合离子源，还需配置纳升级离子源，同时实现电喷雾源</w:t>
      </w:r>
      <w:r>
        <w:rPr>
          <w:rFonts w:hint="eastAsia" w:ascii="宋体" w:hAnsi="宋体" w:eastAsia="宋体" w:cs="宋体"/>
          <w:snapToGrid w:val="0"/>
          <w:color w:val="auto"/>
          <w:sz w:val="22"/>
          <w:highlight w:val="none"/>
        </w:rPr>
        <w:t>(</w:t>
      </w:r>
      <w:r>
        <w:rPr>
          <w:rFonts w:hint="eastAsia" w:ascii="宋体" w:hAnsi="宋体" w:eastAsia="宋体" w:cs="宋体"/>
          <w:color w:val="auto"/>
          <w:sz w:val="22"/>
          <w:highlight w:val="none"/>
        </w:rPr>
        <w:t>ESI)和大气压化学源</w:t>
      </w:r>
      <w:r>
        <w:rPr>
          <w:rFonts w:hint="eastAsia" w:ascii="宋体" w:hAnsi="宋体" w:eastAsia="宋体" w:cs="宋体"/>
          <w:snapToGrid w:val="0"/>
          <w:color w:val="auto"/>
          <w:sz w:val="22"/>
          <w:highlight w:val="none"/>
        </w:rPr>
        <w:t>(</w:t>
      </w:r>
      <w:r>
        <w:rPr>
          <w:rFonts w:hint="eastAsia" w:ascii="宋体" w:hAnsi="宋体" w:eastAsia="宋体" w:cs="宋体"/>
          <w:color w:val="auto"/>
          <w:sz w:val="22"/>
          <w:highlight w:val="none"/>
        </w:rPr>
        <w:t>APCI)检测，ESI和APCI切换速度≤20 ms。正负离子切换速度≤20 ms。</w:t>
      </w:r>
    </w:p>
    <w:p>
      <w:pPr>
        <w:widowControl/>
        <w:adjustRightInd w:val="0"/>
        <w:snapToGrid w:val="0"/>
        <w:spacing w:line="360" w:lineRule="exact"/>
        <w:ind w:firstLine="418" w:firstLineChars="200"/>
        <w:rPr>
          <w:rFonts w:hint="eastAsia" w:ascii="宋体" w:hAnsi="宋体" w:eastAsia="宋体" w:cs="宋体"/>
          <w:color w:val="auto"/>
          <w:sz w:val="22"/>
          <w:highlight w:val="none"/>
          <w:u w:val="single"/>
        </w:rPr>
      </w:pPr>
      <w:r>
        <w:rPr>
          <w:rFonts w:hint="eastAsia" w:ascii="宋体" w:hAnsi="宋体" w:eastAsia="宋体" w:cs="宋体"/>
          <w:b/>
          <w:bCs/>
          <w:color w:val="auto"/>
          <w:spacing w:val="-6"/>
          <w:sz w:val="22"/>
          <w:highlight w:val="none"/>
          <w:u w:val="single"/>
        </w:rPr>
        <w:t>▲</w:t>
      </w:r>
      <w:r>
        <w:rPr>
          <w:rFonts w:hint="eastAsia" w:ascii="宋体" w:hAnsi="宋体" w:eastAsia="宋体" w:cs="宋体"/>
          <w:color w:val="auto"/>
          <w:sz w:val="22"/>
          <w:highlight w:val="none"/>
          <w:u w:val="single"/>
        </w:rPr>
        <w:t>1.1.5离子源接口：离子传输通道采用锥孔结构，而非毛细管（半径＜1 mm）和DL管（除溶剂管线）设计，提高仪器抗堵塞，以同时保持高灵敏度和优异的抗污染能力，耐受100%有机相到100%水相，以及一定浓度的缓冲液和磷酸盐。</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1.1.6离子源部分具有极强的可扩展性，除配置需要的离子源外，还可以根据后续工作需求配备与气相色谱联用的APGC源、与芯片联用的Ionkey源、适合于固体及液体样品快速分析的大气压固体分析探头（ASAP源）。且所有离子源必须同一厂家生产，无需第三方。离子源更换无需工具。</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1.1.7内置全自动注射泵并自带3路进样瓶，实现质谱的自动调谐和校正。而且可直接进样分析。</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★1.1.8</w:t>
      </w:r>
      <w:r>
        <w:rPr>
          <w:rFonts w:hint="eastAsia" w:ascii="宋体" w:hAnsi="宋体" w:eastAsia="宋体" w:cs="宋体"/>
          <w:bCs/>
          <w:color w:val="auto"/>
          <w:sz w:val="22"/>
          <w:highlight w:val="none"/>
        </w:rPr>
        <w:t>离子源具有双控温区域，脱溶剂气温度设置≥630度，且需满足离子源接口作为另一控温区域，温度设置≥150度（可调），提高脱溶剂化效果。</w:t>
      </w:r>
    </w:p>
    <w:p>
      <w:pPr>
        <w:widowControl/>
        <w:adjustRightInd w:val="0"/>
        <w:snapToGrid w:val="0"/>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1.2软件</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Masslynx4.1用于控制LC-MS/MS系统，包括LC-MS/MS仪器调节、数据采集、数据处理、分析和报告。</w:t>
      </w:r>
    </w:p>
    <w:p>
      <w:pPr>
        <w:widowControl/>
        <w:adjustRightInd w:val="0"/>
        <w:snapToGrid w:val="0"/>
        <w:spacing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1.3主要性能指标</w:t>
      </w:r>
    </w:p>
    <w:p>
      <w:pPr>
        <w:widowControl/>
        <w:adjustRightInd w:val="0"/>
        <w:snapToGrid w:val="0"/>
        <w:spacing w:line="360" w:lineRule="exact"/>
        <w:ind w:firstLine="418" w:firstLineChars="200"/>
        <w:rPr>
          <w:rFonts w:hint="eastAsia" w:ascii="宋体" w:hAnsi="宋体" w:eastAsia="宋体" w:cs="宋体"/>
          <w:color w:val="auto"/>
          <w:sz w:val="22"/>
          <w:highlight w:val="none"/>
        </w:rPr>
      </w:pPr>
      <w:r>
        <w:rPr>
          <w:rFonts w:hint="eastAsia" w:ascii="宋体" w:hAnsi="宋体" w:eastAsia="宋体" w:cs="宋体"/>
          <w:b/>
          <w:bCs/>
          <w:color w:val="auto"/>
          <w:spacing w:val="-6"/>
          <w:sz w:val="22"/>
          <w:highlight w:val="none"/>
          <w:u w:val="single"/>
        </w:rPr>
        <w:t>▲</w:t>
      </w:r>
      <w:r>
        <w:rPr>
          <w:rFonts w:hint="eastAsia" w:ascii="宋体" w:hAnsi="宋体" w:eastAsia="宋体" w:cs="宋体"/>
          <w:color w:val="auto"/>
          <w:sz w:val="22"/>
          <w:highlight w:val="none"/>
          <w:u w:val="single"/>
        </w:rPr>
        <w:t>1.3.1四极杆选择质量范围：m/z 20-16，000，TOF质量范围：m/z 20-100,000。</w:t>
      </w:r>
      <w:r>
        <w:rPr>
          <w:rFonts w:hint="eastAsia" w:ascii="宋体" w:hAnsi="宋体" w:eastAsia="宋体" w:cs="宋体"/>
          <w:color w:val="auto"/>
          <w:sz w:val="22"/>
          <w:highlight w:val="none"/>
        </w:rPr>
        <w:t xml:space="preserve"> </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★1.3.2分辨率：在仪器可实现的最大采样速率下，可以保证分辨率≥40,000 FWHM（m/z 956），即分辨率不受采样速率影响。</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1.3.3 质量精确度，外标法MS及MS/MS模式达到&lt;1 ppm。</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1.3.4灵敏度（全扫描模式）：50 fg利血平，柱上进样，MS模式下，S/N ≥ 1500:1，且原始数据，无平滑。</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1.3.5谱图内动态范围：在全扫描模式下，至少达到4个数量级动态范围，采用动态范围扩展功能可进一步提高动态范围至5个数量级。</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1.3.6采样速率：MS和MS/MS全质量扫描范围，每秒30张谱图。</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1.3.7同位素分布：能够准确获取化合物不同同位素峰的丰度比，具有同位素丰度筛选功能，筛选基于真实同位素比例分布的元素分析功能，减少假阳性。结合精确质量以及串联质谱MS/MS的三维信息，可靠预测未知物分子式。</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1.3.8 样品分析一次进样中，对全质量数范围自动进行MS和MS/MS操作，MS和MS/MS操作为同时进行，无质量数分段切换过程，且方法编辑只需设定一个高能量以及一个低能量就可得到全质量范围MS及MS/MS谱图，极大提高分析速度和结果报告效率，有效避免低丰度信号丢失；确保信息全采集。</w:t>
      </w:r>
    </w:p>
    <w:p>
      <w:pPr>
        <w:widowControl/>
        <w:adjustRightInd w:val="0"/>
        <w:snapToGrid w:val="0"/>
        <w:spacing w:line="360" w:lineRule="exact"/>
        <w:ind w:firstLine="440"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★1.3.9具有TOF-MRM模式，特定质量目标离子利用率100%功能，提高对于痕量化合物的检测灵敏度。</w:t>
      </w:r>
      <w:r>
        <w:rPr>
          <w:rFonts w:hint="eastAsia" w:ascii="宋体" w:hAnsi="宋体" w:eastAsia="宋体" w:cs="宋体"/>
          <w:b/>
          <w:bCs/>
          <w:color w:val="auto"/>
          <w:sz w:val="22"/>
          <w:highlight w:val="none"/>
        </w:rPr>
        <w:t>（投标时提供彩页或应用文献说明）</w:t>
      </w:r>
    </w:p>
    <w:p>
      <w:pPr>
        <w:widowControl/>
        <w:adjustRightInd w:val="0"/>
        <w:snapToGrid w:val="0"/>
        <w:spacing w:line="360" w:lineRule="exact"/>
        <w:ind w:firstLine="440" w:firstLineChars="200"/>
        <w:rPr>
          <w:rFonts w:hint="eastAsia" w:ascii="宋体" w:hAnsi="宋体" w:eastAsia="宋体" w:cs="宋体"/>
          <w:color w:val="auto"/>
          <w:sz w:val="22"/>
          <w:highlight w:val="none"/>
        </w:rPr>
      </w:pPr>
      <w:bookmarkStart w:id="19" w:name="OLE_LINK5"/>
      <w:bookmarkStart w:id="20" w:name="OLE_LINK6"/>
      <w:r>
        <w:rPr>
          <w:rFonts w:hint="eastAsia" w:ascii="宋体" w:hAnsi="宋体" w:eastAsia="宋体" w:cs="宋体"/>
          <w:color w:val="auto"/>
          <w:sz w:val="22"/>
          <w:highlight w:val="none"/>
        </w:rPr>
        <w:t>1.4 数据处理软件</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1.4.1 质谱数据解析软件：包含定量分析软件、目标化合物筛查软件、质谱结构解析软件、同位素分析软件、代谢物鉴定软件，蛋白组学软件；可扩展、搜索的定量LC/MS分析方法信息数据库，自动定量优化软件、定量分析数据质量监测软件。具有分子式推断功能，可以综合质量数的准确度、同位素分布分析两个方面来进行分子式的合理推断等。</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1.4.2 多元统计分析软件：满足主成份分析(PCA)的统计功能，偏最小二乘法判别分析(OPLS-DA)，变量重要性图（VIP)，模型适用性图（Goodness Plot)，Markers聚类分析等。</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1.4.3 高分辨质谱数据库及谱库建立软件：能够进行子离子精确质量数及相对丰度的谱库检索，推断未知化合物结构，并可提供镜像对比谱图。专业数据库包含天然产物及小分子化合物结构信息、内源性代谢物、残留农药等准确信息，以及化合物精确质量数二级质谱图等，可进行全自动检索。后处理平台可以提供直观看到化合物在各批次样品之间差异的另一个维度的信息。处理平台信息必须在一个界面直观表达。</w:t>
      </w:r>
    </w:p>
    <w:p>
      <w:pPr>
        <w:widowControl/>
        <w:adjustRightInd w:val="0"/>
        <w:snapToGrid w:val="0"/>
        <w:spacing w:line="360" w:lineRule="exact"/>
        <w:ind w:firstLine="442" w:firstLineChars="200"/>
        <w:rPr>
          <w:rFonts w:hint="eastAsia" w:ascii="宋体" w:hAnsi="宋体" w:eastAsia="宋体" w:cs="宋体"/>
          <w:color w:val="auto"/>
          <w:sz w:val="22"/>
          <w:highlight w:val="none"/>
        </w:rPr>
      </w:pPr>
      <w:r>
        <w:rPr>
          <w:rFonts w:hint="eastAsia" w:ascii="宋体" w:hAnsi="宋体" w:eastAsia="宋体" w:cs="宋体"/>
          <w:b/>
          <w:color w:val="auto"/>
          <w:sz w:val="22"/>
          <w:highlight w:val="none"/>
        </w:rPr>
        <w:t>1.5. 纳升级超高效液相色谱仪</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★1.5.1色谱泵：一体式独立柱塞，独立数控直线驱动色谱泵技术，双压力传感器反馈回路，智能的吸入阀门，泵头为钛合金生物惰性材料。</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1.5.2泵头为钛合金材质组成，所有管路及系统经过惰性材质处理，系统可进行活性蛋白质分析，不损失蛋白质活性，并提高回收率。</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1.5.3六通道在线脱气机：在线真空脱气，其中两通道对进样清洗液脱气。</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1.5.4流量：不分流，机械泵实现200 nL/min-100μL/min，以1 nL/min为增量兼容纳升到微升流速。</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1.5.5操作压力：≥15,000 psi。</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1.5.6延迟体积：&lt; 1μL（含梯度混和器），不随反压变化。</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★1.5.7梯度曲线：多种梯度曲线，线性,步进,凸线和凹线等共11种. 分别包含线性1种，步进2种，凸线4种和凹线4种共11种。</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1.5.8.自动进样器管理系统：</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1.5.8.1.样品盘数：≥2个48标准样品盘 。</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1.5.8.2进样精度： &lt;0.5%RSD。</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1.5.8.3样品交叉污染度：&lt;0.001%。</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1.5.8.4进样体积：0.1-100μL 进样</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1.5.8.5样品室温度范围：4°C-40°C，可编程，增量：1 ℃。</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1.5.9.柱温箱参数</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1.5.9.1温度范围：室温以上5℃-90℃，增量：0.1 ℃。</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1.5.9.2柱温箱温度准确度：±0.5 ℃。</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1.5.9.3柱温箱温度稳定性：±0.3 ℃。</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1.6.配置清单</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1.6.1 四极杆串联飞行时间质谱主机1套(包括ESCI离子源、Nano离子源,内置式蠕动注射泵、机械泵、配套电源线、调机标样)。</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1.6.2系统数据采集软件                 1套</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1.6.3 系统数据处理软件                 1套</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1.6.4 蛋白组学软件                     1套</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1.6.5工作站电脑（16G内存：8G*2，i7处理器，1T固态, 2T机械硬盘，28寸或以上显示器）2台</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1.6.6 激光打印机                       1台</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1.6.7色谱耗材：专用色谱柱3根（型号自选），在线过滤器2个，滤芯10个，样品瓶500个(带瓶盖及垫片), peek接头 20个</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1.6.8流动相溶剂瓶(1L)                6个（国内采购）</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1.6.9原装进口氮气发生器1台，产气量不小于30升/分钟。</w:t>
      </w:r>
    </w:p>
    <w:p>
      <w:pPr>
        <w:widowControl/>
        <w:adjustRightInd w:val="0"/>
        <w:snapToGrid w:val="0"/>
        <w:spacing w:line="360" w:lineRule="exact"/>
        <w:ind w:firstLine="440" w:firstLineChars="200"/>
        <w:rPr>
          <w:rFonts w:hint="eastAsia" w:ascii="宋体" w:hAnsi="宋体" w:eastAsia="宋体" w:cs="宋体"/>
          <w:b/>
          <w:bCs/>
          <w:color w:val="auto"/>
          <w:spacing w:val="-6"/>
          <w:sz w:val="22"/>
          <w:highlight w:val="none"/>
        </w:rPr>
      </w:pPr>
      <w:r>
        <w:rPr>
          <w:rFonts w:hint="eastAsia" w:ascii="宋体" w:hAnsi="宋体" w:eastAsia="宋体" w:cs="宋体"/>
          <w:color w:val="auto"/>
          <w:sz w:val="22"/>
          <w:highlight w:val="none"/>
        </w:rPr>
        <w:t>1.6.10 UPS不间断电源            1套</w:t>
      </w:r>
      <w:bookmarkEnd w:id="19"/>
      <w:bookmarkEnd w:id="20"/>
    </w:p>
    <w:p>
      <w:pPr>
        <w:widowControl/>
        <w:adjustRightInd w:val="0"/>
        <w:snapToGrid w:val="0"/>
        <w:spacing w:line="360" w:lineRule="exact"/>
        <w:jc w:val="left"/>
        <w:rPr>
          <w:rFonts w:hint="eastAsia" w:ascii="宋体" w:hAnsi="宋体" w:eastAsia="宋体" w:cs="宋体"/>
          <w:bCs/>
          <w:color w:val="auto"/>
          <w:sz w:val="22"/>
          <w:highlight w:val="none"/>
          <w:u w:val="single"/>
        </w:rPr>
      </w:pPr>
      <w:r>
        <w:rPr>
          <w:rFonts w:hint="eastAsia" w:ascii="宋体" w:hAnsi="宋体" w:eastAsia="宋体" w:cs="宋体"/>
          <w:bCs/>
          <w:color w:val="auto"/>
          <w:sz w:val="22"/>
          <w:highlight w:val="none"/>
        </w:rPr>
        <w:t>注：</w:t>
      </w:r>
      <w:r>
        <w:rPr>
          <w:rFonts w:hint="eastAsia" w:ascii="宋体" w:hAnsi="宋体" w:eastAsia="宋体" w:cs="宋体"/>
          <w:bCs/>
          <w:color w:val="auto"/>
          <w:sz w:val="22"/>
          <w:highlight w:val="none"/>
          <w:u w:val="single"/>
        </w:rPr>
        <w:t>▲投标人所投产品为进口产品的，必须提供进口货物生产厂家针对本项目的授权函。</w:t>
      </w:r>
    </w:p>
    <w:p>
      <w:pPr>
        <w:widowControl/>
        <w:adjustRightInd w:val="0"/>
        <w:snapToGrid w:val="0"/>
        <w:spacing w:line="360" w:lineRule="exact"/>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五．其他</w:t>
      </w:r>
    </w:p>
    <w:p>
      <w:pPr>
        <w:widowControl/>
        <w:adjustRightInd w:val="0"/>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1.除招标文件中所明确的采购需求外，欢迎其他能满足本项目采购需求且性能相当于或高于所明确采购需求的产品参加投标报价。同时在采购需求偏离表中作出详细对比说明。</w:t>
      </w:r>
    </w:p>
    <w:p>
      <w:pPr>
        <w:widowControl/>
        <w:adjustRightInd w:val="0"/>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2.带“★”的有关技术和商务条款为重要条款。带“▲且加下划线”的有关技术和商务条款为实质性条款，投标人必须做出实质性响应，否则视为投标无效。</w:t>
      </w:r>
    </w:p>
    <w:p>
      <w:pPr>
        <w:widowControl/>
        <w:adjustRightInd w:val="0"/>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3.如技术要求中未特别注明需执行的国家相关标准、行业标准、地方标准或者其他标准、规范，则统一执行最新标准、规范。</w:t>
      </w:r>
    </w:p>
    <w:p>
      <w:pPr>
        <w:widowControl/>
        <w:adjustRightInd w:val="0"/>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4.技术部分中需要提供的证明材料有有效期的必须在有效期内，否则视为未提供。</w:t>
      </w: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lang w:eastAsia="zh-CN"/>
        </w:rPr>
      </w:pPr>
      <w:r>
        <w:rPr>
          <w:rFonts w:hint="eastAsia" w:ascii="宋体" w:hAnsi="宋体" w:eastAsia="宋体" w:cs="宋体"/>
          <w:b/>
          <w:bCs/>
          <w:color w:val="auto"/>
          <w:sz w:val="22"/>
          <w:highlight w:val="none"/>
        </w:rPr>
        <w:t>标项3：</w:t>
      </w:r>
      <w:r>
        <w:rPr>
          <w:rFonts w:hint="eastAsia" w:ascii="宋体" w:hAnsi="宋体" w:eastAsia="宋体" w:cs="宋体"/>
          <w:b/>
          <w:bCs/>
          <w:color w:val="auto"/>
          <w:spacing w:val="-6"/>
          <w:sz w:val="22"/>
          <w:highlight w:val="none"/>
          <w:lang w:eastAsia="zh-CN"/>
        </w:rPr>
        <w:t>超高速冷冻离心机</w:t>
      </w:r>
    </w:p>
    <w:p>
      <w:pPr>
        <w:pStyle w:val="15"/>
        <w:overflowPunct/>
        <w:autoSpaceDE/>
        <w:autoSpaceDN/>
        <w:adjustRightInd/>
        <w:snapToGrid w:val="0"/>
        <w:spacing w:line="360" w:lineRule="exact"/>
        <w:textAlignment w:val="auto"/>
        <w:outlineLvl w:val="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一、采购内容及数量</w:t>
      </w:r>
    </w:p>
    <w:tbl>
      <w:tblPr>
        <w:tblStyle w:val="27"/>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626"/>
        <w:gridCol w:w="2067"/>
        <w:gridCol w:w="1039"/>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序号</w:t>
            </w:r>
          </w:p>
        </w:tc>
        <w:tc>
          <w:tcPr>
            <w:tcW w:w="2626"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内容</w:t>
            </w:r>
          </w:p>
        </w:tc>
        <w:tc>
          <w:tcPr>
            <w:tcW w:w="2067"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是否允许进口</w:t>
            </w:r>
          </w:p>
        </w:tc>
        <w:tc>
          <w:tcPr>
            <w:tcW w:w="1039"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数量</w:t>
            </w:r>
          </w:p>
        </w:tc>
        <w:tc>
          <w:tcPr>
            <w:tcW w:w="1951"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Align w:val="center"/>
          </w:tcPr>
          <w:p>
            <w:pPr>
              <w:widowControl/>
              <w:snapToGrid w:val="0"/>
              <w:spacing w:line="360" w:lineRule="exact"/>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1</w:t>
            </w:r>
          </w:p>
        </w:tc>
        <w:tc>
          <w:tcPr>
            <w:tcW w:w="2626" w:type="dxa"/>
            <w:vAlign w:val="center"/>
          </w:tcPr>
          <w:p>
            <w:pPr>
              <w:widowControl/>
              <w:snapToGrid w:val="0"/>
              <w:spacing w:line="360" w:lineRule="exact"/>
              <w:jc w:val="center"/>
              <w:rPr>
                <w:rFonts w:hint="eastAsia" w:ascii="宋体" w:hAnsi="宋体" w:eastAsia="宋体" w:cs="宋体"/>
                <w:b/>
                <w:bCs/>
                <w:color w:val="auto"/>
                <w:spacing w:val="-6"/>
                <w:sz w:val="22"/>
                <w:highlight w:val="none"/>
                <w:lang w:eastAsia="zh-CN"/>
              </w:rPr>
            </w:pPr>
            <w:r>
              <w:rPr>
                <w:rFonts w:hint="eastAsia" w:ascii="宋体" w:hAnsi="宋体" w:eastAsia="宋体" w:cs="宋体"/>
                <w:b/>
                <w:bCs/>
                <w:color w:val="auto"/>
                <w:spacing w:val="-6"/>
                <w:sz w:val="22"/>
                <w:highlight w:val="none"/>
                <w:lang w:eastAsia="zh-CN"/>
              </w:rPr>
              <w:t>超高速冷冻离心机</w:t>
            </w:r>
          </w:p>
        </w:tc>
        <w:tc>
          <w:tcPr>
            <w:tcW w:w="2067"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是</w:t>
            </w:r>
          </w:p>
        </w:tc>
        <w:tc>
          <w:tcPr>
            <w:tcW w:w="1039" w:type="dxa"/>
            <w:vAlign w:val="center"/>
          </w:tcPr>
          <w:p>
            <w:pPr>
              <w:widowControl/>
              <w:snapToGrid w:val="0"/>
              <w:spacing w:line="360" w:lineRule="exact"/>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1</w:t>
            </w:r>
            <w:r>
              <w:rPr>
                <w:rFonts w:hint="eastAsia" w:ascii="宋体" w:hAnsi="宋体" w:eastAsia="宋体" w:cs="宋体"/>
                <w:b/>
                <w:bCs/>
                <w:color w:val="auto"/>
                <w:sz w:val="22"/>
                <w:highlight w:val="none"/>
              </w:rPr>
              <w:t>套</w:t>
            </w:r>
          </w:p>
        </w:tc>
        <w:tc>
          <w:tcPr>
            <w:tcW w:w="1951"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550000</w:t>
            </w:r>
          </w:p>
        </w:tc>
      </w:tr>
    </w:tbl>
    <w:p>
      <w:pPr>
        <w:widowControl/>
        <w:adjustRightInd w:val="0"/>
        <w:snapToGrid w:val="0"/>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二.为落实政府采购政策需满足的要求：</w:t>
      </w:r>
    </w:p>
    <w:tbl>
      <w:tblPr>
        <w:tblStyle w:val="27"/>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3070"/>
        <w:gridCol w:w="5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3070"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政策名称</w:t>
            </w:r>
          </w:p>
        </w:tc>
        <w:tc>
          <w:tcPr>
            <w:tcW w:w="5788"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3070"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政府采购促进中小企业发展</w:t>
            </w:r>
          </w:p>
        </w:tc>
        <w:tc>
          <w:tcPr>
            <w:tcW w:w="5788" w:type="dxa"/>
            <w:vAlign w:val="center"/>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提供材料详见招标文件第四部分附件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3070"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政府采购支持监狱企业发展</w:t>
            </w:r>
          </w:p>
        </w:tc>
        <w:tc>
          <w:tcPr>
            <w:tcW w:w="5788" w:type="dxa"/>
            <w:vAlign w:val="center"/>
          </w:tcPr>
          <w:p>
            <w:pPr>
              <w:widowControl/>
              <w:adjustRightInd w:val="0"/>
              <w:snapToGri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3070"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政府采购促进残疾人就业</w:t>
            </w:r>
          </w:p>
        </w:tc>
        <w:tc>
          <w:tcPr>
            <w:tcW w:w="5788" w:type="dxa"/>
            <w:vAlign w:val="center"/>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3070"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政府采购节能环保产品</w:t>
            </w:r>
          </w:p>
        </w:tc>
        <w:tc>
          <w:tcPr>
            <w:tcW w:w="5788" w:type="dxa"/>
            <w:vAlign w:val="center"/>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按照招标文件第四部分附件要求提供“投标产品经国家确定的认证机构出具的处于有效期之内的节能产品、环境标志产品认证证书”或“投标产品在‘中国政府采购网’上节能产品或环境标志产品查询截图”。</w:t>
            </w:r>
          </w:p>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▲2、采购需求中要求提供的产品属于节能产品政府采购品目清单中强制采购的，投标人须提供该清单内产品，并按上款要求提供节能产品认证证书或规定网站证书查询截图，否则其投标无效。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3070"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政府采购进口产品</w:t>
            </w:r>
          </w:p>
        </w:tc>
        <w:tc>
          <w:tcPr>
            <w:tcW w:w="5788" w:type="dxa"/>
            <w:vAlign w:val="center"/>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允许</w:t>
            </w:r>
          </w:p>
        </w:tc>
      </w:tr>
    </w:tbl>
    <w:p>
      <w:pPr>
        <w:widowControl/>
        <w:adjustRightInd w:val="0"/>
        <w:snapToGrid w:val="0"/>
        <w:spacing w:line="360" w:lineRule="exact"/>
        <w:outlineLvl w:val="0"/>
        <w:rPr>
          <w:rFonts w:hint="eastAsia" w:ascii="宋体" w:hAnsi="宋体" w:eastAsia="宋体" w:cs="宋体"/>
          <w:b/>
          <w:bCs/>
          <w:color w:val="auto"/>
          <w:spacing w:val="-6"/>
          <w:sz w:val="22"/>
          <w:highlight w:val="none"/>
        </w:rPr>
      </w:pPr>
      <w:r>
        <w:rPr>
          <w:rFonts w:hint="eastAsia" w:ascii="宋体" w:hAnsi="宋体" w:eastAsia="宋体" w:cs="宋体"/>
          <w:b/>
          <w:bCs/>
          <w:color w:val="auto"/>
          <w:kern w:val="0"/>
          <w:sz w:val="22"/>
          <w:highlight w:val="none"/>
        </w:rPr>
        <w:t>三.</w:t>
      </w:r>
      <w:r>
        <w:rPr>
          <w:rFonts w:hint="eastAsia" w:ascii="宋体" w:hAnsi="宋体" w:eastAsia="宋体" w:cs="宋体"/>
          <w:b/>
          <w:bCs/>
          <w:color w:val="auto"/>
          <w:spacing w:val="-6"/>
          <w:sz w:val="22"/>
          <w:highlight w:val="none"/>
        </w:rPr>
        <w:t>商务要求（技术要求里另有注明的以技术要求为准）</w:t>
      </w:r>
    </w:p>
    <w:tbl>
      <w:tblPr>
        <w:tblStyle w:val="27"/>
        <w:tblW w:w="95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1"/>
        <w:gridCol w:w="80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履约保证金</w:t>
            </w:r>
          </w:p>
        </w:tc>
        <w:tc>
          <w:tcPr>
            <w:tcW w:w="8062"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▲签订合同后5个工作日内中标人应向采购人交纳合同总金额的5％作为履约保证金。履约保证金在货到安装验收合格且质保期满后并收到中标人开具的收据15个工作日内无息退还。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支付方式</w:t>
            </w:r>
          </w:p>
        </w:tc>
        <w:tc>
          <w:tcPr>
            <w:tcW w:w="8062"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▲（1）进口免税货物付款方式：</w:t>
            </w:r>
          </w:p>
          <w:p>
            <w:pPr>
              <w:pStyle w:val="9"/>
              <w:widowControl/>
              <w:adjustRightInd w:val="0"/>
              <w:snapToGrid w:val="0"/>
              <w:spacing w:line="360" w:lineRule="exac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合同生效以及具备实施条件后15日内采购人先预付合同金额的30%给中标人或中标人委托的外贸代理公司，中标人</w:t>
            </w:r>
            <w:r>
              <w:rPr>
                <w:rFonts w:hint="eastAsia" w:ascii="宋体" w:hAnsi="宋体" w:eastAsia="宋体" w:cs="宋体"/>
                <w:color w:val="auto"/>
                <w:sz w:val="22"/>
                <w:highlight w:val="none"/>
                <w:u w:val="single"/>
                <w:lang w:val="zh-CN"/>
              </w:rPr>
              <w:t>完成全部供货及安装、</w:t>
            </w:r>
            <w:r>
              <w:rPr>
                <w:rFonts w:hint="eastAsia" w:ascii="宋体" w:hAnsi="宋体" w:eastAsia="宋体" w:cs="宋体"/>
                <w:color w:val="auto"/>
                <w:sz w:val="22"/>
                <w:highlight w:val="none"/>
                <w:u w:val="single"/>
              </w:rPr>
              <w:t>施工</w:t>
            </w:r>
            <w:r>
              <w:rPr>
                <w:rFonts w:hint="eastAsia" w:ascii="宋体" w:hAnsi="宋体" w:eastAsia="宋体" w:cs="宋体"/>
                <w:color w:val="auto"/>
                <w:sz w:val="22"/>
                <w:highlight w:val="none"/>
                <w:u w:val="single"/>
                <w:lang w:val="zh-CN"/>
              </w:rPr>
              <w:t>、调试并通过</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验收且</w:t>
            </w:r>
            <w:r>
              <w:rPr>
                <w:rFonts w:hint="eastAsia" w:ascii="宋体" w:hAnsi="宋体" w:eastAsia="宋体" w:cs="宋体"/>
                <w:color w:val="auto"/>
                <w:sz w:val="22"/>
                <w:highlight w:val="none"/>
                <w:u w:val="single"/>
              </w:rPr>
              <w:t>中标人</w:t>
            </w:r>
            <w:r>
              <w:rPr>
                <w:rFonts w:hint="eastAsia" w:ascii="宋体" w:hAnsi="宋体" w:eastAsia="宋体" w:cs="宋体"/>
                <w:color w:val="auto"/>
                <w:sz w:val="22"/>
                <w:highlight w:val="none"/>
                <w:u w:val="single"/>
                <w:lang w:val="zh-CN"/>
              </w:rPr>
              <w:t>对</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的培训完成后，</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15个工作日内</w:t>
            </w:r>
            <w:r>
              <w:rPr>
                <w:rFonts w:hint="eastAsia" w:ascii="宋体" w:hAnsi="宋体" w:eastAsia="宋体" w:cs="宋体"/>
                <w:color w:val="auto"/>
                <w:sz w:val="22"/>
                <w:highlight w:val="none"/>
                <w:u w:val="single"/>
              </w:rPr>
              <w:t>支付剩余的货款。中标人或中标人委托的外贸代理公司各阶段均需开具全额正规发票。</w:t>
            </w:r>
          </w:p>
          <w:p>
            <w:pPr>
              <w:pStyle w:val="9"/>
              <w:widowControl/>
              <w:adjustRightInd w:val="0"/>
              <w:snapToGrid w:val="0"/>
              <w:spacing w:line="360" w:lineRule="exac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▲（2）国产货物付款方式：</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合同生效以及具备实施条件后15日内采购人先预付合同金额的30%给中标人，中标人</w:t>
            </w:r>
            <w:r>
              <w:rPr>
                <w:rFonts w:hint="eastAsia" w:ascii="宋体" w:hAnsi="宋体" w:eastAsia="宋体" w:cs="宋体"/>
                <w:color w:val="auto"/>
                <w:sz w:val="22"/>
                <w:highlight w:val="none"/>
                <w:u w:val="single"/>
                <w:lang w:val="zh-CN"/>
              </w:rPr>
              <w:t>完成全部供货及安装、</w:t>
            </w:r>
            <w:r>
              <w:rPr>
                <w:rFonts w:hint="eastAsia" w:ascii="宋体" w:hAnsi="宋体" w:eastAsia="宋体" w:cs="宋体"/>
                <w:color w:val="auto"/>
                <w:sz w:val="22"/>
                <w:highlight w:val="none"/>
                <w:u w:val="single"/>
              </w:rPr>
              <w:t>施工</w:t>
            </w:r>
            <w:r>
              <w:rPr>
                <w:rFonts w:hint="eastAsia" w:ascii="宋体" w:hAnsi="宋体" w:eastAsia="宋体" w:cs="宋体"/>
                <w:color w:val="auto"/>
                <w:sz w:val="22"/>
                <w:highlight w:val="none"/>
                <w:u w:val="single"/>
                <w:lang w:val="zh-CN"/>
              </w:rPr>
              <w:t>、调试并通过</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验收且</w:t>
            </w:r>
            <w:r>
              <w:rPr>
                <w:rFonts w:hint="eastAsia" w:ascii="宋体" w:hAnsi="宋体" w:eastAsia="宋体" w:cs="宋体"/>
                <w:color w:val="auto"/>
                <w:sz w:val="22"/>
                <w:highlight w:val="none"/>
                <w:u w:val="single"/>
              </w:rPr>
              <w:t>中标人</w:t>
            </w:r>
            <w:r>
              <w:rPr>
                <w:rFonts w:hint="eastAsia" w:ascii="宋体" w:hAnsi="宋体" w:eastAsia="宋体" w:cs="宋体"/>
                <w:color w:val="auto"/>
                <w:sz w:val="22"/>
                <w:highlight w:val="none"/>
                <w:u w:val="single"/>
                <w:lang w:val="zh-CN"/>
              </w:rPr>
              <w:t>对</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的培训完成后，</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后15个工作日内</w:t>
            </w:r>
            <w:r>
              <w:rPr>
                <w:rFonts w:hint="eastAsia" w:ascii="宋体" w:hAnsi="宋体" w:eastAsia="宋体" w:cs="宋体"/>
                <w:color w:val="auto"/>
                <w:sz w:val="22"/>
                <w:highlight w:val="none"/>
                <w:u w:val="single"/>
              </w:rPr>
              <w:t>支付剩余的货款。中标人各阶段均需开具全额正规发票。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交付时间</w:t>
            </w:r>
          </w:p>
        </w:tc>
        <w:tc>
          <w:tcPr>
            <w:tcW w:w="8062"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进口免税产品在收到免税办妥通知并信用证（L/C）开出后90天内。</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国产产品在合同签订后30天内交货完毕、安装调试完成。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交付地点</w:t>
            </w:r>
          </w:p>
        </w:tc>
        <w:tc>
          <w:tcPr>
            <w:tcW w:w="8062"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温州肯恩大学指定地点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质保期</w:t>
            </w:r>
          </w:p>
        </w:tc>
        <w:tc>
          <w:tcPr>
            <w:tcW w:w="80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整机质保期应响应招标参数且不少于3年，质保期时间自验收合格之日开始计算。在此质保期内，如在正常使用过程中出现的质量问题，投标人须负责免费维修或调换。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服务标准</w:t>
            </w:r>
          </w:p>
        </w:tc>
        <w:tc>
          <w:tcPr>
            <w:tcW w:w="8062"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质保期内因不能排除的故障而影响工作的情况每发生一次，其质保期相应延长60天，质保期内因货物本身缺陷造成各种故障或无法排除故障的应由中标人免费予以更换同等新设备，否则将扣除履约保证金或故障设备同等价值违约金作为对采购人的补偿。</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2.在质保期内，所有服务及软硬配件全部免费。质保期满后，仅收配件或易损件优惠费用(优惠价格不高于7折），所涉及软件终身免费升级。</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3.中标人应确保设备正常使用，零配件在该设备停产后仍需保证至少5年的供应。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服务效率</w:t>
            </w:r>
          </w:p>
        </w:tc>
        <w:tc>
          <w:tcPr>
            <w:tcW w:w="8062"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合同货物出现故障后，电话响应2小时，电话不能解决的24小时到现场并解决问题，要求时限内不能修复的问题，无偿提供新备品、新备件或新备机，以保证用户的正常运行。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验收标准</w:t>
            </w:r>
          </w:p>
        </w:tc>
        <w:tc>
          <w:tcPr>
            <w:tcW w:w="8062"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合同履约验收参照《温州市政府采购履约验收办法》(温财采[2020]6号)相关规定。合同履约达到验收条件时，卖方按冋买方书面发起验收申请，买方或者其委托的采购代理机构(以下简称验收组织机构)在收到卖方验收申请五个工作日内启动项目验收。</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合同金额在采购限额标准以上的，原则上应采用一般程序验收。验收小组应当由五人以上(含本数)单数、熟悉项目需求和标的人员组成，其中相关专业技术人员人数不得少于验收小组人员总数的三分之二。验收组织机构应当按照采购文件、投标(响应)文件、采购合同、封存样品等约定的质量、数量、技术指标或者服务要求设验收指标及其标准。未约定的，应当符合国家强制性规定、政策要求、安全标准、行业或企业有关标准等。</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3.买方依据验收书和卖方其他履约情况，对验收项目作出整体评价和分类评价，形成验收结果，除涉密情形外，买方应在评价后2个工作日内在浙江政府采购网发布验收结果。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其他技术、服务要求</w:t>
            </w:r>
          </w:p>
        </w:tc>
        <w:tc>
          <w:tcPr>
            <w:tcW w:w="8062"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1.培训：</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1.1 对采购人的操作人员、维修人员每年定期免费进行培训。</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1.2 提供完整详细的实施、培训和运维计划方案，并得到采购人的批准。实施过程严格按照批准后的计划进行，如有变更需再次得到采购人的批准。</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2.技术支持：</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中标人应及时免费提供合同货物软件的升级，免费提供合同货物新功能和应用的资料。</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3.安装调试（若需要安装调试）：</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3.1 安装地点：采购人指定地点。</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3.2 安装完成时间：接到采购人通知后在规定时间内完成安装和调试，如在规定的时间内由于中标人的原因不能完成安装和调试，中标人应承担由此给采购人造成的损失。</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3.3 安装标准：符合我国国家有关技术规范要求和技术标准，所有的软件和硬件必须保证同时安装到位。</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3.4 中标人免费提供合同货物的安装服务。</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3.5 投标人在投标文件中应提供安装调试计划、对安装场地和环境的要求。</w:t>
            </w:r>
          </w:p>
        </w:tc>
      </w:tr>
    </w:tbl>
    <w:p>
      <w:pPr>
        <w:widowControl/>
        <w:adjustRightInd w:val="0"/>
        <w:snapToGrid w:val="0"/>
        <w:spacing w:line="360" w:lineRule="exac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四．技术要求</w:t>
      </w:r>
    </w:p>
    <w:p>
      <w:pPr>
        <w:widowControl/>
        <w:adjustRightInd w:val="0"/>
        <w:snapToGrid w:val="0"/>
        <w:spacing w:line="360" w:lineRule="exact"/>
        <w:ind w:firstLine="440" w:firstLineChars="200"/>
        <w:jc w:val="left"/>
        <w:outlineLvl w:val="0"/>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1.功能和用途</w:t>
      </w:r>
    </w:p>
    <w:p>
      <w:pPr>
        <w:widowControl/>
        <w:adjustRightInd w:val="0"/>
        <w:snapToGrid w:val="0"/>
        <w:spacing w:line="360" w:lineRule="exact"/>
        <w:ind w:firstLine="440" w:firstLineChars="200"/>
        <w:jc w:val="left"/>
        <w:outlineLvl w:val="0"/>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1.1 功能：用于超速离心分离</w:t>
      </w:r>
    </w:p>
    <w:p>
      <w:pPr>
        <w:widowControl/>
        <w:adjustRightInd w:val="0"/>
        <w:snapToGrid w:val="0"/>
        <w:spacing w:line="360" w:lineRule="exact"/>
        <w:ind w:firstLine="440" w:firstLineChars="200"/>
        <w:jc w:val="left"/>
        <w:outlineLvl w:val="0"/>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1.2 用途：纳米颗粒，病毒样本，亚细胞器，蛋白等的离心分离</w:t>
      </w:r>
    </w:p>
    <w:p>
      <w:pPr>
        <w:widowControl/>
        <w:adjustRightInd w:val="0"/>
        <w:snapToGrid w:val="0"/>
        <w:spacing w:line="360" w:lineRule="exact"/>
        <w:ind w:firstLine="440" w:firstLineChars="200"/>
        <w:jc w:val="left"/>
        <w:outlineLvl w:val="0"/>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2.主机技术指标</w:t>
      </w:r>
    </w:p>
    <w:p>
      <w:pPr>
        <w:widowControl/>
        <w:adjustRightInd w:val="0"/>
        <w:snapToGrid w:val="0"/>
        <w:spacing w:line="360" w:lineRule="exact"/>
        <w:ind w:firstLine="440" w:firstLineChars="200"/>
        <w:jc w:val="left"/>
        <w:outlineLvl w:val="0"/>
        <w:rPr>
          <w:rFonts w:hint="eastAsia" w:ascii="宋体" w:hAnsi="宋体" w:eastAsia="宋体" w:cs="宋体"/>
          <w:bCs/>
          <w:color w:val="auto"/>
          <w:kern w:val="0"/>
          <w:sz w:val="22"/>
          <w:highlight w:val="none"/>
        </w:rPr>
      </w:pPr>
      <w:r>
        <w:rPr>
          <w:rFonts w:hint="eastAsia" w:ascii="宋体" w:hAnsi="宋体" w:eastAsia="宋体" w:cs="宋体"/>
          <w:color w:val="auto"/>
          <w:sz w:val="22"/>
          <w:highlight w:val="none"/>
        </w:rPr>
        <w:t>★</w:t>
      </w:r>
      <w:r>
        <w:rPr>
          <w:rFonts w:hint="eastAsia" w:ascii="宋体" w:hAnsi="宋体" w:eastAsia="宋体" w:cs="宋体"/>
          <w:bCs/>
          <w:color w:val="auto"/>
          <w:kern w:val="0"/>
          <w:sz w:val="22"/>
          <w:highlight w:val="none"/>
        </w:rPr>
        <w:t>2.1 最高转速：≥150,000 RPM；离心力：≥1000,000 xg；转速控制精度：±50 rpm</w:t>
      </w:r>
    </w:p>
    <w:p>
      <w:pPr>
        <w:widowControl/>
        <w:adjustRightInd w:val="0"/>
        <w:snapToGrid w:val="0"/>
        <w:spacing w:line="360" w:lineRule="exact"/>
        <w:ind w:firstLine="440" w:firstLineChars="200"/>
        <w:jc w:val="left"/>
        <w:outlineLvl w:val="0"/>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2.2 可选转头最大容量≥ 6x32.4 ml, 最大容量转头的最大相对离心力≥230,000xg, K因子 ≤50</w:t>
      </w:r>
    </w:p>
    <w:p>
      <w:pPr>
        <w:widowControl/>
        <w:adjustRightInd w:val="0"/>
        <w:snapToGrid w:val="0"/>
        <w:spacing w:line="360" w:lineRule="exact"/>
        <w:ind w:firstLine="440" w:firstLineChars="200"/>
        <w:jc w:val="left"/>
        <w:outlineLvl w:val="0"/>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2.3 驱动系统要求为真空密封驱动系统</w:t>
      </w:r>
    </w:p>
    <w:p>
      <w:pPr>
        <w:widowControl/>
        <w:adjustRightInd w:val="0"/>
        <w:snapToGrid w:val="0"/>
        <w:spacing w:line="360" w:lineRule="exact"/>
        <w:ind w:firstLine="440" w:firstLineChars="200"/>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2.4 仪器采用阿拉伯数字实时显示真空度具体数值，非模糊的高、中、低文字描述，以保证实时监控仪器真空度，保证正常运行</w:t>
      </w:r>
    </w:p>
    <w:p>
      <w:pPr>
        <w:widowControl/>
        <w:adjustRightInd w:val="0"/>
        <w:snapToGrid w:val="0"/>
        <w:spacing w:line="360" w:lineRule="exact"/>
        <w:ind w:firstLine="440" w:firstLineChars="200"/>
        <w:jc w:val="left"/>
        <w:outlineLvl w:val="0"/>
        <w:rPr>
          <w:rFonts w:hint="eastAsia" w:ascii="宋体" w:hAnsi="宋体" w:eastAsia="宋体" w:cs="宋体"/>
          <w:bCs/>
          <w:color w:val="auto"/>
          <w:kern w:val="0"/>
          <w:sz w:val="22"/>
          <w:highlight w:val="none"/>
        </w:rPr>
      </w:pPr>
      <w:r>
        <w:rPr>
          <w:rFonts w:hint="eastAsia" w:ascii="宋体" w:hAnsi="宋体" w:eastAsia="宋体" w:cs="宋体"/>
          <w:color w:val="auto"/>
          <w:sz w:val="22"/>
          <w:highlight w:val="none"/>
        </w:rPr>
        <w:t>★</w:t>
      </w:r>
      <w:r>
        <w:rPr>
          <w:rFonts w:hint="eastAsia" w:ascii="宋体" w:hAnsi="宋体" w:eastAsia="宋体" w:cs="宋体"/>
          <w:bCs/>
          <w:color w:val="auto"/>
          <w:kern w:val="0"/>
          <w:sz w:val="22"/>
          <w:highlight w:val="none"/>
        </w:rPr>
        <w:t>2.5 温度设定范围：0-40℃，1℃步进</w:t>
      </w:r>
    </w:p>
    <w:p>
      <w:pPr>
        <w:widowControl/>
        <w:adjustRightInd w:val="0"/>
        <w:snapToGrid w:val="0"/>
        <w:spacing w:line="360" w:lineRule="exact"/>
        <w:ind w:firstLine="440" w:firstLineChars="200"/>
        <w:jc w:val="left"/>
        <w:outlineLvl w:val="0"/>
        <w:rPr>
          <w:rFonts w:hint="eastAsia" w:ascii="宋体" w:hAnsi="宋体" w:eastAsia="宋体" w:cs="宋体"/>
          <w:bCs/>
          <w:color w:val="auto"/>
          <w:kern w:val="0"/>
          <w:sz w:val="22"/>
          <w:highlight w:val="none"/>
        </w:rPr>
      </w:pPr>
      <w:r>
        <w:rPr>
          <w:rFonts w:hint="eastAsia" w:ascii="宋体" w:hAnsi="宋体" w:eastAsia="宋体" w:cs="宋体"/>
          <w:color w:val="auto"/>
          <w:sz w:val="22"/>
          <w:highlight w:val="none"/>
        </w:rPr>
        <w:t>★</w:t>
      </w:r>
      <w:r>
        <w:rPr>
          <w:rFonts w:hint="eastAsia" w:ascii="宋体" w:hAnsi="宋体" w:eastAsia="宋体" w:cs="宋体"/>
          <w:bCs/>
          <w:color w:val="auto"/>
          <w:kern w:val="0"/>
          <w:sz w:val="22"/>
          <w:highlight w:val="none"/>
        </w:rPr>
        <w:t>2.6 目视平衡，样品不平衡容许度为样品体积±10%</w:t>
      </w:r>
    </w:p>
    <w:p>
      <w:pPr>
        <w:widowControl/>
        <w:adjustRightInd w:val="0"/>
        <w:snapToGrid w:val="0"/>
        <w:spacing w:line="360" w:lineRule="exact"/>
        <w:ind w:firstLine="440" w:firstLineChars="200"/>
        <w:jc w:val="left"/>
        <w:outlineLvl w:val="0"/>
        <w:rPr>
          <w:rFonts w:hint="eastAsia" w:ascii="宋体" w:hAnsi="宋体" w:eastAsia="宋体" w:cs="宋体"/>
          <w:bCs/>
          <w:color w:val="auto"/>
          <w:kern w:val="0"/>
          <w:sz w:val="22"/>
          <w:highlight w:val="none"/>
        </w:rPr>
      </w:pPr>
      <w:r>
        <w:rPr>
          <w:rFonts w:hint="eastAsia" w:ascii="宋体" w:hAnsi="宋体" w:eastAsia="宋体" w:cs="宋体"/>
          <w:color w:val="auto"/>
          <w:sz w:val="22"/>
          <w:highlight w:val="none"/>
        </w:rPr>
        <w:t>★</w:t>
      </w:r>
      <w:r>
        <w:rPr>
          <w:rFonts w:hint="eastAsia" w:ascii="宋体" w:hAnsi="宋体" w:eastAsia="宋体" w:cs="宋体"/>
          <w:bCs/>
          <w:color w:val="auto"/>
          <w:kern w:val="0"/>
          <w:sz w:val="22"/>
          <w:highlight w:val="none"/>
        </w:rPr>
        <w:t>2.7 加速/减速选择：≥10档加速/11档减速；并显示加/减速时间</w:t>
      </w:r>
    </w:p>
    <w:p>
      <w:pPr>
        <w:widowControl/>
        <w:adjustRightInd w:val="0"/>
        <w:snapToGrid w:val="0"/>
        <w:spacing w:line="360" w:lineRule="exact"/>
        <w:ind w:firstLine="440" w:firstLineChars="200"/>
        <w:jc w:val="left"/>
        <w:outlineLvl w:val="0"/>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2.8 彩色液晶显示屏，触幕式操作</w:t>
      </w:r>
    </w:p>
    <w:p>
      <w:pPr>
        <w:widowControl/>
        <w:adjustRightInd w:val="0"/>
        <w:snapToGrid w:val="0"/>
        <w:spacing w:line="360" w:lineRule="exact"/>
        <w:ind w:firstLine="440" w:firstLineChars="200"/>
        <w:jc w:val="left"/>
        <w:outlineLvl w:val="0"/>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2.9 具备脉冲功能及延时启动功能</w:t>
      </w:r>
    </w:p>
    <w:p>
      <w:pPr>
        <w:widowControl/>
        <w:adjustRightInd w:val="0"/>
        <w:snapToGrid w:val="0"/>
        <w:spacing w:line="360" w:lineRule="exact"/>
        <w:ind w:firstLine="440" w:firstLineChars="200"/>
        <w:jc w:val="left"/>
        <w:outlineLvl w:val="0"/>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2.10 要求无限程序存储功能</w:t>
      </w:r>
    </w:p>
    <w:p>
      <w:pPr>
        <w:widowControl/>
        <w:adjustRightInd w:val="0"/>
        <w:snapToGrid w:val="0"/>
        <w:spacing w:line="360" w:lineRule="exact"/>
        <w:ind w:firstLine="440" w:firstLineChars="200"/>
        <w:jc w:val="left"/>
        <w:outlineLvl w:val="0"/>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2.11 采用用户身份验证和密码保护的登录方式以提高使用的安全性</w:t>
      </w:r>
    </w:p>
    <w:p>
      <w:pPr>
        <w:widowControl/>
        <w:adjustRightInd w:val="0"/>
        <w:snapToGrid w:val="0"/>
        <w:spacing w:line="360" w:lineRule="exact"/>
        <w:ind w:firstLine="440" w:firstLineChars="200"/>
        <w:jc w:val="left"/>
        <w:outlineLvl w:val="0"/>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2.12 采用中文操作系统，中英文等9中语言可任意切换</w:t>
      </w:r>
    </w:p>
    <w:p>
      <w:pPr>
        <w:widowControl/>
        <w:adjustRightInd w:val="0"/>
        <w:snapToGrid w:val="0"/>
        <w:spacing w:line="360" w:lineRule="exact"/>
        <w:ind w:firstLine="440" w:firstLineChars="200"/>
        <w:jc w:val="left"/>
        <w:outlineLvl w:val="0"/>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2.13 尺寸（长×宽×高）≤584mm×737mm×409mm，要求可放到安全柜中进行离心实验</w:t>
      </w:r>
    </w:p>
    <w:p>
      <w:pPr>
        <w:widowControl/>
        <w:adjustRightInd w:val="0"/>
        <w:snapToGrid w:val="0"/>
        <w:spacing w:line="360" w:lineRule="exact"/>
        <w:ind w:firstLine="440" w:firstLineChars="200"/>
        <w:jc w:val="left"/>
        <w:outlineLvl w:val="0"/>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2.14 支持21 CFR Part 11，GLP和GMP</w:t>
      </w:r>
    </w:p>
    <w:p>
      <w:pPr>
        <w:widowControl/>
        <w:adjustRightInd w:val="0"/>
        <w:snapToGrid w:val="0"/>
        <w:spacing w:line="360" w:lineRule="exact"/>
        <w:ind w:firstLine="440" w:firstLineChars="200"/>
        <w:jc w:val="left"/>
        <w:outlineLvl w:val="0"/>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★2.15 台式机型，可放置于生物安全柜内使用，主机重量不低于105Kg</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bCs/>
          <w:color w:val="auto"/>
          <w:kern w:val="0"/>
          <w:sz w:val="22"/>
          <w:highlight w:val="none"/>
        </w:rPr>
        <w:t>★</w:t>
      </w:r>
      <w:r>
        <w:rPr>
          <w:rFonts w:hint="eastAsia" w:ascii="宋体" w:hAnsi="宋体" w:eastAsia="宋体" w:cs="宋体"/>
          <w:color w:val="auto"/>
          <w:sz w:val="22"/>
          <w:highlight w:val="none"/>
        </w:rPr>
        <w:t>2.16</w:t>
      </w:r>
      <w:r>
        <w:rPr>
          <w:rFonts w:hint="eastAsia" w:ascii="宋体" w:hAnsi="宋体" w:eastAsia="宋体" w:cs="宋体"/>
          <w:bCs/>
          <w:color w:val="auto"/>
          <w:kern w:val="0"/>
          <w:sz w:val="22"/>
          <w:highlight w:val="none"/>
        </w:rPr>
        <w:t xml:space="preserve"> </w:t>
      </w:r>
      <w:r>
        <w:rPr>
          <w:rFonts w:hint="eastAsia" w:ascii="宋体" w:hAnsi="宋体" w:eastAsia="宋体" w:cs="宋体"/>
          <w:color w:val="auto"/>
          <w:sz w:val="22"/>
          <w:highlight w:val="none"/>
        </w:rPr>
        <w:t>可提供特殊设计的离心管，在同一个转头内灵活实现多种小体积样品离心并且同时获得该转头的最大离心力，同时K因子减少，效率提高；非单一厚壁管，需提供热封管。</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2.17</w:t>
      </w:r>
      <w:r>
        <w:rPr>
          <w:rFonts w:hint="eastAsia" w:ascii="宋体" w:hAnsi="宋体" w:eastAsia="宋体" w:cs="宋体"/>
          <w:bCs/>
          <w:color w:val="auto"/>
          <w:kern w:val="0"/>
          <w:sz w:val="22"/>
          <w:highlight w:val="none"/>
        </w:rPr>
        <w:t xml:space="preserve"> </w:t>
      </w:r>
      <w:r>
        <w:rPr>
          <w:rFonts w:hint="eastAsia" w:ascii="宋体" w:hAnsi="宋体" w:eastAsia="宋体" w:cs="宋体"/>
          <w:color w:val="auto"/>
          <w:sz w:val="22"/>
          <w:highlight w:val="none"/>
        </w:rPr>
        <w:t>离心管种类需满足：开口管、指封管、快封管、锥型管等</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2.18</w:t>
      </w:r>
      <w:r>
        <w:rPr>
          <w:rFonts w:hint="eastAsia" w:ascii="宋体" w:hAnsi="宋体" w:eastAsia="宋体" w:cs="宋体"/>
          <w:bCs/>
          <w:color w:val="auto"/>
          <w:kern w:val="0"/>
          <w:sz w:val="22"/>
          <w:highlight w:val="none"/>
        </w:rPr>
        <w:t xml:space="preserve"> </w:t>
      </w:r>
      <w:r>
        <w:rPr>
          <w:rFonts w:hint="eastAsia" w:ascii="宋体" w:hAnsi="宋体" w:eastAsia="宋体" w:cs="宋体"/>
          <w:color w:val="auto"/>
          <w:sz w:val="22"/>
          <w:highlight w:val="none"/>
        </w:rPr>
        <w:t>噪音：＜47dBA</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2.19</w:t>
      </w:r>
      <w:r>
        <w:rPr>
          <w:rFonts w:hint="eastAsia" w:ascii="宋体" w:hAnsi="宋体" w:eastAsia="宋体" w:cs="宋体"/>
          <w:bCs/>
          <w:color w:val="auto"/>
          <w:kern w:val="0"/>
          <w:sz w:val="22"/>
          <w:highlight w:val="none"/>
        </w:rPr>
        <w:t xml:space="preserve"> </w:t>
      </w:r>
      <w:r>
        <w:rPr>
          <w:rFonts w:hint="eastAsia" w:ascii="宋体" w:hAnsi="宋体" w:eastAsia="宋体" w:cs="宋体"/>
          <w:color w:val="auto"/>
          <w:sz w:val="22"/>
          <w:highlight w:val="none"/>
        </w:rPr>
        <w:t>可升级加装HEPA高效生物安全微粒隔离系统，以隔离气溶胶污染</w:t>
      </w:r>
    </w:p>
    <w:p>
      <w:pPr>
        <w:widowControl/>
        <w:adjustRightInd w:val="0"/>
        <w:snapToGrid w:val="0"/>
        <w:spacing w:line="360" w:lineRule="exact"/>
        <w:ind w:firstLine="440" w:firstLineChars="200"/>
        <w:jc w:val="left"/>
        <w:outlineLvl w:val="0"/>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3.配置：</w:t>
      </w:r>
    </w:p>
    <w:p>
      <w:pPr>
        <w:widowControl/>
        <w:adjustRightInd w:val="0"/>
        <w:snapToGrid w:val="0"/>
        <w:spacing w:line="360" w:lineRule="exact"/>
        <w:ind w:firstLine="440" w:firstLineChars="200"/>
        <w:jc w:val="left"/>
        <w:outlineLvl w:val="0"/>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3.1 配置：台式超速离心机主机一台</w:t>
      </w:r>
    </w:p>
    <w:p>
      <w:pPr>
        <w:widowControl/>
        <w:adjustRightInd w:val="0"/>
        <w:snapToGrid w:val="0"/>
        <w:spacing w:line="360" w:lineRule="exact"/>
        <w:ind w:firstLine="440" w:firstLineChars="200"/>
        <w:jc w:val="left"/>
        <w:outlineLvl w:val="0"/>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★3.2 最大体积≥8×2ml钛合金固定角转子一个，最高转速转速≥150000rpm，离心力≥1003000xg，k因子≤10.42，配2.0ml热封管（100根以上）及配套适配器</w:t>
      </w:r>
    </w:p>
    <w:p>
      <w:pPr>
        <w:widowControl/>
        <w:adjustRightInd w:val="0"/>
        <w:snapToGrid w:val="0"/>
        <w:spacing w:line="360" w:lineRule="exact"/>
        <w:ind w:firstLine="440" w:firstLineChars="200"/>
        <w:jc w:val="left"/>
        <w:outlineLvl w:val="0"/>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★3.3 最大体积≥6×32.4ml固定角转子一个，最高转速转速≥50000rpm，离心力≥233000xg，k因子≤50，配32.4ml指封离心管（112根以上）以及配套适配器，配备15ml热封管及配套适配器，同时配备10ml薄壁管及配套适配器</w:t>
      </w:r>
    </w:p>
    <w:p>
      <w:pPr>
        <w:widowControl/>
        <w:adjustRightInd w:val="0"/>
        <w:snapToGrid w:val="0"/>
        <w:spacing w:line="360" w:lineRule="exact"/>
        <w:ind w:firstLine="440" w:firstLineChars="200"/>
        <w:jc w:val="left"/>
        <w:outlineLvl w:val="0"/>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3.4 最大体积≥8×13.5ml固定角转子一个，最高转速转速≥55000rpm，离心力≥287000xg，k因子≤53，配10.4ml离心瓶</w:t>
      </w:r>
    </w:p>
    <w:p>
      <w:pPr>
        <w:widowControl/>
        <w:adjustRightInd w:val="0"/>
        <w:snapToGrid w:val="0"/>
        <w:spacing w:line="360" w:lineRule="exact"/>
        <w:ind w:firstLine="440" w:firstLineChars="200"/>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3.5 最大体积≥4×5.0ml水平转子一个，最高转速转速≥50000rpm，离心力≥ 268000xg，k因子≤71，配5.0ml离心管（100个以上）</w:t>
      </w:r>
    </w:p>
    <w:p>
      <w:pPr>
        <w:widowControl/>
        <w:adjustRightInd w:val="0"/>
        <w:snapToGrid w:val="0"/>
        <w:spacing w:line="360" w:lineRule="exact"/>
        <w:ind w:firstLine="440" w:firstLineChars="200"/>
        <w:rPr>
          <w:rFonts w:hint="eastAsia" w:ascii="宋体" w:hAnsi="宋体" w:eastAsia="宋体" w:cs="宋体"/>
          <w:b/>
          <w:bCs/>
          <w:color w:val="auto"/>
          <w:spacing w:val="-6"/>
          <w:sz w:val="22"/>
          <w:highlight w:val="none"/>
        </w:rPr>
      </w:pPr>
      <w:r>
        <w:rPr>
          <w:rFonts w:hint="eastAsia" w:ascii="宋体" w:hAnsi="宋体" w:eastAsia="宋体" w:cs="宋体"/>
          <w:bCs/>
          <w:color w:val="auto"/>
          <w:kern w:val="0"/>
          <w:sz w:val="22"/>
          <w:highlight w:val="none"/>
        </w:rPr>
        <w:t>3.6 热封管热封器一台</w:t>
      </w:r>
    </w:p>
    <w:p>
      <w:pPr>
        <w:widowControl/>
        <w:adjustRightInd w:val="0"/>
        <w:snapToGrid w:val="0"/>
        <w:spacing w:line="360" w:lineRule="exact"/>
        <w:jc w:val="left"/>
        <w:rPr>
          <w:rFonts w:hint="eastAsia" w:ascii="宋体" w:hAnsi="宋体" w:eastAsia="宋体" w:cs="宋体"/>
          <w:bCs/>
          <w:color w:val="auto"/>
          <w:sz w:val="22"/>
          <w:highlight w:val="none"/>
          <w:u w:val="single"/>
        </w:rPr>
      </w:pPr>
      <w:r>
        <w:rPr>
          <w:rFonts w:hint="eastAsia" w:ascii="宋体" w:hAnsi="宋体" w:eastAsia="宋体" w:cs="宋体"/>
          <w:bCs/>
          <w:color w:val="auto"/>
          <w:sz w:val="22"/>
          <w:highlight w:val="none"/>
        </w:rPr>
        <w:t>注：</w:t>
      </w:r>
      <w:r>
        <w:rPr>
          <w:rFonts w:hint="eastAsia" w:ascii="宋体" w:hAnsi="宋体" w:eastAsia="宋体" w:cs="宋体"/>
          <w:bCs/>
          <w:color w:val="auto"/>
          <w:sz w:val="22"/>
          <w:highlight w:val="none"/>
          <w:u w:val="single"/>
        </w:rPr>
        <w:t>▲投标人所投产品为进口产品的，必须提供进口货物生产厂家针对本项目的授权函。</w:t>
      </w:r>
    </w:p>
    <w:p>
      <w:pPr>
        <w:widowControl/>
        <w:adjustRightInd w:val="0"/>
        <w:snapToGrid w:val="0"/>
        <w:spacing w:line="360" w:lineRule="exact"/>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五．其他</w:t>
      </w:r>
    </w:p>
    <w:p>
      <w:pPr>
        <w:widowControl/>
        <w:adjustRightInd w:val="0"/>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1.除招标文件中所明确的采购需求外，欢迎其他能满足本项目采购需求且性能相当于或高于所明确采购需求的产品参加投标报价。同时在采购需求偏离表中作出详细对比说明。</w:t>
      </w:r>
    </w:p>
    <w:p>
      <w:pPr>
        <w:widowControl/>
        <w:adjustRightInd w:val="0"/>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2.带“★”的有关技术和商务条款为重要条款。带“▲且加下划线”的有关技术和商务条款为实质性条款，投标人必须做出实质性响应，否则视为投标无效。</w:t>
      </w:r>
    </w:p>
    <w:p>
      <w:pPr>
        <w:widowControl/>
        <w:adjustRightInd w:val="0"/>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3.如技术要求中未特别注明需执行的国家相关标准、行业标准、地方标准或者其他标准、规范，则统一执行最新标准、规范。</w:t>
      </w:r>
    </w:p>
    <w:p>
      <w:pPr>
        <w:widowControl/>
        <w:adjustRightInd w:val="0"/>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4.技术部分中需要提供的证明材料有有效期的必须在有效期内，否则视为未提供。</w:t>
      </w: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lang w:eastAsia="zh-CN"/>
        </w:rPr>
      </w:pPr>
      <w:r>
        <w:rPr>
          <w:rFonts w:hint="eastAsia" w:ascii="宋体" w:hAnsi="宋体" w:eastAsia="宋体" w:cs="宋体"/>
          <w:b/>
          <w:bCs/>
          <w:color w:val="auto"/>
          <w:sz w:val="22"/>
          <w:highlight w:val="none"/>
        </w:rPr>
        <w:t>标项4：</w:t>
      </w:r>
      <w:r>
        <w:rPr>
          <w:rFonts w:hint="eastAsia" w:ascii="宋体" w:hAnsi="宋体" w:eastAsia="宋体" w:cs="宋体"/>
          <w:b/>
          <w:bCs/>
          <w:color w:val="auto"/>
          <w:spacing w:val="-6"/>
          <w:sz w:val="22"/>
          <w:highlight w:val="none"/>
          <w:lang w:eastAsia="zh-CN"/>
        </w:rPr>
        <w:t>蛋白纯化系统-FPLC</w:t>
      </w:r>
    </w:p>
    <w:p>
      <w:pPr>
        <w:pStyle w:val="15"/>
        <w:overflowPunct/>
        <w:autoSpaceDE/>
        <w:autoSpaceDN/>
        <w:adjustRightInd/>
        <w:snapToGrid w:val="0"/>
        <w:spacing w:line="360" w:lineRule="exact"/>
        <w:textAlignment w:val="auto"/>
        <w:outlineLvl w:val="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一、采购内容及数量</w:t>
      </w:r>
    </w:p>
    <w:tbl>
      <w:tblPr>
        <w:tblStyle w:val="27"/>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626"/>
        <w:gridCol w:w="2067"/>
        <w:gridCol w:w="1039"/>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序号</w:t>
            </w:r>
          </w:p>
        </w:tc>
        <w:tc>
          <w:tcPr>
            <w:tcW w:w="2626"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内容</w:t>
            </w:r>
          </w:p>
        </w:tc>
        <w:tc>
          <w:tcPr>
            <w:tcW w:w="2067"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是否允许进口</w:t>
            </w:r>
          </w:p>
        </w:tc>
        <w:tc>
          <w:tcPr>
            <w:tcW w:w="1039"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数量</w:t>
            </w:r>
          </w:p>
        </w:tc>
        <w:tc>
          <w:tcPr>
            <w:tcW w:w="1951"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Align w:val="center"/>
          </w:tcPr>
          <w:p>
            <w:pPr>
              <w:widowControl/>
              <w:snapToGrid w:val="0"/>
              <w:spacing w:line="360" w:lineRule="exact"/>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1</w:t>
            </w:r>
          </w:p>
        </w:tc>
        <w:tc>
          <w:tcPr>
            <w:tcW w:w="2626" w:type="dxa"/>
            <w:vAlign w:val="center"/>
          </w:tcPr>
          <w:p>
            <w:pPr>
              <w:widowControl/>
              <w:snapToGrid w:val="0"/>
              <w:spacing w:line="360" w:lineRule="exact"/>
              <w:jc w:val="center"/>
              <w:rPr>
                <w:rFonts w:hint="eastAsia" w:ascii="宋体" w:hAnsi="宋体" w:eastAsia="宋体" w:cs="宋体"/>
                <w:b/>
                <w:bCs/>
                <w:color w:val="auto"/>
                <w:spacing w:val="-6"/>
                <w:sz w:val="22"/>
                <w:highlight w:val="none"/>
                <w:lang w:eastAsia="zh-CN"/>
              </w:rPr>
            </w:pPr>
            <w:r>
              <w:rPr>
                <w:rFonts w:hint="eastAsia" w:ascii="宋体" w:hAnsi="宋体" w:eastAsia="宋体" w:cs="宋体"/>
                <w:b/>
                <w:bCs/>
                <w:color w:val="auto"/>
                <w:spacing w:val="-6"/>
                <w:sz w:val="22"/>
                <w:highlight w:val="none"/>
                <w:lang w:eastAsia="zh-CN"/>
              </w:rPr>
              <w:t>蛋白纯化系统-FPLC</w:t>
            </w:r>
          </w:p>
        </w:tc>
        <w:tc>
          <w:tcPr>
            <w:tcW w:w="2067"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是</w:t>
            </w:r>
          </w:p>
        </w:tc>
        <w:tc>
          <w:tcPr>
            <w:tcW w:w="1039" w:type="dxa"/>
            <w:vAlign w:val="center"/>
          </w:tcPr>
          <w:p>
            <w:pPr>
              <w:widowControl/>
              <w:snapToGrid w:val="0"/>
              <w:spacing w:line="360" w:lineRule="exact"/>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1</w:t>
            </w:r>
            <w:r>
              <w:rPr>
                <w:rFonts w:hint="eastAsia" w:ascii="宋体" w:hAnsi="宋体" w:eastAsia="宋体" w:cs="宋体"/>
                <w:b/>
                <w:bCs/>
                <w:color w:val="auto"/>
                <w:sz w:val="22"/>
                <w:highlight w:val="none"/>
              </w:rPr>
              <w:t>套</w:t>
            </w:r>
          </w:p>
        </w:tc>
        <w:tc>
          <w:tcPr>
            <w:tcW w:w="1951" w:type="dxa"/>
            <w:vAlign w:val="center"/>
          </w:tcPr>
          <w:p>
            <w:pPr>
              <w:widowControl/>
              <w:snapToGrid w:val="0"/>
              <w:spacing w:line="360" w:lineRule="exact"/>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600000</w:t>
            </w:r>
          </w:p>
        </w:tc>
      </w:tr>
    </w:tbl>
    <w:p>
      <w:pPr>
        <w:widowControl/>
        <w:adjustRightInd w:val="0"/>
        <w:snapToGrid w:val="0"/>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二.为落实政府采购政策需满足的要求：</w:t>
      </w:r>
    </w:p>
    <w:tbl>
      <w:tblPr>
        <w:tblStyle w:val="27"/>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3070"/>
        <w:gridCol w:w="5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3070"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政策名称</w:t>
            </w:r>
          </w:p>
        </w:tc>
        <w:tc>
          <w:tcPr>
            <w:tcW w:w="5626"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3070"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政府采购促进中小企业发展</w:t>
            </w:r>
          </w:p>
        </w:tc>
        <w:tc>
          <w:tcPr>
            <w:tcW w:w="5626" w:type="dxa"/>
            <w:vAlign w:val="center"/>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提供材料详见招标文件第四部分附件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3070"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政府采购支持监狱企业发展</w:t>
            </w:r>
          </w:p>
        </w:tc>
        <w:tc>
          <w:tcPr>
            <w:tcW w:w="5626" w:type="dxa"/>
            <w:vAlign w:val="center"/>
          </w:tcPr>
          <w:p>
            <w:pPr>
              <w:widowControl/>
              <w:adjustRightInd w:val="0"/>
              <w:snapToGri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3070"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政府采购促进残疾人就业</w:t>
            </w:r>
          </w:p>
        </w:tc>
        <w:tc>
          <w:tcPr>
            <w:tcW w:w="5626" w:type="dxa"/>
            <w:vAlign w:val="center"/>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3070"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政府采购节能环保产品</w:t>
            </w:r>
          </w:p>
        </w:tc>
        <w:tc>
          <w:tcPr>
            <w:tcW w:w="5626" w:type="dxa"/>
            <w:vAlign w:val="center"/>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按照招标文件第四部分附件要求提供“投标产品经国家确定的认证机构出具的处于有效期之内的节能产品、环境标志产品认证证书”或“投标产品在‘中国政府采购网’上节能产品或环境标志产品查询截图”。</w:t>
            </w:r>
          </w:p>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▲2、采购需求中要求提供的产品属于节能产品政府采购品目清单中强制采购的，投标人须提供该清单内产品，并按上款要求提供节能产品认证证书或规定网站证书查询截图，否则其投标无效。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3070"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政府采购进口产品</w:t>
            </w:r>
          </w:p>
        </w:tc>
        <w:tc>
          <w:tcPr>
            <w:tcW w:w="5626" w:type="dxa"/>
            <w:vAlign w:val="center"/>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允许</w:t>
            </w:r>
          </w:p>
        </w:tc>
      </w:tr>
    </w:tbl>
    <w:p>
      <w:pPr>
        <w:widowControl/>
        <w:adjustRightInd w:val="0"/>
        <w:snapToGrid w:val="0"/>
        <w:spacing w:line="360" w:lineRule="exact"/>
        <w:outlineLvl w:val="0"/>
        <w:rPr>
          <w:rFonts w:hint="eastAsia" w:ascii="宋体" w:hAnsi="宋体" w:eastAsia="宋体" w:cs="宋体"/>
          <w:b/>
          <w:bCs/>
          <w:color w:val="auto"/>
          <w:spacing w:val="-6"/>
          <w:sz w:val="22"/>
          <w:highlight w:val="none"/>
        </w:rPr>
      </w:pPr>
      <w:r>
        <w:rPr>
          <w:rFonts w:hint="eastAsia" w:ascii="宋体" w:hAnsi="宋体" w:eastAsia="宋体" w:cs="宋体"/>
          <w:b/>
          <w:bCs/>
          <w:color w:val="auto"/>
          <w:kern w:val="0"/>
          <w:sz w:val="22"/>
          <w:highlight w:val="none"/>
        </w:rPr>
        <w:t>三.</w:t>
      </w:r>
      <w:r>
        <w:rPr>
          <w:rFonts w:hint="eastAsia" w:ascii="宋体" w:hAnsi="宋体" w:eastAsia="宋体" w:cs="宋体"/>
          <w:b/>
          <w:bCs/>
          <w:color w:val="auto"/>
          <w:spacing w:val="-6"/>
          <w:sz w:val="22"/>
          <w:highlight w:val="none"/>
        </w:rPr>
        <w:t>商务要求（技术要求里另有注明的以技术要求为准）</w:t>
      </w:r>
    </w:p>
    <w:tbl>
      <w:tblPr>
        <w:tblStyle w:val="27"/>
        <w:tblW w:w="95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1"/>
        <w:gridCol w:w="8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履约保证金</w:t>
            </w:r>
          </w:p>
        </w:tc>
        <w:tc>
          <w:tcPr>
            <w:tcW w:w="8025"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▲签订合同后5个工作日内中标人应向采购人交纳合同总金额的5％作为履约保证金。履约保证金在货到安装验收合格且质保期满后并收到中标人开具的收据15个工作日内无息退还。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支付方式</w:t>
            </w:r>
          </w:p>
        </w:tc>
        <w:tc>
          <w:tcPr>
            <w:tcW w:w="8025"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▲（1）进口免税货物付款方式：</w:t>
            </w:r>
          </w:p>
          <w:p>
            <w:pPr>
              <w:pStyle w:val="9"/>
              <w:widowControl/>
              <w:adjustRightInd w:val="0"/>
              <w:snapToGrid w:val="0"/>
              <w:spacing w:line="360" w:lineRule="exac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合同生效以及具备实施条件后15日内采购人先预付合同金额的30%给中标人或中标人委托的外贸代理公司，中标人</w:t>
            </w:r>
            <w:r>
              <w:rPr>
                <w:rFonts w:hint="eastAsia" w:ascii="宋体" w:hAnsi="宋体" w:eastAsia="宋体" w:cs="宋体"/>
                <w:color w:val="auto"/>
                <w:sz w:val="22"/>
                <w:highlight w:val="none"/>
                <w:u w:val="single"/>
                <w:lang w:val="zh-CN"/>
              </w:rPr>
              <w:t>完成全部供货及安装、</w:t>
            </w:r>
            <w:r>
              <w:rPr>
                <w:rFonts w:hint="eastAsia" w:ascii="宋体" w:hAnsi="宋体" w:eastAsia="宋体" w:cs="宋体"/>
                <w:color w:val="auto"/>
                <w:sz w:val="22"/>
                <w:highlight w:val="none"/>
                <w:u w:val="single"/>
              </w:rPr>
              <w:t>施工</w:t>
            </w:r>
            <w:r>
              <w:rPr>
                <w:rFonts w:hint="eastAsia" w:ascii="宋体" w:hAnsi="宋体" w:eastAsia="宋体" w:cs="宋体"/>
                <w:color w:val="auto"/>
                <w:sz w:val="22"/>
                <w:highlight w:val="none"/>
                <w:u w:val="single"/>
                <w:lang w:val="zh-CN"/>
              </w:rPr>
              <w:t>、调试并通过</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验收且</w:t>
            </w:r>
            <w:r>
              <w:rPr>
                <w:rFonts w:hint="eastAsia" w:ascii="宋体" w:hAnsi="宋体" w:eastAsia="宋体" w:cs="宋体"/>
                <w:color w:val="auto"/>
                <w:sz w:val="22"/>
                <w:highlight w:val="none"/>
                <w:u w:val="single"/>
              </w:rPr>
              <w:t>中标人</w:t>
            </w:r>
            <w:r>
              <w:rPr>
                <w:rFonts w:hint="eastAsia" w:ascii="宋体" w:hAnsi="宋体" w:eastAsia="宋体" w:cs="宋体"/>
                <w:color w:val="auto"/>
                <w:sz w:val="22"/>
                <w:highlight w:val="none"/>
                <w:u w:val="single"/>
                <w:lang w:val="zh-CN"/>
              </w:rPr>
              <w:t>对</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的培训完成后，</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15个工作日内</w:t>
            </w:r>
            <w:r>
              <w:rPr>
                <w:rFonts w:hint="eastAsia" w:ascii="宋体" w:hAnsi="宋体" w:eastAsia="宋体" w:cs="宋体"/>
                <w:color w:val="auto"/>
                <w:sz w:val="22"/>
                <w:highlight w:val="none"/>
                <w:u w:val="single"/>
              </w:rPr>
              <w:t>支付剩余的货款。中标人或中标人委托的外贸代理公司各阶段均需开具全额正规发票。</w:t>
            </w:r>
          </w:p>
          <w:p>
            <w:pPr>
              <w:pStyle w:val="9"/>
              <w:widowControl/>
              <w:adjustRightInd w:val="0"/>
              <w:snapToGrid w:val="0"/>
              <w:spacing w:line="360" w:lineRule="exac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▲（2）国产货物付款方式：</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合同生效以及具备实施条件后15日内采购人先预付合同金额的30%给中标人，中标人</w:t>
            </w:r>
            <w:r>
              <w:rPr>
                <w:rFonts w:hint="eastAsia" w:ascii="宋体" w:hAnsi="宋体" w:eastAsia="宋体" w:cs="宋体"/>
                <w:color w:val="auto"/>
                <w:sz w:val="22"/>
                <w:highlight w:val="none"/>
                <w:u w:val="single"/>
                <w:lang w:val="zh-CN"/>
              </w:rPr>
              <w:t>完成全部供货及安装、</w:t>
            </w:r>
            <w:r>
              <w:rPr>
                <w:rFonts w:hint="eastAsia" w:ascii="宋体" w:hAnsi="宋体" w:eastAsia="宋体" w:cs="宋体"/>
                <w:color w:val="auto"/>
                <w:sz w:val="22"/>
                <w:highlight w:val="none"/>
                <w:u w:val="single"/>
              </w:rPr>
              <w:t>施工</w:t>
            </w:r>
            <w:r>
              <w:rPr>
                <w:rFonts w:hint="eastAsia" w:ascii="宋体" w:hAnsi="宋体" w:eastAsia="宋体" w:cs="宋体"/>
                <w:color w:val="auto"/>
                <w:sz w:val="22"/>
                <w:highlight w:val="none"/>
                <w:u w:val="single"/>
                <w:lang w:val="zh-CN"/>
              </w:rPr>
              <w:t>、调试并通过</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验收且</w:t>
            </w:r>
            <w:r>
              <w:rPr>
                <w:rFonts w:hint="eastAsia" w:ascii="宋体" w:hAnsi="宋体" w:eastAsia="宋体" w:cs="宋体"/>
                <w:color w:val="auto"/>
                <w:sz w:val="22"/>
                <w:highlight w:val="none"/>
                <w:u w:val="single"/>
              </w:rPr>
              <w:t>中标人</w:t>
            </w:r>
            <w:r>
              <w:rPr>
                <w:rFonts w:hint="eastAsia" w:ascii="宋体" w:hAnsi="宋体" w:eastAsia="宋体" w:cs="宋体"/>
                <w:color w:val="auto"/>
                <w:sz w:val="22"/>
                <w:highlight w:val="none"/>
                <w:u w:val="single"/>
                <w:lang w:val="zh-CN"/>
              </w:rPr>
              <w:t>对</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的培训完成后，</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15个工作日内</w:t>
            </w:r>
            <w:r>
              <w:rPr>
                <w:rFonts w:hint="eastAsia" w:ascii="宋体" w:hAnsi="宋体" w:eastAsia="宋体" w:cs="宋体"/>
                <w:color w:val="auto"/>
                <w:sz w:val="22"/>
                <w:highlight w:val="none"/>
                <w:u w:val="single"/>
              </w:rPr>
              <w:t>支付剩余的货款。中标人各阶段均需开具全额正规发票。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交付时间</w:t>
            </w:r>
          </w:p>
        </w:tc>
        <w:tc>
          <w:tcPr>
            <w:tcW w:w="8025"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进口免税产品在收到免税办妥通知并信用证（L/C）开出后90天内。</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国产产品在合同签订后30天内交货完毕、安装调试完成。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交付地点</w:t>
            </w:r>
          </w:p>
        </w:tc>
        <w:tc>
          <w:tcPr>
            <w:tcW w:w="8025"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温州肯恩大学指定地点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质保期</w:t>
            </w:r>
          </w:p>
        </w:tc>
        <w:tc>
          <w:tcPr>
            <w:tcW w:w="8025"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整机质保期不小于2年，质保期时间自验收合格之日开始计算。在此质保期内，如在正常使用过程中出现的质量问题，投标人须负责免费维修或调换。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服务标准</w:t>
            </w:r>
          </w:p>
        </w:tc>
        <w:tc>
          <w:tcPr>
            <w:tcW w:w="8025"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质保期内因不能排除的故障而影响工作的情况每发生一次，其质保期相应延长60天，质保期内因货物本身缺陷造成各种故障或无法排除故障的应由中标人免费予以更换同等新设备，否则将扣除履约保证金或故障设备同等价值违约金作为对采购人的补偿。</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2.在质保期内，所有服务及软硬配件全部免费。质保期满后，仅收配件或易损件优惠费用(优惠价格不高于7折），所涉及软件终身免费升级。</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3.中标人应确保设备正常使用，零配件在该设备停产后仍需保证至少5年的供应。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服务效率</w:t>
            </w:r>
          </w:p>
        </w:tc>
        <w:tc>
          <w:tcPr>
            <w:tcW w:w="8025"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接到用户售后服务诉求后，2小时内做出应答，12小时内给出解决方案，若问题不能有效解决，48小时内到达用户现场进行维修，要求时限内不能修复的问题，无偿提供新备品、新备件或新备机，以保证用户的正常运行。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验收标准</w:t>
            </w:r>
          </w:p>
        </w:tc>
        <w:tc>
          <w:tcPr>
            <w:tcW w:w="8025"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合同履约验收参照《温州市政府采购履约验收办法》(温财采[2020]6号)相关规定。合同履约达到验收条件时，卖方按冋买方书面发起验收申请，买方或者其委托的采购代理机构(以下简称验收组织机构)在收到卖方验收申请五个工作日内启动项目验收。</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合同金额在采购限额标准以上的，原则上应采用一般程序验收。验收小组应当由五人以上(含本数)单数、熟悉项目需求和标的人员组成，其中相关专业技术人员人数不得少于验收小组人员总数的三分之二。验收组织机构应当按照采购文件、投标(响应)文件、采购合同、封存样品等约定的质量、数量、技术指标或者服务要求设验收指标及其标准。未约定的，应当符合国家强制性规定、政策要求、安全标准、行业或企业有关标准等。</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3.买方依据验收书和卖方其他履约情况，对验收项目作出整体评价和分类评价，形成验收结果，除涉密情形外，买方应在评价后2个工作日内在浙江政府采购网发布验收结果。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其他技术、服务要求</w:t>
            </w:r>
          </w:p>
        </w:tc>
        <w:tc>
          <w:tcPr>
            <w:tcW w:w="8025"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1.培训：</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1.1 对采购人的操作人员、维修人员每年定期免费进行培训。</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1.2 提供完整详细的实施、培训和运维计划方案，并得到采购人的批准。实施过程严格按照批准后的计划进行，如有变更需再次得到采购人的批准。</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2.技术支持：</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中标人应及时免费提供合同货物软件的升级，免费提供合同货物新功能和应用的资料。</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3.安装调试（若需要安装调试）：</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3.1 安装地点：采购人指定地点。</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3.2 安装完成时间：接到采购人通知后在规定时间内完成安装和调试，如在规定的时间内由于中标人的原因不能完成安装和调试，中标人应承担由此给采购人造成的损失。</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3.3 安装标准：符合我国国家有关技术规范要求和技术标准，所有的软件和硬件必须保证同时安装到位。</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3.4 中标人免费提供合同货物的安装服务。</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3.5 投标人在投标文件中应提供安装调试计划、对安装场地和环境的要求。</w:t>
            </w:r>
          </w:p>
        </w:tc>
      </w:tr>
    </w:tbl>
    <w:p>
      <w:pPr>
        <w:widowControl/>
        <w:adjustRightInd w:val="0"/>
        <w:snapToGrid w:val="0"/>
        <w:spacing w:line="360" w:lineRule="exac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四．技术要求</w:t>
      </w:r>
    </w:p>
    <w:p>
      <w:pPr>
        <w:widowControl/>
        <w:adjustRightInd w:val="0"/>
        <w:snapToGrid w:val="0"/>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（一）参数要求</w:t>
      </w:r>
    </w:p>
    <w:p>
      <w:pPr>
        <w:widowControl/>
        <w:adjustRightInd w:val="0"/>
        <w:snapToGrid w:val="0"/>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1、系统外观及拓展功能</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1.1系统具有可扩展性，用于后续升级添加功能模块组件。即插即用模块化设计，便于用户按使用习惯自行定义模块位置，达到最优的管路连接。</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1.2、智能化设计的模块组件，可按使用习惯自行定义模块位置，从而使管路连接最优。</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★1.3、实时显示：各模块组件具有直观的LED灯指示功能，直接指示实时运行状态。</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1.4、可以进行蛋白质，多肽，核酸，有色分子等多种生物分子的快速分离和纯化。</w:t>
      </w:r>
    </w:p>
    <w:p>
      <w:pPr>
        <w:widowControl/>
        <w:numPr>
          <w:ilvl w:val="0"/>
          <w:numId w:val="9"/>
        </w:numPr>
        <w:adjustRightInd w:val="0"/>
        <w:snapToGrid w:val="0"/>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系统泵</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2.1、系统泵类型：PEEK材质(以保持蛋白质活性及避免生锈)，双柱塞双泵。</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2.2、流速范围：0.001-20 mL/min。具有升级拓展性：可更换泵模块升级为200ml/min，无需重新购买一套新系统。</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2.3、流速精度：±2%（测试条件0.1-10 mL/min, 压力＜600 psi（4.1 MPa, 41 bar），粘度：0.5-3.7 cP）</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★2.4、压力范围：0-25.2 MPa；</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2.5、黏度范围：0.5-10.8 cP</w:t>
      </w:r>
    </w:p>
    <w:p>
      <w:pPr>
        <w:widowControl/>
        <w:numPr>
          <w:ilvl w:val="0"/>
          <w:numId w:val="9"/>
        </w:numPr>
        <w:adjustRightInd w:val="0"/>
        <w:snapToGrid w:val="0"/>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混合池</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3.1、混合原理：电动磁力搅拌混合</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3.2、混合池体积： 263 μL，750 μL，2 mL </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3.3、梯度流速范围：0.25-10ml/min </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3.4、梯度混合精度：≤±0.5%（条件：3-97% B，0.25-10ml/min） </w:t>
      </w:r>
    </w:p>
    <w:p>
      <w:pPr>
        <w:widowControl/>
        <w:numPr>
          <w:ilvl w:val="0"/>
          <w:numId w:val="9"/>
        </w:numPr>
        <w:adjustRightInd w:val="0"/>
        <w:snapToGrid w:val="0"/>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缓冲液自动配制阀</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4.1、</w:t>
      </w:r>
      <w:r>
        <w:rPr>
          <w:rFonts w:hint="eastAsia" w:ascii="宋体" w:hAnsi="宋体" w:eastAsia="宋体" w:cs="宋体"/>
          <w:bCs/>
          <w:color w:val="auto"/>
          <w:sz w:val="22"/>
          <w:highlight w:val="none"/>
        </w:rPr>
        <w:t>在线自动配置缓冲液，可配置多种不同组分缓冲液，实验条件的快速筛选。</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★4.2、缓冲液自动配制阀类型：泵前混合阀，具有4个溶液入口</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4.3、功能：在线缓冲液配置、多重预编程缓冲配方、流速倍增功能</w:t>
      </w:r>
    </w:p>
    <w:p>
      <w:pPr>
        <w:widowControl/>
        <w:adjustRightInd w:val="0"/>
        <w:snapToGrid w:val="0"/>
        <w:spacing w:line="360" w:lineRule="exact"/>
        <w:ind w:firstLine="442" w:firstLineChars="200"/>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5、压力感应器</w:t>
      </w:r>
      <w:r>
        <w:rPr>
          <w:rFonts w:hint="eastAsia" w:ascii="宋体" w:hAnsi="宋体" w:eastAsia="宋体" w:cs="宋体"/>
          <w:color w:val="auto"/>
          <w:sz w:val="22"/>
          <w:highlight w:val="none"/>
        </w:rPr>
        <w:tab/>
      </w:r>
      <w:r>
        <w:rPr>
          <w:rFonts w:hint="eastAsia" w:ascii="宋体" w:hAnsi="宋体" w:eastAsia="宋体" w:cs="宋体"/>
          <w:color w:val="auto"/>
          <w:sz w:val="22"/>
          <w:highlight w:val="none"/>
        </w:rPr>
        <w:tab/>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5.1、位置：系统泵后</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5.2、压力范围：0-3650psi</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5.3、精度：±2%</w:t>
      </w:r>
    </w:p>
    <w:p>
      <w:pPr>
        <w:widowControl/>
        <w:numPr>
          <w:ilvl w:val="0"/>
          <w:numId w:val="10"/>
        </w:numPr>
        <w:adjustRightInd w:val="0"/>
        <w:snapToGrid w:val="0"/>
        <w:spacing w:line="360" w:lineRule="exact"/>
        <w:ind w:firstLine="442" w:firstLineChars="200"/>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多波长紫外检测器</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★6.1、检测波长：190-800nm，任意4波长同步检测</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6.2、使用氘灯/卤素灯双光源，双光源设计在紫外/可见检测过程中更加稳定</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6.3、流动池：分析型5mm，9 μL流动池体积</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6.4、最大耐受压力1450psi</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6.5、线性：0-2AU范围±5%</w:t>
      </w:r>
    </w:p>
    <w:p>
      <w:pPr>
        <w:widowControl/>
        <w:numPr>
          <w:ilvl w:val="0"/>
          <w:numId w:val="10"/>
        </w:numPr>
        <w:adjustRightInd w:val="0"/>
        <w:snapToGrid w:val="0"/>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电导检测器</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7.1、电导率仪内置温度传感器，自动进行电导率值的温度校准</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7.2、电导检测范围：1 μS/cm－999 mS/cm</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7.3、电导精确度：±2% </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7.4、温度传感器检测范围4-100℃，精度±2%</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8、</w:t>
      </w:r>
      <w:r>
        <w:rPr>
          <w:rFonts w:hint="eastAsia" w:ascii="宋体" w:hAnsi="宋体" w:eastAsia="宋体" w:cs="宋体"/>
          <w:b/>
          <w:bCs/>
          <w:color w:val="auto"/>
          <w:sz w:val="22"/>
          <w:highlight w:val="none"/>
        </w:rPr>
        <w:t>pH阀</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8.1、pH测定范围：0-14</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8.2、精度：±0.1pH单位（条件：pH 2-12）</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8.3、操作压力范围：在线条件下，0-70psi；旁路条件下，0-500psi</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8.4、流动池体积：100μl，（210μl，含旁路体积）;</w:t>
      </w:r>
    </w:p>
    <w:p>
      <w:pPr>
        <w:widowControl/>
        <w:adjustRightInd w:val="0"/>
        <w:snapToGrid w:val="0"/>
        <w:spacing w:line="360" w:lineRule="exact"/>
        <w:ind w:firstLine="442" w:firstLineChars="200"/>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9、组分收集器</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9.1、收集器根据XY坐标模式运行，机械手移动收集，任意高度可调；</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9.2、内置独立操作系统，可单独使用用于亲和重力层析收集；</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9.3、收集体积：0.02-99,999 mL；</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9.4、收集架：2×13 mm板架，有多种规格可选配，适用于不同体积。</w:t>
      </w:r>
    </w:p>
    <w:p>
      <w:pPr>
        <w:widowControl/>
        <w:adjustRightInd w:val="0"/>
        <w:snapToGrid w:val="0"/>
        <w:spacing w:line="360" w:lineRule="exact"/>
        <w:ind w:firstLine="442" w:firstLineChars="200"/>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t>10、系统控制</w:t>
      </w:r>
      <w:r>
        <w:rPr>
          <w:rFonts w:hint="eastAsia" w:ascii="宋体" w:hAnsi="宋体" w:eastAsia="宋体" w:cs="宋体"/>
          <w:color w:val="auto"/>
          <w:sz w:val="22"/>
          <w:highlight w:val="none"/>
        </w:rPr>
        <w:tab/>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10.1、系统内置高性能电脑，标配电容式触摸屏，触摸屏可根据客户习惯安置于系统左侧或右侧。</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10.2、可外接电脑，通过双绞线连接系统，实现远距离控制，如：可将系统置于冷室中，而将电脑置于冷室外，优化人员操作环境，避免电脑长期处于湿冷条件下，影响运行。</w:t>
      </w:r>
    </w:p>
    <w:p>
      <w:pPr>
        <w:widowControl/>
        <w:adjustRightInd w:val="0"/>
        <w:snapToGrid w:val="0"/>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11、控制软件</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11.1、系统控制软件：软件集系统控制、方法编辑与建立以及数据分析于一体</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11.2、软件特征：具有“指向探索”功能，可使用户实现无障碍的模块设置和管路连接</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★11.3、软件终生免费升级，可安装任意多台电脑</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11.4、具有易于操作的积分功能：可实现一键积分，以及一键多组层析图谱积分，峰图积分以及图像重叠积分等</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11.5、自动数据处理和打印报告，可选择Word、PowerPoint以及PDF等多种数据输出形式，方便定制报告以及文献撰写需要</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bCs/>
          <w:color w:val="auto"/>
          <w:sz w:val="22"/>
          <w:highlight w:val="none"/>
        </w:rPr>
        <w:t>12.</w:t>
      </w:r>
      <w:r>
        <w:rPr>
          <w:rFonts w:hint="eastAsia" w:ascii="宋体" w:hAnsi="宋体" w:eastAsia="宋体" w:cs="宋体"/>
          <w:bCs/>
          <w:color w:val="auto"/>
          <w:sz w:val="22"/>
          <w:highlight w:val="none"/>
          <w:u w:val="single"/>
        </w:rPr>
        <w:t>▲投标人所投产品为进口产品的，必须提供进口货物生产厂家针对本项目的授权函。</w:t>
      </w:r>
    </w:p>
    <w:p>
      <w:pPr>
        <w:widowControl/>
        <w:adjustRightInd w:val="0"/>
        <w:snapToGrid w:val="0"/>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二：配置要求：</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7100"/>
        <w:gridCol w:w="725"/>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7100"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清单</w:t>
            </w:r>
          </w:p>
        </w:tc>
        <w:tc>
          <w:tcPr>
            <w:tcW w:w="725"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c>
          <w:tcPr>
            <w:tcW w:w="687"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7100" w:type="dxa"/>
            <w:tcBorders>
              <w:tl2br w:val="nil"/>
              <w:tr2bl w:val="nil"/>
            </w:tcBorders>
          </w:tcPr>
          <w:p>
            <w:pPr>
              <w:widowControl/>
              <w:adjustRightInd w:val="0"/>
              <w:snapToGrid w:val="0"/>
              <w:spacing w:line="36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蛋白纯化系统主机</w:t>
            </w:r>
          </w:p>
          <w:p>
            <w:pPr>
              <w:widowControl/>
              <w:adjustRightInd w:val="0"/>
              <w:snapToGrid w:val="0"/>
              <w:spacing w:line="36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包含：系统泵2个；多通道全波长检测器1个；电导检测器1个；混合池模块1个；进液阀1个；触屏1块。</w:t>
            </w:r>
            <w:r>
              <w:rPr>
                <w:rFonts w:hint="eastAsia" w:ascii="宋体" w:hAnsi="宋体" w:eastAsia="宋体" w:cs="宋体"/>
                <w:color w:val="auto"/>
                <w:kern w:val="0"/>
                <w:sz w:val="22"/>
                <w:highlight w:val="none"/>
              </w:rPr>
              <w:tab/>
            </w:r>
            <w:r>
              <w:rPr>
                <w:rFonts w:hint="eastAsia" w:ascii="宋体" w:hAnsi="宋体" w:eastAsia="宋体" w:cs="宋体"/>
                <w:color w:val="auto"/>
                <w:kern w:val="0"/>
                <w:sz w:val="22"/>
                <w:highlight w:val="none"/>
              </w:rPr>
              <w:t xml:space="preserve">     </w:t>
            </w:r>
          </w:p>
        </w:tc>
        <w:tc>
          <w:tcPr>
            <w:tcW w:w="725"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1套</w:t>
            </w:r>
          </w:p>
        </w:tc>
        <w:tc>
          <w:tcPr>
            <w:tcW w:w="687"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7100" w:type="dxa"/>
            <w:tcBorders>
              <w:tl2br w:val="nil"/>
              <w:tr2bl w:val="nil"/>
            </w:tcBorders>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缓冲液自动配制阀 </w:t>
            </w:r>
          </w:p>
        </w:tc>
        <w:tc>
          <w:tcPr>
            <w:tcW w:w="725"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1个</w:t>
            </w:r>
          </w:p>
        </w:tc>
        <w:tc>
          <w:tcPr>
            <w:tcW w:w="687"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7100" w:type="dxa"/>
            <w:tcBorders>
              <w:tl2br w:val="nil"/>
              <w:tr2bl w:val="nil"/>
            </w:tcBorders>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pH阀 </w:t>
            </w:r>
          </w:p>
        </w:tc>
        <w:tc>
          <w:tcPr>
            <w:tcW w:w="725"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1个</w:t>
            </w:r>
          </w:p>
        </w:tc>
        <w:tc>
          <w:tcPr>
            <w:tcW w:w="687"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7100" w:type="dxa"/>
            <w:tcBorders>
              <w:tl2br w:val="nil"/>
              <w:tr2bl w:val="nil"/>
            </w:tcBorders>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组分收集器 </w:t>
            </w:r>
          </w:p>
        </w:tc>
        <w:tc>
          <w:tcPr>
            <w:tcW w:w="725"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1台</w:t>
            </w:r>
          </w:p>
        </w:tc>
        <w:tc>
          <w:tcPr>
            <w:tcW w:w="687"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7100" w:type="dxa"/>
            <w:tcBorders>
              <w:tl2br w:val="nil"/>
              <w:tr2bl w:val="nil"/>
            </w:tcBorders>
          </w:tcPr>
          <w:p>
            <w:pPr>
              <w:widowControl/>
              <w:adjustRightInd w:val="0"/>
              <w:snapToGrid w:val="0"/>
              <w:spacing w:line="36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2mL进样环</w:t>
            </w:r>
          </w:p>
        </w:tc>
        <w:tc>
          <w:tcPr>
            <w:tcW w:w="725"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1套</w:t>
            </w:r>
          </w:p>
        </w:tc>
        <w:tc>
          <w:tcPr>
            <w:tcW w:w="687"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7100" w:type="dxa"/>
            <w:tcBorders>
              <w:tl2br w:val="nil"/>
              <w:tr2bl w:val="nil"/>
            </w:tcBorders>
          </w:tcPr>
          <w:p>
            <w:pPr>
              <w:widowControl/>
              <w:adjustRightInd w:val="0"/>
              <w:snapToGrid w:val="0"/>
              <w:spacing w:line="36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1ml 进样环 </w:t>
            </w:r>
          </w:p>
        </w:tc>
        <w:tc>
          <w:tcPr>
            <w:tcW w:w="725"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1套</w:t>
            </w:r>
          </w:p>
        </w:tc>
        <w:tc>
          <w:tcPr>
            <w:tcW w:w="687"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7</w:t>
            </w:r>
          </w:p>
        </w:tc>
        <w:tc>
          <w:tcPr>
            <w:tcW w:w="7100" w:type="dxa"/>
            <w:tcBorders>
              <w:tl2br w:val="nil"/>
              <w:tr2bl w:val="nil"/>
            </w:tcBorders>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500μl进样环 </w:t>
            </w:r>
          </w:p>
        </w:tc>
        <w:tc>
          <w:tcPr>
            <w:tcW w:w="725"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1套</w:t>
            </w:r>
          </w:p>
        </w:tc>
        <w:tc>
          <w:tcPr>
            <w:tcW w:w="687"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c>
          <w:tcPr>
            <w:tcW w:w="7100" w:type="dxa"/>
            <w:tcBorders>
              <w:tl2br w:val="nil"/>
              <w:tr2bl w:val="nil"/>
            </w:tcBorders>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在线滤器及替换滤片 </w:t>
            </w:r>
          </w:p>
        </w:tc>
        <w:tc>
          <w:tcPr>
            <w:tcW w:w="725"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1套</w:t>
            </w:r>
          </w:p>
        </w:tc>
        <w:tc>
          <w:tcPr>
            <w:tcW w:w="687"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9</w:t>
            </w:r>
          </w:p>
        </w:tc>
        <w:tc>
          <w:tcPr>
            <w:tcW w:w="7100" w:type="dxa"/>
            <w:tcBorders>
              <w:tl2br w:val="nil"/>
              <w:tr2bl w:val="nil"/>
            </w:tcBorders>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滤片  </w:t>
            </w:r>
          </w:p>
        </w:tc>
        <w:tc>
          <w:tcPr>
            <w:tcW w:w="725"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1套</w:t>
            </w:r>
          </w:p>
        </w:tc>
        <w:tc>
          <w:tcPr>
            <w:tcW w:w="687"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10</w:t>
            </w:r>
          </w:p>
        </w:tc>
        <w:tc>
          <w:tcPr>
            <w:tcW w:w="7100" w:type="dxa"/>
            <w:tcBorders>
              <w:tl2br w:val="nil"/>
              <w:tr2bl w:val="nil"/>
            </w:tcBorders>
          </w:tcPr>
          <w:p>
            <w:pPr>
              <w:widowControl/>
              <w:adjustRightInd w:val="0"/>
              <w:snapToGrid w:val="0"/>
              <w:spacing w:line="36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PEEK管线</w:t>
            </w:r>
          </w:p>
        </w:tc>
        <w:tc>
          <w:tcPr>
            <w:tcW w:w="725"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1套</w:t>
            </w:r>
          </w:p>
        </w:tc>
        <w:tc>
          <w:tcPr>
            <w:tcW w:w="687"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11</w:t>
            </w:r>
          </w:p>
        </w:tc>
        <w:tc>
          <w:tcPr>
            <w:tcW w:w="7100" w:type="dxa"/>
            <w:tcBorders>
              <w:tl2br w:val="nil"/>
              <w:tr2bl w:val="nil"/>
            </w:tcBorders>
          </w:tcPr>
          <w:p>
            <w:pPr>
              <w:widowControl/>
              <w:adjustRightInd w:val="0"/>
              <w:snapToGrid w:val="0"/>
              <w:spacing w:line="36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分析控制软件</w:t>
            </w:r>
          </w:p>
        </w:tc>
        <w:tc>
          <w:tcPr>
            <w:tcW w:w="725"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1套</w:t>
            </w:r>
          </w:p>
        </w:tc>
        <w:tc>
          <w:tcPr>
            <w:tcW w:w="687"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12</w:t>
            </w:r>
          </w:p>
        </w:tc>
        <w:tc>
          <w:tcPr>
            <w:tcW w:w="7100" w:type="dxa"/>
            <w:tcBorders>
              <w:tl2br w:val="nil"/>
              <w:tr2bl w:val="nil"/>
            </w:tcBorders>
          </w:tcPr>
          <w:p>
            <w:pPr>
              <w:widowControl/>
              <w:adjustRightInd w:val="0"/>
              <w:snapToGrid w:val="0"/>
              <w:spacing w:line="36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配套层析柱</w:t>
            </w:r>
          </w:p>
          <w:p>
            <w:pPr>
              <w:widowControl/>
              <w:adjustRightInd w:val="0"/>
              <w:snapToGrid w:val="0"/>
              <w:spacing w:line="36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包含：1.凝胶过滤层析柱，分离范围5kD-650kD，24mL，1支；</w:t>
            </w:r>
          </w:p>
          <w:p>
            <w:pPr>
              <w:widowControl/>
              <w:adjustRightInd w:val="0"/>
              <w:snapToGrid w:val="0"/>
              <w:spacing w:line="36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2.亲和His层析柱，1mL和5mL规格各5支；共10支。</w:t>
            </w:r>
          </w:p>
          <w:p>
            <w:pPr>
              <w:widowControl/>
              <w:adjustRightInd w:val="0"/>
              <w:snapToGrid w:val="0"/>
              <w:spacing w:line="36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3.亲和GST层析柱，1mL和5mL规格各5支；共10支。</w:t>
            </w:r>
          </w:p>
          <w:p>
            <w:pPr>
              <w:widowControl/>
              <w:adjustRightInd w:val="0"/>
              <w:snapToGrid w:val="0"/>
              <w:spacing w:line="36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4.亲和RrA层析柱，1mL规格，5支；5mL规格，1支；共6支</w:t>
            </w:r>
          </w:p>
          <w:p>
            <w:pPr>
              <w:widowControl/>
              <w:adjustRightInd w:val="0"/>
              <w:snapToGrid w:val="0"/>
              <w:spacing w:line="36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5.阴离子交换层析柱：1mL和5mL规格各5支；共10支。</w:t>
            </w:r>
          </w:p>
          <w:p>
            <w:pPr>
              <w:widowControl/>
              <w:adjustRightInd w:val="0"/>
              <w:snapToGrid w:val="0"/>
              <w:spacing w:line="36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6.阳离子交货层析柱：1mL和5mL规格各5支。共10支。</w:t>
            </w:r>
          </w:p>
          <w:p>
            <w:pPr>
              <w:widowControl/>
              <w:adjustRightInd w:val="0"/>
              <w:snapToGrid w:val="0"/>
              <w:spacing w:line="36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7.几丁质 5瓶</w:t>
            </w:r>
          </w:p>
        </w:tc>
        <w:tc>
          <w:tcPr>
            <w:tcW w:w="725"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1套</w:t>
            </w:r>
          </w:p>
        </w:tc>
        <w:tc>
          <w:tcPr>
            <w:tcW w:w="687"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13</w:t>
            </w:r>
          </w:p>
        </w:tc>
        <w:tc>
          <w:tcPr>
            <w:tcW w:w="7100" w:type="dxa"/>
            <w:tcBorders>
              <w:tl2br w:val="nil"/>
              <w:tr2bl w:val="nil"/>
            </w:tcBorders>
          </w:tcPr>
          <w:p>
            <w:pPr>
              <w:widowControl/>
              <w:adjustRightInd w:val="0"/>
              <w:snapToGrid w:val="0"/>
              <w:spacing w:line="36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品牌电脑</w:t>
            </w:r>
          </w:p>
          <w:p>
            <w:pPr>
              <w:widowControl/>
              <w:adjustRightInd w:val="0"/>
              <w:snapToGrid w:val="0"/>
              <w:spacing w:line="36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（Intel i7CPU，16G内存：8G*2，2T固态，2G独立显卡，28以上英寸显示屏，Win10）系统</w:t>
            </w:r>
          </w:p>
        </w:tc>
        <w:tc>
          <w:tcPr>
            <w:tcW w:w="725"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1套</w:t>
            </w:r>
          </w:p>
        </w:tc>
        <w:tc>
          <w:tcPr>
            <w:tcW w:w="687" w:type="dxa"/>
            <w:tcBorders>
              <w:tl2br w:val="nil"/>
              <w:tr2bl w:val="nil"/>
            </w:tcBorders>
            <w:vAlign w:val="center"/>
          </w:tcPr>
          <w:p>
            <w:pPr>
              <w:widowControl/>
              <w:adjustRightInd w:val="0"/>
              <w:snapToGrid w:val="0"/>
              <w:spacing w:line="360" w:lineRule="exact"/>
              <w:jc w:val="center"/>
              <w:rPr>
                <w:rFonts w:hint="eastAsia" w:ascii="宋体" w:hAnsi="宋体" w:eastAsia="宋体" w:cs="宋体"/>
                <w:color w:val="auto"/>
                <w:kern w:val="0"/>
                <w:sz w:val="22"/>
                <w:highlight w:val="none"/>
              </w:rPr>
            </w:pPr>
          </w:p>
        </w:tc>
      </w:tr>
    </w:tbl>
    <w:p>
      <w:pPr>
        <w:widowControl/>
        <w:adjustRightInd w:val="0"/>
        <w:snapToGrid w:val="0"/>
        <w:spacing w:line="360" w:lineRule="exact"/>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五．其他</w:t>
      </w:r>
    </w:p>
    <w:p>
      <w:pPr>
        <w:widowControl/>
        <w:adjustRightInd w:val="0"/>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1.除招标文件中所明确的采购需求外，欢迎其他能满足本项目采购需求且性能相当于或高于所明确采购需求的产品参加投标报价。同时在采购需求偏离表中作出详细对比说明。</w:t>
      </w:r>
    </w:p>
    <w:p>
      <w:pPr>
        <w:widowControl/>
        <w:adjustRightInd w:val="0"/>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2.带“★”的有关技术和商务条款为重要条款。带“▲且加下划线”的有关技术和商务条款为实质性条款，投标人必须做出实质性响应，否则视为投标无效。</w:t>
      </w:r>
    </w:p>
    <w:p>
      <w:pPr>
        <w:widowControl/>
        <w:adjustRightInd w:val="0"/>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3.如技术要求中未特别注明需执行的国家相关标准、行业标准、地方标准或者其他标准、规范，则统一执行最新标准、规范。</w:t>
      </w:r>
    </w:p>
    <w:p>
      <w:pPr>
        <w:widowControl/>
        <w:adjustRightInd w:val="0"/>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4.技术部分中需要提供的证明材料有有效期的必须在有效期内，否则视为未提供。</w:t>
      </w: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lang w:eastAsia="zh-CN"/>
        </w:rPr>
      </w:pPr>
      <w:r>
        <w:rPr>
          <w:rFonts w:hint="eastAsia" w:ascii="宋体" w:hAnsi="宋体" w:eastAsia="宋体" w:cs="宋体"/>
          <w:b/>
          <w:bCs/>
          <w:color w:val="auto"/>
          <w:sz w:val="22"/>
          <w:highlight w:val="none"/>
        </w:rPr>
        <w:t>标项5：</w:t>
      </w:r>
      <w:r>
        <w:rPr>
          <w:rFonts w:hint="eastAsia" w:ascii="宋体" w:hAnsi="宋体" w:eastAsia="宋体" w:cs="宋体"/>
          <w:b/>
          <w:bCs/>
          <w:color w:val="auto"/>
          <w:spacing w:val="-6"/>
          <w:sz w:val="22"/>
          <w:highlight w:val="none"/>
          <w:lang w:eastAsia="zh-CN"/>
        </w:rPr>
        <w:t>多功能微孔板读数仪（酶标仪）</w:t>
      </w:r>
    </w:p>
    <w:p>
      <w:pPr>
        <w:pStyle w:val="15"/>
        <w:overflowPunct/>
        <w:autoSpaceDE/>
        <w:autoSpaceDN/>
        <w:adjustRightInd/>
        <w:snapToGrid w:val="0"/>
        <w:spacing w:line="360" w:lineRule="exact"/>
        <w:textAlignment w:val="auto"/>
        <w:outlineLvl w:val="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一、采购内容及数量</w:t>
      </w:r>
    </w:p>
    <w:tbl>
      <w:tblPr>
        <w:tblStyle w:val="27"/>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109"/>
        <w:gridCol w:w="1584"/>
        <w:gridCol w:w="1039"/>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序号</w:t>
            </w:r>
          </w:p>
        </w:tc>
        <w:tc>
          <w:tcPr>
            <w:tcW w:w="3109"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内容</w:t>
            </w:r>
          </w:p>
        </w:tc>
        <w:tc>
          <w:tcPr>
            <w:tcW w:w="1584"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是否允许进口</w:t>
            </w:r>
          </w:p>
        </w:tc>
        <w:tc>
          <w:tcPr>
            <w:tcW w:w="1039"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数量</w:t>
            </w:r>
          </w:p>
        </w:tc>
        <w:tc>
          <w:tcPr>
            <w:tcW w:w="1951"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Align w:val="center"/>
          </w:tcPr>
          <w:p>
            <w:pPr>
              <w:widowControl/>
              <w:snapToGrid w:val="0"/>
              <w:spacing w:line="360" w:lineRule="exact"/>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1</w:t>
            </w:r>
          </w:p>
        </w:tc>
        <w:tc>
          <w:tcPr>
            <w:tcW w:w="3109" w:type="dxa"/>
            <w:vAlign w:val="center"/>
          </w:tcPr>
          <w:p>
            <w:pPr>
              <w:widowControl/>
              <w:snapToGrid w:val="0"/>
              <w:spacing w:line="360" w:lineRule="exact"/>
              <w:jc w:val="center"/>
              <w:rPr>
                <w:rFonts w:hint="eastAsia" w:ascii="宋体" w:hAnsi="宋体" w:eastAsia="宋体" w:cs="宋体"/>
                <w:b/>
                <w:bCs/>
                <w:color w:val="auto"/>
                <w:spacing w:val="-6"/>
                <w:sz w:val="22"/>
                <w:highlight w:val="none"/>
                <w:lang w:eastAsia="zh-CN"/>
              </w:rPr>
            </w:pPr>
            <w:r>
              <w:rPr>
                <w:rFonts w:hint="eastAsia" w:ascii="宋体" w:hAnsi="宋体" w:eastAsia="宋体" w:cs="宋体"/>
                <w:b/>
                <w:bCs/>
                <w:color w:val="auto"/>
                <w:spacing w:val="-6"/>
                <w:sz w:val="22"/>
                <w:highlight w:val="none"/>
                <w:lang w:eastAsia="zh-CN"/>
              </w:rPr>
              <w:t>多功能微孔板读数仪（酶标仪）</w:t>
            </w:r>
          </w:p>
        </w:tc>
        <w:tc>
          <w:tcPr>
            <w:tcW w:w="1584"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是</w:t>
            </w:r>
          </w:p>
        </w:tc>
        <w:tc>
          <w:tcPr>
            <w:tcW w:w="1039" w:type="dxa"/>
            <w:vAlign w:val="center"/>
          </w:tcPr>
          <w:p>
            <w:pPr>
              <w:widowControl/>
              <w:snapToGrid w:val="0"/>
              <w:spacing w:line="360" w:lineRule="exact"/>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1</w:t>
            </w:r>
            <w:r>
              <w:rPr>
                <w:rFonts w:hint="eastAsia" w:ascii="宋体" w:hAnsi="宋体" w:eastAsia="宋体" w:cs="宋体"/>
                <w:b/>
                <w:bCs/>
                <w:color w:val="auto"/>
                <w:sz w:val="22"/>
                <w:highlight w:val="none"/>
              </w:rPr>
              <w:t>套</w:t>
            </w:r>
          </w:p>
        </w:tc>
        <w:tc>
          <w:tcPr>
            <w:tcW w:w="1951" w:type="dxa"/>
            <w:vAlign w:val="center"/>
          </w:tcPr>
          <w:p>
            <w:pPr>
              <w:widowControl/>
              <w:snapToGrid w:val="0"/>
              <w:spacing w:line="360" w:lineRule="exact"/>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320000</w:t>
            </w:r>
          </w:p>
        </w:tc>
      </w:tr>
    </w:tbl>
    <w:p>
      <w:pPr>
        <w:widowControl/>
        <w:adjustRightInd w:val="0"/>
        <w:snapToGrid w:val="0"/>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二.为落实政府采购政策需满足的要求：</w:t>
      </w:r>
    </w:p>
    <w:tbl>
      <w:tblPr>
        <w:tblStyle w:val="27"/>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3070"/>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3070"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政策名称</w:t>
            </w:r>
          </w:p>
        </w:tc>
        <w:tc>
          <w:tcPr>
            <w:tcW w:w="5500"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3070"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政府采购促进中小企业发展</w:t>
            </w:r>
          </w:p>
        </w:tc>
        <w:tc>
          <w:tcPr>
            <w:tcW w:w="5500" w:type="dxa"/>
            <w:vAlign w:val="center"/>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提供材料详见招标文件第四部分附件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3070"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政府采购支持监狱企业发展</w:t>
            </w:r>
          </w:p>
        </w:tc>
        <w:tc>
          <w:tcPr>
            <w:tcW w:w="5500" w:type="dxa"/>
            <w:vAlign w:val="center"/>
          </w:tcPr>
          <w:p>
            <w:pPr>
              <w:widowControl/>
              <w:adjustRightInd w:val="0"/>
              <w:snapToGri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3070"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政府采购促进残疾人就业</w:t>
            </w:r>
          </w:p>
        </w:tc>
        <w:tc>
          <w:tcPr>
            <w:tcW w:w="5500" w:type="dxa"/>
            <w:vAlign w:val="center"/>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3070"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政府采购节能环保产品</w:t>
            </w:r>
          </w:p>
        </w:tc>
        <w:tc>
          <w:tcPr>
            <w:tcW w:w="5500" w:type="dxa"/>
            <w:vAlign w:val="center"/>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按照招标文件第四部分附件要求提供“投标产品经国家确定的认证机构出具的处于有效期之内的节能产品、环境标志产品认证证书”或“投标产品在‘中国政府采购网’上节能产品或环境标志产品查询截图”。</w:t>
            </w:r>
          </w:p>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▲2、采购需求中要求提供的产品属于节能产品政府采购品目清单中强制采购的，投标人须提供该清单内产品，并按上款要求提供节能产品认证证书或规定网站证书查询截图，否则其投标无效。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3070"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政府采购进口产品</w:t>
            </w:r>
          </w:p>
        </w:tc>
        <w:tc>
          <w:tcPr>
            <w:tcW w:w="5500" w:type="dxa"/>
            <w:vAlign w:val="center"/>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允许</w:t>
            </w:r>
          </w:p>
        </w:tc>
      </w:tr>
    </w:tbl>
    <w:p>
      <w:pPr>
        <w:widowControl/>
        <w:adjustRightInd w:val="0"/>
        <w:snapToGrid w:val="0"/>
        <w:spacing w:line="360" w:lineRule="exact"/>
        <w:outlineLvl w:val="0"/>
        <w:rPr>
          <w:rFonts w:hint="eastAsia" w:ascii="宋体" w:hAnsi="宋体" w:eastAsia="宋体" w:cs="宋体"/>
          <w:b/>
          <w:bCs/>
          <w:color w:val="auto"/>
          <w:spacing w:val="-6"/>
          <w:sz w:val="22"/>
          <w:highlight w:val="none"/>
        </w:rPr>
      </w:pPr>
      <w:r>
        <w:rPr>
          <w:rFonts w:hint="eastAsia" w:ascii="宋体" w:hAnsi="宋体" w:eastAsia="宋体" w:cs="宋体"/>
          <w:b/>
          <w:bCs/>
          <w:color w:val="auto"/>
          <w:kern w:val="0"/>
          <w:sz w:val="22"/>
          <w:highlight w:val="none"/>
        </w:rPr>
        <w:t>三.</w:t>
      </w:r>
      <w:r>
        <w:rPr>
          <w:rFonts w:hint="eastAsia" w:ascii="宋体" w:hAnsi="宋体" w:eastAsia="宋体" w:cs="宋体"/>
          <w:b/>
          <w:bCs/>
          <w:color w:val="auto"/>
          <w:spacing w:val="-6"/>
          <w:sz w:val="22"/>
          <w:highlight w:val="none"/>
        </w:rPr>
        <w:t>商务要求（技术要求里另有注明的以技术要求为准）</w:t>
      </w:r>
    </w:p>
    <w:tbl>
      <w:tblPr>
        <w:tblStyle w:val="27"/>
        <w:tblW w:w="94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1"/>
        <w:gridCol w:w="79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履约保证金</w:t>
            </w:r>
          </w:p>
        </w:tc>
        <w:tc>
          <w:tcPr>
            <w:tcW w:w="7950"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▲签订合同后5个工作日内中标人应向采购人交纳合同总金额的5％作为履约保证金。履约保证金在货到安装验收合格且质保期满后并收到中标人开具的收据15个工作日内无息退还。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支付方式</w:t>
            </w:r>
          </w:p>
        </w:tc>
        <w:tc>
          <w:tcPr>
            <w:tcW w:w="7950"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▲（1）进口免税货物付款方式：</w:t>
            </w:r>
          </w:p>
          <w:p>
            <w:pPr>
              <w:pStyle w:val="9"/>
              <w:widowControl/>
              <w:adjustRightInd w:val="0"/>
              <w:snapToGrid w:val="0"/>
              <w:spacing w:line="360" w:lineRule="exac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合同生效以及具备实施条件后15日内采购人先预付合同金额的30%给中标人或中标人委托的外贸代理公司，中标人</w:t>
            </w:r>
            <w:r>
              <w:rPr>
                <w:rFonts w:hint="eastAsia" w:ascii="宋体" w:hAnsi="宋体" w:eastAsia="宋体" w:cs="宋体"/>
                <w:color w:val="auto"/>
                <w:sz w:val="22"/>
                <w:highlight w:val="none"/>
                <w:u w:val="single"/>
                <w:lang w:val="zh-CN"/>
              </w:rPr>
              <w:t>完成全部供货及安装、</w:t>
            </w:r>
            <w:r>
              <w:rPr>
                <w:rFonts w:hint="eastAsia" w:ascii="宋体" w:hAnsi="宋体" w:eastAsia="宋体" w:cs="宋体"/>
                <w:color w:val="auto"/>
                <w:sz w:val="22"/>
                <w:highlight w:val="none"/>
                <w:u w:val="single"/>
              </w:rPr>
              <w:t>施工</w:t>
            </w:r>
            <w:r>
              <w:rPr>
                <w:rFonts w:hint="eastAsia" w:ascii="宋体" w:hAnsi="宋体" w:eastAsia="宋体" w:cs="宋体"/>
                <w:color w:val="auto"/>
                <w:sz w:val="22"/>
                <w:highlight w:val="none"/>
                <w:u w:val="single"/>
                <w:lang w:val="zh-CN"/>
              </w:rPr>
              <w:t>、调试并通过</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验收且</w:t>
            </w:r>
            <w:r>
              <w:rPr>
                <w:rFonts w:hint="eastAsia" w:ascii="宋体" w:hAnsi="宋体" w:eastAsia="宋体" w:cs="宋体"/>
                <w:color w:val="auto"/>
                <w:sz w:val="22"/>
                <w:highlight w:val="none"/>
                <w:u w:val="single"/>
              </w:rPr>
              <w:t>中标人</w:t>
            </w:r>
            <w:r>
              <w:rPr>
                <w:rFonts w:hint="eastAsia" w:ascii="宋体" w:hAnsi="宋体" w:eastAsia="宋体" w:cs="宋体"/>
                <w:color w:val="auto"/>
                <w:sz w:val="22"/>
                <w:highlight w:val="none"/>
                <w:u w:val="single"/>
                <w:lang w:val="zh-CN"/>
              </w:rPr>
              <w:t>对</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的培训完成后，</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15个工作日内</w:t>
            </w:r>
            <w:r>
              <w:rPr>
                <w:rFonts w:hint="eastAsia" w:ascii="宋体" w:hAnsi="宋体" w:eastAsia="宋体" w:cs="宋体"/>
                <w:color w:val="auto"/>
                <w:sz w:val="22"/>
                <w:highlight w:val="none"/>
                <w:u w:val="single"/>
              </w:rPr>
              <w:t>支付剩余的货款。中标人或中标人委托的外贸代理公司各阶段均需开具全额正规发票。</w:t>
            </w:r>
          </w:p>
          <w:p>
            <w:pPr>
              <w:pStyle w:val="9"/>
              <w:widowControl/>
              <w:adjustRightInd w:val="0"/>
              <w:snapToGrid w:val="0"/>
              <w:spacing w:line="360" w:lineRule="exac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▲（2）国产货物付款方式：</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合同生效以及具备实施条件后15日内采购人先预付合同金额的30%给中标人，中标人</w:t>
            </w:r>
            <w:r>
              <w:rPr>
                <w:rFonts w:hint="eastAsia" w:ascii="宋体" w:hAnsi="宋体" w:eastAsia="宋体" w:cs="宋体"/>
                <w:color w:val="auto"/>
                <w:sz w:val="22"/>
                <w:highlight w:val="none"/>
                <w:u w:val="single"/>
                <w:lang w:val="zh-CN"/>
              </w:rPr>
              <w:t>完成全部供货及安装、</w:t>
            </w:r>
            <w:r>
              <w:rPr>
                <w:rFonts w:hint="eastAsia" w:ascii="宋体" w:hAnsi="宋体" w:eastAsia="宋体" w:cs="宋体"/>
                <w:color w:val="auto"/>
                <w:sz w:val="22"/>
                <w:highlight w:val="none"/>
                <w:u w:val="single"/>
              </w:rPr>
              <w:t>施工</w:t>
            </w:r>
            <w:r>
              <w:rPr>
                <w:rFonts w:hint="eastAsia" w:ascii="宋体" w:hAnsi="宋体" w:eastAsia="宋体" w:cs="宋体"/>
                <w:color w:val="auto"/>
                <w:sz w:val="22"/>
                <w:highlight w:val="none"/>
                <w:u w:val="single"/>
                <w:lang w:val="zh-CN"/>
              </w:rPr>
              <w:t>、调试并通过</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验收且</w:t>
            </w:r>
            <w:r>
              <w:rPr>
                <w:rFonts w:hint="eastAsia" w:ascii="宋体" w:hAnsi="宋体" w:eastAsia="宋体" w:cs="宋体"/>
                <w:color w:val="auto"/>
                <w:sz w:val="22"/>
                <w:highlight w:val="none"/>
                <w:u w:val="single"/>
              </w:rPr>
              <w:t>中标人</w:t>
            </w:r>
            <w:r>
              <w:rPr>
                <w:rFonts w:hint="eastAsia" w:ascii="宋体" w:hAnsi="宋体" w:eastAsia="宋体" w:cs="宋体"/>
                <w:color w:val="auto"/>
                <w:sz w:val="22"/>
                <w:highlight w:val="none"/>
                <w:u w:val="single"/>
                <w:lang w:val="zh-CN"/>
              </w:rPr>
              <w:t>对</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的培训完成后，</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15个工作日内</w:t>
            </w:r>
            <w:r>
              <w:rPr>
                <w:rFonts w:hint="eastAsia" w:ascii="宋体" w:hAnsi="宋体" w:eastAsia="宋体" w:cs="宋体"/>
                <w:color w:val="auto"/>
                <w:sz w:val="22"/>
                <w:highlight w:val="none"/>
                <w:u w:val="single"/>
              </w:rPr>
              <w:t>支付剩余的货款。中标人各阶段均需开具全额正规发票。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交付时间</w:t>
            </w:r>
          </w:p>
        </w:tc>
        <w:tc>
          <w:tcPr>
            <w:tcW w:w="7950"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进口免税产品在收到免税办妥通知并信用证（L/C）开出后90天内。</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国产产品在合同签订后30天内交货完毕、安装调试完成。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交付地点</w:t>
            </w:r>
          </w:p>
        </w:tc>
        <w:tc>
          <w:tcPr>
            <w:tcW w:w="7950"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温州肯恩大学指定地点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质保期</w:t>
            </w:r>
          </w:p>
        </w:tc>
        <w:tc>
          <w:tcPr>
            <w:tcW w:w="7950"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整机质保期不小于1年，质保期时间自验收合格之日开始计算。在此质保期内，如在正常使用过程中出现的质量问题，投标人须负责免费维修或调换。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服务标准</w:t>
            </w:r>
          </w:p>
        </w:tc>
        <w:tc>
          <w:tcPr>
            <w:tcW w:w="7950"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质保期内因不能排除的故障而影响工作的情况每发生一次，其质保期相应延长60天，质保期内因货物本身缺陷造成各种故障或无法排除故障的应由中标人免费予以更换同等新设备，否则将扣除履约保证金或故障设备同等价值违约金作为对采购人的补偿。</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2.在质保期内，所有服务及软硬配件全部免费。质保期满后，仅收配件或易损件优惠费用(优惠价格不高于7折），所涉及软件终身免费升级。</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3.中标人应确保设备正常使用，零配件在该设备停产后仍需保证至少5年的供应。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服务效率</w:t>
            </w:r>
          </w:p>
        </w:tc>
        <w:tc>
          <w:tcPr>
            <w:tcW w:w="7950"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接到用户售后服务诉求后，2小时内做出应答，12小时内给出解决方案，若问题不能有效解决，48小时内到达用户现场进行维修，要求时限内不能修复的问题，无偿提供新备品、新备件或新备机，以保证用户的正常运行。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验收标准</w:t>
            </w:r>
          </w:p>
        </w:tc>
        <w:tc>
          <w:tcPr>
            <w:tcW w:w="7950"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合同履约验收参照《温州市政府采购履约验收办法》(温财采[2020]6号)相关规定。合同履约达到验收条件时，卖方按冋买方书面发起验收申请，买方或者其委托的采购代理机构(以下简称验收组织机构)在收到卖方验收申请五个工作日内启动项目验收。</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合同金额在采购限额标准以上的，原则上应采用一般程序验收。验收小组应当由五人以上(含本数)单数、熟悉项目需求和标的人员组成，其中相关专业技术人员人数不得少于验收小组人员总数的三分之二。验收组织机构应当按照采购文件、投标(响应)文件、采购合同、封存样品等约定的质量、数量、技术指标或者服务要求设验收指标及其标准。未约定的，应当符合国家强制性规定、政策要求、安全标准、行业或企业有关标准等。</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3.买方依据验收书和卖方其他履约情况，对验收项目作出整体评价和分类评价，形成验收结果，除涉密情形外，买方应在评价后2个工作日内在浙江政府采购网发布验收结果。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其他技术、服务要求</w:t>
            </w:r>
          </w:p>
        </w:tc>
        <w:tc>
          <w:tcPr>
            <w:tcW w:w="7950"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1.培训：</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1.1 对采购人的操作人员、维修人员每年定期免费进行培训。</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1.2 提供完整详细的实施、培训和运维计划方案，并得到采购人的批准。实施过程严格按照批准后的计划进行，如有变更需再次得到采购人的批准。</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2.技术支持：</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中标人应及时免费提供合同货物软件的升级，免费提供合同货物新功能和应用的资料。</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3.安装调试（若需要安装调试）：</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3.1 安装地点：采购人指定地点。</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3.2 安装完成时间：接到采购人通知后在规定时间内完成安装和调试，如在规定的时间内由于中标人的原因不能完成安装和调试，中标人应承担由此给采购人造成的损失。</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3.3 安装标准：符合我国国家有关技术规范要求和技术标准，所有的软件和硬件必须保证同时安装到位。</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3.4 中标人免费提供合同货物的安装服务。</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3.5 投标人在投标文件中应提供安装调试计划、对安装场地和环境的要求。</w:t>
            </w:r>
          </w:p>
        </w:tc>
      </w:tr>
    </w:tbl>
    <w:p>
      <w:pPr>
        <w:widowControl/>
        <w:adjustRightInd w:val="0"/>
        <w:snapToGrid w:val="0"/>
        <w:spacing w:line="360" w:lineRule="exac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四．技术要求</w:t>
      </w:r>
    </w:p>
    <w:p>
      <w:pPr>
        <w:pStyle w:val="55"/>
        <w:widowControl/>
        <w:numPr>
          <w:ilvl w:val="0"/>
          <w:numId w:val="11"/>
        </w:numPr>
        <w:autoSpaceDE w:val="0"/>
        <w:autoSpaceDN w:val="0"/>
        <w:adjustRightInd w:val="0"/>
        <w:snapToGrid w:val="0"/>
        <w:spacing w:line="360" w:lineRule="exact"/>
        <w:ind w:left="0" w:firstLine="442"/>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常规指标</w:t>
      </w:r>
    </w:p>
    <w:p>
      <w:pPr>
        <w:pStyle w:val="55"/>
        <w:widowControl/>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1.1 ★检测功能：标配支持光吸收、荧光(FRET)、化学发光(辉光和闪光)、</w:t>
      </w:r>
      <w:bookmarkStart w:id="21" w:name="OLE_LINK2"/>
      <w:bookmarkStart w:id="22" w:name="OLE_LINK1"/>
      <w:r>
        <w:rPr>
          <w:rFonts w:hint="eastAsia" w:ascii="宋体" w:hAnsi="宋体" w:eastAsia="宋体" w:cs="宋体"/>
          <w:color w:val="auto"/>
          <w:sz w:val="22"/>
          <w:highlight w:val="none"/>
        </w:rPr>
        <w:t>生物发光共振能量转移</w:t>
      </w:r>
      <w:bookmarkEnd w:id="21"/>
      <w:bookmarkEnd w:id="22"/>
      <w:r>
        <w:rPr>
          <w:rFonts w:hint="eastAsia" w:ascii="宋体" w:hAnsi="宋体" w:eastAsia="宋体" w:cs="宋体"/>
          <w:color w:val="auto"/>
          <w:sz w:val="22"/>
          <w:highlight w:val="none"/>
        </w:rPr>
        <w:t>。</w:t>
      </w:r>
    </w:p>
    <w:p>
      <w:pPr>
        <w:pStyle w:val="55"/>
        <w:widowControl/>
        <w:adjustRightInd w:val="0"/>
        <w:snapToGrid w:val="0"/>
        <w:spacing w:line="360" w:lineRule="exact"/>
        <w:ind w:firstLine="440"/>
        <w:rPr>
          <w:rFonts w:hint="eastAsia" w:ascii="宋体" w:hAnsi="宋体" w:eastAsia="宋体" w:cs="宋体"/>
          <w:color w:val="auto"/>
          <w:sz w:val="22"/>
          <w:highlight w:val="none"/>
        </w:rPr>
      </w:pPr>
      <w:bookmarkStart w:id="23" w:name="OLE_LINK7"/>
      <w:r>
        <w:rPr>
          <w:rFonts w:hint="eastAsia" w:ascii="宋体" w:hAnsi="宋体" w:eastAsia="宋体" w:cs="宋体"/>
          <w:color w:val="auto"/>
          <w:sz w:val="22"/>
          <w:highlight w:val="none"/>
        </w:rPr>
        <w:t>1.2 ★光路设计：标配光栅光路和滤光片光路双系统。</w:t>
      </w:r>
    </w:p>
    <w:p>
      <w:pPr>
        <w:pStyle w:val="55"/>
        <w:widowControl/>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1.3 光源：高能氙闪灯。</w:t>
      </w:r>
    </w:p>
    <w:p>
      <w:pPr>
        <w:pStyle w:val="55"/>
        <w:widowControl/>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1.4 检测器：3个独立检测器</w:t>
      </w:r>
    </w:p>
    <w:p>
      <w:pPr>
        <w:pStyle w:val="55"/>
        <w:widowControl/>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1.4.1 光吸收：光电二极管。</w:t>
      </w:r>
    </w:p>
    <w:p>
      <w:pPr>
        <w:pStyle w:val="55"/>
        <w:widowControl/>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1.4.2 荧光：可检测800nm以上荧光信号的红外敏感光电倍增管（PMT）。</w:t>
      </w:r>
    </w:p>
    <w:p>
      <w:pPr>
        <w:widowControl/>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1.4.3 化学发光：可检测微弱化学发发光的暗电流单光子计数光电倍增管（PMT）</w:t>
      </w:r>
      <w:bookmarkEnd w:id="23"/>
      <w:r>
        <w:rPr>
          <w:rFonts w:hint="eastAsia" w:ascii="宋体" w:hAnsi="宋体" w:eastAsia="宋体" w:cs="宋体"/>
          <w:color w:val="auto"/>
          <w:sz w:val="22"/>
          <w:highlight w:val="none"/>
        </w:rPr>
        <w:t>。</w:t>
      </w:r>
    </w:p>
    <w:p>
      <w:pPr>
        <w:pStyle w:val="55"/>
        <w:widowControl/>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1.5 光谱扫描模式：终点光谱扫描，动力学光谱扫描；支持光吸收，荧光，发光1nm间隔扫描。</w:t>
      </w:r>
    </w:p>
    <w:p>
      <w:pPr>
        <w:pStyle w:val="55"/>
        <w:widowControl/>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1.6 温控范围：室温+4℃-45℃。</w:t>
      </w:r>
    </w:p>
    <w:p>
      <w:pPr>
        <w:pStyle w:val="55"/>
        <w:widowControl/>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1.7 振荡器：振荡模式，速度，幅度可调。</w:t>
      </w:r>
    </w:p>
    <w:p>
      <w:pPr>
        <w:pStyle w:val="55"/>
        <w:widowControl/>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1.8 读板类型：6-1536 孔板。</w:t>
      </w:r>
    </w:p>
    <w:p>
      <w:pPr>
        <w:pStyle w:val="55"/>
        <w:widowControl/>
        <w:adjustRightInd w:val="0"/>
        <w:snapToGrid w:val="0"/>
        <w:spacing w:line="360" w:lineRule="exact"/>
        <w:ind w:firstLine="440"/>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1.9 测量顺序：标配6种不同测量顺序，满足不同方向复孔之间时间测量要求。</w:t>
      </w:r>
    </w:p>
    <w:p>
      <w:pPr>
        <w:pStyle w:val="55"/>
        <w:widowControl/>
        <w:numPr>
          <w:ilvl w:val="0"/>
          <w:numId w:val="11"/>
        </w:numPr>
        <w:autoSpaceDE w:val="0"/>
        <w:autoSpaceDN w:val="0"/>
        <w:adjustRightInd w:val="0"/>
        <w:snapToGrid w:val="0"/>
        <w:spacing w:line="360" w:lineRule="exact"/>
        <w:ind w:left="0" w:firstLine="442"/>
        <w:jc w:val="left"/>
        <w:rPr>
          <w:rFonts w:hint="eastAsia" w:ascii="宋体" w:hAnsi="宋体" w:eastAsia="宋体" w:cs="宋体"/>
          <w:b/>
          <w:color w:val="auto"/>
          <w:kern w:val="0"/>
          <w:sz w:val="22"/>
          <w:highlight w:val="none"/>
        </w:rPr>
      </w:pPr>
      <w:r>
        <w:rPr>
          <w:rFonts w:hint="eastAsia" w:ascii="宋体" w:hAnsi="宋体" w:eastAsia="宋体" w:cs="宋体"/>
          <w:b/>
          <w:color w:val="auto"/>
          <w:kern w:val="0"/>
          <w:sz w:val="22"/>
          <w:highlight w:val="none"/>
        </w:rPr>
        <w:t>光吸收检测</w:t>
      </w:r>
    </w:p>
    <w:p>
      <w:pPr>
        <w:pStyle w:val="55"/>
        <w:widowControl/>
        <w:autoSpaceDE w:val="0"/>
        <w:autoSpaceDN w:val="0"/>
        <w:adjustRightInd w:val="0"/>
        <w:snapToGrid w:val="0"/>
        <w:spacing w:line="36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2.1 波长范围：200 - 1000 nm。</w:t>
      </w:r>
    </w:p>
    <w:p>
      <w:pPr>
        <w:pStyle w:val="55"/>
        <w:widowControl/>
        <w:autoSpaceDE w:val="0"/>
        <w:autoSpaceDN w:val="0"/>
        <w:adjustRightInd w:val="0"/>
        <w:snapToGrid w:val="0"/>
        <w:spacing w:line="36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2.2 带宽：200-1000nm范围内均是5nm。</w:t>
      </w:r>
    </w:p>
    <w:p>
      <w:pPr>
        <w:pStyle w:val="55"/>
        <w:widowControl/>
        <w:autoSpaceDE w:val="0"/>
        <w:autoSpaceDN w:val="0"/>
        <w:adjustRightInd w:val="0"/>
        <w:snapToGrid w:val="0"/>
        <w:spacing w:line="360" w:lineRule="exact"/>
        <w:ind w:firstLine="44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2.3 ★读数范围：0 – 6Abs。</w:t>
      </w:r>
    </w:p>
    <w:p>
      <w:pPr>
        <w:pStyle w:val="55"/>
        <w:widowControl/>
        <w:autoSpaceDE w:val="0"/>
        <w:autoSpaceDN w:val="0"/>
        <w:adjustRightInd w:val="0"/>
        <w:snapToGrid w:val="0"/>
        <w:spacing w:line="360" w:lineRule="exact"/>
        <w:ind w:firstLine="440"/>
        <w:jc w:val="left"/>
        <w:rPr>
          <w:rFonts w:hint="eastAsia" w:ascii="宋体" w:hAnsi="宋体" w:eastAsia="宋体" w:cs="宋体"/>
          <w:b/>
          <w:color w:val="auto"/>
          <w:kern w:val="0"/>
          <w:sz w:val="22"/>
          <w:highlight w:val="none"/>
        </w:rPr>
      </w:pPr>
      <w:r>
        <w:rPr>
          <w:rFonts w:hint="eastAsia" w:ascii="宋体" w:hAnsi="宋体" w:eastAsia="宋体" w:cs="宋体"/>
          <w:color w:val="auto"/>
          <w:sz w:val="22"/>
          <w:highlight w:val="none"/>
        </w:rPr>
        <w:t>2.4 杂散光：&lt; 0.006% at 230 nm。</w:t>
      </w:r>
    </w:p>
    <w:p>
      <w:pPr>
        <w:pStyle w:val="55"/>
        <w:widowControl/>
        <w:numPr>
          <w:ilvl w:val="0"/>
          <w:numId w:val="11"/>
        </w:numPr>
        <w:autoSpaceDE w:val="0"/>
        <w:autoSpaceDN w:val="0"/>
        <w:adjustRightInd w:val="0"/>
        <w:snapToGrid w:val="0"/>
        <w:spacing w:line="360" w:lineRule="exact"/>
        <w:ind w:left="0" w:firstLine="442"/>
        <w:jc w:val="left"/>
        <w:rPr>
          <w:rFonts w:hint="eastAsia" w:ascii="宋体" w:hAnsi="宋体" w:eastAsia="宋体" w:cs="宋体"/>
          <w:b/>
          <w:color w:val="auto"/>
          <w:kern w:val="0"/>
          <w:sz w:val="22"/>
          <w:highlight w:val="none"/>
        </w:rPr>
      </w:pPr>
      <w:r>
        <w:rPr>
          <w:rFonts w:hint="eastAsia" w:ascii="宋体" w:hAnsi="宋体" w:eastAsia="宋体" w:cs="宋体"/>
          <w:b/>
          <w:color w:val="auto"/>
          <w:kern w:val="0"/>
          <w:sz w:val="22"/>
          <w:highlight w:val="none"/>
        </w:rPr>
        <w:t>荧光检测</w:t>
      </w:r>
    </w:p>
    <w:p>
      <w:pPr>
        <w:pStyle w:val="55"/>
        <w:widowControl/>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3.1 光栅带宽可调，200-1000nm范围内最小带宽5 nm。</w:t>
      </w:r>
    </w:p>
    <w:p>
      <w:pPr>
        <w:pStyle w:val="55"/>
        <w:widowControl/>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3.2 波长范围：顶读激发200-1000nm，底读激发200-1000nm。</w:t>
      </w:r>
    </w:p>
    <w:p>
      <w:pPr>
        <w:pStyle w:val="55"/>
        <w:widowControl/>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3.2 波长范围：发射280-840 nm。</w:t>
      </w:r>
    </w:p>
    <w:p>
      <w:pPr>
        <w:pStyle w:val="55"/>
        <w:widowControl/>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3.4 荧光检测灵敏度：&lt; 0.5 fmol 荧光素/孔。</w:t>
      </w:r>
    </w:p>
    <w:p>
      <w:pPr>
        <w:pStyle w:val="55"/>
        <w:widowControl/>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3.5 荧光动态范围：&gt; 6个数量级。</w:t>
      </w:r>
    </w:p>
    <w:p>
      <w:pPr>
        <w:pStyle w:val="55"/>
        <w:widowControl/>
        <w:numPr>
          <w:ilvl w:val="0"/>
          <w:numId w:val="11"/>
        </w:numPr>
        <w:autoSpaceDE w:val="0"/>
        <w:autoSpaceDN w:val="0"/>
        <w:adjustRightInd w:val="0"/>
        <w:snapToGrid w:val="0"/>
        <w:spacing w:line="360" w:lineRule="exact"/>
        <w:ind w:left="0" w:firstLine="442"/>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化学发光</w:t>
      </w:r>
    </w:p>
    <w:p>
      <w:pPr>
        <w:pStyle w:val="55"/>
        <w:widowControl/>
        <w:adjustRightInd w:val="0"/>
        <w:snapToGrid w:val="0"/>
        <w:spacing w:line="360" w:lineRule="exact"/>
        <w:ind w:firstLine="440"/>
        <w:rPr>
          <w:rFonts w:hint="eastAsia" w:ascii="宋体" w:hAnsi="宋体" w:eastAsia="宋体" w:cs="宋体"/>
          <w:color w:val="auto"/>
          <w:sz w:val="22"/>
          <w:highlight w:val="none"/>
        </w:rPr>
      </w:pPr>
      <w:bookmarkStart w:id="24" w:name="OLE_LINK22"/>
      <w:bookmarkStart w:id="25" w:name="OLE_LINK23"/>
      <w:bookmarkStart w:id="26" w:name="OLE_LINK27"/>
      <w:bookmarkStart w:id="27" w:name="OLE_LINK26"/>
      <w:r>
        <w:rPr>
          <w:rFonts w:hint="eastAsia" w:ascii="宋体" w:hAnsi="宋体" w:eastAsia="宋体" w:cs="宋体"/>
          <w:color w:val="auto"/>
          <w:sz w:val="22"/>
          <w:highlight w:val="none"/>
        </w:rPr>
        <w:t>4.1 独立化学发光检测模块，含光栅以及独立滤光片检测光路。</w:t>
      </w:r>
    </w:p>
    <w:p>
      <w:pPr>
        <w:pStyle w:val="55"/>
        <w:widowControl/>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4.2 标配8位滤光片轮，配置NanoBRET检测等多色发光检测，实现在活细胞内实时监测蛋白相互作用。</w:t>
      </w:r>
    </w:p>
    <w:bookmarkEnd w:id="24"/>
    <w:bookmarkEnd w:id="25"/>
    <w:p>
      <w:pPr>
        <w:pStyle w:val="55"/>
        <w:widowControl/>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4.3 ★化学发光灵敏度：&lt; 7 amol ATP/孔。</w:t>
      </w:r>
    </w:p>
    <w:p>
      <w:pPr>
        <w:pStyle w:val="55"/>
        <w:widowControl/>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4.4 具备发光光谱扫描功能，可进行1 nm步进发光光谱扫描。</w:t>
      </w:r>
    </w:p>
    <w:bookmarkEnd w:id="26"/>
    <w:bookmarkEnd w:id="27"/>
    <w:p>
      <w:pPr>
        <w:pStyle w:val="55"/>
        <w:widowControl/>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4.5 化学发光动态范围：&gt; 7个数量级。</w:t>
      </w:r>
    </w:p>
    <w:p>
      <w:pPr>
        <w:pStyle w:val="55"/>
        <w:widowControl/>
        <w:numPr>
          <w:ilvl w:val="0"/>
          <w:numId w:val="11"/>
        </w:numPr>
        <w:autoSpaceDE w:val="0"/>
        <w:autoSpaceDN w:val="0"/>
        <w:adjustRightInd w:val="0"/>
        <w:snapToGrid w:val="0"/>
        <w:spacing w:line="360" w:lineRule="exact"/>
        <w:ind w:left="0" w:firstLine="442"/>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内置双自动分液器</w:t>
      </w:r>
    </w:p>
    <w:p>
      <w:pPr>
        <w:pStyle w:val="55"/>
        <w:widowControl/>
        <w:autoSpaceDE w:val="0"/>
        <w:autoSpaceDN w:val="0"/>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5.1 分液器设计：同步分液和信号测量，满足多步骤快速动力学反应的需要。</w:t>
      </w:r>
    </w:p>
    <w:p>
      <w:pPr>
        <w:pStyle w:val="55"/>
        <w:widowControl/>
        <w:autoSpaceDE w:val="0"/>
        <w:autoSpaceDN w:val="0"/>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5.2 分液体积：2-5000μl/孔，1μl增量（1ml注射器）。</w:t>
      </w:r>
    </w:p>
    <w:p>
      <w:pPr>
        <w:pStyle w:val="55"/>
        <w:widowControl/>
        <w:autoSpaceDE w:val="0"/>
        <w:autoSpaceDN w:val="0"/>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5.3 分液器控制方式：机器按键以及PC软件双重控制。</w:t>
      </w:r>
    </w:p>
    <w:p>
      <w:pPr>
        <w:pStyle w:val="55"/>
        <w:widowControl/>
        <w:autoSpaceDE w:val="0"/>
        <w:autoSpaceDN w:val="0"/>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5.4 分液器升级：可升级2.5ml注射器，分液体积5-25000μl。</w:t>
      </w:r>
    </w:p>
    <w:p>
      <w:pPr>
        <w:pStyle w:val="55"/>
        <w:widowControl/>
        <w:numPr>
          <w:ilvl w:val="0"/>
          <w:numId w:val="11"/>
        </w:numPr>
        <w:autoSpaceDE w:val="0"/>
        <w:autoSpaceDN w:val="0"/>
        <w:adjustRightInd w:val="0"/>
        <w:snapToGrid w:val="0"/>
        <w:spacing w:line="360" w:lineRule="exact"/>
        <w:ind w:left="0" w:firstLine="442"/>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气体控制模块</w:t>
      </w:r>
    </w:p>
    <w:p>
      <w:pPr>
        <w:pStyle w:val="55"/>
        <w:widowControl/>
        <w:autoSpaceDE w:val="0"/>
        <w:autoSpaceDN w:val="0"/>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6.1 ★内置式气体控制模块，可同时控制CO2和O2浓度</w:t>
      </w:r>
    </w:p>
    <w:p>
      <w:pPr>
        <w:pStyle w:val="55"/>
        <w:widowControl/>
        <w:autoSpaceDE w:val="0"/>
        <w:autoSpaceDN w:val="0"/>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6.2 CO2浓度控制范围：0.1-15%；O2浓度控制范围：1%-21%。</w:t>
      </w:r>
    </w:p>
    <w:p>
      <w:pPr>
        <w:pStyle w:val="55"/>
        <w:widowControl/>
        <w:autoSpaceDE w:val="0"/>
        <w:autoSpaceDN w:val="0"/>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6.3 CO2和O2浓度等环境参数需在软件中实时记录。</w:t>
      </w:r>
    </w:p>
    <w:p>
      <w:pPr>
        <w:pStyle w:val="55"/>
        <w:widowControl/>
        <w:autoSpaceDE w:val="0"/>
        <w:autoSpaceDN w:val="0"/>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6.4 可配置NUNC edge微孔板进行湿度控制。</w:t>
      </w:r>
    </w:p>
    <w:p>
      <w:pPr>
        <w:pStyle w:val="55"/>
        <w:widowControl/>
        <w:numPr>
          <w:ilvl w:val="0"/>
          <w:numId w:val="11"/>
        </w:numPr>
        <w:autoSpaceDE w:val="0"/>
        <w:autoSpaceDN w:val="0"/>
        <w:adjustRightInd w:val="0"/>
        <w:snapToGrid w:val="0"/>
        <w:spacing w:line="360" w:lineRule="exact"/>
        <w:ind w:left="0" w:firstLine="442"/>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可升级时间分辨荧光功能</w:t>
      </w:r>
    </w:p>
    <w:p>
      <w:pPr>
        <w:pStyle w:val="55"/>
        <w:widowControl/>
        <w:autoSpaceDE w:val="0"/>
        <w:autoSpaceDN w:val="0"/>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7.1 TRF专用高能氙闪灯，光栅和滤光片双光路。</w:t>
      </w:r>
    </w:p>
    <w:p>
      <w:pPr>
        <w:pStyle w:val="55"/>
        <w:widowControl/>
        <w:autoSpaceDE w:val="0"/>
        <w:autoSpaceDN w:val="0"/>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7.2 具有TRF时间分辨荧光1nm间隔光谱扫描功能。</w:t>
      </w:r>
    </w:p>
    <w:p>
      <w:pPr>
        <w:pStyle w:val="55"/>
        <w:widowControl/>
        <w:autoSpaceDE w:val="0"/>
        <w:autoSpaceDN w:val="0"/>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7.3 ★TRF 检测灵敏度：&lt; 1 amol Eu/孔。</w:t>
      </w:r>
    </w:p>
    <w:p>
      <w:pPr>
        <w:pStyle w:val="55"/>
        <w:widowControl/>
        <w:autoSpaceDE w:val="0"/>
        <w:autoSpaceDN w:val="0"/>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7.4 支持板型：6-1536孔板。</w:t>
      </w:r>
    </w:p>
    <w:p>
      <w:pPr>
        <w:pStyle w:val="55"/>
        <w:widowControl/>
        <w:numPr>
          <w:ilvl w:val="0"/>
          <w:numId w:val="11"/>
        </w:numPr>
        <w:autoSpaceDE w:val="0"/>
        <w:autoSpaceDN w:val="0"/>
        <w:adjustRightInd w:val="0"/>
        <w:snapToGrid w:val="0"/>
        <w:spacing w:line="360" w:lineRule="exact"/>
        <w:ind w:left="0" w:firstLine="442"/>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标准配套软件</w:t>
      </w:r>
    </w:p>
    <w:p>
      <w:pPr>
        <w:pStyle w:val="55"/>
        <w:widowControl/>
        <w:autoSpaceDE w:val="0"/>
        <w:autoSpaceDN w:val="0"/>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8.1 仪器控制和高级分析功能二合一，实时显示运行结果，一键选择列表、板布局等多种直观数据显示方式。</w:t>
      </w:r>
    </w:p>
    <w:p>
      <w:pPr>
        <w:pStyle w:val="55"/>
        <w:widowControl/>
        <w:autoSpaceDE w:val="0"/>
        <w:autoSpaceDN w:val="0"/>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8.2 ★中文、英文、西班牙语等8种语言选择设置，Windows 直观界面，图标按钮显示基于 SQL 数据库。</w:t>
      </w:r>
    </w:p>
    <w:p>
      <w:pPr>
        <w:pStyle w:val="55"/>
        <w:widowControl/>
        <w:autoSpaceDE w:val="0"/>
        <w:autoSpaceDN w:val="0"/>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8.3 智能化安全监控设置，测量数据自动保存，断电后恢复，分液位置及分液量错误报警等。</w:t>
      </w:r>
    </w:p>
    <w:p>
      <w:pPr>
        <w:pStyle w:val="55"/>
        <w:widowControl/>
        <w:autoSpaceDE w:val="0"/>
        <w:autoSpaceDN w:val="0"/>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8.4 智能化自动填充铺板布局，可自定义测量模板及命名、颜色设置。</w:t>
      </w:r>
    </w:p>
    <w:p>
      <w:pPr>
        <w:pStyle w:val="55"/>
        <w:widowControl/>
        <w:autoSpaceDE w:val="0"/>
        <w:autoSpaceDN w:val="0"/>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8.5 软件可控制仪器进板出板、孵育、震荡以及内置自动分液器的冲洗、分液操作，可实现同步分液和信号测量功能，满足多步骤快速动力学反应的需要。</w:t>
      </w:r>
    </w:p>
    <w:p>
      <w:pPr>
        <w:pStyle w:val="55"/>
        <w:widowControl/>
        <w:autoSpaceDE w:val="0"/>
        <w:autoSpaceDN w:val="0"/>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8.6 可自定义Blank subtraction, Curve Fit, Cut-Off 等计算模式；自动孔间光程校准；数据测量及分析过程可包括：扣减本底、定量曲线拟合，动力学计算，临界值分析和质控等；自动保存标准曲线。</w:t>
      </w:r>
    </w:p>
    <w:p>
      <w:pPr>
        <w:pStyle w:val="55"/>
        <w:widowControl/>
        <w:autoSpaceDE w:val="0"/>
        <w:autoSpaceDN w:val="0"/>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8.7 具有强大的结果报告输出功能，</w:t>
      </w:r>
      <w:r>
        <w:rPr>
          <w:rFonts w:hint="eastAsia" w:ascii="宋体" w:hAnsi="宋体" w:eastAsia="宋体" w:cs="宋体"/>
          <w:color w:val="auto"/>
          <w:sz w:val="22"/>
          <w:highlight w:val="none"/>
          <w:lang w:val="fi-FI"/>
        </w:rPr>
        <w:t xml:space="preserve"> xls, pdf, txt and xml </w:t>
      </w:r>
      <w:r>
        <w:rPr>
          <w:rFonts w:hint="eastAsia" w:ascii="宋体" w:hAnsi="宋体" w:eastAsia="宋体" w:cs="宋体"/>
          <w:color w:val="auto"/>
          <w:sz w:val="22"/>
          <w:highlight w:val="none"/>
        </w:rPr>
        <w:t>格式，一键输出 excel、PDF 表格，支持报告email 发送。</w:t>
      </w:r>
    </w:p>
    <w:p>
      <w:pPr>
        <w:pStyle w:val="55"/>
        <w:widowControl/>
        <w:autoSpaceDE w:val="0"/>
        <w:autoSpaceDN w:val="0"/>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8.8软件内置在线程序库，方便调用多种预编辑好的程序。</w:t>
      </w:r>
    </w:p>
    <w:p>
      <w:pPr>
        <w:pStyle w:val="55"/>
        <w:widowControl/>
        <w:numPr>
          <w:ilvl w:val="0"/>
          <w:numId w:val="11"/>
        </w:numPr>
        <w:autoSpaceDE w:val="0"/>
        <w:autoSpaceDN w:val="0"/>
        <w:adjustRightInd w:val="0"/>
        <w:snapToGrid w:val="0"/>
        <w:spacing w:line="360" w:lineRule="exact"/>
        <w:ind w:left="0" w:firstLine="442"/>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配置要求</w:t>
      </w:r>
    </w:p>
    <w:p>
      <w:pPr>
        <w:pStyle w:val="55"/>
        <w:widowControl/>
        <w:autoSpaceDE w:val="0"/>
        <w:autoSpaceDN w:val="0"/>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9.1 主机：包括光吸收、荧光顶底读、化学发光（含8位滤光片光路）功能</w:t>
      </w:r>
    </w:p>
    <w:p>
      <w:pPr>
        <w:pStyle w:val="55"/>
        <w:widowControl/>
        <w:autoSpaceDE w:val="0"/>
        <w:autoSpaceDN w:val="0"/>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9.2 配套中英文在内8种语言版本高级分析软件1套，无安装限制</w:t>
      </w:r>
    </w:p>
    <w:p>
      <w:pPr>
        <w:pStyle w:val="55"/>
        <w:widowControl/>
        <w:autoSpaceDE w:val="0"/>
        <w:autoSpaceDN w:val="0"/>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9.3 内置式自动进样器2个</w:t>
      </w:r>
    </w:p>
    <w:p>
      <w:pPr>
        <w:pStyle w:val="55"/>
        <w:widowControl/>
        <w:autoSpaceDE w:val="0"/>
        <w:autoSpaceDN w:val="0"/>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9.4 内置气体控制器1个</w:t>
      </w:r>
    </w:p>
    <w:p>
      <w:pPr>
        <w:pStyle w:val="55"/>
        <w:widowControl/>
        <w:autoSpaceDE w:val="0"/>
        <w:autoSpaceDN w:val="0"/>
        <w:adjustRightInd w:val="0"/>
        <w:snapToGrid w:val="0"/>
        <w:spacing w:line="36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rPr>
        <w:t>9.5 NanoBRET检测模块（Donor: 460/80, Acceptor: 610LP）</w:t>
      </w:r>
    </w:p>
    <w:p>
      <w:pPr>
        <w:widowControl/>
        <w:autoSpaceDE w:val="0"/>
        <w:autoSpaceDN w:val="0"/>
        <w:adjustRightInd w:val="0"/>
        <w:snapToGrid w:val="0"/>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9.6 设备控制计算机系统1套 </w:t>
      </w:r>
      <w:r>
        <w:rPr>
          <w:rFonts w:hint="eastAsia" w:ascii="宋体" w:hAnsi="宋体" w:eastAsia="宋体" w:cs="宋体"/>
          <w:color w:val="auto"/>
          <w:kern w:val="0"/>
          <w:sz w:val="22"/>
          <w:highlight w:val="none"/>
        </w:rPr>
        <w:t xml:space="preserve">（Intel i7CPU，16G内存：8G*2，1T固态，24英寸以上显示器。 </w:t>
      </w:r>
    </w:p>
    <w:p>
      <w:pPr>
        <w:widowControl/>
        <w:autoSpaceDE w:val="0"/>
        <w:autoSpaceDN w:val="0"/>
        <w:adjustRightInd w:val="0"/>
        <w:snapToGrid w:val="0"/>
        <w:spacing w:line="360" w:lineRule="exact"/>
        <w:ind w:firstLine="418" w:firstLineChars="200"/>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五．其他</w:t>
      </w:r>
    </w:p>
    <w:p>
      <w:pPr>
        <w:widowControl/>
        <w:adjustRightInd w:val="0"/>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1.除招标文件中所明确的采购需求外，欢迎其他能满足本项目采购需求且性能相当于或高于所明确采购需求的产品参加投标报价。同时在采购需求偏离表中作出详细对比说明。</w:t>
      </w:r>
    </w:p>
    <w:p>
      <w:pPr>
        <w:widowControl/>
        <w:adjustRightInd w:val="0"/>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2.带“★”的有关技术和商务条款为重要条款。带“▲且加下划线”的有关技术和商务条款为实质性条款，投标人必须做出实质性响应，否则视为投标无效。</w:t>
      </w:r>
    </w:p>
    <w:p>
      <w:pPr>
        <w:widowControl/>
        <w:adjustRightInd w:val="0"/>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3.如技术要求中未特别注明需执行的国家相关标准、行业标准、地方标准或者其他标准、规范，则统一执行最新标准、规范。</w:t>
      </w:r>
    </w:p>
    <w:p>
      <w:pPr>
        <w:widowControl/>
        <w:adjustRightInd w:val="0"/>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4.技术部分中需要提供的证明材料有有效期的必须在有效期内，否则视为未提供。</w:t>
      </w: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rPr>
      </w:pPr>
    </w:p>
    <w:p>
      <w:pPr>
        <w:pStyle w:val="15"/>
        <w:overflowPunct/>
        <w:autoSpaceDE/>
        <w:autoSpaceDN/>
        <w:adjustRightInd/>
        <w:snapToGrid w:val="0"/>
        <w:spacing w:line="360" w:lineRule="exact"/>
        <w:jc w:val="center"/>
        <w:textAlignment w:val="auto"/>
        <w:outlineLvl w:val="0"/>
        <w:rPr>
          <w:rFonts w:hint="eastAsia" w:ascii="宋体" w:hAnsi="宋体" w:eastAsia="宋体" w:cs="宋体"/>
          <w:b/>
          <w:bCs/>
          <w:color w:val="auto"/>
          <w:sz w:val="22"/>
          <w:highlight w:val="none"/>
          <w:lang w:eastAsia="zh-CN"/>
        </w:rPr>
      </w:pPr>
      <w:r>
        <w:rPr>
          <w:rFonts w:hint="eastAsia" w:ascii="宋体" w:hAnsi="宋体" w:eastAsia="宋体" w:cs="宋体"/>
          <w:b/>
          <w:bCs/>
          <w:color w:val="auto"/>
          <w:sz w:val="22"/>
          <w:highlight w:val="none"/>
        </w:rPr>
        <w:t>标项6：</w:t>
      </w:r>
      <w:r>
        <w:rPr>
          <w:rFonts w:hint="eastAsia" w:ascii="宋体" w:hAnsi="宋体" w:eastAsia="宋体" w:cs="宋体"/>
          <w:b/>
          <w:bCs/>
          <w:color w:val="auto"/>
          <w:sz w:val="22"/>
          <w:highlight w:val="none"/>
          <w:lang w:eastAsia="zh-CN"/>
        </w:rPr>
        <w:t>气象站</w:t>
      </w:r>
    </w:p>
    <w:p>
      <w:pPr>
        <w:pStyle w:val="15"/>
        <w:overflowPunct/>
        <w:autoSpaceDE/>
        <w:autoSpaceDN/>
        <w:adjustRightInd/>
        <w:snapToGrid w:val="0"/>
        <w:spacing w:line="360" w:lineRule="exact"/>
        <w:textAlignment w:val="auto"/>
        <w:outlineLvl w:val="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一、采购内容及数量</w:t>
      </w:r>
    </w:p>
    <w:tbl>
      <w:tblPr>
        <w:tblStyle w:val="27"/>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626"/>
        <w:gridCol w:w="2067"/>
        <w:gridCol w:w="1039"/>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序号</w:t>
            </w:r>
          </w:p>
        </w:tc>
        <w:tc>
          <w:tcPr>
            <w:tcW w:w="2626"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内容</w:t>
            </w:r>
          </w:p>
        </w:tc>
        <w:tc>
          <w:tcPr>
            <w:tcW w:w="2067"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是否允许进口</w:t>
            </w:r>
          </w:p>
        </w:tc>
        <w:tc>
          <w:tcPr>
            <w:tcW w:w="1039"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数量</w:t>
            </w:r>
          </w:p>
        </w:tc>
        <w:tc>
          <w:tcPr>
            <w:tcW w:w="1951"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Align w:val="center"/>
          </w:tcPr>
          <w:p>
            <w:pPr>
              <w:widowControl/>
              <w:snapToGrid w:val="0"/>
              <w:spacing w:line="360" w:lineRule="exact"/>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1</w:t>
            </w:r>
          </w:p>
        </w:tc>
        <w:tc>
          <w:tcPr>
            <w:tcW w:w="2626" w:type="dxa"/>
            <w:vAlign w:val="center"/>
          </w:tcPr>
          <w:p>
            <w:pPr>
              <w:widowControl/>
              <w:snapToGrid w:val="0"/>
              <w:spacing w:line="360" w:lineRule="exact"/>
              <w:jc w:val="center"/>
              <w:rPr>
                <w:rFonts w:hint="eastAsia" w:ascii="宋体" w:hAnsi="宋体" w:eastAsia="宋体" w:cs="宋体"/>
                <w:b/>
                <w:bCs/>
                <w:color w:val="auto"/>
                <w:spacing w:val="-6"/>
                <w:sz w:val="22"/>
                <w:highlight w:val="none"/>
                <w:lang w:eastAsia="zh-CN"/>
              </w:rPr>
            </w:pPr>
            <w:r>
              <w:rPr>
                <w:rFonts w:hint="eastAsia" w:ascii="宋体" w:hAnsi="宋体" w:eastAsia="宋体" w:cs="宋体"/>
                <w:b/>
                <w:bCs/>
                <w:color w:val="auto"/>
                <w:spacing w:val="-6"/>
                <w:sz w:val="22"/>
                <w:highlight w:val="none"/>
                <w:lang w:eastAsia="zh-CN"/>
              </w:rPr>
              <w:t>气象站</w:t>
            </w:r>
          </w:p>
        </w:tc>
        <w:tc>
          <w:tcPr>
            <w:tcW w:w="2067" w:type="dxa"/>
            <w:vAlign w:val="center"/>
          </w:tcPr>
          <w:p>
            <w:pPr>
              <w:widowControl/>
              <w:snapToGrid w:val="0"/>
              <w:spacing w:line="360" w:lineRule="exact"/>
              <w:jc w:val="center"/>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否</w:t>
            </w:r>
          </w:p>
        </w:tc>
        <w:tc>
          <w:tcPr>
            <w:tcW w:w="1039" w:type="dxa"/>
            <w:vAlign w:val="center"/>
          </w:tcPr>
          <w:p>
            <w:pPr>
              <w:widowControl/>
              <w:snapToGrid w:val="0"/>
              <w:spacing w:line="360" w:lineRule="exact"/>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1</w:t>
            </w:r>
            <w:r>
              <w:rPr>
                <w:rFonts w:hint="eastAsia" w:ascii="宋体" w:hAnsi="宋体" w:eastAsia="宋体" w:cs="宋体"/>
                <w:b/>
                <w:bCs/>
                <w:color w:val="auto"/>
                <w:sz w:val="22"/>
                <w:highlight w:val="none"/>
              </w:rPr>
              <w:t>套</w:t>
            </w:r>
          </w:p>
        </w:tc>
        <w:tc>
          <w:tcPr>
            <w:tcW w:w="1951" w:type="dxa"/>
            <w:vAlign w:val="center"/>
          </w:tcPr>
          <w:p>
            <w:pPr>
              <w:widowControl/>
              <w:snapToGrid w:val="0"/>
              <w:spacing w:line="360" w:lineRule="exact"/>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80000</w:t>
            </w:r>
          </w:p>
        </w:tc>
      </w:tr>
    </w:tbl>
    <w:p>
      <w:pPr>
        <w:widowControl/>
        <w:adjustRightInd w:val="0"/>
        <w:snapToGrid w:val="0"/>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二.为落实政府采购政策需满足的要求：</w:t>
      </w:r>
    </w:p>
    <w:tbl>
      <w:tblPr>
        <w:tblStyle w:val="27"/>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3070"/>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3070"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政策名称</w:t>
            </w:r>
          </w:p>
        </w:tc>
        <w:tc>
          <w:tcPr>
            <w:tcW w:w="5594"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3070"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政府采购促进中小企业发展</w:t>
            </w:r>
          </w:p>
        </w:tc>
        <w:tc>
          <w:tcPr>
            <w:tcW w:w="5594" w:type="dxa"/>
            <w:vAlign w:val="center"/>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提供材料详见招标文件第四部分附件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3070"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政府采购支持监狱企业发展</w:t>
            </w:r>
          </w:p>
        </w:tc>
        <w:tc>
          <w:tcPr>
            <w:tcW w:w="5594" w:type="dxa"/>
            <w:vAlign w:val="center"/>
          </w:tcPr>
          <w:p>
            <w:pPr>
              <w:widowControl/>
              <w:adjustRightInd w:val="0"/>
              <w:snapToGri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3070"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政府采购促进残疾人就业</w:t>
            </w:r>
          </w:p>
        </w:tc>
        <w:tc>
          <w:tcPr>
            <w:tcW w:w="5594" w:type="dxa"/>
            <w:vAlign w:val="center"/>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3070"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政府采购节能环保产品</w:t>
            </w:r>
          </w:p>
        </w:tc>
        <w:tc>
          <w:tcPr>
            <w:tcW w:w="5594" w:type="dxa"/>
            <w:vAlign w:val="center"/>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按照招标文件第四部分附件要求提供“投标产品经国家确定的认证机构出具的处于有效期之内的节能产品、环境标志产品认证证书”或“投标产品在‘中国政府采购网’上节能产品或环境标志产品查询截图”。</w:t>
            </w:r>
          </w:p>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▲2、采购需求中要求提供的产品属于节能产品政府采购品目清单中强制采购的，投标人须提供该清单内产品，并按上款要求提供节能产品认证证书或规定网站证书查询截图，否则其投标无效。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3070" w:type="dxa"/>
            <w:vAlign w:val="center"/>
          </w:tcPr>
          <w:p>
            <w:pPr>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政府采购进口产品</w:t>
            </w:r>
          </w:p>
        </w:tc>
        <w:tc>
          <w:tcPr>
            <w:tcW w:w="5594" w:type="dxa"/>
            <w:vAlign w:val="center"/>
          </w:tcPr>
          <w:p>
            <w:pPr>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不允许</w:t>
            </w:r>
          </w:p>
        </w:tc>
      </w:tr>
    </w:tbl>
    <w:p>
      <w:pPr>
        <w:widowControl/>
        <w:adjustRightInd w:val="0"/>
        <w:snapToGrid w:val="0"/>
        <w:spacing w:line="360" w:lineRule="exact"/>
        <w:outlineLvl w:val="0"/>
        <w:rPr>
          <w:rFonts w:hint="eastAsia" w:ascii="宋体" w:hAnsi="宋体" w:eastAsia="宋体" w:cs="宋体"/>
          <w:b/>
          <w:bCs/>
          <w:color w:val="auto"/>
          <w:spacing w:val="-6"/>
          <w:sz w:val="22"/>
          <w:highlight w:val="none"/>
        </w:rPr>
      </w:pPr>
      <w:r>
        <w:rPr>
          <w:rFonts w:hint="eastAsia" w:ascii="宋体" w:hAnsi="宋体" w:eastAsia="宋体" w:cs="宋体"/>
          <w:b/>
          <w:bCs/>
          <w:color w:val="auto"/>
          <w:kern w:val="0"/>
          <w:sz w:val="22"/>
          <w:highlight w:val="none"/>
        </w:rPr>
        <w:t>三.</w:t>
      </w:r>
      <w:r>
        <w:rPr>
          <w:rFonts w:hint="eastAsia" w:ascii="宋体" w:hAnsi="宋体" w:eastAsia="宋体" w:cs="宋体"/>
          <w:b/>
          <w:bCs/>
          <w:color w:val="auto"/>
          <w:spacing w:val="-6"/>
          <w:sz w:val="22"/>
          <w:highlight w:val="none"/>
        </w:rPr>
        <w:t>商务要求（技术要求里另有注明的以技术要求为准）</w:t>
      </w:r>
    </w:p>
    <w:tbl>
      <w:tblPr>
        <w:tblStyle w:val="27"/>
        <w:tblW w:w="94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2"/>
        <w:gridCol w:w="80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履约保证金</w:t>
            </w:r>
          </w:p>
        </w:tc>
        <w:tc>
          <w:tcPr>
            <w:tcW w:w="8030"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▲签订合同后5个工作日内中标人应向采购人交纳合同总金额的5％作为履约保证金。履约保证金在货到安装验收合格且质保期满后并收到中标人开具的收据15个工作日内无息退还。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支付方式</w:t>
            </w:r>
          </w:p>
        </w:tc>
        <w:tc>
          <w:tcPr>
            <w:tcW w:w="8030"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▲合同生效以及具备实施条件后15日内采购人先预付合同金额的30%给中标人，中标人</w:t>
            </w:r>
            <w:r>
              <w:rPr>
                <w:rFonts w:hint="eastAsia" w:ascii="宋体" w:hAnsi="宋体" w:eastAsia="宋体" w:cs="宋体"/>
                <w:color w:val="auto"/>
                <w:sz w:val="22"/>
                <w:highlight w:val="none"/>
                <w:u w:val="single"/>
                <w:lang w:val="zh-CN"/>
              </w:rPr>
              <w:t>完成全部供货及安装、</w:t>
            </w:r>
            <w:r>
              <w:rPr>
                <w:rFonts w:hint="eastAsia" w:ascii="宋体" w:hAnsi="宋体" w:eastAsia="宋体" w:cs="宋体"/>
                <w:color w:val="auto"/>
                <w:sz w:val="22"/>
                <w:highlight w:val="none"/>
                <w:u w:val="single"/>
              </w:rPr>
              <w:t>施工</w:t>
            </w:r>
            <w:r>
              <w:rPr>
                <w:rFonts w:hint="eastAsia" w:ascii="宋体" w:hAnsi="宋体" w:eastAsia="宋体" w:cs="宋体"/>
                <w:color w:val="auto"/>
                <w:sz w:val="22"/>
                <w:highlight w:val="none"/>
                <w:u w:val="single"/>
                <w:lang w:val="zh-CN"/>
              </w:rPr>
              <w:t>、调试并通过</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验收且</w:t>
            </w:r>
            <w:r>
              <w:rPr>
                <w:rFonts w:hint="eastAsia" w:ascii="宋体" w:hAnsi="宋体" w:eastAsia="宋体" w:cs="宋体"/>
                <w:color w:val="auto"/>
                <w:sz w:val="22"/>
                <w:highlight w:val="none"/>
                <w:u w:val="single"/>
              </w:rPr>
              <w:t>中标人</w:t>
            </w:r>
            <w:r>
              <w:rPr>
                <w:rFonts w:hint="eastAsia" w:ascii="宋体" w:hAnsi="宋体" w:eastAsia="宋体" w:cs="宋体"/>
                <w:color w:val="auto"/>
                <w:sz w:val="22"/>
                <w:highlight w:val="none"/>
                <w:u w:val="single"/>
                <w:lang w:val="zh-CN"/>
              </w:rPr>
              <w:t>对</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的培训完成后，</w:t>
            </w:r>
            <w:r>
              <w:rPr>
                <w:rFonts w:hint="eastAsia" w:ascii="宋体" w:hAnsi="宋体" w:eastAsia="宋体" w:cs="宋体"/>
                <w:color w:val="auto"/>
                <w:sz w:val="22"/>
                <w:highlight w:val="none"/>
                <w:u w:val="single"/>
              </w:rPr>
              <w:t>采购人</w:t>
            </w:r>
            <w:r>
              <w:rPr>
                <w:rFonts w:hint="eastAsia" w:ascii="宋体" w:hAnsi="宋体" w:eastAsia="宋体" w:cs="宋体"/>
                <w:color w:val="auto"/>
                <w:sz w:val="22"/>
                <w:highlight w:val="none"/>
                <w:u w:val="single"/>
                <w:lang w:val="zh-CN"/>
              </w:rPr>
              <w:t>15个工作日内</w:t>
            </w:r>
            <w:r>
              <w:rPr>
                <w:rFonts w:hint="eastAsia" w:ascii="宋体" w:hAnsi="宋体" w:eastAsia="宋体" w:cs="宋体"/>
                <w:color w:val="auto"/>
                <w:sz w:val="22"/>
                <w:highlight w:val="none"/>
                <w:u w:val="single"/>
              </w:rPr>
              <w:t>支付剩余的货款。中标人各阶段均需开具全额正规发票。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交付时间</w:t>
            </w:r>
          </w:p>
        </w:tc>
        <w:tc>
          <w:tcPr>
            <w:tcW w:w="8030"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合同签订后30天内交货完毕、安装调试完成。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交付地点</w:t>
            </w:r>
          </w:p>
        </w:tc>
        <w:tc>
          <w:tcPr>
            <w:tcW w:w="8030"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温州肯恩大学指定地点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质保期</w:t>
            </w:r>
          </w:p>
        </w:tc>
        <w:tc>
          <w:tcPr>
            <w:tcW w:w="8030"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整机质保期不小于1年，质保期时间自验收合格之日开始计算。在此质保期内，如在正常使用过程中出现的质量问题，投标人须负责免费维修或调换。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服务标准</w:t>
            </w:r>
          </w:p>
        </w:tc>
        <w:tc>
          <w:tcPr>
            <w:tcW w:w="8030"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质保期内因不能排除的故障而影响工作的情况每发生一次，其质保期相应延长60天，质保期内因货物本身缺陷造成各种故障或无法排除故障的应由中标人免费予以更换同等新设备，否则将扣除履约保证金或故障设备同等价值违约金作为对采购人的补偿。</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2.在质保期内，所有服务及软硬配件全部免费。质保期满后，过保后终身成本价维修。</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3.中标人应确保设备正常使用，零配件在该设备停产后仍需保证至少5年的供应。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服务效率</w:t>
            </w:r>
          </w:p>
        </w:tc>
        <w:tc>
          <w:tcPr>
            <w:tcW w:w="8030"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接到用户售后服务诉求后，2小时内做出应答，12小时内给出解决方案，若问题不能有效解决，48小时内到达用户现场进行维修，要求时限内不能修复的问题，无偿提供新备品、新备件或新备机，以保证用户的正常运行。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验收标准</w:t>
            </w:r>
          </w:p>
        </w:tc>
        <w:tc>
          <w:tcPr>
            <w:tcW w:w="8030"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合同履约验收参照《温州市政府采购履约验收办法》(温财采[2020]6号)相关规定。合同履约达到验收条件时，卖方按冋买方书面发起验收申请，买方或者其委托的采购代理机构(以下简称验收组织机构)在收到卖方验收申请五个工作日内启动项目验收。</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合同金额在采购限额标准以上的，原则上应采用一般程序验收。验收小组应当由五人以上(含本数)单数、熟悉项目需求和标的人员组成，其中相关专业技术人员人数不得少于验收小组人员总数的三分之二。验收组织机构应当按照采购文件、投标(响应)文件、采购合同、封存样品等约定的质量、数量、技术指标或者服务要求设验收指标及其标准。未约定的，应当符合国家强制性规定、政策要求、安全标准、行业或企业有关标准等。</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3.买方依据验收书和卖方其他履约情况，对验收项目作出整体评价和分类评价，形成验收结果，除涉密情形外，买方应在评价后2个工作日内在浙江政府采购网发布验收结果。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其他技术、服务要求</w:t>
            </w:r>
          </w:p>
        </w:tc>
        <w:tc>
          <w:tcPr>
            <w:tcW w:w="8030"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1.培训：</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1.1 对采购人的操作人员、维修人员每年定期免费进行培训。</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1.2 提供完整详细的实施、培训和运维计划方案，并得到采购人的批准。实施过程严格按照批准后的计划进行，如有变更需再次得到采购人的批准。</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2.技术支持：</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中标人应及时免费提供合同货物软件的升级，免费提供合同货物新功能和应用的资料。</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3.安装调试（若需要安装调试）：</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3.1 安装地点：采购人指定地点。</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3.2 提供现场安装服务，以及电话指导/微信视频协助。现场安装的工程师人数、安装服务时长、对采购方安装前及安装后的服务需求均应作出说明。</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3.3 安装完成时间：接到采购人通知后在规定时间内完成安装和调试，如在规定的时间内由于中标人的原因不能完成安装和调试，中标人应承担由此给采购人造成的损失。</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3.4 安装标准：符合我国国家有关技术规范要求和技术标准，所有的软件和硬件必须保证同时安装到位。</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3.5 中标人免费提供合同货物的安装服务。</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3.6 投标人在投标文件中应提供安装调试计划、对安装场地和环境的要求。</w:t>
            </w:r>
          </w:p>
        </w:tc>
      </w:tr>
    </w:tbl>
    <w:p>
      <w:pPr>
        <w:widowControl/>
        <w:adjustRightInd w:val="0"/>
        <w:snapToGrid w:val="0"/>
        <w:spacing w:line="360" w:lineRule="exac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四．技术要求</w:t>
      </w:r>
    </w:p>
    <w:tbl>
      <w:tblPr>
        <w:tblStyle w:val="27"/>
        <w:tblpPr w:leftFromText="180" w:rightFromText="180" w:vertAnchor="text" w:horzAnchor="margin" w:tblpXSpec="center" w:tblpY="112"/>
        <w:tblW w:w="48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445"/>
        <w:gridCol w:w="5720"/>
        <w:gridCol w:w="590"/>
        <w:gridCol w:w="610"/>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产品名称</w:t>
            </w:r>
          </w:p>
        </w:tc>
        <w:tc>
          <w:tcPr>
            <w:tcW w:w="29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参数</w:t>
            </w:r>
          </w:p>
        </w:tc>
        <w:tc>
          <w:tcPr>
            <w:tcW w:w="30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单位</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空气温湿度传感器</w:t>
            </w:r>
          </w:p>
        </w:tc>
        <w:tc>
          <w:tcPr>
            <w:tcW w:w="2964"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1.温度：测量范围：-40～123.8℃ ；精确度：±0.1℃ ；分辨率：0.1℃。</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2.湿度：测量范围：0～100%RH；精确度：±3%RH；分辨率：0.1%RH。</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3.地面以上2m</w:t>
            </w:r>
          </w:p>
        </w:tc>
        <w:tc>
          <w:tcPr>
            <w:tcW w:w="306"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316" w:type="pct"/>
            <w:tcBorders>
              <w:top w:val="single" w:color="auto" w:sz="4" w:space="0"/>
              <w:left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个</w:t>
            </w:r>
          </w:p>
        </w:tc>
        <w:tc>
          <w:tcPr>
            <w:tcW w:w="320" w:type="pct"/>
            <w:tcBorders>
              <w:top w:val="single" w:color="auto" w:sz="4" w:space="0"/>
              <w:left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防辐射通风罩</w:t>
            </w:r>
          </w:p>
        </w:tc>
        <w:tc>
          <w:tcPr>
            <w:tcW w:w="2964"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内置温湿度传感器，ABS材质，优质抗紫外线材料，减少因光线强烈造成测量误差。</w:t>
            </w:r>
          </w:p>
        </w:tc>
        <w:tc>
          <w:tcPr>
            <w:tcW w:w="306"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316" w:type="pct"/>
            <w:tcBorders>
              <w:top w:val="single" w:color="auto" w:sz="4" w:space="0"/>
              <w:left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个</w:t>
            </w:r>
          </w:p>
        </w:tc>
        <w:tc>
          <w:tcPr>
            <w:tcW w:w="320" w:type="pct"/>
            <w:tcBorders>
              <w:top w:val="single" w:color="auto" w:sz="4" w:space="0"/>
              <w:left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超声波风速风向</w:t>
            </w:r>
          </w:p>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传感器</w:t>
            </w:r>
          </w:p>
        </w:tc>
        <w:tc>
          <w:tcPr>
            <w:tcW w:w="2964"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1.风速：测量范围：0～60m/s ；精确度：0.1m/s ；分辨率：±2%（≤20m/s）, ±2%+0.03V m/s（＞20 m/s） </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风向：测量范围：0～359°；精确度：1°；分辨率：±2°。</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2.ABS材质，非金属材质，更有效对抗盐雾等环境，防护等级达到IP67以上。</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3.地面以上10m。</w:t>
            </w:r>
          </w:p>
        </w:tc>
        <w:tc>
          <w:tcPr>
            <w:tcW w:w="306"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316" w:type="pct"/>
            <w:tcBorders>
              <w:top w:val="single" w:color="auto" w:sz="4" w:space="0"/>
              <w:left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个</w:t>
            </w:r>
          </w:p>
        </w:tc>
        <w:tc>
          <w:tcPr>
            <w:tcW w:w="320" w:type="pct"/>
            <w:tcBorders>
              <w:top w:val="single" w:color="auto" w:sz="4" w:space="0"/>
              <w:left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大气压力传感器</w:t>
            </w:r>
          </w:p>
        </w:tc>
        <w:tc>
          <w:tcPr>
            <w:tcW w:w="2964"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1.测量范围：300～1100hPa，准确度：±0.12hPa，分辨率：0.1hPa。</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2.内置板载式，更精准更节省空间，并能有效延长使用寿命。</w:t>
            </w:r>
          </w:p>
        </w:tc>
        <w:tc>
          <w:tcPr>
            <w:tcW w:w="306"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316" w:type="pct"/>
            <w:tcBorders>
              <w:top w:val="single" w:color="auto" w:sz="4" w:space="0"/>
              <w:left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个</w:t>
            </w:r>
          </w:p>
        </w:tc>
        <w:tc>
          <w:tcPr>
            <w:tcW w:w="320" w:type="pct"/>
            <w:tcBorders>
              <w:top w:val="single" w:color="auto" w:sz="4" w:space="0"/>
              <w:left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雨量传感器</w:t>
            </w:r>
          </w:p>
        </w:tc>
        <w:tc>
          <w:tcPr>
            <w:tcW w:w="2964"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1.测量范围：0-999.9 mm，测量精度：≤0.2mm，分辨率：0.2mm 。</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2.地面以上1m。</w:t>
            </w:r>
          </w:p>
        </w:tc>
        <w:tc>
          <w:tcPr>
            <w:tcW w:w="306"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316" w:type="pct"/>
            <w:tcBorders>
              <w:top w:val="single" w:color="auto" w:sz="4" w:space="0"/>
              <w:left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个</w:t>
            </w:r>
          </w:p>
        </w:tc>
        <w:tc>
          <w:tcPr>
            <w:tcW w:w="320" w:type="pct"/>
            <w:tcBorders>
              <w:top w:val="single" w:color="auto" w:sz="4" w:space="0"/>
              <w:left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太阳总辐射传感器</w:t>
            </w:r>
          </w:p>
        </w:tc>
        <w:tc>
          <w:tcPr>
            <w:tcW w:w="2964"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1.光谱范围：300～3000nm；信号（测试）范围：0～2000W/m2。</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2.输出信号：0～20mV；灵敏度：7～14μV/W•m-2。</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3.响应时间：≤35秒(99%)；内阻：约350Ω。</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4.年稳定度：≤±2%；余弦响应：≤7%(太阳高度角10°时)。</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5.方位响应误差：≤5%(太阳高度角10°时)；非 线 性：≤2%。</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6.温度误差：2%(-10℃～+40℃)；显示分辨率：1 W/m²</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7.温度特性：（-20-40℃）±5%；精度：≤5%。</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8.地面以上3m。</w:t>
            </w:r>
          </w:p>
        </w:tc>
        <w:tc>
          <w:tcPr>
            <w:tcW w:w="306"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316" w:type="pct"/>
            <w:tcBorders>
              <w:top w:val="single" w:color="auto" w:sz="4" w:space="0"/>
              <w:left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个</w:t>
            </w:r>
          </w:p>
        </w:tc>
        <w:tc>
          <w:tcPr>
            <w:tcW w:w="320" w:type="pct"/>
            <w:tcBorders>
              <w:top w:val="single" w:color="auto" w:sz="4" w:space="0"/>
              <w:left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日照时数</w:t>
            </w:r>
          </w:p>
        </w:tc>
        <w:tc>
          <w:tcPr>
            <w:tcW w:w="2964"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测量范围：0～24h；准确度：±0.1h；分辨率：0.1h；</w:t>
            </w:r>
          </w:p>
        </w:tc>
        <w:tc>
          <w:tcPr>
            <w:tcW w:w="306"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316" w:type="pct"/>
            <w:tcBorders>
              <w:top w:val="single" w:color="auto" w:sz="4" w:space="0"/>
              <w:left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h</w:t>
            </w:r>
          </w:p>
        </w:tc>
        <w:tc>
          <w:tcPr>
            <w:tcW w:w="320" w:type="pct"/>
            <w:tcBorders>
              <w:top w:val="single" w:color="auto" w:sz="4" w:space="0"/>
              <w:left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太阳净辐射传感器</w:t>
            </w:r>
          </w:p>
        </w:tc>
        <w:tc>
          <w:tcPr>
            <w:tcW w:w="2964"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1.光谱范围：3～100μm （长波辐射）；0.3～3μm （短波辐射）。</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2.信号范围：-2000～+2000W/m2 ；灵敏度：7～14μV/W•m-2。</w:t>
            </w:r>
          </w:p>
        </w:tc>
        <w:tc>
          <w:tcPr>
            <w:tcW w:w="306"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316" w:type="pct"/>
            <w:tcBorders>
              <w:top w:val="single" w:color="auto" w:sz="4" w:space="0"/>
              <w:left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个</w:t>
            </w:r>
          </w:p>
        </w:tc>
        <w:tc>
          <w:tcPr>
            <w:tcW w:w="320" w:type="pct"/>
            <w:tcBorders>
              <w:top w:val="single" w:color="auto" w:sz="4" w:space="0"/>
              <w:left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9</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土壤温湿度传感器</w:t>
            </w:r>
          </w:p>
        </w:tc>
        <w:tc>
          <w:tcPr>
            <w:tcW w:w="2964"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1.温度：测量范围：-40～95℃ ；精确度：±0.15℃ ；分辨率：0.1℃ 。</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2.湿度：测量范围：0～100%RH；精确度：0～50%（m³/m³）范围内为±2%（m³/m³）；51～100%（m³/m³）范围内为±3%（m³/m³）；分辨率：0.1%。</w:t>
            </w:r>
          </w:p>
        </w:tc>
        <w:tc>
          <w:tcPr>
            <w:tcW w:w="306"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316" w:type="pct"/>
            <w:tcBorders>
              <w:left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个</w:t>
            </w:r>
          </w:p>
        </w:tc>
        <w:tc>
          <w:tcPr>
            <w:tcW w:w="320" w:type="pct"/>
            <w:tcBorders>
              <w:left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PM2.5\ PM10</w:t>
            </w:r>
          </w:p>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传感器</w:t>
            </w:r>
          </w:p>
        </w:tc>
        <w:tc>
          <w:tcPr>
            <w:tcW w:w="2964"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1.PM2.5：测量范围：0～500μg/m3； 精确度：±10μg/m3（0～100μg/m3）±10%（100～500μg/m3）； 分辨率：1μg/m3。</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2.PM10：测量范围：0～1000μg/m3； 精确度：±10μg/m3（0～500μg/m3） ±10%（500～1000μg/m3）； 分辨率：1μg/m3。</w:t>
            </w:r>
          </w:p>
        </w:tc>
        <w:tc>
          <w:tcPr>
            <w:tcW w:w="306"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316" w:type="pct"/>
            <w:tcBorders>
              <w:left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个</w:t>
            </w:r>
          </w:p>
        </w:tc>
        <w:tc>
          <w:tcPr>
            <w:tcW w:w="320" w:type="pct"/>
            <w:tcBorders>
              <w:left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11</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臭氧传感器</w:t>
            </w:r>
          </w:p>
        </w:tc>
        <w:tc>
          <w:tcPr>
            <w:tcW w:w="2964"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1.量程：0-5PPM；全量程准确度误差（典型值）： ±5% F.S。</w:t>
            </w:r>
          </w:p>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2.分辨率：0.001PPM。</w:t>
            </w:r>
          </w:p>
        </w:tc>
        <w:tc>
          <w:tcPr>
            <w:tcW w:w="306"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316" w:type="pct"/>
            <w:tcBorders>
              <w:left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个</w:t>
            </w:r>
          </w:p>
        </w:tc>
        <w:tc>
          <w:tcPr>
            <w:tcW w:w="320" w:type="pct"/>
            <w:tcBorders>
              <w:left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12</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二氧化硫传感器</w:t>
            </w:r>
          </w:p>
        </w:tc>
        <w:tc>
          <w:tcPr>
            <w:tcW w:w="2964"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量程：0-5PPM；分辨率：0.001PPM</w:t>
            </w:r>
          </w:p>
        </w:tc>
        <w:tc>
          <w:tcPr>
            <w:tcW w:w="306"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316" w:type="pct"/>
            <w:tcBorders>
              <w:left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个</w:t>
            </w:r>
          </w:p>
        </w:tc>
        <w:tc>
          <w:tcPr>
            <w:tcW w:w="320" w:type="pct"/>
            <w:tcBorders>
              <w:left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13</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一氧化碳传感器</w:t>
            </w:r>
          </w:p>
        </w:tc>
        <w:tc>
          <w:tcPr>
            <w:tcW w:w="2964"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量程：0-10PPM；分辨率：0.01PPM</w:t>
            </w:r>
          </w:p>
        </w:tc>
        <w:tc>
          <w:tcPr>
            <w:tcW w:w="306"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316" w:type="pct"/>
            <w:tcBorders>
              <w:left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个</w:t>
            </w:r>
          </w:p>
        </w:tc>
        <w:tc>
          <w:tcPr>
            <w:tcW w:w="320" w:type="pct"/>
            <w:tcBorders>
              <w:left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14</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二氧化碳传感器</w:t>
            </w:r>
          </w:p>
        </w:tc>
        <w:tc>
          <w:tcPr>
            <w:tcW w:w="2964"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测量范围:0～5000ppm； 准确度:≤±5%</w:t>
            </w:r>
          </w:p>
        </w:tc>
        <w:tc>
          <w:tcPr>
            <w:tcW w:w="306"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316" w:type="pct"/>
            <w:tcBorders>
              <w:left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个</w:t>
            </w:r>
          </w:p>
        </w:tc>
        <w:tc>
          <w:tcPr>
            <w:tcW w:w="320" w:type="pct"/>
            <w:tcBorders>
              <w:left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15</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一氧化氮传感器</w:t>
            </w:r>
          </w:p>
        </w:tc>
        <w:tc>
          <w:tcPr>
            <w:tcW w:w="2964"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量程：0-100PPM；分辨率：0.1PPM</w:t>
            </w:r>
          </w:p>
        </w:tc>
        <w:tc>
          <w:tcPr>
            <w:tcW w:w="306"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316" w:type="pct"/>
            <w:tcBorders>
              <w:left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个</w:t>
            </w:r>
          </w:p>
        </w:tc>
        <w:tc>
          <w:tcPr>
            <w:tcW w:w="320" w:type="pct"/>
            <w:tcBorders>
              <w:left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16</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二氧化氮传感器</w:t>
            </w:r>
          </w:p>
        </w:tc>
        <w:tc>
          <w:tcPr>
            <w:tcW w:w="2964"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量程：0-5PPM；分辨率：0.001PPM</w:t>
            </w:r>
          </w:p>
        </w:tc>
        <w:tc>
          <w:tcPr>
            <w:tcW w:w="306"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316" w:type="pct"/>
            <w:tcBorders>
              <w:left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个</w:t>
            </w:r>
          </w:p>
        </w:tc>
        <w:tc>
          <w:tcPr>
            <w:tcW w:w="320" w:type="pct"/>
            <w:tcBorders>
              <w:left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17</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数据采集仪</w:t>
            </w:r>
          </w:p>
        </w:tc>
        <w:tc>
          <w:tcPr>
            <w:tcW w:w="2964"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面板上有航插定义标贴，有数据屏幕，数据采集、数据传输，数据存储（含SD卡），通过气象数据云平台可以准确定位查看监测区域的气象环境数据，工业控制标准化设计，内部排线全部机器压制，合田电源模块保护主机稳定运行。（双采集仪配置）</w:t>
            </w:r>
          </w:p>
        </w:tc>
        <w:tc>
          <w:tcPr>
            <w:tcW w:w="306"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316" w:type="pct"/>
            <w:tcBorders>
              <w:left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个</w:t>
            </w:r>
          </w:p>
        </w:tc>
        <w:tc>
          <w:tcPr>
            <w:tcW w:w="320" w:type="pct"/>
            <w:tcBorders>
              <w:left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18</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采集仪防护箱</w:t>
            </w:r>
          </w:p>
        </w:tc>
        <w:tc>
          <w:tcPr>
            <w:tcW w:w="2964"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全天候铝镁野外防护箱，非铁皮材质，耐腐蚀、抗干扰适应各种恶劣室外环境。机箱具有防盗，防水，散热，密封，防尘等安全防护性能设计。（双采集仪防护箱配置）</w:t>
            </w:r>
          </w:p>
        </w:tc>
        <w:tc>
          <w:tcPr>
            <w:tcW w:w="306"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316" w:type="pct"/>
            <w:tcBorders>
              <w:left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个</w:t>
            </w:r>
          </w:p>
        </w:tc>
        <w:tc>
          <w:tcPr>
            <w:tcW w:w="320" w:type="pct"/>
            <w:tcBorders>
              <w:left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19</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气象数据云平台</w:t>
            </w:r>
          </w:p>
        </w:tc>
        <w:tc>
          <w:tcPr>
            <w:tcW w:w="2964"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显示各路传感器实时监测数据，英文版制作周期不超过30个工作日。</w:t>
            </w:r>
          </w:p>
        </w:tc>
        <w:tc>
          <w:tcPr>
            <w:tcW w:w="306"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316" w:type="pct"/>
            <w:tcBorders>
              <w:left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套</w:t>
            </w:r>
          </w:p>
        </w:tc>
        <w:tc>
          <w:tcPr>
            <w:tcW w:w="320" w:type="pct"/>
            <w:tcBorders>
              <w:left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20</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支架</w:t>
            </w:r>
          </w:p>
        </w:tc>
        <w:tc>
          <w:tcPr>
            <w:tcW w:w="2964"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10米，立杆，钢丝拉绳，底座地脚螺栓等，采用抗腐蚀能力强，抗风强度高的不锈钢材料制成。</w:t>
            </w:r>
          </w:p>
        </w:tc>
        <w:tc>
          <w:tcPr>
            <w:tcW w:w="306"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316" w:type="pct"/>
            <w:tcBorders>
              <w:left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个</w:t>
            </w:r>
          </w:p>
        </w:tc>
        <w:tc>
          <w:tcPr>
            <w:tcW w:w="320" w:type="pct"/>
            <w:tcBorders>
              <w:left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21</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避雷系统</w:t>
            </w:r>
          </w:p>
        </w:tc>
        <w:tc>
          <w:tcPr>
            <w:tcW w:w="2964"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与10米支架配套使用，完善的防雷击、抗干扰、噪声抑止等保护措施。</w:t>
            </w:r>
          </w:p>
        </w:tc>
        <w:tc>
          <w:tcPr>
            <w:tcW w:w="306"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316" w:type="pct"/>
            <w:tcBorders>
              <w:left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套</w:t>
            </w:r>
          </w:p>
        </w:tc>
        <w:tc>
          <w:tcPr>
            <w:tcW w:w="320" w:type="pct"/>
            <w:tcBorders>
              <w:left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22</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4G模块</w:t>
            </w:r>
          </w:p>
        </w:tc>
        <w:tc>
          <w:tcPr>
            <w:tcW w:w="2964"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数据传输4G模块（双4G模块配置）</w:t>
            </w:r>
          </w:p>
        </w:tc>
        <w:tc>
          <w:tcPr>
            <w:tcW w:w="306"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316" w:type="pct"/>
            <w:tcBorders>
              <w:left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套</w:t>
            </w:r>
          </w:p>
        </w:tc>
        <w:tc>
          <w:tcPr>
            <w:tcW w:w="320" w:type="pct"/>
            <w:tcBorders>
              <w:left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23</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太阳能供电系统</w:t>
            </w:r>
          </w:p>
        </w:tc>
        <w:tc>
          <w:tcPr>
            <w:tcW w:w="2964"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蓄电池24Ah、太阳能板30W、充电控制器及配件，连续三、四个阴天保持工作状态。太阳能供电和市电供电要分别独立使用，供电模式手动切换（双采集仪配置）。</w:t>
            </w:r>
          </w:p>
        </w:tc>
        <w:tc>
          <w:tcPr>
            <w:tcW w:w="306"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316" w:type="pct"/>
            <w:tcBorders>
              <w:left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套</w:t>
            </w:r>
          </w:p>
        </w:tc>
        <w:tc>
          <w:tcPr>
            <w:tcW w:w="320" w:type="pct"/>
            <w:tcBorders>
              <w:left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24</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220V电源线</w:t>
            </w:r>
          </w:p>
        </w:tc>
        <w:tc>
          <w:tcPr>
            <w:tcW w:w="2964"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标准出厂配置40米/两条。市电供电和太阳能供电要分别独立使用，供电模式手动切换（两条电源线，双采集仪配置）。</w:t>
            </w:r>
          </w:p>
        </w:tc>
        <w:tc>
          <w:tcPr>
            <w:tcW w:w="306"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316" w:type="pct"/>
            <w:tcBorders>
              <w:left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根</w:t>
            </w:r>
          </w:p>
        </w:tc>
        <w:tc>
          <w:tcPr>
            <w:tcW w:w="320" w:type="pct"/>
            <w:tcBorders>
              <w:left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25</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安装费</w:t>
            </w:r>
          </w:p>
        </w:tc>
        <w:tc>
          <w:tcPr>
            <w:tcW w:w="2964"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1人1次，包括安装，调试，培训，不负责土建，围栏等基础施工。</w:t>
            </w:r>
          </w:p>
        </w:tc>
        <w:tc>
          <w:tcPr>
            <w:tcW w:w="306" w:type="pct"/>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316" w:type="pct"/>
            <w:tcBorders>
              <w:left w:val="single" w:color="auto" w:sz="4" w:space="0"/>
              <w:right w:val="single" w:color="auto" w:sz="4" w:space="0"/>
            </w:tcBorders>
            <w:vAlign w:val="center"/>
          </w:tcPr>
          <w:p>
            <w:pPr>
              <w:pStyle w:val="9"/>
              <w:widowControl/>
              <w:adjustRightInd w:val="0"/>
              <w:snapToGri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项</w:t>
            </w:r>
          </w:p>
        </w:tc>
        <w:tc>
          <w:tcPr>
            <w:tcW w:w="320" w:type="pct"/>
            <w:tcBorders>
              <w:left w:val="single" w:color="auto" w:sz="4" w:space="0"/>
              <w:right w:val="single" w:color="auto" w:sz="4" w:space="0"/>
            </w:tcBorders>
            <w:vAlign w:val="center"/>
          </w:tcPr>
          <w:p>
            <w:pPr>
              <w:pStyle w:val="9"/>
              <w:widowControl/>
              <w:adjustRightInd w:val="0"/>
              <w:snapToGrid w:val="0"/>
              <w:spacing w:line="360" w:lineRule="exact"/>
              <w:rPr>
                <w:rFonts w:hint="eastAsia" w:ascii="宋体" w:hAnsi="宋体" w:eastAsia="宋体" w:cs="宋体"/>
                <w:color w:val="auto"/>
                <w:sz w:val="22"/>
                <w:highlight w:val="none"/>
              </w:rPr>
            </w:pPr>
          </w:p>
        </w:tc>
      </w:tr>
    </w:tbl>
    <w:p>
      <w:pPr>
        <w:widowControl/>
        <w:adjustRightInd w:val="0"/>
        <w:snapToGrid w:val="0"/>
        <w:spacing w:line="360" w:lineRule="exact"/>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五．其他</w:t>
      </w:r>
    </w:p>
    <w:p>
      <w:pPr>
        <w:widowControl/>
        <w:adjustRightInd w:val="0"/>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1.除招标文件中所明确的采购需求外，欢迎其他能满足本项目采购需求且性能相当于或高于所明确采购需求的产品参加投标报价。同时在采购需求偏离表中作出详细对比说明。</w:t>
      </w:r>
    </w:p>
    <w:p>
      <w:pPr>
        <w:widowControl/>
        <w:adjustRightInd w:val="0"/>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2.带“▲且加下划线”的有关技术和商务条款为实质性条款，投标人必须做出实质性响应，否则视为投标无效。</w:t>
      </w:r>
    </w:p>
    <w:p>
      <w:pPr>
        <w:widowControl/>
        <w:adjustRightInd w:val="0"/>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3.如技术要求中未特别注明需执行的国家相关标准、行业标准、地方标准或者其他标准、规范，则统一执行最新标准、规范。</w:t>
      </w:r>
    </w:p>
    <w:p>
      <w:pPr>
        <w:widowControl/>
        <w:adjustRightInd w:val="0"/>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4.技术部分中需要提供的证明材料有有效期的必须在有效期内，否则视为未提供。</w:t>
      </w:r>
    </w:p>
    <w:p>
      <w:pPr>
        <w:pStyle w:val="2"/>
        <w:rPr>
          <w:rFonts w:hint="eastAsia" w:ascii="宋体" w:hAnsi="宋体" w:eastAsia="宋体" w:cs="宋体"/>
          <w:b/>
          <w:bCs/>
          <w:color w:val="auto"/>
          <w:spacing w:val="-6"/>
          <w:sz w:val="22"/>
          <w:szCs w:val="22"/>
          <w:highlight w:val="none"/>
        </w:rPr>
      </w:pPr>
    </w:p>
    <w:p>
      <w:pPr>
        <w:snapToGrid w:val="0"/>
        <w:spacing w:line="400" w:lineRule="exact"/>
        <w:rPr>
          <w:rFonts w:hint="eastAsia" w:ascii="宋体" w:hAnsi="宋体" w:eastAsia="宋体" w:cs="宋体"/>
          <w:b/>
          <w:color w:val="auto"/>
          <w:sz w:val="32"/>
          <w:highlight w:val="none"/>
        </w:rPr>
      </w:pPr>
    </w:p>
    <w:p>
      <w:pPr>
        <w:snapToGrid w:val="0"/>
        <w:spacing w:line="400" w:lineRule="exact"/>
        <w:jc w:val="center"/>
        <w:rPr>
          <w:rFonts w:hint="eastAsia" w:ascii="宋体" w:hAnsi="宋体" w:eastAsia="宋体" w:cs="宋体"/>
          <w:b/>
          <w:color w:val="auto"/>
          <w:sz w:val="32"/>
          <w:highlight w:val="none"/>
        </w:rPr>
      </w:pPr>
    </w:p>
    <w:p>
      <w:pPr>
        <w:snapToGrid w:val="0"/>
        <w:spacing w:line="400" w:lineRule="exact"/>
        <w:jc w:val="center"/>
        <w:rPr>
          <w:rFonts w:hint="eastAsia" w:ascii="宋体" w:hAnsi="宋体" w:eastAsia="宋体" w:cs="宋体"/>
          <w:b/>
          <w:color w:val="auto"/>
          <w:sz w:val="32"/>
          <w:highlight w:val="none"/>
        </w:rPr>
      </w:pPr>
    </w:p>
    <w:p>
      <w:pPr>
        <w:snapToGrid w:val="0"/>
        <w:spacing w:line="400" w:lineRule="exact"/>
        <w:jc w:val="center"/>
        <w:rPr>
          <w:rFonts w:hint="eastAsia" w:ascii="宋体" w:hAnsi="宋体" w:eastAsia="宋体" w:cs="宋体"/>
          <w:b/>
          <w:color w:val="auto"/>
          <w:sz w:val="32"/>
          <w:highlight w:val="none"/>
        </w:rPr>
      </w:pPr>
    </w:p>
    <w:p>
      <w:pPr>
        <w:pStyle w:val="2"/>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2"/>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14"/>
        <w:ind w:left="1470" w:right="1470"/>
        <w:rPr>
          <w:rFonts w:hint="eastAsia" w:ascii="宋体" w:hAnsi="宋体" w:eastAsia="宋体" w:cs="宋体"/>
          <w:b/>
          <w:color w:val="auto"/>
          <w:sz w:val="32"/>
          <w:highlight w:val="none"/>
        </w:rPr>
      </w:pPr>
    </w:p>
    <w:p>
      <w:pPr>
        <w:pStyle w:val="14"/>
        <w:ind w:left="1470" w:right="1470"/>
        <w:rPr>
          <w:rFonts w:hint="eastAsia" w:ascii="宋体" w:hAnsi="宋体" w:eastAsia="宋体" w:cs="宋体"/>
          <w:b/>
          <w:color w:val="auto"/>
          <w:sz w:val="32"/>
          <w:highlight w:val="none"/>
        </w:rPr>
      </w:pPr>
    </w:p>
    <w:p>
      <w:pPr>
        <w:pStyle w:val="14"/>
        <w:ind w:left="1470" w:right="1470"/>
        <w:rPr>
          <w:rFonts w:hint="eastAsia" w:ascii="宋体" w:hAnsi="宋体" w:eastAsia="宋体" w:cs="宋体"/>
          <w:b/>
          <w:color w:val="auto"/>
          <w:sz w:val="32"/>
          <w:highlight w:val="none"/>
        </w:rPr>
      </w:pPr>
    </w:p>
    <w:p>
      <w:pPr>
        <w:pStyle w:val="14"/>
        <w:ind w:left="1470" w:right="1470"/>
        <w:rPr>
          <w:rFonts w:hint="eastAsia" w:ascii="宋体" w:hAnsi="宋体" w:eastAsia="宋体" w:cs="宋体"/>
          <w:b/>
          <w:color w:val="auto"/>
          <w:sz w:val="32"/>
          <w:highlight w:val="none"/>
        </w:rPr>
      </w:pPr>
    </w:p>
    <w:p>
      <w:pPr>
        <w:pStyle w:val="2"/>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2"/>
        <w:rPr>
          <w:rFonts w:hint="eastAsia" w:ascii="宋体" w:hAnsi="宋体" w:eastAsia="宋体" w:cs="宋体"/>
          <w:color w:val="auto"/>
          <w:highlight w:val="none"/>
        </w:rPr>
      </w:pPr>
    </w:p>
    <w:p>
      <w:pPr>
        <w:snapToGrid w:val="0"/>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第六部分   评标原则及方法</w:t>
      </w:r>
    </w:p>
    <w:p>
      <w:pPr>
        <w:pStyle w:val="10"/>
        <w:adjustRightInd w:val="0"/>
        <w:snapToGrid w:val="0"/>
        <w:spacing w:after="0" w:line="3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根据《中华人民共和国政府采购法》等相关法规特制定以下评标办法。</w:t>
      </w:r>
    </w:p>
    <w:p>
      <w:pPr>
        <w:numPr>
          <w:ilvl w:val="0"/>
          <w:numId w:val="12"/>
        </w:num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总  则</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二.评标组织</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评标工作由采购人依法组建的评审小组负责，评标全过程由有关部门指导监督。</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三.评标程序</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采购人或者采购代理机构对各投标人的投标资格进行审查；然后评审小组对合格投标人进行符合性审查，对审查通过的商务和技术文件进行评审；商务和技术文件评审结束之后对报价文件评审，综合评审结果，提交评审报告。</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四.评标办法</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本评标办法采用百分制综合评分法。最大限度地满足招标文件中规定的各项综合评价标准且综合得分最高的投标人，将被推荐为中标候选人。</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评分细则</w:t>
      </w:r>
    </w:p>
    <w:p>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1.商务和技术分的评定（70分）</w:t>
      </w:r>
    </w:p>
    <w:p>
      <w:pPr>
        <w:pStyle w:val="55"/>
        <w:spacing w:line="360" w:lineRule="exact"/>
        <w:ind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各评委成员按下列评分项目进行评判，每人一张评分计算票，并记名。投标文件各项评分内容由评审小组成员各自评分，如某张票的一个因素项目超过规定的范围，则该张票无效。各评审小组成员对各投标人的各项评分内容评分的合计算术平均值为各投标人商务和技术分得分（小数点后按四舍五入保留2位）。</w:t>
      </w:r>
    </w:p>
    <w:tbl>
      <w:tblPr>
        <w:tblStyle w:val="27"/>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00"/>
        <w:gridCol w:w="763"/>
        <w:gridCol w:w="5900"/>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序号</w:t>
            </w:r>
          </w:p>
        </w:tc>
        <w:tc>
          <w:tcPr>
            <w:tcW w:w="14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评分项目</w:t>
            </w:r>
          </w:p>
        </w:tc>
        <w:tc>
          <w:tcPr>
            <w:tcW w:w="76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分值</w:t>
            </w:r>
          </w:p>
        </w:tc>
        <w:tc>
          <w:tcPr>
            <w:tcW w:w="59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评分标准及细则</w:t>
            </w:r>
          </w:p>
        </w:tc>
        <w:tc>
          <w:tcPr>
            <w:tcW w:w="94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14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政策功能</w:t>
            </w:r>
          </w:p>
        </w:tc>
        <w:tc>
          <w:tcPr>
            <w:tcW w:w="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0-1</w:t>
            </w:r>
          </w:p>
        </w:tc>
        <w:tc>
          <w:tcPr>
            <w:tcW w:w="5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1.投标产品属于政府采购品目清单范围且提供国家确定的认证机构出具的处于有效期之内的节能产品认证证书或“投标产品在‘中国政府采购网’上节能产品查询截图的，每项产品得.0.5分，最高得0.5分（投标产品属于节能产品政府采购品目清单中强制采购的除外）。</w:t>
            </w:r>
            <w:r>
              <w:rPr>
                <w:rFonts w:hint="eastAsia" w:ascii="宋体" w:hAnsi="宋体" w:eastAsia="宋体" w:cs="宋体"/>
                <w:color w:val="auto"/>
                <w:sz w:val="22"/>
                <w:highlight w:val="none"/>
              </w:rPr>
              <w:br w:type="textWrapping"/>
            </w:r>
            <w:r>
              <w:rPr>
                <w:rFonts w:hint="eastAsia" w:ascii="宋体" w:hAnsi="宋体" w:eastAsia="宋体" w:cs="宋体"/>
                <w:color w:val="auto"/>
                <w:sz w:val="22"/>
                <w:highlight w:val="none"/>
              </w:rPr>
              <w:t>2.投标产品属于政府采购品目清单范围且提供国家确定的认证机构出具的处于有效期之内的环境标志产品认证证书或“投标产品在‘中国政府采购网’上环境标志产品查询截图的，每项产品得0.5分，最高得0.5分。</w:t>
            </w:r>
          </w:p>
        </w:tc>
        <w:tc>
          <w:tcPr>
            <w:tcW w:w="9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w:t>
            </w:r>
          </w:p>
        </w:tc>
        <w:tc>
          <w:tcPr>
            <w:tcW w:w="14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质保期</w:t>
            </w:r>
          </w:p>
        </w:tc>
        <w:tc>
          <w:tcPr>
            <w:tcW w:w="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0-2</w:t>
            </w:r>
          </w:p>
        </w:tc>
        <w:tc>
          <w:tcPr>
            <w:tcW w:w="59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质保期满足招标文件要求的0分，所有产品每延长一年得1分，最多加2分，延长时间不足一年的不计入加分。</w:t>
            </w:r>
          </w:p>
        </w:tc>
        <w:tc>
          <w:tcPr>
            <w:tcW w:w="9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3</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业绩</w:t>
            </w:r>
          </w:p>
        </w:tc>
        <w:tc>
          <w:tcPr>
            <w:tcW w:w="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pacing w:val="-6"/>
                <w:sz w:val="22"/>
                <w:highlight w:val="none"/>
              </w:rPr>
            </w:pPr>
            <w:r>
              <w:rPr>
                <w:rFonts w:hint="eastAsia" w:ascii="宋体" w:hAnsi="宋体" w:eastAsia="宋体" w:cs="宋体"/>
                <w:color w:val="auto"/>
                <w:spacing w:val="-6"/>
                <w:sz w:val="22"/>
                <w:highlight w:val="none"/>
              </w:rPr>
              <w:t>0-3</w:t>
            </w:r>
          </w:p>
        </w:tc>
        <w:tc>
          <w:tcPr>
            <w:tcW w:w="59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投标人自2018年6月1日以来（以合同签订时间为准）在国内签订的同类项目业绩，符合条件1分/个，最高得3分。</w:t>
            </w:r>
          </w:p>
          <w:p>
            <w:pPr>
              <w:spacing w:line="36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注：以提供的完整合同扫描件并加盖投标人CA电子公章，否则不得分，以联合体或代理商名义签订合同的不得分。</w:t>
            </w:r>
          </w:p>
        </w:tc>
        <w:tc>
          <w:tcPr>
            <w:tcW w:w="9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w:t>
            </w:r>
          </w:p>
        </w:tc>
        <w:tc>
          <w:tcPr>
            <w:tcW w:w="1400"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技术要求响应程度</w:t>
            </w:r>
          </w:p>
        </w:tc>
        <w:tc>
          <w:tcPr>
            <w:tcW w:w="763"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0-31</w:t>
            </w:r>
          </w:p>
        </w:tc>
        <w:tc>
          <w:tcPr>
            <w:tcW w:w="59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标项一：</w:t>
            </w:r>
            <w:r>
              <w:rPr>
                <w:rFonts w:hint="eastAsia" w:ascii="宋体" w:hAnsi="宋体" w:eastAsia="宋体" w:cs="宋体"/>
                <w:color w:val="auto"/>
                <w:sz w:val="22"/>
                <w:highlight w:val="none"/>
                <w:lang w:eastAsia="zh-CN"/>
              </w:rPr>
              <w:t>激光共聚焦显微镜</w:t>
            </w:r>
          </w:p>
          <w:p>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不符合（负偏离）技术要求中标注“▲并加下划线”条款（不可偏离）的投标无效。</w:t>
            </w:r>
          </w:p>
          <w:p>
            <w:pPr>
              <w:adjustRightIn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满足招标文件明确的全部技术要求的得满分：评审小组根据参数应答和提供参数中所要求的证明材料情况进行评分，评分要求如下：</w:t>
            </w:r>
          </w:p>
          <w:p>
            <w:pPr>
              <w:adjustRightInd w:val="0"/>
              <w:snapToGrid w:val="0"/>
              <w:spacing w:line="360" w:lineRule="exact"/>
              <w:rPr>
                <w:rFonts w:hint="eastAsia" w:ascii="宋体" w:hAnsi="宋体" w:eastAsia="宋体" w:cs="宋体"/>
                <w:b/>
                <w:color w:val="auto"/>
                <w:sz w:val="22"/>
                <w:highlight w:val="none"/>
                <w:shd w:val="clear" w:color="auto" w:fill="FFFFFF"/>
              </w:rPr>
            </w:pPr>
            <w:r>
              <w:rPr>
                <w:rFonts w:hint="eastAsia" w:ascii="宋体" w:hAnsi="宋体" w:eastAsia="宋体" w:cs="宋体"/>
                <w:b/>
                <w:color w:val="auto"/>
                <w:sz w:val="22"/>
                <w:highlight w:val="none"/>
                <w:shd w:val="clear" w:color="auto" w:fill="FFFFFF"/>
              </w:rPr>
              <w:t>带“★”的要求为重要技术条款，负偏离的每条扣5分,10分扣完为止。</w:t>
            </w:r>
          </w:p>
          <w:p>
            <w:pPr>
              <w:adjustRightInd w:val="0"/>
              <w:snapToGrid w:val="0"/>
              <w:spacing w:line="360" w:lineRule="exact"/>
              <w:rPr>
                <w:rFonts w:hint="eastAsia" w:ascii="宋体" w:hAnsi="宋体" w:eastAsia="宋体" w:cs="宋体"/>
                <w:color w:val="auto"/>
                <w:sz w:val="22"/>
                <w:highlight w:val="none"/>
              </w:rPr>
            </w:pPr>
            <w:r>
              <w:rPr>
                <w:rFonts w:hint="eastAsia" w:ascii="宋体" w:hAnsi="宋体" w:eastAsia="宋体" w:cs="宋体"/>
                <w:b/>
                <w:color w:val="auto"/>
                <w:sz w:val="22"/>
                <w:highlight w:val="none"/>
                <w:shd w:val="clear" w:color="auto" w:fill="FFFFFF"/>
              </w:rPr>
              <w:t>非“★”的指标要求为一般技术条款，负偏离不超过15条的，每条扣1分；负偏离超过15条的，先按每条1分扣足15条，超过15条的部分，每条扣0.2分；21分扣完为止。</w:t>
            </w:r>
          </w:p>
        </w:tc>
        <w:tc>
          <w:tcPr>
            <w:tcW w:w="946"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bCs/>
                <w:color w:val="auto"/>
                <w:sz w:val="22"/>
                <w:highlight w:val="none"/>
              </w:rPr>
            </w:pPr>
          </w:p>
        </w:tc>
        <w:tc>
          <w:tcPr>
            <w:tcW w:w="1400"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p>
        </w:tc>
        <w:tc>
          <w:tcPr>
            <w:tcW w:w="763"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p>
        </w:tc>
        <w:tc>
          <w:tcPr>
            <w:tcW w:w="59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标项二: </w:t>
            </w:r>
            <w:r>
              <w:rPr>
                <w:rFonts w:hint="eastAsia" w:ascii="宋体" w:hAnsi="宋体" w:eastAsia="宋体" w:cs="宋体"/>
                <w:color w:val="auto"/>
                <w:sz w:val="22"/>
                <w:highlight w:val="none"/>
                <w:lang w:eastAsia="zh-CN"/>
              </w:rPr>
              <w:t>液质联用仪（质谱仪）</w:t>
            </w:r>
          </w:p>
          <w:p>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不符合（负偏离）技术要求中标注“▲并加下划线”条款（不可偏离）的投标无效。</w:t>
            </w:r>
          </w:p>
          <w:p>
            <w:pPr>
              <w:adjustRightIn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满足招标文件明确的全部技术要求的得满分：评审小组根据参数应答和提供参数中所要求的证明材料情况进行评分，评分要求如下：</w:t>
            </w:r>
          </w:p>
          <w:p>
            <w:pPr>
              <w:adjustRightInd w:val="0"/>
              <w:snapToGrid w:val="0"/>
              <w:spacing w:line="360" w:lineRule="exact"/>
              <w:rPr>
                <w:rFonts w:hint="eastAsia" w:ascii="宋体" w:hAnsi="宋体" w:eastAsia="宋体" w:cs="宋体"/>
                <w:b/>
                <w:color w:val="auto"/>
                <w:sz w:val="22"/>
                <w:highlight w:val="none"/>
                <w:shd w:val="clear" w:color="auto" w:fill="FFFFFF"/>
              </w:rPr>
            </w:pPr>
            <w:r>
              <w:rPr>
                <w:rFonts w:hint="eastAsia" w:ascii="宋体" w:hAnsi="宋体" w:eastAsia="宋体" w:cs="宋体"/>
                <w:b/>
                <w:color w:val="auto"/>
                <w:sz w:val="22"/>
                <w:highlight w:val="none"/>
                <w:shd w:val="clear" w:color="auto" w:fill="FFFFFF"/>
              </w:rPr>
              <w:t>带“★”的要求为重要技术条款，负偏离每条扣2.5分；15分扣完为止。</w:t>
            </w:r>
          </w:p>
          <w:p>
            <w:pPr>
              <w:widowControl/>
              <w:spacing w:line="360" w:lineRule="exact"/>
              <w:jc w:val="left"/>
              <w:rPr>
                <w:rFonts w:hint="eastAsia" w:ascii="宋体" w:hAnsi="宋体" w:eastAsia="宋体" w:cs="宋体"/>
                <w:color w:val="auto"/>
                <w:kern w:val="0"/>
                <w:sz w:val="22"/>
                <w:highlight w:val="none"/>
              </w:rPr>
            </w:pPr>
            <w:r>
              <w:rPr>
                <w:rFonts w:hint="eastAsia" w:ascii="宋体" w:hAnsi="宋体" w:eastAsia="宋体" w:cs="宋体"/>
                <w:b/>
                <w:color w:val="auto"/>
                <w:sz w:val="22"/>
                <w:highlight w:val="none"/>
                <w:shd w:val="clear" w:color="auto" w:fill="FFFFFF"/>
              </w:rPr>
              <w:t>非“★”的指标要求为一般技术条款，负偏离不超过13条的，每条扣1分；负偏离超过13条的，先按每条1分扣足13条，超过13条的部分，每条扣0.2分；16分扣完为止。</w:t>
            </w:r>
          </w:p>
        </w:tc>
        <w:tc>
          <w:tcPr>
            <w:tcW w:w="946" w:type="dxa"/>
            <w:vMerge w:val="continue"/>
            <w:tcBorders>
              <w:left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bCs/>
                <w:color w:val="auto"/>
                <w:sz w:val="22"/>
                <w:highlight w:val="none"/>
              </w:rPr>
            </w:pPr>
          </w:p>
        </w:tc>
        <w:tc>
          <w:tcPr>
            <w:tcW w:w="1400"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p>
        </w:tc>
        <w:tc>
          <w:tcPr>
            <w:tcW w:w="763"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p>
        </w:tc>
        <w:tc>
          <w:tcPr>
            <w:tcW w:w="59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标项三: </w:t>
            </w:r>
            <w:r>
              <w:rPr>
                <w:rFonts w:hint="eastAsia" w:ascii="宋体" w:hAnsi="宋体" w:eastAsia="宋体" w:cs="宋体"/>
                <w:color w:val="auto"/>
                <w:sz w:val="22"/>
                <w:highlight w:val="none"/>
                <w:lang w:eastAsia="zh-CN"/>
              </w:rPr>
              <w:t>超高速冷冻离心机</w:t>
            </w:r>
            <w:r>
              <w:rPr>
                <w:rFonts w:hint="eastAsia" w:ascii="宋体" w:hAnsi="宋体" w:eastAsia="宋体" w:cs="宋体"/>
                <w:color w:val="auto"/>
                <w:sz w:val="22"/>
                <w:highlight w:val="none"/>
              </w:rPr>
              <w:br w:type="textWrapping"/>
            </w:r>
            <w:r>
              <w:rPr>
                <w:rFonts w:hint="eastAsia" w:ascii="宋体" w:hAnsi="宋体" w:eastAsia="宋体" w:cs="宋体"/>
                <w:color w:val="auto"/>
                <w:sz w:val="22"/>
                <w:highlight w:val="none"/>
              </w:rPr>
              <w:t>不符合（负偏离）技术要求中标注“▲并加下划线”条款（不可偏离）的投标无效。</w:t>
            </w:r>
          </w:p>
          <w:p>
            <w:pPr>
              <w:adjustRightIn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满足招标文件明确的全部技术要求的得满分：评审小组根据参数应答和提供参数中所要求的证明材料情况进行评分，评分要求如下：</w:t>
            </w:r>
          </w:p>
          <w:p>
            <w:pPr>
              <w:adjustRightInd w:val="0"/>
              <w:snapToGrid w:val="0"/>
              <w:spacing w:line="360" w:lineRule="exact"/>
              <w:rPr>
                <w:rFonts w:hint="eastAsia" w:ascii="宋体" w:hAnsi="宋体" w:eastAsia="宋体" w:cs="宋体"/>
                <w:b/>
                <w:color w:val="auto"/>
                <w:sz w:val="22"/>
                <w:highlight w:val="none"/>
                <w:shd w:val="clear" w:color="auto" w:fill="FFFFFF"/>
              </w:rPr>
            </w:pPr>
            <w:r>
              <w:rPr>
                <w:rFonts w:hint="eastAsia" w:ascii="宋体" w:hAnsi="宋体" w:eastAsia="宋体" w:cs="宋体"/>
                <w:b/>
                <w:color w:val="auto"/>
                <w:sz w:val="22"/>
                <w:highlight w:val="none"/>
                <w:shd w:val="clear" w:color="auto" w:fill="FFFFFF"/>
              </w:rPr>
              <w:t>带“★”的要求为重要技术条款，负偏离每条扣2.5分；20分扣完为止。</w:t>
            </w:r>
          </w:p>
          <w:p>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shd w:val="clear" w:color="auto" w:fill="FFFFFF"/>
              </w:rPr>
              <w:t>非“★”的指标要求为一般技术条款，负偏离不超过9条的，每条扣1分；负偏离超过9条的，先按每条1分扣足9条，超过9条的部分，每条扣0.2分；11分扣完为止。</w:t>
            </w:r>
          </w:p>
        </w:tc>
        <w:tc>
          <w:tcPr>
            <w:tcW w:w="946" w:type="dxa"/>
            <w:vMerge w:val="continue"/>
            <w:tcBorders>
              <w:left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bCs/>
                <w:color w:val="auto"/>
                <w:sz w:val="22"/>
                <w:highlight w:val="none"/>
              </w:rPr>
            </w:pPr>
          </w:p>
        </w:tc>
        <w:tc>
          <w:tcPr>
            <w:tcW w:w="1400"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p>
        </w:tc>
        <w:tc>
          <w:tcPr>
            <w:tcW w:w="763"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p>
        </w:tc>
        <w:tc>
          <w:tcPr>
            <w:tcW w:w="59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标项四：</w:t>
            </w:r>
            <w:r>
              <w:rPr>
                <w:rFonts w:hint="eastAsia" w:ascii="宋体" w:hAnsi="宋体" w:eastAsia="宋体" w:cs="宋体"/>
                <w:color w:val="auto"/>
                <w:sz w:val="22"/>
                <w:highlight w:val="none"/>
                <w:lang w:eastAsia="zh-CN"/>
              </w:rPr>
              <w:t>蛋白纯化系统-FPLC</w:t>
            </w:r>
          </w:p>
          <w:p>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不符合（负偏离）技术要求中标注“▲并加下划线”条款（不可偏离）的投标无效。</w:t>
            </w:r>
          </w:p>
          <w:p>
            <w:pPr>
              <w:adjustRightIn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满足招标文件明确的全部技术要求的得满分：评审小组根据参数应答和提供参数中所要求的证明材料情况进行评分，评分要求如下：</w:t>
            </w:r>
          </w:p>
          <w:p>
            <w:pPr>
              <w:adjustRightInd w:val="0"/>
              <w:snapToGrid w:val="0"/>
              <w:spacing w:line="360" w:lineRule="exact"/>
              <w:rPr>
                <w:rFonts w:hint="eastAsia" w:ascii="宋体" w:hAnsi="宋体" w:eastAsia="宋体" w:cs="宋体"/>
                <w:b/>
                <w:color w:val="auto"/>
                <w:sz w:val="22"/>
                <w:highlight w:val="none"/>
                <w:shd w:val="clear" w:color="auto" w:fill="FFFFFF"/>
              </w:rPr>
            </w:pPr>
            <w:r>
              <w:rPr>
                <w:rFonts w:hint="eastAsia" w:ascii="宋体" w:hAnsi="宋体" w:eastAsia="宋体" w:cs="宋体"/>
                <w:b/>
                <w:color w:val="auto"/>
                <w:sz w:val="22"/>
                <w:highlight w:val="none"/>
                <w:shd w:val="clear" w:color="auto" w:fill="FFFFFF"/>
              </w:rPr>
              <w:t>带“★”的要求为重要技术条款，负偏离不超过3条的，每条扣4分；负偏离超过3条的，先按每条4分扣足3条，超过3条的部分，每条扣2分；16分扣完为止。</w:t>
            </w:r>
          </w:p>
          <w:p>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shd w:val="clear" w:color="auto" w:fill="FFFFFF"/>
              </w:rPr>
              <w:t>非“★”的指标要求为一般技术条款，负偏离不超过11条的，每条扣1分；负偏离超过11条的，先按每条1分扣足11条，超过11条的部分，每条扣0.1分；15分扣完为止。</w:t>
            </w:r>
          </w:p>
        </w:tc>
        <w:tc>
          <w:tcPr>
            <w:tcW w:w="946" w:type="dxa"/>
            <w:vMerge w:val="continue"/>
            <w:tcBorders>
              <w:left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bCs/>
                <w:color w:val="auto"/>
                <w:sz w:val="22"/>
                <w:highlight w:val="none"/>
              </w:rPr>
            </w:pPr>
          </w:p>
        </w:tc>
        <w:tc>
          <w:tcPr>
            <w:tcW w:w="1400"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p>
        </w:tc>
        <w:tc>
          <w:tcPr>
            <w:tcW w:w="763"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p>
        </w:tc>
        <w:tc>
          <w:tcPr>
            <w:tcW w:w="59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标项五: </w:t>
            </w:r>
            <w:r>
              <w:rPr>
                <w:rFonts w:hint="eastAsia" w:ascii="宋体" w:hAnsi="宋体" w:eastAsia="宋体" w:cs="宋体"/>
                <w:color w:val="auto"/>
                <w:sz w:val="22"/>
                <w:highlight w:val="none"/>
                <w:lang w:eastAsia="zh-CN"/>
              </w:rPr>
              <w:t>多功能微孔板读数仪（酶标仪）</w:t>
            </w:r>
          </w:p>
          <w:p>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不符合（负偏离）技术要求中标注“▲并加下划线”条款（不可偏离）的投标无效。</w:t>
            </w:r>
          </w:p>
          <w:p>
            <w:pPr>
              <w:adjustRightIn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满足招标文件明确的全部技术要求的得满分：评审小组根据参数应答和提供参数中所要求的证明材料情况进行评分，评分要求如下：</w:t>
            </w:r>
          </w:p>
          <w:p>
            <w:pPr>
              <w:adjustRightInd w:val="0"/>
              <w:snapToGrid w:val="0"/>
              <w:spacing w:line="360" w:lineRule="exact"/>
              <w:rPr>
                <w:rFonts w:hint="eastAsia" w:ascii="宋体" w:hAnsi="宋体" w:eastAsia="宋体" w:cs="宋体"/>
                <w:b/>
                <w:color w:val="auto"/>
                <w:sz w:val="22"/>
                <w:highlight w:val="none"/>
                <w:shd w:val="clear" w:color="auto" w:fill="FFFFFF"/>
              </w:rPr>
            </w:pPr>
            <w:r>
              <w:rPr>
                <w:rFonts w:hint="eastAsia" w:ascii="宋体" w:hAnsi="宋体" w:eastAsia="宋体" w:cs="宋体"/>
                <w:b/>
                <w:color w:val="auto"/>
                <w:sz w:val="22"/>
                <w:highlight w:val="none"/>
                <w:shd w:val="clear" w:color="auto" w:fill="FFFFFF"/>
              </w:rPr>
              <w:t>带“★”的要求为重要技术条款，负偏离每条扣2分；14分扣完为止。</w:t>
            </w:r>
          </w:p>
          <w:p>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shd w:val="clear" w:color="auto" w:fill="FFFFFF"/>
              </w:rPr>
              <w:t>非“★”的指标要求为一般技术条款，负偏离不超过14条的，每条扣1分；负偏离超过14条的，先按每条1分扣足14条，超过14条的部分，每条扣0.1分；17分扣完为止。</w:t>
            </w:r>
          </w:p>
        </w:tc>
        <w:tc>
          <w:tcPr>
            <w:tcW w:w="946" w:type="dxa"/>
            <w:vMerge w:val="continue"/>
            <w:tcBorders>
              <w:left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71"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Cs/>
                <w:color w:val="auto"/>
                <w:sz w:val="22"/>
                <w:highlight w:val="none"/>
              </w:rPr>
            </w:pPr>
          </w:p>
        </w:tc>
        <w:tc>
          <w:tcPr>
            <w:tcW w:w="1400"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p>
        </w:tc>
        <w:tc>
          <w:tcPr>
            <w:tcW w:w="763"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p>
        </w:tc>
        <w:tc>
          <w:tcPr>
            <w:tcW w:w="59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标项六: </w:t>
            </w:r>
            <w:r>
              <w:rPr>
                <w:rFonts w:hint="eastAsia" w:ascii="宋体" w:hAnsi="宋体" w:eastAsia="宋体" w:cs="宋体"/>
                <w:color w:val="auto"/>
                <w:sz w:val="22"/>
                <w:highlight w:val="none"/>
                <w:lang w:eastAsia="zh-CN"/>
              </w:rPr>
              <w:t>气象站</w:t>
            </w:r>
          </w:p>
          <w:p>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不符合（负偏离）技术要求中标注“▲并加下划线”条款（不可偏离）的投标无效。</w:t>
            </w:r>
          </w:p>
          <w:p>
            <w:pPr>
              <w:adjustRightInd w:val="0"/>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满足招标文件明确的全部技术要求的得满分：评审小组根据参数应答和提供参数中所要求的证明材料情况进行评分，评分要求如下：</w:t>
            </w:r>
          </w:p>
          <w:p>
            <w:pPr>
              <w:widowControl/>
              <w:spacing w:line="360" w:lineRule="exact"/>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shd w:val="clear" w:color="auto" w:fill="FFFFFF"/>
              </w:rPr>
              <w:t>技术条款，负偏离不超过11条的，每条扣2分；负偏离超过11条的，先按每条2分扣足11条，超过11条的部分，每条扣0.3分；31分扣完为止。</w:t>
            </w:r>
          </w:p>
        </w:tc>
        <w:tc>
          <w:tcPr>
            <w:tcW w:w="946"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5</w:t>
            </w:r>
          </w:p>
        </w:tc>
        <w:tc>
          <w:tcPr>
            <w:tcW w:w="14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产品性能</w:t>
            </w:r>
          </w:p>
        </w:tc>
        <w:tc>
          <w:tcPr>
            <w:tcW w:w="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0-5</w:t>
            </w:r>
          </w:p>
        </w:tc>
        <w:tc>
          <w:tcPr>
            <w:tcW w:w="590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auto"/>
                <w:spacing w:val="-6"/>
                <w:sz w:val="22"/>
                <w:highlight w:val="none"/>
              </w:rPr>
            </w:pPr>
            <w:r>
              <w:rPr>
                <w:rFonts w:hint="eastAsia" w:ascii="宋体" w:hAnsi="宋体" w:eastAsia="宋体" w:cs="宋体"/>
                <w:color w:val="auto"/>
                <w:sz w:val="22"/>
                <w:highlight w:val="none"/>
              </w:rPr>
              <w:t>投标产品的性能、质量及技术指标先进性的整体评价。(1)能贴合采购人需求，合理可行、针对性强的得5.0-3.1分；(2)能比较贴合采购人需求，较合理可行、针对性较强的得3.0-1.5分；(3)能基本贴合采购人需求，合理性、可行性、针对性一般的得1.4-0.1分；(4)不提供不得分。</w:t>
            </w:r>
          </w:p>
        </w:tc>
        <w:tc>
          <w:tcPr>
            <w:tcW w:w="9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6</w:t>
            </w:r>
          </w:p>
        </w:tc>
        <w:tc>
          <w:tcPr>
            <w:tcW w:w="14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投标产品技术支持资料</w:t>
            </w:r>
          </w:p>
        </w:tc>
        <w:tc>
          <w:tcPr>
            <w:tcW w:w="76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0-5</w:t>
            </w:r>
          </w:p>
        </w:tc>
        <w:tc>
          <w:tcPr>
            <w:tcW w:w="590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投标产品技术支持资料（彩页、检测报告等）完整性及对投标产品技术偏离程度的证明。(1)资料完整、清晰的得5分；(2)较完整、较清晰的得4.0-2.1分；(3)不完整、不清晰的得2.0-0.1分；(4)不提供不得分。</w:t>
            </w:r>
          </w:p>
        </w:tc>
        <w:tc>
          <w:tcPr>
            <w:tcW w:w="9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7</w:t>
            </w:r>
          </w:p>
        </w:tc>
        <w:tc>
          <w:tcPr>
            <w:tcW w:w="14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r>
              <w:rPr>
                <w:rFonts w:hint="eastAsia" w:ascii="宋体" w:hAnsi="宋体" w:eastAsia="宋体" w:cs="宋体"/>
                <w:snapToGrid w:val="0"/>
                <w:color w:val="auto"/>
                <w:kern w:val="0"/>
                <w:sz w:val="22"/>
                <w:highlight w:val="none"/>
                <w:lang w:val="zh-CN"/>
              </w:rPr>
              <w:t>实施方案</w:t>
            </w:r>
          </w:p>
        </w:tc>
        <w:tc>
          <w:tcPr>
            <w:tcW w:w="76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0-5</w:t>
            </w:r>
          </w:p>
        </w:tc>
        <w:tc>
          <w:tcPr>
            <w:tcW w:w="590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组</w:t>
            </w:r>
            <w:r>
              <w:rPr>
                <w:rFonts w:hint="eastAsia" w:ascii="宋体" w:hAnsi="宋体" w:eastAsia="宋体" w:cs="宋体"/>
                <w:bCs/>
                <w:color w:val="auto"/>
                <w:sz w:val="22"/>
                <w:highlight w:val="none"/>
                <w:lang w:val="zh-CN"/>
              </w:rPr>
              <w:t>织实施方案的科学性、合理性、规范性，包括产品供货、验货、安装调试、</w:t>
            </w:r>
            <w:r>
              <w:rPr>
                <w:rFonts w:hint="eastAsia" w:ascii="宋体" w:hAnsi="宋体" w:eastAsia="宋体" w:cs="宋体"/>
                <w:bCs/>
                <w:color w:val="auto"/>
                <w:sz w:val="22"/>
                <w:highlight w:val="none"/>
              </w:rPr>
              <w:t>验收方案等</w:t>
            </w:r>
            <w:r>
              <w:rPr>
                <w:rFonts w:hint="eastAsia" w:ascii="宋体" w:hAnsi="宋体" w:eastAsia="宋体" w:cs="宋体"/>
                <w:color w:val="auto"/>
                <w:sz w:val="22"/>
                <w:highlight w:val="none"/>
                <w:lang w:val="zh-CN"/>
              </w:rPr>
              <w:t>由评审小组判定评分。</w:t>
            </w:r>
            <w:r>
              <w:rPr>
                <w:rFonts w:hint="eastAsia" w:ascii="宋体" w:hAnsi="宋体" w:eastAsia="宋体" w:cs="宋体"/>
                <w:color w:val="auto"/>
                <w:sz w:val="22"/>
                <w:highlight w:val="none"/>
              </w:rPr>
              <w:t>(1)方案能贴合采购人需求，合理可行、针对性强的得5.0-3.1分；(2)方案能比较贴合采购人需求，较合理可行、针对性较强的得3.0-1.5分；(3)方案能基本贴合采购人需求，合理性、可行性、针对性一般的得1.4-0.1分；(4)不提供不得分。</w:t>
            </w:r>
          </w:p>
        </w:tc>
        <w:tc>
          <w:tcPr>
            <w:tcW w:w="9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8</w:t>
            </w:r>
          </w:p>
        </w:tc>
        <w:tc>
          <w:tcPr>
            <w:tcW w:w="14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实施人员</w:t>
            </w:r>
          </w:p>
        </w:tc>
        <w:tc>
          <w:tcPr>
            <w:tcW w:w="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0-5</w:t>
            </w:r>
          </w:p>
        </w:tc>
        <w:tc>
          <w:tcPr>
            <w:tcW w:w="590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根据项目实施人员数量、经验、职称、能力（提供相关证书）等，能否满足采购需求，由评审小组判定评分。</w:t>
            </w:r>
          </w:p>
          <w:p>
            <w:pPr>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(1)人员数量充足、经验丰富、能力强的得5.0-3.1分；(2)人员数量较充足、经验较丰富、能力较强的得3.0-1.5分；(3)人员数量一般、经验一般、能力一般的得1.4-0.1分；(4)不提供不得分。</w:t>
            </w:r>
          </w:p>
        </w:tc>
        <w:tc>
          <w:tcPr>
            <w:tcW w:w="94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Cs/>
                <w:snapToGrid w:val="0"/>
                <w:color w:val="auto"/>
                <w:kern w:val="0"/>
                <w:sz w:val="22"/>
                <w:highlight w:val="none"/>
              </w:rPr>
            </w:pPr>
            <w:r>
              <w:rPr>
                <w:rFonts w:hint="eastAsia" w:ascii="宋体" w:hAnsi="宋体" w:eastAsia="宋体" w:cs="宋体"/>
                <w:bCs/>
                <w:snapToGrid w:val="0"/>
                <w:color w:val="auto"/>
                <w:kern w:val="0"/>
                <w:sz w:val="22"/>
                <w:highlight w:val="none"/>
              </w:rPr>
              <w:t>9</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售后服务</w:t>
            </w:r>
          </w:p>
        </w:tc>
        <w:tc>
          <w:tcPr>
            <w:tcW w:w="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0-5</w:t>
            </w:r>
          </w:p>
        </w:tc>
        <w:tc>
          <w:tcPr>
            <w:tcW w:w="590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lang w:val="zh-CN"/>
              </w:rPr>
              <w:t>对质保期内和质保期后的维修和服务承诺方案（包括产品质保期内外保修部件范围、技术支持和维护能力情况、故障响应时间、响应方式、处理、定期巡检、修复时间、配件、附件、备品备件的准备和保障措施等）由评审小组判定评分。</w:t>
            </w:r>
            <w:r>
              <w:rPr>
                <w:rFonts w:hint="eastAsia" w:ascii="宋体" w:hAnsi="宋体" w:eastAsia="宋体" w:cs="宋体"/>
                <w:color w:val="auto"/>
                <w:sz w:val="22"/>
                <w:highlight w:val="none"/>
              </w:rPr>
              <w:t>(1)方案能贴合采购人需求，合理可行、针对性强的得5.0-3.1分；(2)方案能比较贴合采购人需求，较合理可行、针对性较强的得3.0-1.5分；(3)方案能基本贴合采购人需求，合理性、可行性、针对性一般的得1.4-0.1分；(4)不提供不得分。</w:t>
            </w:r>
          </w:p>
        </w:tc>
        <w:tc>
          <w:tcPr>
            <w:tcW w:w="9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vAlign w:val="center"/>
          </w:tcPr>
          <w:p>
            <w:pPr>
              <w:widowControl/>
              <w:spacing w:line="360" w:lineRule="exact"/>
              <w:jc w:val="center"/>
              <w:rPr>
                <w:rFonts w:hint="eastAsia" w:ascii="宋体" w:hAnsi="宋体" w:eastAsia="宋体" w:cs="宋体"/>
                <w:bCs/>
                <w:snapToGrid w:val="0"/>
                <w:color w:val="auto"/>
                <w:kern w:val="0"/>
                <w:sz w:val="22"/>
                <w:highlight w:val="none"/>
              </w:rPr>
            </w:pPr>
            <w:r>
              <w:rPr>
                <w:rFonts w:hint="eastAsia" w:ascii="宋体" w:hAnsi="宋体" w:eastAsia="宋体" w:cs="宋体"/>
                <w:bCs/>
                <w:snapToGrid w:val="0"/>
                <w:color w:val="auto"/>
                <w:kern w:val="0"/>
                <w:sz w:val="22"/>
                <w:highlight w:val="none"/>
              </w:rPr>
              <w:t>10</w:t>
            </w:r>
          </w:p>
        </w:tc>
        <w:tc>
          <w:tcPr>
            <w:tcW w:w="1400" w:type="dxa"/>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培训方案</w:t>
            </w:r>
          </w:p>
        </w:tc>
        <w:tc>
          <w:tcPr>
            <w:tcW w:w="763" w:type="dxa"/>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0-5</w:t>
            </w:r>
          </w:p>
        </w:tc>
        <w:tc>
          <w:tcPr>
            <w:tcW w:w="5900" w:type="dxa"/>
            <w:vAlign w:val="center"/>
          </w:tcPr>
          <w:p>
            <w:pPr>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根据培训</w:t>
            </w:r>
            <w:r>
              <w:rPr>
                <w:rFonts w:hint="eastAsia" w:ascii="宋体" w:hAnsi="宋体" w:eastAsia="宋体" w:cs="宋体"/>
                <w:color w:val="auto"/>
                <w:sz w:val="22"/>
                <w:highlight w:val="none"/>
                <w:lang w:val="en-GB"/>
              </w:rPr>
              <w:t>目的</w:t>
            </w:r>
            <w:r>
              <w:rPr>
                <w:rFonts w:hint="eastAsia" w:ascii="宋体" w:hAnsi="宋体" w:eastAsia="宋体" w:cs="宋体"/>
                <w:color w:val="auto"/>
                <w:sz w:val="22"/>
                <w:highlight w:val="none"/>
              </w:rPr>
              <w:t>、培训内容（包含但不限于仪器的基本原理、操作、日常维护及基础分析仪器理论和上机操作等内容）、培训时间、地点、</w:t>
            </w:r>
            <w:r>
              <w:rPr>
                <w:rFonts w:hint="eastAsia" w:ascii="宋体" w:hAnsi="宋体" w:eastAsia="宋体" w:cs="宋体"/>
                <w:color w:val="auto"/>
                <w:sz w:val="22"/>
                <w:highlight w:val="none"/>
                <w:lang w:val="en-GB"/>
              </w:rPr>
              <w:t>频次</w:t>
            </w:r>
            <w:r>
              <w:rPr>
                <w:rFonts w:hint="eastAsia" w:ascii="宋体" w:hAnsi="宋体" w:eastAsia="宋体" w:cs="宋体"/>
                <w:color w:val="auto"/>
                <w:sz w:val="22"/>
                <w:highlight w:val="none"/>
              </w:rPr>
              <w:t>等由评审小组判定评分。(1)方案能贴合采购人需求，合理可行、针对性强的得5.0-3.1分；(2)方案能比较贴合采购人需求，较合理可行、针对性较强的得3.0-1.5分；(3)方案能基本贴合采购人需求，合理性、可行性、针对性一般的得1.4-0.1分；(4)不提供不得分。</w:t>
            </w:r>
          </w:p>
        </w:tc>
        <w:tc>
          <w:tcPr>
            <w:tcW w:w="946" w:type="dxa"/>
            <w:vAlign w:val="center"/>
          </w:tcPr>
          <w:p>
            <w:pPr>
              <w:autoSpaceDE w:val="0"/>
              <w:autoSpaceDN w:val="0"/>
              <w:adjustRightInd w:val="0"/>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1" w:type="dxa"/>
            <w:vAlign w:val="center"/>
          </w:tcPr>
          <w:p>
            <w:pPr>
              <w:widowControl/>
              <w:spacing w:line="360" w:lineRule="exact"/>
              <w:jc w:val="center"/>
              <w:rPr>
                <w:rFonts w:hint="eastAsia" w:ascii="宋体" w:hAnsi="宋体" w:eastAsia="宋体" w:cs="宋体"/>
                <w:bCs/>
                <w:snapToGrid w:val="0"/>
                <w:color w:val="auto"/>
                <w:kern w:val="0"/>
                <w:sz w:val="22"/>
                <w:highlight w:val="none"/>
              </w:rPr>
            </w:pPr>
            <w:r>
              <w:rPr>
                <w:rFonts w:hint="eastAsia" w:ascii="宋体" w:hAnsi="宋体" w:eastAsia="宋体" w:cs="宋体"/>
                <w:bCs/>
                <w:snapToGrid w:val="0"/>
                <w:color w:val="auto"/>
                <w:kern w:val="0"/>
                <w:sz w:val="22"/>
                <w:highlight w:val="none"/>
              </w:rPr>
              <w:t>11</w:t>
            </w:r>
          </w:p>
        </w:tc>
        <w:tc>
          <w:tcPr>
            <w:tcW w:w="1400" w:type="dxa"/>
            <w:vAlign w:val="center"/>
          </w:tcPr>
          <w:p>
            <w:pPr>
              <w:widowControl/>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优惠条件</w:t>
            </w:r>
          </w:p>
        </w:tc>
        <w:tc>
          <w:tcPr>
            <w:tcW w:w="763" w:type="dxa"/>
            <w:vAlign w:val="center"/>
          </w:tcPr>
          <w:p>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0-3</w:t>
            </w:r>
          </w:p>
        </w:tc>
        <w:tc>
          <w:tcPr>
            <w:tcW w:w="5900" w:type="dxa"/>
            <w:vAlign w:val="center"/>
          </w:tcPr>
          <w:p>
            <w:pPr>
              <w:autoSpaceDE w:val="0"/>
              <w:autoSpaceDN w:val="0"/>
              <w:adjustRightInd w:val="0"/>
              <w:spacing w:line="360" w:lineRule="exact"/>
              <w:jc w:val="left"/>
              <w:rPr>
                <w:rFonts w:hint="eastAsia" w:ascii="宋体" w:hAnsi="宋体" w:eastAsia="宋体" w:cs="宋体"/>
                <w:color w:val="auto"/>
                <w:spacing w:val="-8"/>
                <w:sz w:val="22"/>
                <w:highlight w:val="none"/>
              </w:rPr>
            </w:pPr>
            <w:r>
              <w:rPr>
                <w:rFonts w:hint="eastAsia" w:ascii="宋体" w:hAnsi="宋体" w:eastAsia="宋体" w:cs="宋体"/>
                <w:bCs/>
                <w:color w:val="auto"/>
                <w:spacing w:val="-6"/>
                <w:sz w:val="22"/>
                <w:highlight w:val="none"/>
              </w:rPr>
              <w:t>投标人承诺给予采购人的各种实质性优惠条件的实用性、可行性情况由评审小组判定评分，包括但不限于配件及耗材优惠情况。</w:t>
            </w:r>
            <w:r>
              <w:rPr>
                <w:rFonts w:hint="eastAsia" w:ascii="宋体" w:hAnsi="宋体" w:eastAsia="宋体" w:cs="宋体"/>
                <w:color w:val="auto"/>
                <w:sz w:val="22"/>
                <w:highlight w:val="none"/>
              </w:rPr>
              <w:t>(1)优惠能贴合采购人需求，合理可行、针对性强的得3.0-2.1分；(2)优惠能比较贴合采购人需求，较合理可行、针对性较强的得2.0-1.1分；(3)优惠能基本贴合采购人需求，合理性、可行性、针对性一般的得1.0-0.1分；(4)不提供不得分。</w:t>
            </w:r>
          </w:p>
        </w:tc>
        <w:tc>
          <w:tcPr>
            <w:tcW w:w="946" w:type="dxa"/>
            <w:vAlign w:val="center"/>
          </w:tcPr>
          <w:p>
            <w:pPr>
              <w:autoSpaceDE w:val="0"/>
              <w:autoSpaceDN w:val="0"/>
              <w:adjustRightInd w:val="0"/>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主观分</w:t>
            </w:r>
          </w:p>
        </w:tc>
      </w:tr>
    </w:tbl>
    <w:p>
      <w:pPr>
        <w:numPr>
          <w:ilvl w:val="0"/>
          <w:numId w:val="13"/>
        </w:num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报价评分（30分）：</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2.1资格及符合性审查通过的有效投标人进入商务报价评分。</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报价评分采用低价优先法计算，即满足招标文件要求且评审价格最低的为评标基准价，其他投标人的报价分按照下列公式计算：</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报价分=（评标基准价/评审价格）×30。</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注：以上四舍五入后保留小数2位</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①依据《政府采购促进中小企业发展管理办法》（财库〔2020〕46号）文件及《财政部、司法部关于政府采购支持监狱企业发展有关问题的通知》（财库〔2014〕68号）文件，对小型和微型企业的价格给予6%的扣除，用扣除后的价格参与评审。小型和微型企业是指响应文件中提供中小企业声明函且符合《政府采购促进中小企业发展管理办法》（财库〔2020〕46号）文件规定的要求并符合《工业和信息化部、国家统计局、国家发展和改革委员会、财政部关于印发中小企业划型标准规定的通知》（工信部联企业〔2011〕300号）规定的小、微企业的划型标准规定。监狱企业参加政府采购活动时，提供由省级以上监狱管理局、戒毒管理局（含新疆生产建设兵团）出具的属于监狱企业的证明文件。以上小型、微型企业的，不重复享受政策，未提供完整证明材料的，最后报价不予扣减。证明材料详见附件。</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②投标如缺少须提供的一种功能或配置或服务，该价格将在其投标价的基础上加上其他投标人相应分项价格的最高价。如若中标，该缺漏项费用将由中标人自行承担，投标报价不做调整。</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bCs/>
          <w:color w:val="auto"/>
          <w:sz w:val="22"/>
          <w:highlight w:val="none"/>
        </w:rPr>
        <w:t>3</w:t>
      </w:r>
      <w:r>
        <w:rPr>
          <w:rFonts w:hint="eastAsia" w:ascii="宋体" w:hAnsi="宋体" w:eastAsia="宋体" w:cs="宋体"/>
          <w:b/>
          <w:bCs/>
          <w:color w:val="auto"/>
          <w:sz w:val="22"/>
          <w:highlight w:val="none"/>
        </w:rPr>
        <w:t>.</w:t>
      </w:r>
      <w:r>
        <w:rPr>
          <w:rFonts w:hint="eastAsia" w:ascii="宋体" w:hAnsi="宋体" w:eastAsia="宋体" w:cs="宋体"/>
          <w:color w:val="auto"/>
          <w:sz w:val="22"/>
          <w:highlight w:val="none"/>
        </w:rPr>
        <w:t>投标人的综合评分为“商务和技术分”和“报价分”的的总计。</w:t>
      </w:r>
    </w:p>
    <w:sectPr>
      <w:headerReference r:id="rId4" w:type="default"/>
      <w:footerReference r:id="rId5" w:type="default"/>
      <w:pgSz w:w="11906" w:h="16838"/>
      <w:pgMar w:top="1440" w:right="1080" w:bottom="1440" w:left="1080" w:header="454" w:footer="709"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59" w:rightChars="171"/>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401320" cy="147955"/>
              <wp:effectExtent l="0" t="0" r="0" b="0"/>
              <wp:wrapNone/>
              <wp:docPr id="6" name="4099"/>
              <wp:cNvGraphicFramePr/>
              <a:graphic xmlns:a="http://schemas.openxmlformats.org/drawingml/2006/main">
                <a:graphicData uri="http://schemas.microsoft.com/office/word/2010/wordprocessingShape">
                  <wps:wsp>
                    <wps:cNvSpPr txBox="1"/>
                    <wps:spPr>
                      <a:xfrm>
                        <a:off x="0" y="0"/>
                        <a:ext cx="401320" cy="147955"/>
                      </a:xfrm>
                      <a:prstGeom prst="rect">
                        <a:avLst/>
                      </a:prstGeom>
                      <a:noFill/>
                      <a:ln w="15875">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4099" o:spid="_x0000_s1026" o:spt="202" type="#_x0000_t202" style="position:absolute;left:0pt;margin-top:0pt;height:11.65pt;width:31.6pt;mso-position-horizontal:center;mso-position-horizontal-relative:margin;mso-wrap-style:none;z-index:251665408;mso-width-relative:page;mso-height-relative:page;" filled="f" stroked="f" coordsize="21600,21600" o:gfxdata="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Zh4WI1QAAAAMBAAAPAAAAAAAAAAEAIAAAACIAAABkcnMvZG93&#10;bnJldi54bWxQSwECFAAUAAAACACHTuJAAf68BsoBAACoAwAADgAAAAAAAAABACAAAAAkAQAAZHJz&#10;L2Uyb0RvYy54bWxQSwUGAAAAAAYABgBZAQAAYAUAAAAA&#10;">
              <v:fill on="f" focussize="0,0"/>
              <v:stroke on="f" weight="1.2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r>
                      <w:rPr>
                        <w:rFonts w:hint="eastAsia"/>
                        <w:sz w:val="18"/>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clear" w:pos="4153"/>
        <w:tab w:val="clear" w:pos="8306"/>
      </w:tabs>
      <w:ind w:right="360"/>
      <w:jc w:val="right"/>
    </w:pPr>
    <w:r>
      <w:rPr>
        <w:rFonts w:hint="eastAsia"/>
      </w:rPr>
      <w:t>浙江乐诚工程咨询有限公司招标文件</w:t>
    </w:r>
    <w:r>
      <w:rPr>
        <w:rFonts w:hint="eastAsia" w:ascii="Arial" w:hAnsi="宋体" w:cs="Arial"/>
        <w:b/>
        <w:szCs w:val="21"/>
      </w:rPr>
      <w:drawing>
        <wp:inline distT="0" distB="0" distL="0" distR="0">
          <wp:extent cx="381000" cy="342900"/>
          <wp:effectExtent l="19050" t="0" r="0" b="0"/>
          <wp:docPr id="4097" name="图片 494" descr="1e5075ce6ac53c691def6ed2744ae6b"/>
          <wp:cNvGraphicFramePr/>
          <a:graphic xmlns:a="http://schemas.openxmlformats.org/drawingml/2006/main">
            <a:graphicData uri="http://schemas.openxmlformats.org/drawingml/2006/picture">
              <pic:pic xmlns:pic="http://schemas.openxmlformats.org/drawingml/2006/picture">
                <pic:nvPicPr>
                  <pic:cNvPr id="4097" name="图片 494" descr="1e5075ce6ac53c691def6ed2744ae6b"/>
                  <pic:cNvPicPr/>
                </pic:nvPicPr>
                <pic:blipFill>
                  <a:blip r:embed="rId1" cstate="print"/>
                  <a:srcRect/>
                  <a:stretch>
                    <a:fillRect/>
                  </a:stretch>
                </pic:blipFill>
                <pic:spPr>
                  <a:xfrm>
                    <a:off x="0" y="0"/>
                    <a:ext cx="381000" cy="342900"/>
                  </a:xfrm>
                  <a:prstGeom prst="rect">
                    <a:avLst/>
                  </a:prstGeom>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00000003"/>
    <w:multiLevelType w:val="singleLevel"/>
    <w:tmpl w:val="00000003"/>
    <w:lvl w:ilvl="0" w:tentative="0">
      <w:start w:val="1"/>
      <w:numFmt w:val="decimal"/>
      <w:lvlText w:val="%1."/>
      <w:lvlJc w:val="left"/>
      <w:rPr>
        <w:rFonts w:ascii="宋体" w:hAnsi="宋体" w:eastAsia="宋体" w:cs="宋体"/>
        <w:b w:val="0"/>
        <w:bCs w:val="0"/>
        <w:i w:val="0"/>
        <w:iCs w:val="0"/>
        <w:smallCaps w:val="0"/>
        <w:color w:val="000000"/>
        <w:spacing w:val="0"/>
        <w:w w:val="100"/>
        <w:position w:val="0"/>
        <w:sz w:val="22"/>
        <w:szCs w:val="22"/>
        <w:u w:val="none"/>
        <w:shd w:val="clear" w:color="auto" w:fill="auto"/>
        <w:lang w:val="en-US" w:eastAsia="en-US" w:bidi="en-US"/>
      </w:rPr>
    </w:lvl>
  </w:abstractNum>
  <w:abstractNum w:abstractNumId="3">
    <w:nsid w:val="00000005"/>
    <w:multiLevelType w:val="singleLevel"/>
    <w:tmpl w:val="00000005"/>
    <w:lvl w:ilvl="0" w:tentative="0">
      <w:start w:val="1"/>
      <w:numFmt w:val="chineseCounting"/>
      <w:lvlText w:val="%1."/>
      <w:lvlJc w:val="left"/>
      <w:pPr>
        <w:tabs>
          <w:tab w:val="left" w:pos="312"/>
        </w:tabs>
      </w:pPr>
      <w:rPr>
        <w:rFonts w:hint="eastAsia"/>
      </w:rPr>
    </w:lvl>
  </w:abstractNum>
  <w:abstractNum w:abstractNumId="4">
    <w:nsid w:val="00000006"/>
    <w:multiLevelType w:val="singleLevel"/>
    <w:tmpl w:val="00000006"/>
    <w:lvl w:ilvl="0" w:tentative="0">
      <w:start w:val="3"/>
      <w:numFmt w:val="chineseCounting"/>
      <w:suff w:val="nothing"/>
      <w:lvlText w:val="%1、"/>
      <w:lvlJc w:val="left"/>
      <w:rPr>
        <w:rFonts w:cs="Times New Roman"/>
      </w:rPr>
    </w:lvl>
  </w:abstractNum>
  <w:abstractNum w:abstractNumId="5">
    <w:nsid w:val="0053208E"/>
    <w:multiLevelType w:val="singleLevel"/>
    <w:tmpl w:val="0053208E"/>
    <w:lvl w:ilvl="0" w:tentative="0">
      <w:start w:val="2"/>
      <w:numFmt w:val="decimal"/>
      <w:lvlText w:val="%1."/>
      <w:lvlJc w:val="left"/>
      <w:pPr>
        <w:tabs>
          <w:tab w:val="left" w:pos="312"/>
        </w:tabs>
      </w:pPr>
    </w:lvl>
  </w:abstractNum>
  <w:abstractNum w:abstractNumId="6">
    <w:nsid w:val="077101FE"/>
    <w:multiLevelType w:val="singleLevel"/>
    <w:tmpl w:val="077101FE"/>
    <w:lvl w:ilvl="0" w:tentative="0">
      <w:start w:val="3"/>
      <w:numFmt w:val="decimal"/>
      <w:suff w:val="nothing"/>
      <w:lvlText w:val="%1．"/>
      <w:lvlJc w:val="left"/>
    </w:lvl>
  </w:abstractNum>
  <w:abstractNum w:abstractNumId="7">
    <w:nsid w:val="1BCBCB5D"/>
    <w:multiLevelType w:val="singleLevel"/>
    <w:tmpl w:val="1BCBCB5D"/>
    <w:lvl w:ilvl="0" w:tentative="0">
      <w:start w:val="1"/>
      <w:numFmt w:val="decimal"/>
      <w:lvlText w:val="%1."/>
      <w:lvlJc w:val="left"/>
      <w:pPr>
        <w:tabs>
          <w:tab w:val="left" w:pos="312"/>
        </w:tabs>
      </w:pPr>
    </w:lvl>
  </w:abstractNum>
  <w:abstractNum w:abstractNumId="8">
    <w:nsid w:val="24D2EABC"/>
    <w:multiLevelType w:val="singleLevel"/>
    <w:tmpl w:val="24D2EABC"/>
    <w:lvl w:ilvl="0" w:tentative="0">
      <w:start w:val="5"/>
      <w:numFmt w:val="decimal"/>
      <w:suff w:val="nothing"/>
      <w:lvlText w:val="%1．"/>
      <w:lvlJc w:val="left"/>
    </w:lvl>
  </w:abstractNum>
  <w:abstractNum w:abstractNumId="9">
    <w:nsid w:val="56E27F38"/>
    <w:multiLevelType w:val="singleLevel"/>
    <w:tmpl w:val="56E27F38"/>
    <w:lvl w:ilvl="0" w:tentative="0">
      <w:start w:val="1"/>
      <w:numFmt w:val="chineseCounting"/>
      <w:suff w:val="nothing"/>
      <w:lvlText w:val="%1、"/>
      <w:lvlJc w:val="left"/>
      <w:pPr>
        <w:ind w:left="6" w:firstLine="420"/>
      </w:pPr>
      <w:rPr>
        <w:rFonts w:hint="eastAsia"/>
      </w:rPr>
    </w:lvl>
  </w:abstractNum>
  <w:abstractNum w:abstractNumId="10">
    <w:nsid w:val="5AB05EBA"/>
    <w:multiLevelType w:val="singleLevel"/>
    <w:tmpl w:val="5AB05EBA"/>
    <w:lvl w:ilvl="0" w:tentative="0">
      <w:start w:val="2"/>
      <w:numFmt w:val="decimal"/>
      <w:suff w:val="nothing"/>
      <w:lvlText w:val="%1、"/>
      <w:lvlJc w:val="left"/>
    </w:lvl>
  </w:abstractNum>
  <w:abstractNum w:abstractNumId="11">
    <w:nsid w:val="5AB479B8"/>
    <w:multiLevelType w:val="singleLevel"/>
    <w:tmpl w:val="5AB479B8"/>
    <w:lvl w:ilvl="0" w:tentative="0">
      <w:start w:val="6"/>
      <w:numFmt w:val="decimal"/>
      <w:suff w:val="nothing"/>
      <w:lvlText w:val="%1、"/>
      <w:lvlJc w:val="left"/>
    </w:lvl>
  </w:abstractNum>
  <w:abstractNum w:abstractNumId="12">
    <w:nsid w:val="7918604A"/>
    <w:multiLevelType w:val="multilevel"/>
    <w:tmpl w:val="7918604A"/>
    <w:lvl w:ilvl="0" w:tentative="0">
      <w:start w:val="1"/>
      <w:numFmt w:val="decimal"/>
      <w:lvlText w:val="%1."/>
      <w:lvlJc w:val="left"/>
      <w:pPr>
        <w:ind w:left="420" w:hanging="420"/>
      </w:pPr>
    </w:lvl>
    <w:lvl w:ilvl="1" w:tentative="0">
      <w:start w:val="1"/>
      <w:numFmt w:val="decimal"/>
      <w:isLgl/>
      <w:lvlText w:val="%1.%2"/>
      <w:lvlJc w:val="left"/>
      <w:pPr>
        <w:ind w:left="405" w:hanging="405"/>
      </w:pPr>
      <w:rPr>
        <w:rFonts w:hint="default" w:cs="Arial"/>
        <w:color w:val="000000" w:themeColor="text1"/>
        <w14:textFill>
          <w14:solidFill>
            <w14:schemeClr w14:val="tx1"/>
          </w14:solidFill>
        </w14:textFill>
      </w:rPr>
    </w:lvl>
    <w:lvl w:ilvl="2" w:tentative="0">
      <w:start w:val="1"/>
      <w:numFmt w:val="decimal"/>
      <w:isLgl/>
      <w:lvlText w:val="%1.%2.%3"/>
      <w:lvlJc w:val="left"/>
      <w:pPr>
        <w:ind w:left="720" w:hanging="720"/>
      </w:pPr>
      <w:rPr>
        <w:rFonts w:hint="default" w:cs="Arial"/>
        <w:color w:val="FF0000"/>
      </w:rPr>
    </w:lvl>
    <w:lvl w:ilvl="3" w:tentative="0">
      <w:start w:val="1"/>
      <w:numFmt w:val="decimal"/>
      <w:isLgl/>
      <w:lvlText w:val="%1.%2.%3.%4"/>
      <w:lvlJc w:val="left"/>
      <w:pPr>
        <w:ind w:left="720" w:hanging="720"/>
      </w:pPr>
      <w:rPr>
        <w:rFonts w:hint="default" w:cs="Arial"/>
        <w:color w:val="FF0000"/>
      </w:rPr>
    </w:lvl>
    <w:lvl w:ilvl="4" w:tentative="0">
      <w:start w:val="1"/>
      <w:numFmt w:val="decimal"/>
      <w:isLgl/>
      <w:lvlText w:val="%1.%2.%3.%4.%5"/>
      <w:lvlJc w:val="left"/>
      <w:pPr>
        <w:ind w:left="1080" w:hanging="1080"/>
      </w:pPr>
      <w:rPr>
        <w:rFonts w:hint="default" w:cs="Arial"/>
        <w:color w:val="FF0000"/>
      </w:rPr>
    </w:lvl>
    <w:lvl w:ilvl="5" w:tentative="0">
      <w:start w:val="1"/>
      <w:numFmt w:val="decimal"/>
      <w:isLgl/>
      <w:lvlText w:val="%1.%2.%3.%4.%5.%6"/>
      <w:lvlJc w:val="left"/>
      <w:pPr>
        <w:ind w:left="1080" w:hanging="1080"/>
      </w:pPr>
      <w:rPr>
        <w:rFonts w:hint="default" w:cs="Arial"/>
        <w:color w:val="FF0000"/>
      </w:rPr>
    </w:lvl>
    <w:lvl w:ilvl="6" w:tentative="0">
      <w:start w:val="1"/>
      <w:numFmt w:val="decimal"/>
      <w:isLgl/>
      <w:lvlText w:val="%1.%2.%3.%4.%5.%6.%7"/>
      <w:lvlJc w:val="left"/>
      <w:pPr>
        <w:ind w:left="1440" w:hanging="1440"/>
      </w:pPr>
      <w:rPr>
        <w:rFonts w:hint="default" w:cs="Arial"/>
        <w:color w:val="FF0000"/>
      </w:rPr>
    </w:lvl>
    <w:lvl w:ilvl="7" w:tentative="0">
      <w:start w:val="1"/>
      <w:numFmt w:val="decimal"/>
      <w:isLgl/>
      <w:lvlText w:val="%1.%2.%3.%4.%5.%6.%7.%8"/>
      <w:lvlJc w:val="left"/>
      <w:pPr>
        <w:ind w:left="1440" w:hanging="1440"/>
      </w:pPr>
      <w:rPr>
        <w:rFonts w:hint="default" w:cs="Arial"/>
        <w:color w:val="FF0000"/>
      </w:rPr>
    </w:lvl>
    <w:lvl w:ilvl="8" w:tentative="0">
      <w:start w:val="1"/>
      <w:numFmt w:val="decimal"/>
      <w:isLgl/>
      <w:lvlText w:val="%1.%2.%3.%4.%5.%6.%7.%8.%9"/>
      <w:lvlJc w:val="left"/>
      <w:pPr>
        <w:ind w:left="1800" w:hanging="1800"/>
      </w:pPr>
      <w:rPr>
        <w:rFonts w:hint="default" w:cs="Arial"/>
        <w:color w:val="FF0000"/>
      </w:rPr>
    </w:lvl>
  </w:abstractNum>
  <w:num w:numId="1">
    <w:abstractNumId w:val="0"/>
  </w:num>
  <w:num w:numId="2">
    <w:abstractNumId w:val="6"/>
  </w:num>
  <w:num w:numId="3">
    <w:abstractNumId w:val="8"/>
  </w:num>
  <w:num w:numId="4">
    <w:abstractNumId w:val="9"/>
  </w:num>
  <w:num w:numId="5">
    <w:abstractNumId w:val="2"/>
  </w:num>
  <w:num w:numId="6">
    <w:abstractNumId w:val="1"/>
  </w:num>
  <w:num w:numId="7">
    <w:abstractNumId w:val="4"/>
  </w:num>
  <w:num w:numId="8">
    <w:abstractNumId w:val="7"/>
  </w:num>
  <w:num w:numId="9">
    <w:abstractNumId w:val="10"/>
  </w:num>
  <w:num w:numId="10">
    <w:abstractNumId w:val="11"/>
  </w:num>
  <w:num w:numId="11">
    <w:abstractNumId w:val="1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5A3"/>
    <w:rsid w:val="000D2A66"/>
    <w:rsid w:val="0013656F"/>
    <w:rsid w:val="001A7A57"/>
    <w:rsid w:val="00200D62"/>
    <w:rsid w:val="00244FF1"/>
    <w:rsid w:val="002D013D"/>
    <w:rsid w:val="00317FAE"/>
    <w:rsid w:val="00337494"/>
    <w:rsid w:val="00381587"/>
    <w:rsid w:val="003925A3"/>
    <w:rsid w:val="003F07CB"/>
    <w:rsid w:val="003F1330"/>
    <w:rsid w:val="003F1DAF"/>
    <w:rsid w:val="00520695"/>
    <w:rsid w:val="005D6E90"/>
    <w:rsid w:val="006470D7"/>
    <w:rsid w:val="00776291"/>
    <w:rsid w:val="007A49AB"/>
    <w:rsid w:val="007B3771"/>
    <w:rsid w:val="007B7F6F"/>
    <w:rsid w:val="00862DF1"/>
    <w:rsid w:val="008A4B92"/>
    <w:rsid w:val="008A796F"/>
    <w:rsid w:val="009F098F"/>
    <w:rsid w:val="00A214EA"/>
    <w:rsid w:val="00AF6ACE"/>
    <w:rsid w:val="00AF73BF"/>
    <w:rsid w:val="00AF755D"/>
    <w:rsid w:val="00B83312"/>
    <w:rsid w:val="00BB467D"/>
    <w:rsid w:val="00BE0B15"/>
    <w:rsid w:val="00BF6A6B"/>
    <w:rsid w:val="00BF6FF9"/>
    <w:rsid w:val="00C8768E"/>
    <w:rsid w:val="00C94D42"/>
    <w:rsid w:val="00CE2703"/>
    <w:rsid w:val="00CF5B7D"/>
    <w:rsid w:val="00DA02F5"/>
    <w:rsid w:val="00DD26EB"/>
    <w:rsid w:val="00E22CF2"/>
    <w:rsid w:val="00E66A4A"/>
    <w:rsid w:val="00E80E9C"/>
    <w:rsid w:val="00E949F4"/>
    <w:rsid w:val="00F353F7"/>
    <w:rsid w:val="00F70290"/>
    <w:rsid w:val="00FB04D7"/>
    <w:rsid w:val="00FC19F8"/>
    <w:rsid w:val="01F5688A"/>
    <w:rsid w:val="02E95FDE"/>
    <w:rsid w:val="031D29AE"/>
    <w:rsid w:val="032920E5"/>
    <w:rsid w:val="03457976"/>
    <w:rsid w:val="066B3F6F"/>
    <w:rsid w:val="08B75BD9"/>
    <w:rsid w:val="09EB5E61"/>
    <w:rsid w:val="0C1A1105"/>
    <w:rsid w:val="0CA65B6D"/>
    <w:rsid w:val="0E3244A3"/>
    <w:rsid w:val="0EA67C5A"/>
    <w:rsid w:val="0EF44E6C"/>
    <w:rsid w:val="10FB7431"/>
    <w:rsid w:val="11842D62"/>
    <w:rsid w:val="11F44590"/>
    <w:rsid w:val="132503F2"/>
    <w:rsid w:val="14150B9E"/>
    <w:rsid w:val="147B744B"/>
    <w:rsid w:val="14F20A48"/>
    <w:rsid w:val="170161B8"/>
    <w:rsid w:val="1BDF3904"/>
    <w:rsid w:val="1C4A07BD"/>
    <w:rsid w:val="1D433A4E"/>
    <w:rsid w:val="20F10723"/>
    <w:rsid w:val="21712966"/>
    <w:rsid w:val="21937BAA"/>
    <w:rsid w:val="25734E8C"/>
    <w:rsid w:val="25A426C9"/>
    <w:rsid w:val="28A83A5D"/>
    <w:rsid w:val="29B9542C"/>
    <w:rsid w:val="2A476654"/>
    <w:rsid w:val="2B53162E"/>
    <w:rsid w:val="2B5D3FDF"/>
    <w:rsid w:val="2C686AF4"/>
    <w:rsid w:val="2C932519"/>
    <w:rsid w:val="2FAF425B"/>
    <w:rsid w:val="30401BD3"/>
    <w:rsid w:val="32233180"/>
    <w:rsid w:val="32640FEF"/>
    <w:rsid w:val="334054F0"/>
    <w:rsid w:val="348057FD"/>
    <w:rsid w:val="369304E8"/>
    <w:rsid w:val="36EE01AA"/>
    <w:rsid w:val="377C2875"/>
    <w:rsid w:val="38BA723B"/>
    <w:rsid w:val="3A886215"/>
    <w:rsid w:val="3AC05B7F"/>
    <w:rsid w:val="3DDE3567"/>
    <w:rsid w:val="3F255313"/>
    <w:rsid w:val="3F5F2C22"/>
    <w:rsid w:val="3F9D463A"/>
    <w:rsid w:val="41252F72"/>
    <w:rsid w:val="429224DD"/>
    <w:rsid w:val="43015A8D"/>
    <w:rsid w:val="485F0089"/>
    <w:rsid w:val="49004184"/>
    <w:rsid w:val="4A634178"/>
    <w:rsid w:val="4D07001A"/>
    <w:rsid w:val="4DC773B7"/>
    <w:rsid w:val="4E561F12"/>
    <w:rsid w:val="4EEC7373"/>
    <w:rsid w:val="50171207"/>
    <w:rsid w:val="503F12F4"/>
    <w:rsid w:val="51803501"/>
    <w:rsid w:val="52D81CF5"/>
    <w:rsid w:val="52E60FE9"/>
    <w:rsid w:val="548E34C5"/>
    <w:rsid w:val="586E5982"/>
    <w:rsid w:val="59567298"/>
    <w:rsid w:val="599368A5"/>
    <w:rsid w:val="5BDE4363"/>
    <w:rsid w:val="5E880482"/>
    <w:rsid w:val="5FFAFD06"/>
    <w:rsid w:val="61B210ED"/>
    <w:rsid w:val="62E67FCA"/>
    <w:rsid w:val="631968F5"/>
    <w:rsid w:val="65BD1AED"/>
    <w:rsid w:val="660A18CC"/>
    <w:rsid w:val="66766A90"/>
    <w:rsid w:val="67D72F5F"/>
    <w:rsid w:val="69DA5D28"/>
    <w:rsid w:val="6A0C3B57"/>
    <w:rsid w:val="6A4616BD"/>
    <w:rsid w:val="6BF34356"/>
    <w:rsid w:val="6C02588D"/>
    <w:rsid w:val="6CD1FAF9"/>
    <w:rsid w:val="6FBFBB75"/>
    <w:rsid w:val="713C126B"/>
    <w:rsid w:val="713C5092"/>
    <w:rsid w:val="71525278"/>
    <w:rsid w:val="718C7246"/>
    <w:rsid w:val="734B7C6A"/>
    <w:rsid w:val="73C624D5"/>
    <w:rsid w:val="75327DE6"/>
    <w:rsid w:val="77804B60"/>
    <w:rsid w:val="78B0741B"/>
    <w:rsid w:val="7AF45785"/>
    <w:rsid w:val="7B317572"/>
    <w:rsid w:val="7DBA605C"/>
    <w:rsid w:val="7DCF42E6"/>
    <w:rsid w:val="7FAF2EF9"/>
    <w:rsid w:val="7FFF0A7A"/>
    <w:rsid w:val="9B6E17B4"/>
    <w:rsid w:val="BBBFD47C"/>
    <w:rsid w:val="D67AC7C9"/>
    <w:rsid w:val="DA9EA48D"/>
    <w:rsid w:val="E2FA0D6B"/>
    <w:rsid w:val="F3E77F2D"/>
    <w:rsid w:val="F9FF73E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99"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tabs>
        <w:tab w:val="right" w:leader="dot" w:pos="8931"/>
      </w:tabs>
    </w:pPr>
    <w:rPr>
      <w:rFonts w:eastAsia="黑体"/>
      <w:smallCaps/>
      <w:szCs w:val="28"/>
    </w:rPr>
  </w:style>
  <w:style w:type="paragraph" w:styleId="8">
    <w:name w:val="Normal Indent"/>
    <w:basedOn w:val="1"/>
    <w:qFormat/>
    <w:uiPriority w:val="0"/>
    <w:pPr>
      <w:adjustRightInd w:val="0"/>
      <w:spacing w:line="312" w:lineRule="atLeast"/>
      <w:ind w:firstLine="420"/>
      <w:textAlignment w:val="baseline"/>
    </w:pPr>
    <w:rPr>
      <w:rFonts w:ascii="宋体" w:hAnsi="Courier New"/>
      <w:kern w:val="0"/>
    </w:rPr>
  </w:style>
  <w:style w:type="paragraph" w:styleId="9">
    <w:name w:val="annotation text"/>
    <w:basedOn w:val="1"/>
    <w:link w:val="37"/>
    <w:qFormat/>
    <w:uiPriority w:val="0"/>
    <w:pPr>
      <w:jc w:val="left"/>
    </w:pPr>
  </w:style>
  <w:style w:type="paragraph" w:styleId="10">
    <w:name w:val="Body Text"/>
    <w:basedOn w:val="1"/>
    <w:next w:val="11"/>
    <w:qFormat/>
    <w:uiPriority w:val="0"/>
    <w:pPr>
      <w:spacing w:after="120"/>
    </w:pPr>
  </w:style>
  <w:style w:type="paragraph" w:styleId="11">
    <w:name w:val="Body Text First Indent"/>
    <w:basedOn w:val="1"/>
    <w:qFormat/>
    <w:uiPriority w:val="0"/>
    <w:pPr>
      <w:autoSpaceDE w:val="0"/>
      <w:autoSpaceDN w:val="0"/>
      <w:adjustRightInd w:val="0"/>
      <w:ind w:firstLine="420" w:firstLineChars="100"/>
      <w:jc w:val="left"/>
    </w:pPr>
    <w:rPr>
      <w:rFonts w:ascii="仿宋_GB2312"/>
      <w:b/>
      <w:kern w:val="0"/>
      <w:sz w:val="32"/>
      <w:szCs w:val="32"/>
    </w:rPr>
  </w:style>
  <w:style w:type="paragraph" w:styleId="12">
    <w:name w:val="Body Text Indent"/>
    <w:basedOn w:val="1"/>
    <w:next w:val="1"/>
    <w:link w:val="68"/>
    <w:qFormat/>
    <w:uiPriority w:val="0"/>
    <w:pPr>
      <w:ind w:left="480" w:hanging="480" w:hangingChars="200"/>
    </w:pPr>
    <w:rPr>
      <w:sz w:val="24"/>
    </w:rPr>
  </w:style>
  <w:style w:type="paragraph" w:styleId="13">
    <w:name w:val="List 2"/>
    <w:basedOn w:val="1"/>
    <w:qFormat/>
    <w:uiPriority w:val="99"/>
    <w:pPr>
      <w:ind w:left="100" w:leftChars="200" w:hanging="200" w:hangingChars="200"/>
    </w:pPr>
    <w:rPr>
      <w:sz w:val="28"/>
      <w:szCs w:val="28"/>
    </w:rPr>
  </w:style>
  <w:style w:type="paragraph" w:styleId="14">
    <w:name w:val="Block Text"/>
    <w:basedOn w:val="1"/>
    <w:qFormat/>
    <w:uiPriority w:val="99"/>
    <w:pPr>
      <w:spacing w:after="120"/>
      <w:ind w:left="1440" w:leftChars="700" w:right="1440" w:rightChars="700"/>
    </w:pPr>
  </w:style>
  <w:style w:type="paragraph" w:styleId="15">
    <w:name w:val="Plain Text"/>
    <w:basedOn w:val="1"/>
    <w:link w:val="39"/>
    <w:qFormat/>
    <w:uiPriority w:val="0"/>
    <w:pPr>
      <w:widowControl/>
      <w:overflowPunct w:val="0"/>
      <w:autoSpaceDE w:val="0"/>
      <w:autoSpaceDN w:val="0"/>
      <w:adjustRightInd w:val="0"/>
      <w:jc w:val="left"/>
      <w:textAlignment w:val="baseline"/>
    </w:pPr>
    <w:rPr>
      <w:rFonts w:ascii="宋体" w:hAnsi="Courier New"/>
      <w:sz w:val="24"/>
    </w:rPr>
  </w:style>
  <w:style w:type="paragraph" w:styleId="16">
    <w:name w:val="Date"/>
    <w:basedOn w:val="1"/>
    <w:next w:val="1"/>
    <w:qFormat/>
    <w:uiPriority w:val="0"/>
    <w:pPr>
      <w:ind w:left="2500" w:leftChars="2500"/>
    </w:pPr>
    <w:rPr>
      <w:rFonts w:eastAsia="楷体_GB2312"/>
      <w:sz w:val="32"/>
      <w:szCs w:val="20"/>
    </w:rPr>
  </w:style>
  <w:style w:type="paragraph" w:styleId="17">
    <w:name w:val="Balloon Text"/>
    <w:basedOn w:val="1"/>
    <w:link w:val="40"/>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link w:val="70"/>
    <w:qFormat/>
    <w:uiPriority w:val="99"/>
    <w:pPr>
      <w:pBdr>
        <w:bottom w:val="single" w:color="auto" w:sz="6" w:space="1"/>
      </w:pBdr>
      <w:tabs>
        <w:tab w:val="center" w:pos="4153"/>
        <w:tab w:val="right" w:pos="8306"/>
      </w:tabs>
      <w:snapToGrid w:val="0"/>
      <w:jc w:val="center"/>
    </w:pPr>
    <w:rPr>
      <w:sz w:val="18"/>
    </w:rPr>
  </w:style>
  <w:style w:type="paragraph" w:styleId="20">
    <w:name w:val="toc 1"/>
    <w:basedOn w:val="1"/>
    <w:next w:val="1"/>
    <w:qFormat/>
    <w:uiPriority w:val="0"/>
    <w:rPr>
      <w:rFonts w:ascii="Times New Roman" w:hAnsi="Times New Roman"/>
    </w:rPr>
  </w:style>
  <w:style w:type="paragraph" w:styleId="21">
    <w:name w:val="List"/>
    <w:basedOn w:val="1"/>
    <w:qFormat/>
    <w:uiPriority w:val="0"/>
    <w:pPr>
      <w:ind w:left="200" w:hanging="200" w:hangingChars="200"/>
    </w:pPr>
  </w:style>
  <w:style w:type="paragraph" w:styleId="22">
    <w:name w:val="footnote text"/>
    <w:basedOn w:val="1"/>
    <w:link w:val="65"/>
    <w:qFormat/>
    <w:uiPriority w:val="99"/>
    <w:pPr>
      <w:snapToGrid w:val="0"/>
      <w:jc w:val="left"/>
    </w:pPr>
    <w:rPr>
      <w:sz w:val="18"/>
    </w:rPr>
  </w:style>
  <w:style w:type="paragraph" w:styleId="23">
    <w:name w:val="toc 6"/>
    <w:basedOn w:val="1"/>
    <w:next w:val="1"/>
    <w:qFormat/>
    <w:uiPriority w:val="0"/>
    <w:pPr>
      <w:spacing w:line="360" w:lineRule="auto"/>
      <w:ind w:left="1200" w:firstLine="200" w:firstLineChars="200"/>
      <w:jc w:val="left"/>
    </w:pPr>
    <w:rPr>
      <w:rFonts w:cs="Calibri"/>
      <w:sz w:val="18"/>
      <w:szCs w:val="18"/>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5">
    <w:name w:val="annotation subject"/>
    <w:basedOn w:val="9"/>
    <w:next w:val="9"/>
    <w:link w:val="41"/>
    <w:qFormat/>
    <w:uiPriority w:val="0"/>
    <w:rPr>
      <w:b/>
      <w:bCs/>
    </w:rPr>
  </w:style>
  <w:style w:type="paragraph" w:styleId="26">
    <w:name w:val="Body Text First Indent 2"/>
    <w:basedOn w:val="12"/>
    <w:qFormat/>
    <w:uiPriority w:val="99"/>
    <w:pPr>
      <w:ind w:firstLine="420"/>
    </w:pPr>
  </w:style>
  <w:style w:type="table" w:styleId="28">
    <w:name w:val="Table Grid"/>
    <w:basedOn w:val="2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Strong"/>
    <w:basedOn w:val="29"/>
    <w:qFormat/>
    <w:uiPriority w:val="22"/>
    <w:rPr>
      <w:b/>
    </w:rPr>
  </w:style>
  <w:style w:type="character" w:styleId="31">
    <w:name w:val="Emphasis"/>
    <w:basedOn w:val="29"/>
    <w:qFormat/>
    <w:uiPriority w:val="20"/>
    <w:rPr>
      <w:i/>
      <w:iCs/>
    </w:rPr>
  </w:style>
  <w:style w:type="character" w:styleId="32">
    <w:name w:val="Hyperlink"/>
    <w:basedOn w:val="29"/>
    <w:qFormat/>
    <w:uiPriority w:val="0"/>
  </w:style>
  <w:style w:type="character" w:styleId="33">
    <w:name w:val="annotation reference"/>
    <w:basedOn w:val="29"/>
    <w:qFormat/>
    <w:uiPriority w:val="99"/>
    <w:rPr>
      <w:sz w:val="21"/>
      <w:szCs w:val="21"/>
    </w:rPr>
  </w:style>
  <w:style w:type="character" w:styleId="34">
    <w:name w:val="footnote reference"/>
    <w:basedOn w:val="29"/>
    <w:qFormat/>
    <w:uiPriority w:val="99"/>
    <w:rPr>
      <w:rFonts w:cs="Times New Roman"/>
      <w:vertAlign w:val="superscript"/>
    </w:rPr>
  </w:style>
  <w:style w:type="paragraph" w:customStyle="1" w:styleId="35">
    <w:name w:val="[Normal]"/>
    <w:qFormat/>
    <w:uiPriority w:val="99"/>
    <w:rPr>
      <w:rFonts w:ascii="宋体" w:hAnsi="宋体" w:eastAsia="宋体" w:cs="Times New Roman"/>
      <w:sz w:val="24"/>
      <w:szCs w:val="22"/>
      <w:lang w:val="zh-CN" w:eastAsia="zh-CN" w:bidi="ar-SA"/>
    </w:rPr>
  </w:style>
  <w:style w:type="paragraph" w:customStyle="1" w:styleId="36">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批注文字 字符"/>
    <w:link w:val="9"/>
    <w:qFormat/>
    <w:uiPriority w:val="0"/>
    <w:rPr>
      <w:rFonts w:ascii="Times New Roman" w:hAnsi="Times New Roman" w:eastAsia="宋体" w:cs="Times New Roman"/>
      <w:kern w:val="2"/>
      <w:sz w:val="21"/>
      <w:szCs w:val="22"/>
    </w:rPr>
  </w:style>
  <w:style w:type="character" w:customStyle="1" w:styleId="38">
    <w:name w:val="font11"/>
    <w:qFormat/>
    <w:uiPriority w:val="0"/>
    <w:rPr>
      <w:rFonts w:hint="default" w:ascii="仿宋_GB2312" w:eastAsia="仿宋_GB2312" w:cs="仿宋_GB2312"/>
      <w:color w:val="000000"/>
      <w:sz w:val="24"/>
      <w:szCs w:val="24"/>
      <w:u w:val="none"/>
    </w:rPr>
  </w:style>
  <w:style w:type="character" w:customStyle="1" w:styleId="39">
    <w:name w:val="纯文本 字符"/>
    <w:link w:val="15"/>
    <w:qFormat/>
    <w:uiPriority w:val="0"/>
    <w:rPr>
      <w:rFonts w:ascii="宋体" w:hAnsi="Courier New"/>
      <w:kern w:val="2"/>
      <w:sz w:val="24"/>
      <w:szCs w:val="22"/>
    </w:rPr>
  </w:style>
  <w:style w:type="character" w:customStyle="1" w:styleId="40">
    <w:name w:val="批注框文本 字符"/>
    <w:link w:val="17"/>
    <w:qFormat/>
    <w:uiPriority w:val="0"/>
    <w:rPr>
      <w:kern w:val="2"/>
      <w:sz w:val="18"/>
      <w:szCs w:val="18"/>
    </w:rPr>
  </w:style>
  <w:style w:type="character" w:customStyle="1" w:styleId="41">
    <w:name w:val="批注主题 字符"/>
    <w:basedOn w:val="37"/>
    <w:link w:val="25"/>
    <w:qFormat/>
    <w:uiPriority w:val="0"/>
    <w:rPr>
      <w:rFonts w:ascii="Times New Roman" w:hAnsi="Times New Roman" w:eastAsia="宋体" w:cs="Times New Roman"/>
      <w:kern w:val="2"/>
      <w:sz w:val="21"/>
      <w:szCs w:val="22"/>
    </w:rPr>
  </w:style>
  <w:style w:type="paragraph" w:customStyle="1" w:styleId="42">
    <w:name w:val="表格文字"/>
    <w:basedOn w:val="1"/>
    <w:next w:val="10"/>
    <w:qFormat/>
    <w:uiPriority w:val="0"/>
    <w:pPr>
      <w:adjustRightInd w:val="0"/>
      <w:spacing w:line="420" w:lineRule="atLeast"/>
      <w:jc w:val="left"/>
      <w:textAlignment w:val="baseline"/>
    </w:pPr>
    <w:rPr>
      <w:kern w:val="0"/>
      <w:szCs w:val="24"/>
    </w:rPr>
  </w:style>
  <w:style w:type="paragraph" w:customStyle="1" w:styleId="43">
    <w:name w:val="正文1"/>
    <w:basedOn w:val="1"/>
    <w:qFormat/>
    <w:uiPriority w:val="0"/>
    <w:rPr>
      <w:rFonts w:ascii="宋体" w:hAnsi="宋体" w:cs="宋体"/>
    </w:rPr>
  </w:style>
  <w:style w:type="paragraph" w:customStyle="1" w:styleId="44">
    <w:name w:val="正文2"/>
    <w:basedOn w:val="1"/>
    <w:qFormat/>
    <w:uiPriority w:val="0"/>
    <w:pPr>
      <w:spacing w:before="156" w:line="360" w:lineRule="auto"/>
      <w:ind w:firstLine="510" w:firstLineChars="200"/>
    </w:pPr>
    <w:rPr>
      <w:sz w:val="24"/>
      <w:szCs w:val="20"/>
    </w:rPr>
  </w:style>
  <w:style w:type="paragraph" w:customStyle="1" w:styleId="45">
    <w:name w:val="列表段落1"/>
    <w:basedOn w:val="1"/>
    <w:qFormat/>
    <w:uiPriority w:val="34"/>
    <w:pPr>
      <w:widowControl/>
      <w:ind w:firstLine="420" w:firstLineChars="200"/>
      <w:jc w:val="left"/>
    </w:pPr>
    <w:rPr>
      <w:rFonts w:eastAsia="微软雅黑"/>
      <w:szCs w:val="20"/>
    </w:rPr>
  </w:style>
  <w:style w:type="paragraph" w:customStyle="1" w:styleId="46">
    <w:name w:val="List Paragraph1"/>
    <w:basedOn w:val="1"/>
    <w:qFormat/>
    <w:uiPriority w:val="99"/>
    <w:pPr>
      <w:widowControl/>
      <w:ind w:firstLine="420" w:firstLineChars="200"/>
      <w:jc w:val="left"/>
    </w:pPr>
    <w:rPr>
      <w:rFonts w:ascii="宋体" w:hAnsi="宋体" w:cs="宋体"/>
      <w:kern w:val="0"/>
      <w:sz w:val="24"/>
      <w:szCs w:val="24"/>
    </w:rPr>
  </w:style>
  <w:style w:type="paragraph" w:customStyle="1" w:styleId="47">
    <w:name w:val="样式1"/>
    <w:basedOn w:val="3"/>
    <w:qFormat/>
    <w:uiPriority w:val="0"/>
    <w:pPr>
      <w:tabs>
        <w:tab w:val="left" w:pos="425"/>
      </w:tabs>
      <w:spacing w:beforeLines="50" w:line="240" w:lineRule="auto"/>
      <w:jc w:val="center"/>
    </w:pPr>
    <w:rPr>
      <w:rFonts w:ascii="宋体" w:hAnsi="宋体"/>
      <w:sz w:val="21"/>
      <w:szCs w:val="36"/>
    </w:rPr>
  </w:style>
  <w:style w:type="paragraph" w:customStyle="1" w:styleId="48">
    <w:name w:val="正文，段落，小四，22磅行距"/>
    <w:basedOn w:val="1"/>
    <w:qFormat/>
    <w:uiPriority w:val="0"/>
    <w:pPr>
      <w:spacing w:line="440" w:lineRule="exact"/>
      <w:ind w:firstLine="420"/>
    </w:pPr>
    <w:rPr>
      <w:kern w:val="0"/>
      <w:sz w:val="24"/>
      <w:szCs w:val="24"/>
    </w:rPr>
  </w:style>
  <w:style w:type="paragraph" w:customStyle="1" w:styleId="49">
    <w:name w:val="列出段落2"/>
    <w:basedOn w:val="1"/>
    <w:qFormat/>
    <w:uiPriority w:val="34"/>
    <w:pPr>
      <w:widowControl/>
      <w:ind w:firstLine="420" w:firstLineChars="200"/>
      <w:jc w:val="left"/>
    </w:pPr>
    <w:rPr>
      <w:rFonts w:eastAsia="微软雅黑"/>
      <w:szCs w:val="20"/>
    </w:rPr>
  </w:style>
  <w:style w:type="paragraph" w:customStyle="1" w:styleId="50">
    <w:name w:val="无间隔1"/>
    <w:qFormat/>
    <w:uiPriority w:val="1"/>
    <w:pPr>
      <w:widowControl w:val="0"/>
      <w:snapToGrid w:val="0"/>
      <w:jc w:val="both"/>
    </w:pPr>
    <w:rPr>
      <w:rFonts w:ascii="Calibri" w:hAnsi="Calibri" w:eastAsia="宋体" w:cs="Times New Roman"/>
      <w:kern w:val="2"/>
      <w:sz w:val="21"/>
      <w:szCs w:val="24"/>
      <w:lang w:val="en-US" w:eastAsia="zh-CN" w:bidi="ar-SA"/>
    </w:rPr>
  </w:style>
  <w:style w:type="paragraph" w:customStyle="1" w:styleId="51">
    <w:name w:val="偏离表"/>
    <w:basedOn w:val="1"/>
    <w:qFormat/>
    <w:uiPriority w:val="0"/>
    <w:pPr>
      <w:jc w:val="center"/>
    </w:pPr>
    <w:rPr>
      <w:sz w:val="18"/>
    </w:rPr>
  </w:style>
  <w:style w:type="paragraph" w:customStyle="1" w:styleId="52">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53">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4">
    <w:name w:val="默认段落字体 Para Char Char Char Char Char Char Char Char Char1 Char Char Char Char"/>
    <w:basedOn w:val="1"/>
    <w:qFormat/>
    <w:uiPriority w:val="99"/>
    <w:rPr>
      <w:rFonts w:ascii="Tahoma" w:hAnsi="Tahoma" w:cs="Tahoma"/>
      <w:sz w:val="24"/>
      <w:szCs w:val="24"/>
    </w:rPr>
  </w:style>
  <w:style w:type="paragraph" w:styleId="55">
    <w:name w:val="List Paragraph"/>
    <w:basedOn w:val="1"/>
    <w:qFormat/>
    <w:uiPriority w:val="99"/>
    <w:pPr>
      <w:ind w:firstLine="420" w:firstLineChars="200"/>
    </w:pPr>
  </w:style>
  <w:style w:type="paragraph" w:customStyle="1" w:styleId="56">
    <w:name w:val="首行缩进"/>
    <w:basedOn w:val="1"/>
    <w:qFormat/>
    <w:uiPriority w:val="0"/>
    <w:pPr>
      <w:spacing w:line="360" w:lineRule="auto"/>
      <w:ind w:firstLine="420"/>
    </w:pPr>
    <w:rPr>
      <w:rFonts w:cs="宋体"/>
      <w:szCs w:val="20"/>
    </w:rPr>
  </w:style>
  <w:style w:type="paragraph" w:customStyle="1" w:styleId="57">
    <w:name w:val="纯文本2"/>
    <w:basedOn w:val="58"/>
    <w:qFormat/>
    <w:uiPriority w:val="0"/>
    <w:pPr>
      <w:widowControl/>
      <w:jc w:val="left"/>
    </w:pPr>
    <w:rPr>
      <w:rFonts w:ascii="宋体" w:hAnsi="Courier New"/>
    </w:rPr>
  </w:style>
  <w:style w:type="paragraph" w:customStyle="1" w:styleId="58">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纯文本 New New"/>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60">
    <w:name w:val="Plain Text1"/>
    <w:basedOn w:val="61"/>
    <w:qFormat/>
    <w:uiPriority w:val="0"/>
    <w:pPr>
      <w:adjustRightInd w:val="0"/>
    </w:pPr>
    <w:rPr>
      <w:rFonts w:hint="eastAsia" w:ascii="宋体" w:hAnsi="Courier New" w:eastAsia="楷体_GB2312"/>
      <w:sz w:val="28"/>
    </w:rPr>
  </w:style>
  <w:style w:type="paragraph" w:customStyle="1" w:styleId="61">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正文文字3"/>
    <w:basedOn w:val="10"/>
    <w:qFormat/>
    <w:uiPriority w:val="0"/>
    <w:pPr>
      <w:spacing w:after="0"/>
    </w:pPr>
  </w:style>
  <w:style w:type="paragraph" w:customStyle="1" w:styleId="6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4">
    <w:name w:val="正文文本 21"/>
    <w:basedOn w:val="1"/>
    <w:qFormat/>
    <w:uiPriority w:val="0"/>
    <w:pPr>
      <w:adjustRightInd w:val="0"/>
      <w:spacing w:line="300" w:lineRule="auto"/>
      <w:jc w:val="center"/>
    </w:pPr>
    <w:rPr>
      <w:rFonts w:ascii="宋体" w:hAnsi="宋体"/>
      <w:sz w:val="24"/>
    </w:rPr>
  </w:style>
  <w:style w:type="character" w:customStyle="1" w:styleId="65">
    <w:name w:val="脚注文本 字符"/>
    <w:basedOn w:val="29"/>
    <w:link w:val="22"/>
    <w:qFormat/>
    <w:uiPriority w:val="99"/>
    <w:rPr>
      <w:rFonts w:ascii="Calibri" w:hAnsi="Calibri"/>
      <w:kern w:val="2"/>
      <w:sz w:val="18"/>
      <w:szCs w:val="22"/>
    </w:rPr>
  </w:style>
  <w:style w:type="paragraph" w:customStyle="1" w:styleId="66">
    <w:name w:val="Body text|3"/>
    <w:basedOn w:val="1"/>
    <w:qFormat/>
    <w:uiPriority w:val="0"/>
    <w:pPr>
      <w:spacing w:after="380"/>
      <w:jc w:val="center"/>
    </w:pPr>
    <w:rPr>
      <w:rFonts w:ascii="宋体" w:hAnsi="宋体" w:cs="宋体"/>
      <w:sz w:val="26"/>
      <w:szCs w:val="26"/>
      <w:lang w:val="zh-TW" w:eastAsia="zh-TW" w:bidi="zh-TW"/>
    </w:rPr>
  </w:style>
  <w:style w:type="paragraph" w:customStyle="1" w:styleId="67">
    <w:name w:val="Body text|1"/>
    <w:basedOn w:val="1"/>
    <w:qFormat/>
    <w:uiPriority w:val="0"/>
    <w:pPr>
      <w:spacing w:line="360" w:lineRule="auto"/>
      <w:ind w:firstLine="400"/>
    </w:pPr>
    <w:rPr>
      <w:rFonts w:ascii="宋体" w:hAnsi="宋体" w:cs="宋体"/>
      <w:sz w:val="22"/>
      <w:lang w:val="zh-TW" w:eastAsia="zh-TW" w:bidi="zh-TW"/>
    </w:rPr>
  </w:style>
  <w:style w:type="character" w:customStyle="1" w:styleId="68">
    <w:name w:val="正文文本缩进 字符"/>
    <w:basedOn w:val="29"/>
    <w:link w:val="12"/>
    <w:qFormat/>
    <w:uiPriority w:val="0"/>
    <w:rPr>
      <w:rFonts w:hint="default" w:ascii="Calibri" w:hAnsi="Calibri" w:cs="Calibri"/>
      <w:kern w:val="2"/>
      <w:sz w:val="21"/>
      <w:szCs w:val="22"/>
    </w:rPr>
  </w:style>
  <w:style w:type="character" w:customStyle="1" w:styleId="69">
    <w:name w:val="bookmark-item"/>
    <w:basedOn w:val="29"/>
    <w:qFormat/>
    <w:uiPriority w:val="0"/>
  </w:style>
  <w:style w:type="character" w:customStyle="1" w:styleId="70">
    <w:name w:val="页眉 字符"/>
    <w:basedOn w:val="29"/>
    <w:link w:val="19"/>
    <w:qFormat/>
    <w:uiPriority w:val="99"/>
    <w:rPr>
      <w:rFonts w:ascii="Calibri" w:hAnsi="Calibri"/>
      <w:kern w:val="2"/>
      <w:sz w:val="18"/>
      <w:szCs w:val="22"/>
    </w:rPr>
  </w:style>
  <w:style w:type="paragraph" w:customStyle="1" w:styleId="71">
    <w:name w:val="Default"/>
    <w:next w:val="72"/>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2">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73">
    <w:name w:val="列出段落1"/>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4AB71E-21A3-499B-93B9-CD74CBB7723F}">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82</Pages>
  <Words>9665</Words>
  <Characters>55095</Characters>
  <Lines>459</Lines>
  <Paragraphs>129</Paragraphs>
  <TotalTime>2</TotalTime>
  <ScaleCrop>false</ScaleCrop>
  <LinksUpToDate>false</LinksUpToDate>
  <CharactersWithSpaces>64631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2021-08-30T11:37:00Z</dcterms:created>
  <dc:creator>Administrator</dc:creator>
  <cp:lastModifiedBy></cp:lastModifiedBy>
  <cp:lastPrinted>2020-04-04T01:44:00Z</cp:lastPrinted>
  <dcterms:modified xsi:type="dcterms:W3CDTF">2021-09-30T14:42:51Z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53FA70F0A1D84CF4A57F91DFB5DD5A30</vt:lpwstr>
  </property>
</Properties>
</file>