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84"/>
          <w:szCs w:val="84"/>
          <w:highlight w:val="none"/>
        </w:rPr>
      </w:pPr>
    </w:p>
    <w:p>
      <w:pPr>
        <w:spacing w:line="360" w:lineRule="auto"/>
        <w:jc w:val="center"/>
        <w:rPr>
          <w:rFonts w:ascii="宋体" w:hAnsi="宋体" w:cs="宋体"/>
          <w:b/>
          <w:color w:val="auto"/>
          <w:sz w:val="84"/>
          <w:szCs w:val="84"/>
          <w:highlight w:val="none"/>
        </w:rPr>
      </w:pPr>
    </w:p>
    <w:p>
      <w:pPr>
        <w:jc w:val="center"/>
        <w:rPr>
          <w:rFonts w:ascii="宋体" w:hAnsi="宋体" w:cs="宋体"/>
          <w:b/>
          <w:color w:val="auto"/>
          <w:spacing w:val="26"/>
          <w:sz w:val="84"/>
          <w:szCs w:val="84"/>
          <w:highlight w:val="none"/>
        </w:rPr>
      </w:pPr>
      <w:r>
        <w:rPr>
          <w:rFonts w:hint="eastAsia" w:ascii="宋体" w:hAnsi="宋体" w:cs="宋体"/>
          <w:b/>
          <w:color w:val="auto"/>
          <w:sz w:val="84"/>
          <w:szCs w:val="84"/>
          <w:highlight w:val="none"/>
        </w:rPr>
        <w:t>温州市政府(分散)采购</w:t>
      </w:r>
    </w:p>
    <w:p>
      <w:pPr>
        <w:spacing w:line="400" w:lineRule="exact"/>
        <w:ind w:firstLine="1885" w:firstLineChars="235"/>
        <w:rPr>
          <w:rFonts w:ascii="宋体" w:hAnsi="宋体" w:cs="宋体"/>
          <w:b/>
          <w:color w:val="auto"/>
          <w:spacing w:val="140"/>
          <w:sz w:val="52"/>
          <w:szCs w:val="52"/>
          <w:highlight w:val="none"/>
        </w:rPr>
      </w:pPr>
    </w:p>
    <w:p>
      <w:pPr>
        <w:spacing w:line="400" w:lineRule="exact"/>
        <w:ind w:firstLine="1885" w:firstLineChars="235"/>
        <w:rPr>
          <w:rFonts w:ascii="宋体" w:hAnsi="宋体" w:cs="宋体"/>
          <w:b/>
          <w:color w:val="auto"/>
          <w:spacing w:val="140"/>
          <w:sz w:val="52"/>
          <w:szCs w:val="52"/>
          <w:highlight w:val="none"/>
        </w:rPr>
      </w:pPr>
    </w:p>
    <w:p>
      <w:pPr>
        <w:spacing w:line="400" w:lineRule="exact"/>
        <w:ind w:firstLine="1885" w:firstLineChars="235"/>
        <w:rPr>
          <w:rFonts w:ascii="宋体" w:hAnsi="宋体" w:cs="宋体"/>
          <w:b/>
          <w:color w:val="auto"/>
          <w:spacing w:val="140"/>
          <w:sz w:val="52"/>
          <w:szCs w:val="52"/>
          <w:highlight w:val="none"/>
        </w:rPr>
      </w:pPr>
    </w:p>
    <w:p>
      <w:pPr>
        <w:spacing w:line="400" w:lineRule="exact"/>
        <w:ind w:firstLine="1885" w:firstLineChars="235"/>
        <w:rPr>
          <w:rFonts w:ascii="宋体" w:hAnsi="宋体" w:cs="宋体"/>
          <w:b/>
          <w:color w:val="auto"/>
          <w:spacing w:val="140"/>
          <w:sz w:val="52"/>
          <w:szCs w:val="52"/>
          <w:highlight w:val="none"/>
        </w:rPr>
      </w:pPr>
    </w:p>
    <w:p>
      <w:pPr>
        <w:spacing w:line="360" w:lineRule="auto"/>
        <w:jc w:val="center"/>
        <w:rPr>
          <w:rFonts w:ascii="宋体" w:hAnsi="宋体" w:cs="宋体"/>
          <w:b/>
          <w:color w:val="auto"/>
          <w:spacing w:val="140"/>
          <w:sz w:val="52"/>
          <w:szCs w:val="52"/>
          <w:highlight w:val="none"/>
        </w:rPr>
      </w:pPr>
      <w:r>
        <w:rPr>
          <w:rFonts w:hint="eastAsia" w:ascii="宋体" w:hAnsi="宋体" w:cs="宋体"/>
          <w:b/>
          <w:color w:val="auto"/>
          <w:spacing w:val="140"/>
          <w:sz w:val="52"/>
          <w:szCs w:val="52"/>
          <w:highlight w:val="none"/>
        </w:rPr>
        <w:t>招标文件</w:t>
      </w:r>
    </w:p>
    <w:p>
      <w:pPr>
        <w:widowControl/>
        <w:spacing w:line="360" w:lineRule="auto"/>
        <w:ind w:right="-2"/>
        <w:jc w:val="center"/>
        <w:rPr>
          <w:rFonts w:ascii="宋体" w:hAnsi="宋体"/>
          <w:b/>
          <w:color w:val="auto"/>
          <w:sz w:val="36"/>
          <w:highlight w:val="none"/>
        </w:rPr>
      </w:pPr>
      <w:r>
        <w:rPr>
          <w:rFonts w:hint="eastAsia" w:ascii="宋体" w:hAnsi="宋体"/>
          <w:b/>
          <w:color w:val="auto"/>
          <w:sz w:val="36"/>
          <w:highlight w:val="none"/>
        </w:rPr>
        <w:t>（线上电子招投标）</w:t>
      </w:r>
    </w:p>
    <w:p>
      <w:pPr>
        <w:spacing w:line="400" w:lineRule="exact"/>
        <w:rPr>
          <w:rFonts w:ascii="宋体" w:hAnsi="宋体" w:cs="宋体"/>
          <w:b/>
          <w:color w:val="auto"/>
          <w:sz w:val="24"/>
          <w:highlight w:val="none"/>
        </w:rPr>
      </w:pPr>
    </w:p>
    <w:p>
      <w:pPr>
        <w:spacing w:line="400" w:lineRule="exact"/>
        <w:rPr>
          <w:rFonts w:ascii="宋体" w:hAnsi="宋体" w:cs="宋体"/>
          <w:b/>
          <w:color w:val="auto"/>
          <w:sz w:val="24"/>
          <w:highlight w:val="none"/>
        </w:rPr>
      </w:pPr>
    </w:p>
    <w:p>
      <w:pPr>
        <w:spacing w:line="400" w:lineRule="exact"/>
        <w:rPr>
          <w:rFonts w:ascii="宋体" w:hAnsi="宋体" w:cs="宋体"/>
          <w:b/>
          <w:color w:val="auto"/>
          <w:sz w:val="24"/>
          <w:highlight w:val="none"/>
        </w:rPr>
      </w:pPr>
    </w:p>
    <w:p>
      <w:pPr>
        <w:spacing w:line="400" w:lineRule="exact"/>
        <w:rPr>
          <w:rFonts w:ascii="宋体" w:hAnsi="宋体" w:cs="宋体"/>
          <w:b/>
          <w:color w:val="auto"/>
          <w:sz w:val="24"/>
          <w:highlight w:val="none"/>
        </w:rPr>
      </w:pPr>
    </w:p>
    <w:p>
      <w:pPr>
        <w:spacing w:line="400" w:lineRule="exact"/>
        <w:ind w:firstLine="1140" w:firstLineChars="300"/>
        <w:rPr>
          <w:rFonts w:ascii="宋体" w:hAnsi="宋体" w:cs="宋体"/>
          <w:color w:val="auto"/>
          <w:spacing w:val="40"/>
          <w:sz w:val="30"/>
          <w:highlight w:val="none"/>
        </w:rPr>
      </w:pPr>
    </w:p>
    <w:p>
      <w:pPr>
        <w:spacing w:line="360" w:lineRule="auto"/>
        <w:ind w:firstLine="900" w:firstLineChars="300"/>
        <w:rPr>
          <w:rFonts w:hint="eastAsia" w:ascii="宋体" w:hAnsi="宋体" w:eastAsia="宋体" w:cs="宋体"/>
          <w:color w:val="auto"/>
          <w:sz w:val="30"/>
          <w:highlight w:val="none"/>
          <w:lang w:eastAsia="zh-CN"/>
        </w:rPr>
      </w:pPr>
      <w:r>
        <w:rPr>
          <w:rFonts w:hint="eastAsia" w:ascii="宋体" w:hAnsi="宋体" w:cs="宋体"/>
          <w:color w:val="auto"/>
          <w:sz w:val="30"/>
          <w:highlight w:val="none"/>
        </w:rPr>
        <w:t>项目编号：</w:t>
      </w:r>
      <w:r>
        <w:rPr>
          <w:rFonts w:hint="eastAsia" w:ascii="宋体" w:hAnsi="宋体" w:cs="宋体"/>
          <w:color w:val="auto"/>
          <w:sz w:val="30"/>
          <w:highlight w:val="none"/>
          <w:lang w:eastAsia="zh-CN"/>
        </w:rPr>
        <w:t>ZJYC2021010(GK)</w:t>
      </w:r>
    </w:p>
    <w:p>
      <w:pPr>
        <w:spacing w:line="360" w:lineRule="auto"/>
        <w:ind w:firstLine="900" w:firstLineChars="300"/>
        <w:rPr>
          <w:rFonts w:ascii="宋体" w:hAnsi="宋体" w:cs="宋体"/>
          <w:color w:val="auto"/>
          <w:sz w:val="30"/>
          <w:highlight w:val="none"/>
        </w:rPr>
      </w:pPr>
      <w:r>
        <w:rPr>
          <w:rFonts w:hint="eastAsia" w:ascii="宋体" w:hAnsi="宋体" w:cs="宋体"/>
          <w:color w:val="auto"/>
          <w:sz w:val="30"/>
          <w:highlight w:val="none"/>
        </w:rPr>
        <w:t>项目名称：智慧校园建设设备</w:t>
      </w:r>
    </w:p>
    <w:p>
      <w:pPr>
        <w:pStyle w:val="22"/>
        <w:spacing w:before="0" w:beforeAutospacing="0" w:after="0" w:afterAutospacing="0" w:line="360" w:lineRule="auto"/>
        <w:ind w:firstLine="900" w:firstLineChars="300"/>
        <w:jc w:val="both"/>
        <w:rPr>
          <w:color w:val="auto"/>
          <w:sz w:val="22"/>
          <w:highlight w:val="none"/>
        </w:rPr>
      </w:pPr>
      <w:r>
        <w:rPr>
          <w:rFonts w:hint="eastAsia"/>
          <w:color w:val="auto"/>
          <w:sz w:val="30"/>
          <w:highlight w:val="none"/>
        </w:rPr>
        <w:t>招标方式：公 开 招 标</w:t>
      </w:r>
    </w:p>
    <w:p>
      <w:pPr>
        <w:spacing w:line="360" w:lineRule="auto"/>
        <w:ind w:firstLine="1140" w:firstLineChars="300"/>
        <w:rPr>
          <w:rFonts w:ascii="宋体" w:hAnsi="宋体" w:cs="宋体"/>
          <w:color w:val="auto"/>
          <w:spacing w:val="40"/>
          <w:sz w:val="30"/>
          <w:highlight w:val="none"/>
        </w:rPr>
      </w:pPr>
    </w:p>
    <w:p>
      <w:pPr>
        <w:spacing w:line="360" w:lineRule="auto"/>
        <w:ind w:firstLine="1920" w:firstLineChars="600"/>
        <w:rPr>
          <w:rFonts w:ascii="宋体" w:hAnsi="宋体" w:cs="宋体"/>
          <w:color w:val="auto"/>
          <w:spacing w:val="40"/>
          <w:sz w:val="24"/>
          <w:szCs w:val="24"/>
          <w:highlight w:val="none"/>
        </w:rPr>
      </w:pPr>
      <w:r>
        <w:rPr>
          <w:rFonts w:hint="eastAsia" w:ascii="宋体" w:hAnsi="宋体" w:cs="宋体"/>
          <w:color w:val="auto"/>
          <w:spacing w:val="40"/>
          <w:sz w:val="24"/>
          <w:szCs w:val="24"/>
          <w:highlight w:val="none"/>
        </w:rPr>
        <w:t>采购人：温州大学瓯江学院</w:t>
      </w:r>
    </w:p>
    <w:p>
      <w:pPr>
        <w:spacing w:line="360" w:lineRule="auto"/>
        <w:ind w:firstLine="1920" w:firstLineChars="600"/>
        <w:rPr>
          <w:rFonts w:ascii="宋体" w:hAnsi="宋体" w:cs="宋体"/>
          <w:color w:val="auto"/>
          <w:spacing w:val="40"/>
          <w:sz w:val="24"/>
          <w:szCs w:val="24"/>
          <w:highlight w:val="none"/>
        </w:rPr>
      </w:pPr>
      <w:r>
        <w:rPr>
          <w:rFonts w:hint="eastAsia" w:ascii="宋体" w:hAnsi="宋体" w:cs="宋体"/>
          <w:color w:val="auto"/>
          <w:spacing w:val="40"/>
          <w:sz w:val="24"/>
          <w:szCs w:val="24"/>
          <w:highlight w:val="none"/>
        </w:rPr>
        <w:t>采购代理机构：浙江乐诚工程咨询有限公司</w:t>
      </w:r>
    </w:p>
    <w:p>
      <w:pPr>
        <w:spacing w:line="360" w:lineRule="auto"/>
        <w:jc w:val="center"/>
        <w:rPr>
          <w:rFonts w:ascii="宋体" w:hAnsi="宋体" w:cs="宋体"/>
          <w:color w:val="auto"/>
          <w:spacing w:val="40"/>
          <w:sz w:val="28"/>
          <w:highlight w:val="none"/>
        </w:rPr>
      </w:pPr>
    </w:p>
    <w:p>
      <w:pPr>
        <w:spacing w:line="360" w:lineRule="auto"/>
        <w:jc w:val="center"/>
        <w:rPr>
          <w:rFonts w:ascii="宋体" w:hAnsi="宋体" w:cs="宋体"/>
          <w:color w:val="auto"/>
          <w:spacing w:val="40"/>
          <w:sz w:val="28"/>
          <w:highlight w:val="none"/>
        </w:rPr>
      </w:pPr>
    </w:p>
    <w:p>
      <w:pPr>
        <w:spacing w:line="360" w:lineRule="auto"/>
        <w:jc w:val="center"/>
        <w:rPr>
          <w:rFonts w:ascii="宋体" w:hAnsi="宋体" w:cs="宋体"/>
          <w:color w:val="auto"/>
          <w:spacing w:val="40"/>
          <w:sz w:val="28"/>
          <w:highlight w:val="none"/>
        </w:rPr>
      </w:pPr>
      <w:r>
        <w:rPr>
          <w:rFonts w:hint="eastAsia" w:ascii="宋体" w:hAnsi="宋体" w:cs="宋体"/>
          <w:color w:val="auto"/>
          <w:spacing w:val="40"/>
          <w:sz w:val="28"/>
          <w:highlight w:val="none"/>
        </w:rPr>
        <w:t>二0二一年</w:t>
      </w:r>
    </w:p>
    <w:p>
      <w:pPr>
        <w:spacing w:line="400" w:lineRule="exact"/>
        <w:jc w:val="center"/>
        <w:rPr>
          <w:rFonts w:ascii="宋体" w:hAnsi="宋体" w:cs="宋体"/>
          <w:b/>
          <w:color w:val="auto"/>
          <w:sz w:val="32"/>
          <w:highlight w:val="none"/>
        </w:rPr>
      </w:pPr>
    </w:p>
    <w:p>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目 录</w:t>
      </w:r>
    </w:p>
    <w:p>
      <w:pPr>
        <w:spacing w:line="400" w:lineRule="exact"/>
        <w:rPr>
          <w:rFonts w:ascii="宋体" w:hAnsi="宋体" w:cs="宋体"/>
          <w:color w:val="auto"/>
          <w:highlight w:val="none"/>
        </w:rPr>
      </w:pPr>
    </w:p>
    <w:p>
      <w:pPr>
        <w:snapToGrid w:val="0"/>
        <w:spacing w:line="400" w:lineRule="exact"/>
        <w:rPr>
          <w:rFonts w:ascii="宋体" w:hAnsi="宋体" w:cs="宋体"/>
          <w:color w:val="auto"/>
          <w:sz w:val="22"/>
          <w:highlight w:val="none"/>
        </w:rPr>
      </w:pPr>
      <w:r>
        <w:rPr>
          <w:rFonts w:hint="eastAsia" w:ascii="宋体" w:hAnsi="宋体" w:cs="宋体"/>
          <w:color w:val="auto"/>
          <w:sz w:val="22"/>
          <w:highlight w:val="none"/>
        </w:rPr>
        <w:t>第一部分  投标邀请书           ………………………………………………………………3</w:t>
      </w:r>
    </w:p>
    <w:p>
      <w:pPr>
        <w:spacing w:line="400" w:lineRule="exact"/>
        <w:ind w:left="1100" w:hanging="1100" w:hangingChars="500"/>
        <w:rPr>
          <w:rFonts w:ascii="宋体" w:hAnsi="宋体" w:cs="宋体"/>
          <w:color w:val="auto"/>
          <w:sz w:val="22"/>
          <w:highlight w:val="none"/>
        </w:rPr>
      </w:pPr>
      <w:r>
        <w:rPr>
          <w:rFonts w:hint="eastAsia" w:ascii="宋体" w:hAnsi="宋体" w:cs="宋体"/>
          <w:color w:val="auto"/>
          <w:sz w:val="22"/>
          <w:highlight w:val="none"/>
        </w:rPr>
        <w:t>第二部分  投标人须知           ………………………………………………………………6</w:t>
      </w:r>
    </w:p>
    <w:p>
      <w:pPr>
        <w:spacing w:line="400" w:lineRule="exact"/>
        <w:ind w:left="1100" w:hanging="1100" w:hangingChars="500"/>
        <w:rPr>
          <w:rFonts w:ascii="宋体" w:hAnsi="宋体" w:cs="宋体"/>
          <w:color w:val="auto"/>
          <w:sz w:val="22"/>
          <w:highlight w:val="none"/>
        </w:rPr>
      </w:pPr>
      <w:r>
        <w:rPr>
          <w:rFonts w:hint="eastAsia" w:ascii="宋体" w:hAnsi="宋体" w:cs="宋体"/>
          <w:color w:val="auto"/>
          <w:sz w:val="22"/>
          <w:highlight w:val="none"/>
        </w:rPr>
        <w:t xml:space="preserve">          投标人须知前附表     ………………………………………………………………6</w:t>
      </w:r>
    </w:p>
    <w:p>
      <w:pPr>
        <w:spacing w:line="400" w:lineRule="exact"/>
        <w:ind w:firstLine="1100" w:firstLineChars="500"/>
        <w:rPr>
          <w:rFonts w:ascii="宋体" w:hAnsi="宋体" w:cs="宋体"/>
          <w:color w:val="auto"/>
          <w:sz w:val="22"/>
          <w:highlight w:val="none"/>
        </w:rPr>
      </w:pPr>
      <w:r>
        <w:rPr>
          <w:rFonts w:hint="eastAsia" w:ascii="宋体" w:hAnsi="宋体" w:cs="宋体"/>
          <w:color w:val="auto"/>
          <w:sz w:val="22"/>
          <w:highlight w:val="none"/>
        </w:rPr>
        <w:t>一.说 明             ………………………………………………………………9</w:t>
      </w:r>
    </w:p>
    <w:p>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二.招标文件          ………………………………………………………………10</w:t>
      </w:r>
    </w:p>
    <w:p>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三.投标文件的编制    ………………………………………………………………11</w:t>
      </w:r>
    </w:p>
    <w:p>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四.投标文件的递交    ………………………………………………………………14</w:t>
      </w:r>
    </w:p>
    <w:p>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五.开标和评标        ………………………………………………………………14</w:t>
      </w:r>
    </w:p>
    <w:p>
      <w:pPr>
        <w:spacing w:line="400" w:lineRule="exact"/>
        <w:jc w:val="left"/>
        <w:rPr>
          <w:rFonts w:ascii="宋体" w:hAnsi="宋体" w:cs="宋体"/>
          <w:color w:val="auto"/>
          <w:sz w:val="22"/>
          <w:highlight w:val="none"/>
        </w:rPr>
      </w:pPr>
      <w:r>
        <w:rPr>
          <w:rFonts w:hint="eastAsia" w:ascii="宋体" w:hAnsi="宋体" w:cs="宋体"/>
          <w:color w:val="auto"/>
          <w:sz w:val="22"/>
          <w:highlight w:val="none"/>
        </w:rPr>
        <w:t xml:space="preserve">          六.授予合同          ………………………………………………………………19</w:t>
      </w:r>
    </w:p>
    <w:p>
      <w:pPr>
        <w:spacing w:line="400" w:lineRule="exact"/>
        <w:ind w:firstLine="1100" w:firstLineChars="500"/>
        <w:jc w:val="left"/>
        <w:rPr>
          <w:rFonts w:ascii="宋体" w:hAnsi="宋体" w:cs="宋体"/>
          <w:color w:val="auto"/>
          <w:sz w:val="22"/>
          <w:highlight w:val="none"/>
        </w:rPr>
      </w:pPr>
      <w:r>
        <w:rPr>
          <w:rFonts w:hint="eastAsia" w:ascii="宋体" w:hAnsi="宋体" w:cs="宋体"/>
          <w:color w:val="auto"/>
          <w:sz w:val="22"/>
          <w:highlight w:val="none"/>
        </w:rPr>
        <w:t>七、可中止电子交易活动的情形 ……………………………………………………19</w:t>
      </w:r>
    </w:p>
    <w:p>
      <w:pPr>
        <w:spacing w:line="400" w:lineRule="exact"/>
        <w:rPr>
          <w:rFonts w:ascii="宋体" w:hAnsi="宋体" w:cs="宋体"/>
          <w:color w:val="auto"/>
          <w:sz w:val="22"/>
          <w:highlight w:val="none"/>
        </w:rPr>
      </w:pPr>
      <w:r>
        <w:rPr>
          <w:rFonts w:hint="eastAsia" w:ascii="宋体" w:hAnsi="宋体" w:cs="宋体"/>
          <w:color w:val="auto"/>
          <w:sz w:val="22"/>
          <w:highlight w:val="none"/>
        </w:rPr>
        <w:t>第三部分  拟签订的合同文本     ………………………………………………………………21</w:t>
      </w:r>
    </w:p>
    <w:p>
      <w:pPr>
        <w:spacing w:line="400" w:lineRule="exact"/>
        <w:rPr>
          <w:rFonts w:ascii="宋体" w:hAnsi="宋体" w:cs="宋体"/>
          <w:color w:val="auto"/>
          <w:sz w:val="22"/>
          <w:highlight w:val="none"/>
        </w:rPr>
      </w:pPr>
      <w:r>
        <w:rPr>
          <w:rFonts w:hint="eastAsia" w:ascii="宋体" w:hAnsi="宋体" w:cs="宋体"/>
          <w:color w:val="auto"/>
          <w:sz w:val="22"/>
          <w:highlight w:val="none"/>
        </w:rPr>
        <w:t>第四部分  附件                 ………………………………………………………………24</w:t>
      </w:r>
    </w:p>
    <w:p>
      <w:pPr>
        <w:spacing w:line="400" w:lineRule="exact"/>
        <w:rPr>
          <w:rFonts w:ascii="宋体" w:hAnsi="宋体" w:cs="宋体"/>
          <w:color w:val="auto"/>
          <w:sz w:val="22"/>
          <w:highlight w:val="none"/>
        </w:rPr>
      </w:pPr>
      <w:r>
        <w:rPr>
          <w:rFonts w:hint="eastAsia" w:ascii="宋体" w:hAnsi="宋体" w:cs="宋体"/>
          <w:color w:val="auto"/>
          <w:sz w:val="22"/>
          <w:highlight w:val="none"/>
        </w:rPr>
        <w:t>第五部分  采购需求             ………………………………………………………………51</w:t>
      </w:r>
    </w:p>
    <w:p>
      <w:pPr>
        <w:spacing w:line="400" w:lineRule="exact"/>
        <w:rPr>
          <w:rFonts w:hint="default" w:ascii="宋体" w:hAnsi="宋体" w:eastAsia="宋体" w:cs="宋体"/>
          <w:color w:val="auto"/>
          <w:sz w:val="22"/>
          <w:highlight w:val="none"/>
          <w:lang w:val="en-US" w:eastAsia="zh-CN"/>
        </w:rPr>
      </w:pPr>
      <w:r>
        <w:rPr>
          <w:rFonts w:hint="eastAsia" w:ascii="宋体" w:hAnsi="宋体" w:cs="宋体"/>
          <w:color w:val="auto"/>
          <w:sz w:val="22"/>
          <w:highlight w:val="none"/>
        </w:rPr>
        <w:t>第六部分  评标原则及方法       ………………………………………………………………</w:t>
      </w:r>
      <w:r>
        <w:rPr>
          <w:rFonts w:hint="eastAsia" w:ascii="宋体" w:hAnsi="宋体" w:cs="宋体"/>
          <w:color w:val="auto"/>
          <w:sz w:val="22"/>
          <w:highlight w:val="none"/>
          <w:lang w:val="en-US" w:eastAsia="zh-CN"/>
        </w:rPr>
        <w:t>114</w:t>
      </w:r>
    </w:p>
    <w:p>
      <w:pPr>
        <w:spacing w:line="400" w:lineRule="exact"/>
        <w:rPr>
          <w:rFonts w:ascii="宋体" w:hAnsi="宋体" w:cs="宋体"/>
          <w:b/>
          <w:color w:val="auto"/>
          <w:sz w:val="22"/>
          <w:highlight w:val="none"/>
        </w:rPr>
      </w:pPr>
    </w:p>
    <w:p>
      <w:pPr>
        <w:spacing w:line="400" w:lineRule="exact"/>
        <w:rPr>
          <w:rFonts w:ascii="宋体" w:hAnsi="宋体" w:cs="宋体"/>
          <w:color w:val="auto"/>
          <w:sz w:val="22"/>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ascii="宋体" w:hAnsi="宋体" w:cs="宋体"/>
          <w:color w:val="auto"/>
          <w:sz w:val="22"/>
          <w:highlight w:val="none"/>
        </w:rPr>
      </w:pPr>
    </w:p>
    <w:p>
      <w:pPr>
        <w:spacing w:line="400" w:lineRule="exact"/>
        <w:jc w:val="center"/>
        <w:rPr>
          <w:rFonts w:ascii="宋体" w:hAnsi="宋体" w:cs="宋体"/>
          <w:b/>
          <w:color w:val="auto"/>
          <w:sz w:val="32"/>
          <w:highlight w:val="none"/>
        </w:rPr>
      </w:pPr>
    </w:p>
    <w:p>
      <w:pPr>
        <w:spacing w:line="400" w:lineRule="exact"/>
        <w:jc w:val="center"/>
        <w:rPr>
          <w:rFonts w:ascii="宋体" w:hAnsi="宋体" w:cs="宋体"/>
          <w:b/>
          <w:color w:val="auto"/>
          <w:sz w:val="32"/>
          <w:highlight w:val="none"/>
        </w:rPr>
      </w:pPr>
    </w:p>
    <w:p>
      <w:pPr>
        <w:spacing w:line="400" w:lineRule="exact"/>
        <w:rPr>
          <w:rFonts w:ascii="宋体" w:hAnsi="宋体" w:cs="宋体"/>
          <w:color w:val="auto"/>
          <w:highlight w:val="none"/>
        </w:rPr>
      </w:pPr>
      <w:r>
        <w:rPr>
          <w:rFonts w:hint="eastAsia" w:ascii="宋体" w:hAnsi="宋体" w:cs="宋体"/>
          <w:color w:val="auto"/>
          <w:highlight w:val="none"/>
        </w:rPr>
        <w:tab/>
      </w:r>
    </w:p>
    <w:p>
      <w:pPr>
        <w:spacing w:line="400" w:lineRule="exact"/>
        <w:rPr>
          <w:rFonts w:ascii="宋体" w:hAnsi="宋体" w:cs="宋体"/>
          <w:b/>
          <w:color w:val="auto"/>
          <w:sz w:val="48"/>
          <w:highlight w:val="none"/>
        </w:rPr>
      </w:pPr>
    </w:p>
    <w:p>
      <w:pPr>
        <w:spacing w:line="400" w:lineRule="exact"/>
        <w:rPr>
          <w:rFonts w:ascii="宋体" w:hAnsi="宋体" w:cs="宋体"/>
          <w:b/>
          <w:color w:val="auto"/>
          <w:sz w:val="48"/>
          <w:highlight w:val="none"/>
        </w:rPr>
      </w:pPr>
    </w:p>
    <w:p>
      <w:pPr>
        <w:spacing w:line="400" w:lineRule="exact"/>
        <w:rPr>
          <w:rFonts w:ascii="宋体" w:hAnsi="宋体" w:cs="宋体"/>
          <w:b/>
          <w:color w:val="auto"/>
          <w:sz w:val="48"/>
          <w:highlight w:val="none"/>
        </w:rPr>
      </w:pPr>
    </w:p>
    <w:p>
      <w:pPr>
        <w:spacing w:line="400" w:lineRule="exact"/>
        <w:rPr>
          <w:rFonts w:ascii="宋体" w:hAnsi="宋体" w:cs="宋体"/>
          <w:b/>
          <w:color w:val="auto"/>
          <w:sz w:val="48"/>
          <w:highlight w:val="none"/>
        </w:rPr>
      </w:pPr>
    </w:p>
    <w:p>
      <w:pPr>
        <w:pStyle w:val="13"/>
        <w:ind w:left="1470" w:right="1470"/>
        <w:rPr>
          <w:rFonts w:ascii="宋体" w:hAnsi="宋体" w:cs="宋体"/>
          <w:b/>
          <w:color w:val="auto"/>
          <w:sz w:val="48"/>
          <w:highlight w:val="none"/>
        </w:rPr>
      </w:pPr>
    </w:p>
    <w:p>
      <w:pPr>
        <w:pStyle w:val="13"/>
        <w:ind w:left="1470" w:right="1470"/>
        <w:rPr>
          <w:rFonts w:ascii="宋体" w:hAnsi="宋体" w:cs="宋体"/>
          <w:b/>
          <w:color w:val="auto"/>
          <w:sz w:val="48"/>
          <w:highlight w:val="none"/>
        </w:rPr>
      </w:pPr>
    </w:p>
    <w:p>
      <w:pPr>
        <w:pStyle w:val="13"/>
        <w:ind w:left="1470" w:right="1470"/>
        <w:rPr>
          <w:rFonts w:ascii="宋体" w:hAnsi="宋体" w:cs="宋体"/>
          <w:b/>
          <w:color w:val="auto"/>
          <w:sz w:val="48"/>
          <w:highlight w:val="none"/>
        </w:rPr>
      </w:pPr>
    </w:p>
    <w:p>
      <w:pPr>
        <w:pStyle w:val="13"/>
        <w:ind w:left="1470" w:right="1470"/>
        <w:rPr>
          <w:rFonts w:ascii="宋体" w:hAnsi="宋体" w:cs="宋体"/>
          <w:b/>
          <w:color w:val="auto"/>
          <w:sz w:val="48"/>
          <w:highlight w:val="none"/>
        </w:rPr>
      </w:pPr>
    </w:p>
    <w:p>
      <w:pPr>
        <w:pStyle w:val="13"/>
        <w:ind w:left="1470" w:right="1470"/>
        <w:rPr>
          <w:rFonts w:ascii="宋体" w:hAnsi="宋体" w:cs="宋体"/>
          <w:b/>
          <w:color w:val="auto"/>
          <w:sz w:val="48"/>
          <w:highlight w:val="none"/>
        </w:rPr>
      </w:pPr>
    </w:p>
    <w:p>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第一部分 投标邀请书</w:t>
      </w:r>
    </w:p>
    <w:p>
      <w:pPr>
        <w:pStyle w:val="22"/>
        <w:keepNext w:val="0"/>
        <w:keepLines w:val="0"/>
        <w:widowControl/>
        <w:suppressLineNumbers w:val="0"/>
        <w:spacing w:before="60" w:beforeAutospacing="0" w:after="60" w:afterAutospacing="0"/>
        <w:ind w:left="0" w:right="0"/>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rPr>
        <w:t>项目概况</w:t>
      </w:r>
    </w:p>
    <w:p>
      <w:pPr>
        <w:pStyle w:val="22"/>
        <w:keepNext w:val="0"/>
        <w:keepLines w:val="0"/>
        <w:widowControl/>
        <w:suppressLineNumbers w:val="0"/>
        <w:spacing w:before="60" w:beforeAutospacing="0" w:after="60" w:afterAutospacing="0"/>
        <w:ind w:left="0" w:right="0" w:firstLine="440" w:firstLineChars="20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智慧校园建设设备招标项目的潜在投标人应在</w:t>
      </w:r>
      <w:r>
        <w:rPr>
          <w:rFonts w:hint="eastAsia" w:ascii="宋体" w:hAnsi="宋体" w:eastAsia="宋体" w:cs="宋体"/>
          <w:i w:val="0"/>
          <w:caps w:val="0"/>
          <w:color w:val="000000"/>
          <w:spacing w:val="0"/>
          <w:sz w:val="22"/>
          <w:szCs w:val="22"/>
          <w:u w:val="none"/>
        </w:rPr>
        <w:t>政府采购云平台（https://login.zcygov.cn）</w:t>
      </w:r>
      <w:r>
        <w:rPr>
          <w:rFonts w:hint="eastAsia" w:ascii="宋体" w:hAnsi="宋体" w:eastAsia="宋体" w:cs="宋体"/>
          <w:i w:val="0"/>
          <w:caps w:val="0"/>
          <w:color w:val="000000"/>
          <w:spacing w:val="0"/>
          <w:sz w:val="22"/>
          <w:szCs w:val="22"/>
        </w:rPr>
        <w:t>获取（下载）招标文件，并于 2021年04月09日 09:30（北京时间）前递交（上传）投标文件。</w:t>
      </w:r>
    </w:p>
    <w:p>
      <w:pPr>
        <w:pStyle w:val="22"/>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sz w:val="22"/>
          <w:szCs w:val="22"/>
        </w:rPr>
      </w:pPr>
      <w:r>
        <w:rPr>
          <w:rStyle w:val="29"/>
          <w:rFonts w:hint="eastAsia" w:ascii="宋体" w:hAnsi="宋体" w:eastAsia="宋体" w:cs="宋体"/>
          <w:i w:val="0"/>
          <w:caps w:val="0"/>
          <w:color w:val="000000"/>
          <w:spacing w:val="0"/>
          <w:sz w:val="22"/>
          <w:szCs w:val="22"/>
        </w:rPr>
        <w:t>一、项目基本情况</w:t>
      </w:r>
      <w:r>
        <w:rPr>
          <w:rFonts w:hint="eastAsia" w:ascii="宋体" w:hAnsi="宋体" w:eastAsia="宋体" w:cs="宋体"/>
          <w:i w:val="0"/>
          <w:caps w:val="0"/>
          <w:color w:val="000000"/>
          <w:spacing w:val="0"/>
          <w:sz w:val="22"/>
          <w:szCs w:val="22"/>
        </w:rPr>
        <w:t>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项目编号：ZJYC2021010(GK)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项目名称：智慧校园建设设备</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预算金额（元）：8628205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最高限价（元）：8628205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采购需求：</w:t>
      </w:r>
    </w:p>
    <w:p>
      <w:pPr>
        <w:pStyle w:val="22"/>
        <w:keepNext w:val="0"/>
        <w:keepLines w:val="0"/>
        <w:widowControl/>
        <w:suppressLineNumbers w:val="0"/>
        <w:spacing w:before="60" w:beforeAutospacing="0" w:after="60" w:afterAutospacing="0" w:line="315"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w:t>
      </w:r>
      <w:r>
        <w:rPr>
          <w:rFonts w:hint="eastAsia" w:ascii="宋体" w:hAnsi="宋体" w:eastAsia="宋体" w:cs="宋体"/>
          <w:i w:val="0"/>
          <w:caps w:val="0"/>
          <w:color w:val="000000"/>
          <w:spacing w:val="0"/>
          <w:sz w:val="22"/>
          <w:szCs w:val="22"/>
        </w:rPr>
        <w:br w:type="textWrapping"/>
      </w:r>
      <w:r>
        <w:rPr>
          <w:rFonts w:hint="eastAsia" w:ascii="宋体" w:hAnsi="宋体" w:eastAsia="宋体" w:cs="宋体"/>
          <w:i w:val="0"/>
          <w:caps w:val="0"/>
          <w:color w:val="000000"/>
          <w:spacing w:val="0"/>
          <w:sz w:val="22"/>
          <w:szCs w:val="22"/>
        </w:rPr>
        <w:t>    标项名称: 智慧校园建设设备 </w:t>
      </w:r>
      <w:bookmarkStart w:id="3" w:name="_GoBack"/>
      <w:bookmarkEnd w:id="3"/>
      <w:r>
        <w:rPr>
          <w:rFonts w:hint="eastAsia" w:ascii="宋体" w:hAnsi="宋体" w:eastAsia="宋体" w:cs="宋体"/>
          <w:i w:val="0"/>
          <w:caps w:val="0"/>
          <w:color w:val="000000"/>
          <w:spacing w:val="0"/>
          <w:sz w:val="22"/>
          <w:szCs w:val="22"/>
        </w:rPr>
        <w:br w:type="textWrapping"/>
      </w:r>
      <w:r>
        <w:rPr>
          <w:rFonts w:hint="eastAsia" w:ascii="宋体" w:hAnsi="宋体" w:eastAsia="宋体" w:cs="宋体"/>
          <w:i w:val="0"/>
          <w:caps w:val="0"/>
          <w:color w:val="000000"/>
          <w:spacing w:val="0"/>
          <w:sz w:val="22"/>
          <w:szCs w:val="22"/>
        </w:rPr>
        <w:t>    数量: 1  </w:t>
      </w:r>
      <w:r>
        <w:rPr>
          <w:rFonts w:hint="eastAsia" w:ascii="宋体" w:hAnsi="宋体" w:eastAsia="宋体" w:cs="宋体"/>
          <w:i w:val="0"/>
          <w:caps w:val="0"/>
          <w:color w:val="000000"/>
          <w:spacing w:val="0"/>
          <w:sz w:val="22"/>
          <w:szCs w:val="22"/>
        </w:rPr>
        <w:br w:type="textWrapping"/>
      </w:r>
      <w:r>
        <w:rPr>
          <w:rFonts w:hint="eastAsia" w:ascii="宋体" w:hAnsi="宋体" w:eastAsia="宋体" w:cs="宋体"/>
          <w:i w:val="0"/>
          <w:caps w:val="0"/>
          <w:color w:val="000000"/>
          <w:spacing w:val="0"/>
          <w:sz w:val="22"/>
          <w:szCs w:val="22"/>
        </w:rPr>
        <w:t>    预算金额（元）: 8628205 </w:t>
      </w:r>
      <w:r>
        <w:rPr>
          <w:rFonts w:hint="eastAsia" w:ascii="宋体" w:hAnsi="宋体" w:eastAsia="宋体" w:cs="宋体"/>
          <w:i w:val="0"/>
          <w:caps w:val="0"/>
          <w:color w:val="000000"/>
          <w:spacing w:val="0"/>
          <w:sz w:val="22"/>
          <w:szCs w:val="22"/>
        </w:rPr>
        <w:br w:type="textWrapping"/>
      </w:r>
      <w:r>
        <w:rPr>
          <w:rFonts w:hint="eastAsia" w:ascii="宋体" w:hAnsi="宋体" w:eastAsia="宋体" w:cs="宋体"/>
          <w:i w:val="0"/>
          <w:caps w:val="0"/>
          <w:color w:val="000000"/>
          <w:spacing w:val="0"/>
          <w:sz w:val="22"/>
          <w:szCs w:val="22"/>
        </w:rPr>
        <w:t>    简要规格描述或项目基本概况介绍、用途：详见招标文件 </w:t>
      </w:r>
      <w:r>
        <w:rPr>
          <w:rFonts w:hint="eastAsia" w:ascii="宋体" w:hAnsi="宋体" w:eastAsia="宋体" w:cs="宋体"/>
          <w:i w:val="0"/>
          <w:caps w:val="0"/>
          <w:color w:val="000000"/>
          <w:spacing w:val="0"/>
          <w:sz w:val="22"/>
          <w:szCs w:val="22"/>
        </w:rPr>
        <w:br w:type="textWrapping"/>
      </w:r>
      <w:r>
        <w:rPr>
          <w:rFonts w:hint="eastAsia" w:ascii="宋体" w:hAnsi="宋体" w:eastAsia="宋体" w:cs="宋体"/>
          <w:i w:val="0"/>
          <w:caps w:val="0"/>
          <w:color w:val="000000"/>
          <w:spacing w:val="0"/>
          <w:sz w:val="22"/>
          <w:szCs w:val="22"/>
        </w:rPr>
        <w:t>    备注：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合同履约期限：标项 1，合同签订起4个月内完成交付使用</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本项目（否）接受联合体投标。</w:t>
      </w:r>
    </w:p>
    <w:p>
      <w:pPr>
        <w:pStyle w:val="22"/>
        <w:keepNext w:val="0"/>
        <w:keepLines w:val="0"/>
        <w:widowControl/>
        <w:suppressLineNumbers w:val="0"/>
        <w:spacing w:before="180" w:beforeAutospacing="0" w:after="180" w:afterAutospacing="0" w:line="240" w:lineRule="atLeast"/>
        <w:ind w:left="0" w:right="0"/>
        <w:rPr>
          <w:rFonts w:hint="eastAsia" w:ascii="宋体" w:hAnsi="宋体" w:eastAsia="宋体" w:cs="宋体"/>
          <w:sz w:val="22"/>
          <w:szCs w:val="22"/>
        </w:rPr>
      </w:pPr>
      <w:r>
        <w:rPr>
          <w:rStyle w:val="29"/>
          <w:rFonts w:hint="eastAsia" w:ascii="宋体" w:hAnsi="宋体" w:eastAsia="宋体" w:cs="宋体"/>
          <w:i w:val="0"/>
          <w:caps w:val="0"/>
          <w:color w:val="000000"/>
          <w:spacing w:val="0"/>
          <w:sz w:val="22"/>
          <w:szCs w:val="22"/>
        </w:rPr>
        <w:t>二、申请人的资格要求：</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2.落实政府采购政策需满足的资格要求：无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3.本项目的特定资格要求：无 </w:t>
      </w:r>
    </w:p>
    <w:p>
      <w:pPr>
        <w:pStyle w:val="22"/>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sz w:val="22"/>
          <w:szCs w:val="22"/>
        </w:rPr>
      </w:pPr>
      <w:r>
        <w:rPr>
          <w:rStyle w:val="29"/>
          <w:rFonts w:hint="eastAsia" w:ascii="宋体" w:hAnsi="宋体" w:eastAsia="宋体" w:cs="宋体"/>
          <w:i w:val="0"/>
          <w:caps w:val="0"/>
          <w:color w:val="000000"/>
          <w:spacing w:val="0"/>
          <w:sz w:val="22"/>
          <w:szCs w:val="22"/>
        </w:rPr>
        <w:t>三、获取招标文件</w:t>
      </w:r>
      <w:r>
        <w:rPr>
          <w:rFonts w:hint="eastAsia" w:ascii="宋体" w:hAnsi="宋体" w:eastAsia="宋体" w:cs="宋体"/>
          <w:i w:val="0"/>
          <w:caps w:val="0"/>
          <w:color w:val="000000"/>
          <w:spacing w:val="0"/>
          <w:sz w:val="22"/>
          <w:szCs w:val="22"/>
        </w:rPr>
        <w:t>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w:t>
      </w:r>
      <w:r>
        <w:rPr>
          <w:rFonts w:hint="eastAsia" w:ascii="宋体" w:hAnsi="宋体" w:eastAsia="宋体" w:cs="宋体"/>
          <w:i w:val="0"/>
          <w:caps w:val="0"/>
          <w:color w:val="000000"/>
          <w:spacing w:val="0"/>
          <w:sz w:val="22"/>
          <w:szCs w:val="22"/>
          <w:u w:val="none"/>
        </w:rPr>
        <w:t>时间：2021年03月19日至2021年04月08日 ，每天上午00:00至12:00 ，下午12:00至23:59（北京时间，线上获取法定节假日均可，线下获取文件法定节假日除外）</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地点（网址）：政府采购云平台（https://login.zcygov.cn）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方式：政府采购云平台在线获取：（操作步骤：潜在投标人登陆政府采购云平台，项目采购--获取采购文件菜单，点击【申请获取采购文件】，填写获取采购文件的申请信息，提交后点击【下载采购文件】即可获取招标文件）（公告规定的招标文件获取方式为依法获取招标文件的方式，未按照公告规定的方式获取招标文件的，不得对招标文件提起质疑、投诉。）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售价（元）：0 </w:t>
      </w:r>
    </w:p>
    <w:p>
      <w:pPr>
        <w:pStyle w:val="22"/>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sz w:val="22"/>
          <w:szCs w:val="22"/>
        </w:rPr>
      </w:pPr>
      <w:r>
        <w:rPr>
          <w:rStyle w:val="29"/>
          <w:rFonts w:hint="eastAsia" w:ascii="宋体" w:hAnsi="宋体" w:eastAsia="宋体" w:cs="宋体"/>
          <w:i w:val="0"/>
          <w:caps w:val="0"/>
          <w:color w:val="000000"/>
          <w:spacing w:val="0"/>
          <w:sz w:val="22"/>
          <w:szCs w:val="22"/>
        </w:rPr>
        <w:t>四、提交投标文件截止时间、开标时间和地点</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w:t>
      </w:r>
      <w:r>
        <w:rPr>
          <w:rFonts w:hint="eastAsia" w:ascii="宋体" w:hAnsi="宋体" w:eastAsia="宋体" w:cs="宋体"/>
          <w:i w:val="0"/>
          <w:caps w:val="0"/>
          <w:color w:val="000000"/>
          <w:spacing w:val="0"/>
          <w:sz w:val="22"/>
          <w:szCs w:val="22"/>
          <w:u w:val="none"/>
        </w:rPr>
        <w:t> 提交投标文件截止时间：2021年04月09日 09:30（北京时间）</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w:t>
      </w:r>
      <w:r>
        <w:rPr>
          <w:rFonts w:hint="eastAsia" w:ascii="宋体" w:hAnsi="宋体" w:eastAsia="宋体" w:cs="宋体"/>
          <w:i w:val="0"/>
          <w:caps w:val="0"/>
          <w:color w:val="000000"/>
          <w:spacing w:val="0"/>
          <w:sz w:val="22"/>
          <w:szCs w:val="22"/>
          <w:u w:val="none"/>
        </w:rPr>
        <w:t> 投标地点（网址）：政府采购云平台（https://login.zcygov.cn）</w:t>
      </w:r>
      <w:r>
        <w:rPr>
          <w:rFonts w:hint="eastAsia" w:ascii="宋体" w:hAnsi="宋体" w:eastAsia="宋体" w:cs="宋体"/>
          <w:i w:val="0"/>
          <w:caps w:val="0"/>
          <w:color w:val="000000"/>
          <w:spacing w:val="0"/>
          <w:sz w:val="22"/>
          <w:szCs w:val="22"/>
        </w:rPr>
        <w:t>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u w:val="none"/>
        </w:rPr>
        <w:t>    开标时间：2021年04月09日 09:30</w:t>
      </w:r>
      <w:r>
        <w:rPr>
          <w:rFonts w:hint="eastAsia" w:ascii="宋体" w:hAnsi="宋体" w:eastAsia="宋体" w:cs="宋体"/>
          <w:i w:val="0"/>
          <w:caps w:val="0"/>
          <w:color w:val="000000"/>
          <w:spacing w:val="0"/>
          <w:sz w:val="22"/>
          <w:szCs w:val="22"/>
        </w:rPr>
        <w:t>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u w:val="none"/>
        </w:rPr>
        <w:t>    开标地点（网址）：温州市行政审批与公共资源交易服务管理中心（温州市会展路1268号温州市民中心A座3楼，见当日大厅公示栏)（网址：政府采购云平台</w:t>
      </w:r>
      <w:r>
        <w:rPr>
          <w:rFonts w:hint="eastAsia" w:ascii="宋体" w:hAnsi="宋体" w:eastAsia="宋体" w:cs="宋体"/>
          <w:i w:val="0"/>
          <w:caps w:val="0"/>
          <w:color w:val="000000"/>
          <w:spacing w:val="0"/>
          <w:sz w:val="22"/>
          <w:szCs w:val="22"/>
        </w:rPr>
        <w:t>  </w:t>
      </w:r>
    </w:p>
    <w:p>
      <w:pPr>
        <w:pStyle w:val="22"/>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sz w:val="22"/>
          <w:szCs w:val="22"/>
        </w:rPr>
      </w:pPr>
      <w:r>
        <w:rPr>
          <w:rStyle w:val="29"/>
          <w:rFonts w:hint="eastAsia" w:ascii="宋体" w:hAnsi="宋体" w:eastAsia="宋体" w:cs="宋体"/>
          <w:i w:val="0"/>
          <w:caps w:val="0"/>
          <w:color w:val="000000"/>
          <w:spacing w:val="0"/>
          <w:sz w:val="22"/>
          <w:szCs w:val="22"/>
        </w:rPr>
        <w:t>五、公告期限</w:t>
      </w:r>
      <w:r>
        <w:rPr>
          <w:rFonts w:hint="eastAsia" w:ascii="宋体" w:hAnsi="宋体" w:eastAsia="宋体" w:cs="宋体"/>
          <w:i w:val="0"/>
          <w:caps w:val="0"/>
          <w:color w:val="000000"/>
          <w:spacing w:val="0"/>
          <w:sz w:val="22"/>
          <w:szCs w:val="22"/>
        </w:rPr>
        <w:t> </w:t>
      </w:r>
    </w:p>
    <w:p>
      <w:pPr>
        <w:pStyle w:val="22"/>
        <w:keepNext w:val="0"/>
        <w:keepLines w:val="0"/>
        <w:widowControl/>
        <w:suppressLineNumbers w:val="0"/>
        <w:spacing w:before="60" w:beforeAutospacing="0" w:after="60" w:afterAutospacing="0"/>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自本公告发布之日起5个工作日。</w:t>
      </w:r>
    </w:p>
    <w:p>
      <w:pPr>
        <w:pStyle w:val="22"/>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sz w:val="22"/>
          <w:szCs w:val="22"/>
        </w:rPr>
      </w:pPr>
      <w:r>
        <w:rPr>
          <w:rStyle w:val="29"/>
          <w:rFonts w:hint="eastAsia" w:ascii="宋体" w:hAnsi="宋体" w:eastAsia="宋体" w:cs="宋体"/>
          <w:i w:val="0"/>
          <w:caps w:val="0"/>
          <w:color w:val="000000"/>
          <w:spacing w:val="0"/>
          <w:sz w:val="22"/>
          <w:szCs w:val="22"/>
        </w:rPr>
        <w:t>六、其他补充事宜</w:t>
      </w:r>
    </w:p>
    <w:p>
      <w:pPr>
        <w:pStyle w:val="22"/>
        <w:keepNext w:val="0"/>
        <w:keepLines w:val="0"/>
        <w:widowControl/>
        <w:suppressLineNumbers w:val="0"/>
        <w:spacing w:before="60" w:beforeAutospacing="0" w:after="60" w:afterAutospacing="0" w:line="315"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caps w:val="0"/>
          <w:color w:val="000000"/>
          <w:spacing w:val="0"/>
          <w:sz w:val="22"/>
          <w:szCs w:val="22"/>
        </w:rPr>
        <w:br w:type="textWrapping"/>
      </w:r>
      <w:r>
        <w:rPr>
          <w:rFonts w:hint="eastAsia" w:ascii="宋体" w:hAnsi="宋体" w:eastAsia="宋体" w:cs="宋体"/>
          <w:i w:val="0"/>
          <w:caps w:val="0"/>
          <w:color w:val="000000"/>
          <w:spacing w:val="0"/>
          <w:sz w:val="22"/>
          <w:szCs w:val="22"/>
        </w:rPr>
        <w:t>    2.其他事项：2.1投标人必须先在政府采购云平台进行登记注册，相关事宜请参照（《供应商网上注册操作指南》“浙江政府采购网首页-办事指南-注册-供应商注册申请”），登录政府采购云平台后台依法进行网上自主下载。2.2本项目实行电子投标，应按照本项目招标文件和政采云平台的要求编制、加密并递交投标文件。投标人在使用系统进行投标的过程中遇到涉及平台使用的任何问题，可致电政采云平台技术支持热线咨询，联系方式：400-881-7190。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https://service.zcygov.cn/#/knowledges/cm2eqWwBFdiHxlNd_otq/lwV6GXABiyELHE-oVMj3?keyword。2.4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2.5投标人可通过浙江省“电子交易/不见面开评标”学习专题提前进行专题学习，熟悉操作，避免影响采购活动（https://edu.zcygov.cn/luban/e-biding）。  </w:t>
      </w:r>
    </w:p>
    <w:p>
      <w:pPr>
        <w:pStyle w:val="22"/>
        <w:keepNext w:val="0"/>
        <w:keepLines w:val="0"/>
        <w:widowControl/>
        <w:suppressLineNumbers w:val="0"/>
        <w:spacing w:before="204" w:beforeAutospacing="0" w:after="204" w:afterAutospacing="0" w:line="384" w:lineRule="atLeast"/>
        <w:ind w:left="0" w:right="0"/>
        <w:jc w:val="both"/>
        <w:rPr>
          <w:rFonts w:hint="eastAsia" w:ascii="宋体" w:hAnsi="宋体" w:eastAsia="宋体" w:cs="宋体"/>
          <w:sz w:val="22"/>
          <w:szCs w:val="22"/>
        </w:rPr>
      </w:pPr>
      <w:r>
        <w:rPr>
          <w:rStyle w:val="29"/>
          <w:rFonts w:hint="eastAsia" w:ascii="宋体" w:hAnsi="宋体" w:eastAsia="宋体" w:cs="宋体"/>
          <w:i w:val="0"/>
          <w:caps w:val="0"/>
          <w:color w:val="000000"/>
          <w:spacing w:val="0"/>
          <w:sz w:val="22"/>
          <w:szCs w:val="22"/>
        </w:rPr>
        <w:t>七、对本次采购提出询问、质疑、投诉，请按以下方式联系</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1.采购人信息</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名    称：温州大学瓯江学院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地    址：温州市瓯海区茶山高教园区景观大道1号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传    真：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项目联系人（询问）：沈老师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项目联系方式（询问）：(0577) 866-80781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质疑联系人：杨老师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质疑联系方式：0577-86680752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w:t>
      </w:r>
      <w:r>
        <w:rPr>
          <w:rFonts w:hint="eastAsia" w:ascii="宋体" w:hAnsi="宋体" w:eastAsia="宋体" w:cs="宋体"/>
          <w:i w:val="0"/>
          <w:caps w:val="0"/>
          <w:color w:val="000000"/>
          <w:spacing w:val="0"/>
          <w:sz w:val="22"/>
          <w:szCs w:val="22"/>
        </w:rPr>
        <w:br w:type="textWrapping"/>
      </w:r>
      <w:r>
        <w:rPr>
          <w:rFonts w:hint="eastAsia" w:ascii="宋体" w:hAnsi="宋体" w:eastAsia="宋体" w:cs="宋体"/>
          <w:i w:val="0"/>
          <w:caps w:val="0"/>
          <w:color w:val="000000"/>
          <w:spacing w:val="0"/>
          <w:sz w:val="22"/>
          <w:szCs w:val="22"/>
        </w:rPr>
        <w:t>    2.采购代理机构信息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名    称：浙江乐诚工程咨询有限公司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地    址：温州大学茶山南校区行政楼509B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传    真：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项目联系人（询问）：王女士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项目联系方式（询问）：0577-86596032、18357703076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质疑联系人：陈素芳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质疑联系方式：15805779720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w:t>
      </w:r>
      <w:r>
        <w:rPr>
          <w:rFonts w:hint="eastAsia" w:ascii="宋体" w:hAnsi="宋体" w:eastAsia="宋体" w:cs="宋体"/>
          <w:i w:val="0"/>
          <w:caps w:val="0"/>
          <w:color w:val="000000"/>
          <w:spacing w:val="0"/>
          <w:sz w:val="22"/>
          <w:szCs w:val="22"/>
        </w:rPr>
        <w:br w:type="textWrapping"/>
      </w:r>
      <w:r>
        <w:rPr>
          <w:rFonts w:hint="eastAsia" w:ascii="宋体" w:hAnsi="宋体" w:eastAsia="宋体" w:cs="宋体"/>
          <w:i w:val="0"/>
          <w:caps w:val="0"/>
          <w:color w:val="000000"/>
          <w:spacing w:val="0"/>
          <w:sz w:val="22"/>
          <w:szCs w:val="22"/>
        </w:rPr>
        <w:t>    3.同级政府采购监督管理部门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名    称：温州市财政局政府采购监管处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地    址：温州市鹿城区绣山路299号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传    真：/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联系人 ：陈先生、马女士             </w:t>
      </w:r>
    </w:p>
    <w:p>
      <w:pPr>
        <w:pStyle w:val="22"/>
        <w:keepNext w:val="0"/>
        <w:keepLines w:val="0"/>
        <w:widowControl/>
        <w:suppressLineNumbers w:val="0"/>
        <w:spacing w:before="60" w:beforeAutospacing="0" w:after="60" w:afterAutospacing="0" w:line="240" w:lineRule="atLeast"/>
        <w:ind w:left="0" w:right="0"/>
        <w:rPr>
          <w:rFonts w:hint="eastAsia" w:ascii="宋体" w:hAnsi="宋体" w:eastAsia="宋体" w:cs="宋体"/>
          <w:sz w:val="22"/>
          <w:szCs w:val="22"/>
        </w:rPr>
      </w:pPr>
      <w:r>
        <w:rPr>
          <w:rFonts w:hint="eastAsia" w:ascii="宋体" w:hAnsi="宋体" w:eastAsia="宋体" w:cs="宋体"/>
          <w:i w:val="0"/>
          <w:caps w:val="0"/>
          <w:color w:val="000000"/>
          <w:spacing w:val="0"/>
          <w:sz w:val="22"/>
          <w:szCs w:val="22"/>
        </w:rPr>
        <w:t>    监督投诉电话：0577-88506788、88523909           </w:t>
      </w:r>
      <w:r>
        <w:rPr>
          <w:rFonts w:hint="eastAsia" w:ascii="宋体" w:hAnsi="宋体" w:eastAsia="宋体" w:cs="宋体"/>
          <w:i w:val="0"/>
          <w:caps w:val="0"/>
          <w:color w:val="000000"/>
          <w:spacing w:val="0"/>
          <w:sz w:val="22"/>
          <w:szCs w:val="22"/>
        </w:rPr>
        <w:br w:type="textWrapping"/>
      </w:r>
      <w:r>
        <w:rPr>
          <w:rFonts w:hint="eastAsia" w:ascii="宋体" w:hAnsi="宋体" w:eastAsia="宋体" w:cs="宋体"/>
          <w:i w:val="0"/>
          <w:caps w:val="0"/>
          <w:color w:val="000000"/>
          <w:spacing w:val="0"/>
          <w:sz w:val="22"/>
          <w:szCs w:val="22"/>
        </w:rPr>
        <w:t>         </w:t>
      </w:r>
    </w:p>
    <w:p>
      <w:pPr>
        <w:pStyle w:val="22"/>
        <w:keepNext w:val="0"/>
        <w:keepLines w:val="0"/>
        <w:widowControl/>
        <w:suppressLineNumbers w:val="0"/>
        <w:spacing w:before="60" w:beforeAutospacing="0" w:after="60" w:afterAutospacing="0"/>
        <w:ind w:left="0" w:right="0"/>
        <w:rPr>
          <w:rFonts w:hint="eastAsia" w:ascii="宋体" w:hAnsi="宋体" w:eastAsia="宋体" w:cs="宋体"/>
          <w:sz w:val="22"/>
          <w:szCs w:val="22"/>
        </w:rPr>
      </w:pPr>
    </w:p>
    <w:p>
      <w:pPr>
        <w:keepNext w:val="0"/>
        <w:keepLines w:val="0"/>
        <w:widowControl/>
        <w:suppressLineNumbers w:val="0"/>
        <w:ind w:left="0" w:firstLine="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ind w:left="0" w:firstLine="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CA问题联系电话（人工）：汇信CA 400-888-4636；天谷CA 400-087-8198。</w:t>
      </w:r>
    </w:p>
    <w:p>
      <w:pPr>
        <w:spacing w:line="360" w:lineRule="exact"/>
        <w:jc w:val="right"/>
        <w:rPr>
          <w:rFonts w:hint="eastAsia" w:ascii="宋体" w:hAnsi="宋体" w:eastAsia="宋体" w:cs="宋体"/>
          <w:color w:val="auto"/>
          <w:sz w:val="22"/>
          <w:szCs w:val="22"/>
          <w:highlight w:val="none"/>
        </w:rPr>
      </w:pPr>
    </w:p>
    <w:p>
      <w:pPr>
        <w:spacing w:line="360" w:lineRule="exact"/>
        <w:jc w:val="right"/>
        <w:rPr>
          <w:rFonts w:ascii="宋体" w:hAnsi="宋体" w:cs="宋体"/>
          <w:color w:val="auto"/>
          <w:sz w:val="22"/>
          <w:highlight w:val="none"/>
        </w:rPr>
      </w:pPr>
    </w:p>
    <w:p>
      <w:pPr>
        <w:spacing w:line="360" w:lineRule="exact"/>
        <w:jc w:val="right"/>
        <w:rPr>
          <w:rFonts w:ascii="宋体" w:hAnsi="宋体" w:cs="宋体"/>
          <w:color w:val="auto"/>
          <w:sz w:val="22"/>
          <w:highlight w:val="none"/>
        </w:rPr>
      </w:pPr>
      <w:r>
        <w:rPr>
          <w:rFonts w:hint="eastAsia" w:ascii="宋体" w:hAnsi="宋体" w:cs="宋体"/>
          <w:color w:val="auto"/>
          <w:sz w:val="22"/>
          <w:highlight w:val="none"/>
        </w:rPr>
        <w:t>温州大学瓯江学院</w:t>
      </w:r>
    </w:p>
    <w:p>
      <w:pPr>
        <w:spacing w:line="360" w:lineRule="exact"/>
        <w:jc w:val="right"/>
        <w:rPr>
          <w:rFonts w:ascii="宋体" w:hAnsi="宋体" w:cs="宋体"/>
          <w:color w:val="auto"/>
          <w:sz w:val="22"/>
          <w:highlight w:val="none"/>
        </w:rPr>
      </w:pPr>
      <w:r>
        <w:rPr>
          <w:rFonts w:hint="eastAsia" w:ascii="宋体" w:hAnsi="宋体" w:cs="宋体"/>
          <w:color w:val="auto"/>
          <w:sz w:val="22"/>
          <w:highlight w:val="none"/>
        </w:rPr>
        <w:t>浙江乐诚工程咨询有限公司</w:t>
      </w:r>
    </w:p>
    <w:p>
      <w:pPr>
        <w:spacing w:line="360" w:lineRule="exact"/>
        <w:jc w:val="right"/>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2020年03月19日</w:t>
      </w:r>
    </w:p>
    <w:p>
      <w:pPr>
        <w:pStyle w:val="10"/>
        <w:ind w:firstLine="221"/>
        <w:rPr>
          <w:rFonts w:ascii="宋体" w:hAnsi="宋体" w:cs="宋体"/>
          <w:color w:val="auto"/>
          <w:sz w:val="22"/>
          <w:highlight w:val="none"/>
        </w:rPr>
      </w:pPr>
    </w:p>
    <w:p>
      <w:pPr>
        <w:pStyle w:val="10"/>
        <w:ind w:firstLine="221"/>
        <w:rPr>
          <w:rFonts w:ascii="宋体" w:hAnsi="宋体" w:cs="宋体"/>
          <w:color w:val="auto"/>
          <w:sz w:val="22"/>
          <w:highlight w:val="none"/>
        </w:rPr>
      </w:pPr>
    </w:p>
    <w:p>
      <w:pPr>
        <w:pStyle w:val="10"/>
        <w:ind w:firstLine="221"/>
        <w:rPr>
          <w:rFonts w:ascii="宋体" w:hAnsi="宋体" w:cs="宋体"/>
          <w:color w:val="auto"/>
          <w:sz w:val="22"/>
          <w:highlight w:val="none"/>
        </w:rPr>
      </w:pPr>
    </w:p>
    <w:p>
      <w:pPr>
        <w:pStyle w:val="10"/>
        <w:ind w:firstLine="221"/>
        <w:rPr>
          <w:rFonts w:ascii="宋体" w:hAnsi="宋体" w:cs="宋体"/>
          <w:color w:val="auto"/>
          <w:sz w:val="22"/>
          <w:highlight w:val="none"/>
        </w:rPr>
      </w:pPr>
    </w:p>
    <w:p>
      <w:pPr>
        <w:pStyle w:val="10"/>
        <w:ind w:firstLine="221"/>
        <w:rPr>
          <w:rFonts w:ascii="宋体" w:hAnsi="宋体" w:cs="宋体"/>
          <w:color w:val="auto"/>
          <w:sz w:val="22"/>
          <w:highlight w:val="none"/>
        </w:rPr>
      </w:pPr>
    </w:p>
    <w:p>
      <w:pPr>
        <w:pStyle w:val="10"/>
        <w:ind w:firstLine="221"/>
        <w:rPr>
          <w:rFonts w:ascii="宋体" w:hAnsi="宋体" w:cs="宋体"/>
          <w:color w:val="auto"/>
          <w:sz w:val="22"/>
          <w:highlight w:val="none"/>
        </w:rPr>
      </w:pPr>
    </w:p>
    <w:p>
      <w:pPr>
        <w:pStyle w:val="10"/>
        <w:ind w:firstLine="221"/>
        <w:rPr>
          <w:rFonts w:ascii="宋体" w:hAnsi="宋体" w:cs="宋体"/>
          <w:color w:val="auto"/>
          <w:sz w:val="22"/>
          <w:highlight w:val="none"/>
        </w:rPr>
      </w:pPr>
    </w:p>
    <w:p>
      <w:pPr>
        <w:pStyle w:val="10"/>
        <w:ind w:firstLine="221"/>
        <w:rPr>
          <w:rFonts w:ascii="宋体" w:hAnsi="宋体" w:cs="宋体"/>
          <w:color w:val="auto"/>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2"/>
        <w:widowControl/>
        <w:numPr>
          <w:ilvl w:val="1"/>
          <w:numId w:val="0"/>
        </w:numPr>
        <w:spacing w:before="0" w:after="0" w:line="480" w:lineRule="auto"/>
        <w:jc w:val="center"/>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rPr>
        <w:t>浙江乐诚工程咨询有限公司关于温州大学瓯江学院智慧校园建设设备的招标文件需求公示</w:t>
      </w:r>
    </w:p>
    <w:p>
      <w:pPr>
        <w:spacing w:line="400" w:lineRule="exact"/>
        <w:ind w:firstLine="440" w:firstLineChars="200"/>
        <w:rPr>
          <w:rFonts w:ascii="宋体" w:hAnsi="宋体" w:cs="宋体"/>
          <w:color w:val="auto"/>
          <w:kern w:val="0"/>
          <w:sz w:val="22"/>
          <w:highlight w:val="none"/>
          <w:lang w:val="zh-CN"/>
        </w:rPr>
      </w:pPr>
      <w:bookmarkStart w:id="0" w:name="OLE_LINK1"/>
      <w:r>
        <w:rPr>
          <w:rFonts w:hint="eastAsia" w:ascii="宋体" w:hAnsi="宋体" w:cs="宋体"/>
          <w:color w:val="auto"/>
          <w:kern w:val="0"/>
          <w:sz w:val="22"/>
          <w:highlight w:val="none"/>
          <w:lang w:val="zh-CN"/>
        </w:rPr>
        <w:t>浙江乐诚工程咨询有限公司受温州大学瓯江学院委托，就</w:t>
      </w:r>
      <w:r>
        <w:rPr>
          <w:rFonts w:hint="eastAsia" w:ascii="宋体" w:hAnsi="宋体" w:cs="宋体"/>
          <w:color w:val="auto"/>
          <w:sz w:val="22"/>
          <w:highlight w:val="none"/>
        </w:rPr>
        <w:t>智慧校园建设设备</w:t>
      </w:r>
      <w:r>
        <w:rPr>
          <w:rFonts w:hint="eastAsia" w:ascii="宋体" w:hAnsi="宋体" w:cs="宋体"/>
          <w:color w:val="auto"/>
          <w:kern w:val="0"/>
          <w:sz w:val="22"/>
          <w:highlight w:val="none"/>
          <w:lang w:val="zh-CN"/>
        </w:rPr>
        <w:t>项目进行公开招标。现将招标文件征求意见稿予以公示，公开征求意见。</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一、采购人名称：温州大学瓯江学院</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二、采购项目名称：</w:t>
      </w:r>
      <w:r>
        <w:rPr>
          <w:rFonts w:hint="eastAsia" w:ascii="宋体" w:hAnsi="宋体" w:cs="宋体"/>
          <w:color w:val="auto"/>
          <w:sz w:val="22"/>
          <w:highlight w:val="none"/>
        </w:rPr>
        <w:t>智慧校园建设设备</w:t>
      </w:r>
    </w:p>
    <w:p>
      <w:pPr>
        <w:spacing w:line="400" w:lineRule="exact"/>
        <w:ind w:firstLine="440" w:firstLineChars="200"/>
        <w:rPr>
          <w:rFonts w:hint="eastAsia" w:ascii="宋体" w:hAnsi="宋体" w:eastAsia="宋体" w:cs="宋体"/>
          <w:color w:val="auto"/>
          <w:kern w:val="0"/>
          <w:sz w:val="22"/>
          <w:highlight w:val="none"/>
          <w:lang w:val="zh-CN" w:eastAsia="zh-CN"/>
        </w:rPr>
      </w:pPr>
      <w:r>
        <w:rPr>
          <w:rFonts w:hint="eastAsia" w:ascii="宋体" w:hAnsi="宋体" w:cs="宋体"/>
          <w:color w:val="auto"/>
          <w:kern w:val="0"/>
          <w:sz w:val="22"/>
          <w:highlight w:val="none"/>
          <w:lang w:val="zh-CN"/>
        </w:rPr>
        <w:t>三、采购项目编号</w:t>
      </w:r>
      <w:r>
        <w:rPr>
          <w:rFonts w:hint="eastAsia" w:ascii="宋体" w:hAnsi="宋体" w:cs="宋体"/>
          <w:color w:val="auto"/>
          <w:sz w:val="22"/>
          <w:highlight w:val="none"/>
          <w:lang w:val="zh-CN"/>
        </w:rPr>
        <w:t>：</w:t>
      </w:r>
      <w:r>
        <w:rPr>
          <w:rFonts w:hint="eastAsia" w:ascii="宋体" w:hAnsi="宋体" w:cs="宋体"/>
          <w:color w:val="auto"/>
          <w:sz w:val="22"/>
          <w:highlight w:val="none"/>
          <w:lang w:eastAsia="zh-CN"/>
        </w:rPr>
        <w:t>ZJYC2021010(GK)</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四、采购组织类型：分散采购委托代理</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五、采购方式：公开招标</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六、本公告发布范围：浙江省政府采购网</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七、征求意见范围：</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1、招标文件中是否存在明显的倾向性意见和特定的服务要求；</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2、投标人资格条件是否存在明显的倾向性和歧视性；</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3、是否存在与相关法律法规和政策规定相冲突的情况；</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4、影响政府采购“公开、公平、公正”原则的其他情况。</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八、意见提交方式：</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各潜在投标人和有关专家提出建议和修改理由的，须以书面形式递交，并请于</w:t>
      </w:r>
      <w:r>
        <w:rPr>
          <w:rFonts w:hint="eastAsia" w:ascii="宋体" w:hAnsi="宋体" w:cs="宋体"/>
          <w:color w:val="auto"/>
          <w:sz w:val="22"/>
          <w:highlight w:val="none"/>
          <w:lang w:eastAsia="zh-CN"/>
        </w:rPr>
        <w:t>2020年03月</w:t>
      </w:r>
      <w:r>
        <w:rPr>
          <w:rFonts w:hint="eastAsia" w:ascii="宋体" w:hAnsi="宋体" w:cs="宋体"/>
          <w:color w:val="auto"/>
          <w:sz w:val="22"/>
          <w:highlight w:val="none"/>
          <w:lang w:val="en-US" w:eastAsia="zh-CN"/>
        </w:rPr>
        <w:t>24</w:t>
      </w:r>
      <w:r>
        <w:rPr>
          <w:rFonts w:hint="eastAsia" w:ascii="宋体" w:hAnsi="宋体" w:cs="宋体"/>
          <w:color w:val="auto"/>
          <w:sz w:val="22"/>
          <w:highlight w:val="none"/>
          <w:lang w:eastAsia="zh-CN"/>
        </w:rPr>
        <w:t>日</w:t>
      </w:r>
      <w:r>
        <w:rPr>
          <w:rFonts w:hint="eastAsia" w:ascii="宋体" w:hAnsi="宋体" w:cs="宋体"/>
          <w:color w:val="auto"/>
          <w:kern w:val="0"/>
          <w:sz w:val="22"/>
          <w:highlight w:val="none"/>
          <w:lang w:val="zh-CN"/>
        </w:rPr>
        <w:t>下午</w:t>
      </w:r>
      <w:r>
        <w:rPr>
          <w:rFonts w:hint="eastAsia" w:ascii="宋体" w:hAnsi="宋体" w:cs="宋体"/>
          <w:color w:val="auto"/>
          <w:kern w:val="0"/>
          <w:sz w:val="22"/>
          <w:highlight w:val="none"/>
        </w:rPr>
        <w:t>16</w:t>
      </w:r>
      <w:r>
        <w:rPr>
          <w:rFonts w:hint="eastAsia" w:ascii="宋体" w:hAnsi="宋体" w:cs="宋体"/>
          <w:color w:val="auto"/>
          <w:kern w:val="0"/>
          <w:sz w:val="22"/>
          <w:highlight w:val="none"/>
          <w:lang w:val="zh-CN"/>
        </w:rPr>
        <w:t>时</w:t>
      </w: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0分前将书面材料密封后送至温州大学茶山南校区行政楼509B室；或通过传真方式送达（传真：057</w:t>
      </w:r>
      <w:r>
        <w:rPr>
          <w:rFonts w:hint="eastAsia" w:ascii="宋体" w:hAnsi="宋体" w:cs="宋体"/>
          <w:color w:val="auto"/>
          <w:kern w:val="0"/>
          <w:sz w:val="22"/>
          <w:highlight w:val="none"/>
        </w:rPr>
        <w:t>7-86596032</w:t>
      </w:r>
      <w:r>
        <w:rPr>
          <w:rFonts w:hint="eastAsia" w:ascii="宋体" w:hAnsi="宋体" w:cs="宋体"/>
          <w:color w:val="auto"/>
          <w:kern w:val="0"/>
          <w:sz w:val="22"/>
          <w:highlight w:val="none"/>
          <w:lang w:val="zh-CN"/>
        </w:rPr>
        <w:t>），传真件必须签字（投标人须加盖单位公章），并告知联系电话等通讯方式；或通过电子邮件方式发至</w:t>
      </w:r>
      <w:r>
        <w:rPr>
          <w:rFonts w:hint="eastAsia" w:ascii="宋体" w:hAnsi="宋体" w:cs="宋体"/>
          <w:color w:val="auto"/>
          <w:kern w:val="0"/>
          <w:sz w:val="22"/>
          <w:highlight w:val="none"/>
          <w:lang w:eastAsia="zh-CN"/>
        </w:rPr>
        <w:t>2812799762</w:t>
      </w:r>
      <w:r>
        <w:rPr>
          <w:rFonts w:hint="eastAsia" w:ascii="宋体" w:hAnsi="宋体" w:cs="宋体"/>
          <w:color w:val="auto"/>
          <w:kern w:val="0"/>
          <w:sz w:val="22"/>
          <w:highlight w:val="none"/>
        </w:rPr>
        <w:t>@qq</w:t>
      </w:r>
      <w:r>
        <w:rPr>
          <w:rFonts w:hint="eastAsia" w:ascii="宋体" w:hAnsi="宋体" w:cs="宋体"/>
          <w:color w:val="auto"/>
          <w:kern w:val="0"/>
          <w:sz w:val="22"/>
          <w:highlight w:val="none"/>
          <w:lang w:val="zh-CN"/>
        </w:rPr>
        <w:t>.com（附相关资料扫描件），并告知联系电话等通讯方式。</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九、对建议和修改理由的要求：</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1、各潜在投标人、有关专家提出建议和修改理由必须是真实、有依据的，并应注明有异议的原文或章节，以及所依据的相关法规制度。</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2、潜在投标人须在书面材料上加盖单位公章，经法定代表人签字</w:t>
      </w:r>
      <w:r>
        <w:rPr>
          <w:rFonts w:hint="eastAsia" w:ascii="宋体" w:hAnsi="宋体" w:cs="宋体"/>
          <w:color w:val="auto"/>
          <w:kern w:val="0"/>
          <w:sz w:val="22"/>
          <w:highlight w:val="none"/>
        </w:rPr>
        <w:t>或</w:t>
      </w:r>
      <w:r>
        <w:rPr>
          <w:rFonts w:hint="eastAsia" w:ascii="宋体" w:hAnsi="宋体" w:cs="宋体"/>
          <w:color w:val="auto"/>
          <w:kern w:val="0"/>
          <w:sz w:val="22"/>
          <w:highlight w:val="none"/>
          <w:lang w:val="zh-CN"/>
        </w:rPr>
        <w:t>盖章。由授权委托人签字的，须出具针对该项目的法人授权委托书、授权委托人的身份证复印件和联系电话，同时附企业法人营业执照复印件（加盖单位公章）。</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3、有关专家提出建议和修改理由的，须出具本人与该项目相关的专业证书复印件（如政府采购评审专家证书或职称证书、工作证明等），并告知联系电话等通讯方式。</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4、对逾期送达或未按照本公告规定方式回复建议和修改理由的，将不予接受。</w:t>
      </w:r>
    </w:p>
    <w:p>
      <w:pPr>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十、对提供虚假材料或恶意扰乱政府采购正常秩序的，将提请政府采购监督管理部门处理。</w:t>
      </w:r>
    </w:p>
    <w:p>
      <w:pPr>
        <w:pStyle w:val="22"/>
        <w:spacing w:before="0" w:beforeAutospacing="0" w:after="0" w:afterAutospacing="0" w:line="360" w:lineRule="exact"/>
        <w:ind w:firstLine="440" w:firstLineChars="200"/>
        <w:jc w:val="both"/>
        <w:rPr>
          <w:rFonts w:hint="eastAsia" w:eastAsia="宋体"/>
          <w:color w:val="auto"/>
          <w:sz w:val="22"/>
          <w:highlight w:val="none"/>
          <w:lang w:eastAsia="zh-CN"/>
        </w:rPr>
      </w:pPr>
      <w:r>
        <w:rPr>
          <w:rFonts w:hint="eastAsia"/>
          <w:color w:val="auto"/>
          <w:sz w:val="22"/>
          <w:highlight w:val="none"/>
          <w:lang w:val="zh-CN"/>
        </w:rPr>
        <w:t>十一、</w:t>
      </w:r>
      <w:bookmarkEnd w:id="0"/>
      <w:r>
        <w:rPr>
          <w:rStyle w:val="29"/>
          <w:rFonts w:hint="eastAsia"/>
          <w:color w:val="auto"/>
          <w:sz w:val="22"/>
          <w:highlight w:val="none"/>
        </w:rPr>
        <w:t>联系</w:t>
      </w:r>
      <w:r>
        <w:rPr>
          <w:rStyle w:val="29"/>
          <w:rFonts w:hint="eastAsia"/>
          <w:color w:val="auto"/>
          <w:sz w:val="22"/>
          <w:highlight w:val="none"/>
          <w:lang w:eastAsia="zh-CN"/>
        </w:rPr>
        <w:t>方式</w:t>
      </w:r>
    </w:p>
    <w:p>
      <w:pPr>
        <w:pStyle w:val="22"/>
        <w:spacing w:before="0" w:beforeAutospacing="0" w:after="0" w:afterAutospacing="0" w:line="360" w:lineRule="exact"/>
        <w:rPr>
          <w:color w:val="auto"/>
          <w:sz w:val="22"/>
          <w:highlight w:val="none"/>
        </w:rPr>
      </w:pPr>
      <w:r>
        <w:rPr>
          <w:rFonts w:hint="eastAsia"/>
          <w:color w:val="auto"/>
          <w:sz w:val="22"/>
          <w:highlight w:val="none"/>
        </w:rPr>
        <w:t>    1.采购人信息</w:t>
      </w:r>
    </w:p>
    <w:p>
      <w:pPr>
        <w:pStyle w:val="22"/>
        <w:spacing w:before="0" w:beforeAutospacing="0" w:after="0" w:afterAutospacing="0" w:line="360" w:lineRule="exact"/>
        <w:rPr>
          <w:color w:val="auto"/>
          <w:sz w:val="22"/>
          <w:highlight w:val="none"/>
        </w:rPr>
      </w:pPr>
      <w:r>
        <w:rPr>
          <w:rFonts w:hint="eastAsia"/>
          <w:color w:val="auto"/>
          <w:sz w:val="22"/>
          <w:highlight w:val="none"/>
        </w:rPr>
        <w:t>    名    称：温州大学瓯江学院 </w:t>
      </w:r>
    </w:p>
    <w:p>
      <w:pPr>
        <w:pStyle w:val="22"/>
        <w:spacing w:before="0" w:beforeAutospacing="0" w:after="0" w:afterAutospacing="0" w:line="360" w:lineRule="exact"/>
        <w:ind w:firstLine="660"/>
        <w:rPr>
          <w:rFonts w:hint="eastAsia"/>
          <w:color w:val="auto"/>
          <w:sz w:val="22"/>
          <w:highlight w:val="none"/>
        </w:rPr>
      </w:pPr>
      <w:r>
        <w:rPr>
          <w:rFonts w:hint="eastAsia"/>
          <w:color w:val="auto"/>
          <w:sz w:val="22"/>
          <w:highlight w:val="none"/>
        </w:rPr>
        <w:t>地    址：温州市瓯海区茶山高教园区景观大道1号</w:t>
      </w:r>
    </w:p>
    <w:p>
      <w:pPr>
        <w:pStyle w:val="22"/>
        <w:spacing w:before="0" w:beforeAutospacing="0" w:after="0" w:afterAutospacing="0" w:line="360" w:lineRule="exact"/>
        <w:ind w:firstLine="660"/>
        <w:rPr>
          <w:color w:val="auto"/>
          <w:sz w:val="22"/>
          <w:highlight w:val="none"/>
        </w:rPr>
      </w:pPr>
      <w:r>
        <w:rPr>
          <w:rFonts w:hint="eastAsia"/>
          <w:color w:val="auto"/>
          <w:sz w:val="22"/>
          <w:highlight w:val="none"/>
        </w:rPr>
        <w:t>传    真：/  </w:t>
      </w:r>
    </w:p>
    <w:p>
      <w:pPr>
        <w:pStyle w:val="22"/>
        <w:spacing w:before="0" w:beforeAutospacing="0" w:after="0" w:afterAutospacing="0" w:line="360" w:lineRule="exact"/>
        <w:rPr>
          <w:color w:val="auto"/>
          <w:sz w:val="22"/>
          <w:highlight w:val="none"/>
        </w:rPr>
      </w:pPr>
      <w:r>
        <w:rPr>
          <w:rFonts w:hint="eastAsia"/>
          <w:color w:val="auto"/>
          <w:sz w:val="22"/>
          <w:highlight w:val="none"/>
        </w:rPr>
        <w:t>    项目联系人（询问）：</w:t>
      </w:r>
      <w:r>
        <w:rPr>
          <w:rFonts w:hint="eastAsia"/>
          <w:color w:val="auto"/>
          <w:sz w:val="22"/>
          <w:highlight w:val="none"/>
          <w:lang w:eastAsia="zh-CN"/>
        </w:rPr>
        <w:t>沈</w:t>
      </w:r>
      <w:r>
        <w:rPr>
          <w:rFonts w:hint="eastAsia"/>
          <w:color w:val="auto"/>
          <w:sz w:val="22"/>
          <w:highlight w:val="none"/>
        </w:rPr>
        <w:t>老师 </w:t>
      </w:r>
    </w:p>
    <w:p>
      <w:pPr>
        <w:pStyle w:val="22"/>
        <w:spacing w:before="0" w:beforeAutospacing="0" w:after="0" w:afterAutospacing="0" w:line="360" w:lineRule="exact"/>
        <w:rPr>
          <w:color w:val="auto"/>
          <w:sz w:val="22"/>
          <w:highlight w:val="none"/>
        </w:rPr>
      </w:pPr>
      <w:r>
        <w:rPr>
          <w:rFonts w:hint="eastAsia"/>
          <w:color w:val="auto"/>
          <w:sz w:val="22"/>
          <w:highlight w:val="none"/>
        </w:rPr>
        <w:t>    项目联系方式（询问）：0577-86680781 </w:t>
      </w:r>
    </w:p>
    <w:p>
      <w:pPr>
        <w:pStyle w:val="22"/>
        <w:spacing w:before="0" w:beforeAutospacing="0" w:after="0" w:afterAutospacing="0" w:line="360" w:lineRule="exact"/>
        <w:rPr>
          <w:color w:val="auto"/>
          <w:sz w:val="22"/>
          <w:highlight w:val="none"/>
        </w:rPr>
      </w:pPr>
      <w:r>
        <w:rPr>
          <w:rFonts w:hint="eastAsia"/>
          <w:color w:val="auto"/>
          <w:sz w:val="22"/>
          <w:highlight w:val="none"/>
        </w:rPr>
        <w:t>    </w:t>
      </w:r>
      <w:r>
        <w:rPr>
          <w:rFonts w:hint="eastAsia"/>
          <w:color w:val="auto"/>
          <w:sz w:val="22"/>
          <w:highlight w:val="none"/>
        </w:rPr>
        <w:br w:type="textWrapping"/>
      </w:r>
      <w:r>
        <w:rPr>
          <w:rFonts w:hint="eastAsia"/>
          <w:color w:val="auto"/>
          <w:sz w:val="22"/>
          <w:highlight w:val="none"/>
        </w:rPr>
        <w:t>    2.采购代理机构信息            </w:t>
      </w:r>
    </w:p>
    <w:p>
      <w:pPr>
        <w:pStyle w:val="22"/>
        <w:spacing w:before="0" w:beforeAutospacing="0" w:after="0" w:afterAutospacing="0" w:line="360" w:lineRule="exact"/>
        <w:rPr>
          <w:color w:val="auto"/>
          <w:sz w:val="22"/>
          <w:highlight w:val="none"/>
        </w:rPr>
      </w:pPr>
      <w:r>
        <w:rPr>
          <w:rFonts w:hint="eastAsia"/>
          <w:color w:val="auto"/>
          <w:sz w:val="22"/>
          <w:highlight w:val="none"/>
        </w:rPr>
        <w:t>    名    称：浙江乐诚工程咨询有限公司             </w:t>
      </w:r>
    </w:p>
    <w:p>
      <w:pPr>
        <w:pStyle w:val="22"/>
        <w:spacing w:before="0" w:beforeAutospacing="0" w:after="0" w:afterAutospacing="0" w:line="360" w:lineRule="exact"/>
        <w:rPr>
          <w:color w:val="auto"/>
          <w:sz w:val="22"/>
          <w:highlight w:val="none"/>
        </w:rPr>
      </w:pPr>
      <w:r>
        <w:rPr>
          <w:rFonts w:hint="eastAsia"/>
          <w:color w:val="auto"/>
          <w:sz w:val="22"/>
          <w:highlight w:val="none"/>
        </w:rPr>
        <w:t>    地    址：温州大学茶山南校区行政楼509B室             </w:t>
      </w:r>
    </w:p>
    <w:p>
      <w:pPr>
        <w:pStyle w:val="22"/>
        <w:spacing w:before="0" w:beforeAutospacing="0" w:after="0" w:afterAutospacing="0" w:line="360" w:lineRule="exact"/>
        <w:rPr>
          <w:color w:val="auto"/>
          <w:sz w:val="22"/>
          <w:highlight w:val="none"/>
        </w:rPr>
      </w:pPr>
      <w:r>
        <w:rPr>
          <w:rFonts w:hint="eastAsia"/>
          <w:color w:val="auto"/>
          <w:sz w:val="22"/>
          <w:highlight w:val="none"/>
        </w:rPr>
        <w:t>    传    真：/             </w:t>
      </w:r>
    </w:p>
    <w:p>
      <w:pPr>
        <w:pStyle w:val="22"/>
        <w:spacing w:before="0" w:beforeAutospacing="0" w:after="0" w:afterAutospacing="0" w:line="360" w:lineRule="exact"/>
        <w:rPr>
          <w:color w:val="auto"/>
          <w:sz w:val="22"/>
          <w:highlight w:val="none"/>
        </w:rPr>
      </w:pPr>
      <w:r>
        <w:rPr>
          <w:rFonts w:hint="eastAsia"/>
          <w:color w:val="auto"/>
          <w:sz w:val="22"/>
          <w:highlight w:val="none"/>
        </w:rPr>
        <w:t>    项目联系人（询问）：王女士              </w:t>
      </w:r>
    </w:p>
    <w:p>
      <w:pPr>
        <w:pStyle w:val="22"/>
        <w:spacing w:before="0" w:beforeAutospacing="0" w:after="0" w:afterAutospacing="0" w:line="360" w:lineRule="exact"/>
        <w:rPr>
          <w:color w:val="auto"/>
          <w:sz w:val="22"/>
          <w:highlight w:val="none"/>
        </w:rPr>
      </w:pPr>
      <w:r>
        <w:rPr>
          <w:rFonts w:hint="eastAsia"/>
          <w:color w:val="auto"/>
          <w:sz w:val="22"/>
          <w:highlight w:val="none"/>
        </w:rPr>
        <w:t>    项目联系方式（询问）：0577-86596032、18357703076  </w:t>
      </w:r>
    </w:p>
    <w:p>
      <w:pPr>
        <w:pStyle w:val="22"/>
        <w:spacing w:before="0" w:beforeAutospacing="0" w:after="0" w:afterAutospacing="0" w:line="360" w:lineRule="exact"/>
        <w:rPr>
          <w:color w:val="auto"/>
          <w:sz w:val="22"/>
          <w:highlight w:val="none"/>
        </w:rPr>
      </w:pPr>
      <w:r>
        <w:rPr>
          <w:rFonts w:hint="eastAsia"/>
          <w:color w:val="auto"/>
          <w:sz w:val="22"/>
          <w:highlight w:val="none"/>
        </w:rPr>
        <w:br w:type="textWrapping"/>
      </w:r>
    </w:p>
    <w:p>
      <w:pPr>
        <w:pStyle w:val="11"/>
        <w:rPr>
          <w:rFonts w:ascii="宋体" w:hAnsi="宋体" w:cs="宋体"/>
          <w:color w:val="auto"/>
          <w:highlight w:val="none"/>
        </w:rPr>
      </w:pPr>
    </w:p>
    <w:p>
      <w:pPr>
        <w:spacing w:line="360" w:lineRule="exact"/>
        <w:jc w:val="right"/>
        <w:rPr>
          <w:rFonts w:ascii="宋体" w:hAnsi="宋体" w:cs="宋体"/>
          <w:color w:val="auto"/>
          <w:sz w:val="22"/>
          <w:highlight w:val="none"/>
        </w:rPr>
      </w:pPr>
      <w:r>
        <w:rPr>
          <w:rFonts w:hint="eastAsia" w:ascii="宋体" w:hAnsi="宋体" w:cs="宋体"/>
          <w:color w:val="auto"/>
          <w:sz w:val="22"/>
          <w:highlight w:val="none"/>
        </w:rPr>
        <w:t>温州大学瓯江学院</w:t>
      </w:r>
    </w:p>
    <w:p>
      <w:pPr>
        <w:spacing w:line="360" w:lineRule="exact"/>
        <w:jc w:val="right"/>
        <w:rPr>
          <w:rFonts w:ascii="宋体" w:hAnsi="宋体" w:cs="宋体"/>
          <w:color w:val="auto"/>
          <w:sz w:val="22"/>
          <w:highlight w:val="none"/>
        </w:rPr>
      </w:pPr>
      <w:r>
        <w:rPr>
          <w:rFonts w:hint="eastAsia" w:ascii="宋体" w:hAnsi="宋体" w:cs="宋体"/>
          <w:color w:val="auto"/>
          <w:sz w:val="22"/>
          <w:highlight w:val="none"/>
        </w:rPr>
        <w:t>浙江乐诚工程咨询有限公司</w:t>
      </w:r>
    </w:p>
    <w:p>
      <w:pPr>
        <w:spacing w:line="360" w:lineRule="exact"/>
        <w:jc w:val="right"/>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2020年03月19日</w:t>
      </w: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pStyle w:val="13"/>
        <w:ind w:left="1470" w:right="1470"/>
        <w:rPr>
          <w:rFonts w:ascii="宋体" w:hAnsi="宋体" w:cs="宋体"/>
          <w:color w:val="auto"/>
          <w:kern w:val="0"/>
          <w:sz w:val="22"/>
          <w:highlight w:val="none"/>
        </w:rPr>
      </w:pPr>
    </w:p>
    <w:p>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第二部分     投标人须知</w:t>
      </w:r>
    </w:p>
    <w:p>
      <w:pPr>
        <w:spacing w:line="3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投标人须知前附表</w:t>
      </w:r>
    </w:p>
    <w:tbl>
      <w:tblPr>
        <w:tblStyle w:val="26"/>
        <w:tblW w:w="8879" w:type="dxa"/>
        <w:jc w:val="center"/>
        <w:tblLayout w:type="fixed"/>
        <w:tblCellMar>
          <w:top w:w="0" w:type="dxa"/>
          <w:left w:w="108" w:type="dxa"/>
          <w:bottom w:w="0" w:type="dxa"/>
          <w:right w:w="108" w:type="dxa"/>
        </w:tblCellMar>
      </w:tblPr>
      <w:tblGrid>
        <w:gridCol w:w="766"/>
        <w:gridCol w:w="1796"/>
        <w:gridCol w:w="6317"/>
      </w:tblGrid>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条款名称</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编列内容</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采购人</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color w:val="auto"/>
                <w:sz w:val="22"/>
                <w:highlight w:val="none"/>
                <w:lang w:val="zh-CN"/>
              </w:rPr>
            </w:pPr>
            <w:r>
              <w:rPr>
                <w:rFonts w:hint="eastAsia" w:ascii="宋体" w:hAnsi="宋体" w:cs="宋体"/>
                <w:color w:val="auto"/>
                <w:kern w:val="0"/>
                <w:sz w:val="22"/>
                <w:highlight w:val="none"/>
                <w:lang w:val="zh-CN"/>
              </w:rPr>
              <w:t>温州大学瓯江学院</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采购代理机构</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lang w:val="zh-CN"/>
              </w:rPr>
              <w:t>浙江乐诚工程咨询有限公司</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项目名称</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智慧校园建设设备</w:t>
            </w:r>
          </w:p>
          <w:p>
            <w:pPr>
              <w:autoSpaceDE w:val="0"/>
              <w:autoSpaceDN w:val="0"/>
              <w:adjustRightInd w:val="0"/>
              <w:spacing w:line="360" w:lineRule="exact"/>
              <w:rPr>
                <w:rFonts w:hint="eastAsia" w:ascii="宋体" w:hAnsi="宋体" w:eastAsia="宋体" w:cs="宋体"/>
                <w:color w:val="auto"/>
                <w:kern w:val="0"/>
                <w:sz w:val="22"/>
                <w:highlight w:val="none"/>
                <w:lang w:val="zh-CN" w:eastAsia="zh-CN"/>
              </w:rPr>
            </w:pPr>
            <w:r>
              <w:rPr>
                <w:rFonts w:hint="eastAsia" w:ascii="宋体" w:hAnsi="宋体" w:cs="宋体"/>
                <w:color w:val="auto"/>
                <w:kern w:val="0"/>
                <w:sz w:val="22"/>
                <w:highlight w:val="none"/>
                <w:lang w:val="zh-CN"/>
              </w:rPr>
              <w:t>项目编号：</w:t>
            </w:r>
            <w:r>
              <w:rPr>
                <w:rFonts w:hint="eastAsia" w:ascii="宋体" w:hAnsi="宋体" w:cs="宋体"/>
                <w:bCs/>
                <w:color w:val="auto"/>
                <w:kern w:val="0"/>
                <w:sz w:val="22"/>
                <w:highlight w:val="none"/>
                <w:lang w:eastAsia="zh-CN"/>
              </w:rPr>
              <w:t>ZJYC2021010(GK)</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lang w:val="zh-CN"/>
              </w:rPr>
              <w:t>预算金额</w:t>
            </w:r>
            <w:r>
              <w:rPr>
                <w:rFonts w:hint="eastAsia" w:ascii="宋体" w:hAnsi="宋体" w:cs="宋体"/>
                <w:color w:val="auto"/>
                <w:kern w:val="0"/>
                <w:sz w:val="22"/>
                <w:highlight w:val="none"/>
              </w:rPr>
              <w:t>及资金来源</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u w:val="single"/>
              </w:rPr>
            </w:pPr>
            <w:r>
              <w:rPr>
                <w:rFonts w:hint="eastAsia" w:ascii="宋体" w:hAnsi="宋体" w:cs="宋体"/>
                <w:color w:val="auto"/>
                <w:sz w:val="22"/>
                <w:highlight w:val="none"/>
                <w:u w:val="single"/>
              </w:rPr>
              <w:t>▲预算金额：8628205元，报价超过预算金额的投标无效。</w:t>
            </w:r>
          </w:p>
          <w:p>
            <w:pPr>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采购资金来源：财政拨款。</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采购需求</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详见第五部分</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投标报价</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1.投标报价是指一次性报出不得更改的价格；</w:t>
            </w:r>
          </w:p>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w:t>
            </w:r>
            <w:r>
              <w:rPr>
                <w:rFonts w:hint="eastAsia" w:ascii="宋体" w:hAnsi="宋体" w:cs="宋体"/>
                <w:b/>
                <w:color w:val="auto"/>
                <w:sz w:val="22"/>
                <w:highlight w:val="none"/>
              </w:rPr>
              <w:t>采用人民币报价。</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投标费用</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不论投标结果如何，投标人均应自行承担所有与投标有关的全部费用</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投标人资质格要求</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sz w:val="22"/>
                <w:highlight w:val="none"/>
              </w:rPr>
              <w:t>详见投标邀请书</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是否接受联合体投标</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不接受</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踏勘现场</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w:t>
            </w:r>
            <w:r>
              <w:rPr>
                <w:rFonts w:hint="eastAsia" w:ascii="宋体" w:hAnsi="宋体" w:cs="宋体"/>
                <w:color w:val="auto"/>
                <w:kern w:val="0"/>
                <w:sz w:val="22"/>
                <w:highlight w:val="none"/>
              </w:rPr>
              <w:t>组织</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投标预备会</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不召开</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分包和转包</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不允许</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偏离</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偏差允许幅度及其处理方法：允许细微偏差，不允许重大偏差。由评标委员会判断，细微偏差要求投标人在评标结束前予以澄清、说明或补正，不接受要求进行的，评标委员会有权做投标无效处理，详见评标办法。</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投标有效期</w:t>
            </w:r>
          </w:p>
        </w:tc>
        <w:tc>
          <w:tcPr>
            <w:tcW w:w="63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color w:val="auto"/>
                <w:sz w:val="22"/>
                <w:highlight w:val="none"/>
                <w:lang w:val="zh-CN"/>
              </w:rPr>
            </w:pPr>
            <w:r>
              <w:rPr>
                <w:rFonts w:hint="eastAsia" w:ascii="宋体" w:hAnsi="宋体" w:cs="宋体"/>
                <w:color w:val="auto"/>
                <w:sz w:val="22"/>
                <w:highlight w:val="none"/>
              </w:rPr>
              <w:t>从提交投标文件的截止时间之日起90天。</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投标保证金</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sz w:val="22"/>
                <w:highlight w:val="none"/>
              </w:rPr>
              <w:t>无</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16</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olor w:val="auto"/>
                <w:kern w:val="0"/>
                <w:sz w:val="22"/>
                <w:highlight w:val="none"/>
              </w:rPr>
            </w:pPr>
            <w:r>
              <w:rPr>
                <w:rFonts w:hint="eastAsia" w:ascii="宋体" w:hAnsi="宋体" w:cs="宋体"/>
                <w:b/>
                <w:bCs/>
                <w:color w:val="auto"/>
                <w:kern w:val="0"/>
                <w:sz w:val="22"/>
                <w:highlight w:val="none"/>
              </w:rPr>
              <w:t>投标文件形式、制作及组成</w:t>
            </w:r>
          </w:p>
        </w:tc>
        <w:tc>
          <w:tcPr>
            <w:tcW w:w="6317" w:type="dxa"/>
            <w:tcBorders>
              <w:top w:val="single" w:color="auto" w:sz="4" w:space="0"/>
              <w:left w:val="single" w:color="auto" w:sz="4" w:space="0"/>
              <w:bottom w:val="single" w:color="auto" w:sz="4" w:space="0"/>
              <w:right w:val="single" w:color="auto" w:sz="4" w:space="0"/>
            </w:tcBorders>
            <w:vAlign w:val="center"/>
          </w:tcPr>
          <w:p>
            <w:pPr>
              <w:pStyle w:val="14"/>
              <w:snapToGrid w:val="0"/>
              <w:spacing w:line="360" w:lineRule="exact"/>
              <w:rPr>
                <w:rFonts w:hAnsi="宋体" w:cs="宋体"/>
                <w:b/>
                <w:bCs/>
                <w:color w:val="auto"/>
                <w:sz w:val="22"/>
                <w:highlight w:val="none"/>
              </w:rPr>
            </w:pPr>
            <w:r>
              <w:rPr>
                <w:rFonts w:hint="eastAsia" w:hAnsi="宋体" w:cs="宋体"/>
                <w:b/>
                <w:bCs/>
                <w:color w:val="auto"/>
                <w:sz w:val="22"/>
                <w:highlight w:val="none"/>
              </w:rPr>
              <w:t>本项目实行网上电子投标。</w:t>
            </w:r>
          </w:p>
          <w:p>
            <w:pPr>
              <w:pStyle w:val="14"/>
              <w:snapToGrid w:val="0"/>
              <w:spacing w:line="360" w:lineRule="exact"/>
              <w:rPr>
                <w:rFonts w:hAnsi="宋体" w:cs="宋体"/>
                <w:b/>
                <w:bCs/>
                <w:color w:val="auto"/>
                <w:sz w:val="22"/>
                <w:highlight w:val="none"/>
              </w:rPr>
            </w:pPr>
            <w:r>
              <w:rPr>
                <w:rFonts w:hint="eastAsia" w:hAnsi="宋体" w:cs="宋体"/>
                <w:b/>
                <w:bCs/>
                <w:color w:val="auto"/>
                <w:sz w:val="22"/>
                <w:highlight w:val="none"/>
              </w:rPr>
              <w:t>投标人应准备电子投标文件、以介质存储的数据电文形式的备份投标文件二类：</w:t>
            </w:r>
          </w:p>
          <w:p>
            <w:pPr>
              <w:pStyle w:val="14"/>
              <w:snapToGrid w:val="0"/>
              <w:spacing w:line="360" w:lineRule="exact"/>
              <w:ind w:firstLine="221" w:firstLineChars="100"/>
              <w:rPr>
                <w:rFonts w:hAnsi="宋体" w:cs="宋体"/>
                <w:b/>
                <w:bCs/>
                <w:color w:val="auto"/>
                <w:sz w:val="22"/>
                <w:highlight w:val="none"/>
              </w:rPr>
            </w:pPr>
            <w:r>
              <w:rPr>
                <w:rFonts w:hint="eastAsia" w:hAnsi="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highlight w:val="none"/>
                <w:lang w:val="zh-CN"/>
              </w:rPr>
              <w:t>。</w:t>
            </w:r>
          </w:p>
          <w:p>
            <w:pPr>
              <w:spacing w:line="360" w:lineRule="exact"/>
              <w:ind w:firstLine="221" w:firstLineChars="100"/>
              <w:rPr>
                <w:rFonts w:ascii="宋体" w:hAnsi="宋体" w:cs="宋体"/>
                <w:b/>
                <w:bCs/>
                <w:color w:val="auto"/>
                <w:sz w:val="22"/>
                <w:highlight w:val="none"/>
              </w:rPr>
            </w:pPr>
            <w:r>
              <w:rPr>
                <w:rFonts w:hint="eastAsia" w:ascii="宋体" w:hAnsi="宋体" w:cs="宋体"/>
                <w:b/>
                <w:bCs/>
                <w:color w:val="auto"/>
                <w:sz w:val="22"/>
                <w:highlight w:val="none"/>
              </w:rPr>
              <w:t>（2）以介质存储的数据电文形式的备份投标文件（如有）：</w:t>
            </w:r>
            <w:r>
              <w:rPr>
                <w:rStyle w:val="29"/>
                <w:rFonts w:hint="eastAsia" w:ascii="宋体" w:hAnsi="宋体" w:cs="宋体"/>
                <w:bCs/>
                <w:color w:val="auto"/>
                <w:sz w:val="22"/>
                <w:highlight w:val="none"/>
              </w:rPr>
              <w:t>与“电子投标文件”同时生成的数据电文形式的备份投标文件(文件扩展名为.bfbs)</w:t>
            </w:r>
            <w:r>
              <w:rPr>
                <w:rFonts w:hint="eastAsia" w:ascii="宋体" w:hAnsi="宋体" w:cs="宋体"/>
                <w:b/>
                <w:bCs/>
                <w:color w:val="auto"/>
                <w:sz w:val="22"/>
                <w:highlight w:val="none"/>
              </w:rPr>
              <w:t>，投标文件提交截止时间前以</w:t>
            </w:r>
            <w:r>
              <w:rPr>
                <w:rFonts w:hint="eastAsia" w:ascii="宋体" w:hAnsi="宋体" w:cs="宋体"/>
                <w:b/>
                <w:bCs/>
                <w:color w:val="auto"/>
                <w:sz w:val="22"/>
                <w:highlight w:val="none"/>
                <w:lang w:val="zh-CN"/>
              </w:rPr>
              <w:t>电子邮件方式传送至浙江乐诚工程咨询有限公司电子邮箱</w:t>
            </w:r>
            <w:r>
              <w:rPr>
                <w:rFonts w:hint="eastAsia" w:ascii="宋体" w:hAnsi="宋体" w:cs="宋体"/>
                <w:b/>
                <w:bCs/>
                <w:color w:val="auto"/>
                <w:sz w:val="22"/>
                <w:highlight w:val="none"/>
                <w:lang w:eastAsia="zh-CN"/>
              </w:rPr>
              <w:t>2812799762</w:t>
            </w:r>
            <w:r>
              <w:rPr>
                <w:rFonts w:hint="eastAsia" w:ascii="宋体" w:hAnsi="宋体" w:cs="宋体"/>
                <w:b/>
                <w:bCs/>
                <w:color w:val="auto"/>
                <w:sz w:val="22"/>
                <w:highlight w:val="none"/>
              </w:rPr>
              <w:t>@qq.com，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29"/>
                <w:rFonts w:hint="eastAsia" w:ascii="宋体" w:hAnsi="宋体" w:cs="宋体"/>
                <w:bCs/>
                <w:color w:val="auto"/>
                <w:sz w:val="22"/>
                <w:highlight w:val="none"/>
              </w:rPr>
              <w:t>。</w:t>
            </w:r>
          </w:p>
          <w:p>
            <w:pPr>
              <w:pStyle w:val="14"/>
              <w:snapToGrid w:val="0"/>
              <w:spacing w:line="360" w:lineRule="exact"/>
              <w:rPr>
                <w:rFonts w:hAnsi="宋体" w:cs="宋体"/>
                <w:b/>
                <w:bCs/>
                <w:color w:val="auto"/>
                <w:sz w:val="22"/>
                <w:highlight w:val="none"/>
              </w:rPr>
            </w:pPr>
            <w:r>
              <w:rPr>
                <w:rFonts w:hint="eastAsia" w:hAnsi="宋体" w:cs="宋体"/>
                <w:b/>
                <w:bCs/>
                <w:color w:val="auto"/>
                <w:sz w:val="22"/>
                <w:highlight w:val="none"/>
              </w:rPr>
              <w:t>投标文件由报价文件、资格文件、商务和技术文件三部分组成。</w:t>
            </w:r>
          </w:p>
          <w:p>
            <w:pPr>
              <w:pStyle w:val="14"/>
              <w:snapToGrid w:val="0"/>
              <w:spacing w:line="360" w:lineRule="exact"/>
              <w:rPr>
                <w:rFonts w:hAnsi="宋体" w:cs="宋体"/>
                <w:color w:val="auto"/>
                <w:kern w:val="0"/>
                <w:sz w:val="22"/>
                <w:highlight w:val="none"/>
              </w:rPr>
            </w:pPr>
            <w:r>
              <w:rPr>
                <w:rFonts w:hint="eastAsia" w:hAnsi="宋体" w:cs="宋体"/>
                <w:b/>
                <w:bCs/>
                <w:color w:val="auto"/>
                <w:sz w:val="22"/>
                <w:highlight w:val="none"/>
              </w:rPr>
              <w:t>注：中标人在领取中标通知书时按采购人要求提供全套纸质投标文件贰份。</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17</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电子招投标特殊情况处理方式</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本项目原则上采用政采云电子招投标开标及评审程序，但有下情形之一的，按以下情况处理：</w:t>
            </w:r>
          </w:p>
          <w:p>
            <w:pPr>
              <w:spacing w:line="360" w:lineRule="exact"/>
              <w:jc w:val="left"/>
              <w:rPr>
                <w:rFonts w:ascii="宋体" w:hAnsi="宋体" w:cs="宋体"/>
                <w:color w:val="auto"/>
                <w:sz w:val="22"/>
                <w:highlight w:val="none"/>
                <w:lang w:val="zh-CN"/>
              </w:rPr>
            </w:pPr>
            <w:r>
              <w:rPr>
                <w:rFonts w:hint="eastAsia" w:ascii="宋体" w:hAnsi="宋体" w:cs="宋体"/>
                <w:b/>
                <w:bCs/>
                <w:color w:val="auto"/>
                <w:sz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评审地点</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color w:val="auto"/>
                <w:kern w:val="0"/>
                <w:sz w:val="22"/>
                <w:highlight w:val="none"/>
              </w:rPr>
            </w:pPr>
            <w:r>
              <w:rPr>
                <w:rFonts w:hint="eastAsia" w:ascii="宋体" w:hAnsi="宋体" w:cs="宋体"/>
                <w:color w:val="auto"/>
                <w:sz w:val="22"/>
                <w:highlight w:val="none"/>
              </w:rPr>
              <w:t>温州市行政审批与公共资源交易服务管理中心（温州市会展路1268号温州市民中心A座3楼，见当日大厅公示栏)</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评标委员会的组建</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评标委员会成员由采购人代表和有关技术、经济等方面的专家组成，有关技术、经济等方面的专家成员人数为</w:t>
            </w:r>
            <w:r>
              <w:rPr>
                <w:rFonts w:hint="eastAsia" w:ascii="宋体" w:hAnsi="宋体" w:cs="宋体"/>
                <w:color w:val="auto"/>
                <w:kern w:val="0"/>
                <w:sz w:val="22"/>
                <w:highlight w:val="none"/>
              </w:rPr>
              <w:t>7</w:t>
            </w:r>
            <w:r>
              <w:rPr>
                <w:rFonts w:hint="eastAsia" w:ascii="宋体" w:hAnsi="宋体" w:cs="宋体"/>
                <w:color w:val="auto"/>
                <w:kern w:val="0"/>
                <w:sz w:val="22"/>
                <w:highlight w:val="none"/>
                <w:lang w:val="zh-CN"/>
              </w:rPr>
              <w:t>人及以上单数，除采购人代表外的专家将按有关规定随机抽取产生。</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b/>
                <w:bCs/>
                <w:snapToGrid w:val="0"/>
                <w:color w:val="auto"/>
                <w:sz w:val="22"/>
                <w:highlight w:val="none"/>
              </w:rPr>
              <w:t>资格审查要求的资格证明材料</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b/>
                <w:bCs/>
                <w:snapToGrid w:val="0"/>
                <w:color w:val="auto"/>
                <w:sz w:val="22"/>
                <w:highlight w:val="none"/>
              </w:rPr>
            </w:pPr>
            <w:r>
              <w:rPr>
                <w:rFonts w:hint="eastAsia" w:ascii="宋体" w:hAnsi="宋体" w:cs="宋体"/>
                <w:b/>
                <w:bCs/>
                <w:snapToGrid w:val="0"/>
                <w:color w:val="auto"/>
                <w:sz w:val="22"/>
                <w:highlight w:val="none"/>
              </w:rPr>
              <w:t>①有效的法人或者其他组织的营业执照等证明文件，自然人的身份证明（五选一）</w:t>
            </w:r>
            <w:r>
              <w:rPr>
                <w:rFonts w:hint="eastAsia" w:ascii="宋体" w:hAnsi="宋体" w:cs="宋体"/>
                <w:b/>
                <w:bCs/>
                <w:color w:val="auto"/>
                <w:sz w:val="22"/>
                <w:highlight w:val="none"/>
              </w:rPr>
              <w:t>（见附件4-1）</w:t>
            </w:r>
          </w:p>
          <w:p>
            <w:pPr>
              <w:autoSpaceDE w:val="0"/>
              <w:autoSpaceDN w:val="0"/>
              <w:adjustRightInd w:val="0"/>
              <w:spacing w:line="360" w:lineRule="exact"/>
              <w:ind w:firstLine="31"/>
              <w:rPr>
                <w:rFonts w:ascii="宋体" w:hAnsi="宋体" w:cs="宋体"/>
                <w:color w:val="auto"/>
                <w:kern w:val="0"/>
                <w:sz w:val="22"/>
                <w:highlight w:val="none"/>
                <w:lang w:val="zh-CN"/>
              </w:rPr>
            </w:pPr>
            <w:r>
              <w:rPr>
                <w:rFonts w:hint="eastAsia" w:ascii="宋体" w:hAnsi="宋体" w:cs="宋体"/>
                <w:b/>
                <w:bCs/>
                <w:snapToGrid w:val="0"/>
                <w:color w:val="auto"/>
                <w:sz w:val="22"/>
                <w:highlight w:val="none"/>
              </w:rPr>
              <w:t>②关于符合《中华人民共和国政府采购法》第二十二条规定的承诺函</w:t>
            </w:r>
            <w:r>
              <w:rPr>
                <w:rFonts w:hint="eastAsia" w:ascii="宋体" w:hAnsi="宋体" w:cs="宋体"/>
                <w:b/>
                <w:bCs/>
                <w:color w:val="auto"/>
                <w:sz w:val="22"/>
                <w:highlight w:val="none"/>
              </w:rPr>
              <w:t>（见附件4-2）</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落实政府采购支持中小企业、监狱企业及残疾人福利性单位发展政策</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rPr>
            </w:pPr>
            <w:r>
              <w:rPr>
                <w:rFonts w:hint="eastAsia" w:ascii="宋体" w:hAnsi="宋体" w:cs="宋体"/>
                <w:color w:val="auto"/>
                <w:sz w:val="22"/>
                <w:highlight w:val="none"/>
              </w:rPr>
              <w:t>□专门面向中小企业采购项目</w:t>
            </w:r>
          </w:p>
          <w:p>
            <w:pPr>
              <w:spacing w:line="360" w:lineRule="exact"/>
              <w:rPr>
                <w:rFonts w:ascii="宋体" w:hAnsi="宋体" w:cs="宋体"/>
                <w:color w:val="auto"/>
                <w:sz w:val="22"/>
                <w:highlight w:val="none"/>
              </w:rPr>
            </w:pPr>
            <w:r>
              <w:rPr>
                <w:rFonts w:hint="eastAsia" w:ascii="宋体" w:hAnsi="宋体" w:cs="宋体"/>
                <w:color w:val="auto"/>
                <w:sz w:val="22"/>
                <w:highlight w:val="none"/>
              </w:rPr>
              <w:t>☑非专门面向中小企业采购项目。对小型和微型企业报价根据《政府采购促进中小企业发展管理办法》（财库〔2020〕46号）文件扣除，用扣除后的价格参与评审。</w:t>
            </w:r>
          </w:p>
          <w:p>
            <w:pPr>
              <w:spacing w:line="360" w:lineRule="exact"/>
              <w:rPr>
                <w:rFonts w:ascii="宋体" w:hAnsi="宋体" w:cs="宋体"/>
                <w:color w:val="auto"/>
                <w:sz w:val="22"/>
                <w:highlight w:val="none"/>
              </w:rPr>
            </w:pPr>
            <w:r>
              <w:rPr>
                <w:rFonts w:hint="eastAsia" w:ascii="宋体" w:hAnsi="宋体" w:cs="宋体"/>
                <w:color w:val="auto"/>
                <w:sz w:val="22"/>
                <w:highlight w:val="none"/>
              </w:rPr>
              <w:t>本项目的扣除比例为：小型、微型企业均扣除</w:t>
            </w:r>
            <w:r>
              <w:rPr>
                <w:rFonts w:hint="eastAsia" w:ascii="宋体" w:hAnsi="宋体" w:cs="宋体"/>
                <w:color w:val="auto"/>
                <w:sz w:val="22"/>
                <w:highlight w:val="none"/>
                <w:u w:val="single"/>
              </w:rPr>
              <w:t xml:space="preserve"> 6 %</w:t>
            </w:r>
          </w:p>
          <w:p>
            <w:pPr>
              <w:spacing w:line="360" w:lineRule="exact"/>
              <w:rPr>
                <w:rFonts w:ascii="宋体" w:hAnsi="宋体" w:cs="宋体"/>
                <w:color w:val="auto"/>
                <w:sz w:val="22"/>
                <w:highlight w:val="none"/>
              </w:rPr>
            </w:pPr>
            <w:r>
              <w:rPr>
                <w:rFonts w:hint="eastAsia" w:ascii="宋体" w:hAnsi="宋体" w:cs="宋体"/>
                <w:color w:val="auto"/>
                <w:sz w:val="22"/>
                <w:highlight w:val="none"/>
              </w:rPr>
              <w:t>监狱企业、残疾人福利性单位视同小型、微型企业，享受价格扣除。</w:t>
            </w:r>
          </w:p>
          <w:p>
            <w:pPr>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残疾人福利性单位属于小型、微型企业的，不重复享受政策。</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所属行业</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信息传输业</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评标办法及评分标准</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综合评分法，详见第六部分  评标原则及方法。</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中标公告及中标通知书</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b/>
                <w:bCs/>
                <w:color w:val="auto"/>
                <w:sz w:val="22"/>
                <w:highlight w:val="none"/>
                <w:lang w:val="zh-CN"/>
              </w:rPr>
            </w:pPr>
            <w:r>
              <w:rPr>
                <w:rFonts w:hint="eastAsia" w:ascii="宋体" w:hAnsi="宋体" w:cs="宋体"/>
                <w:color w:val="auto"/>
                <w:sz w:val="22"/>
                <w:highlight w:val="none"/>
              </w:rPr>
              <w:t>评标结束后中标公告发布于浙江政府采购网，并向中标人发出中标通知书。</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合同备案</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中标人须在中标通知书发出之日起30日历天内与采购人签订合同。</w:t>
            </w:r>
          </w:p>
          <w:p>
            <w:pPr>
              <w:spacing w:line="360" w:lineRule="exact"/>
              <w:rPr>
                <w:rFonts w:ascii="宋体" w:hAnsi="宋体" w:cs="宋体"/>
                <w:color w:val="auto"/>
                <w:sz w:val="22"/>
                <w:highlight w:val="none"/>
              </w:rPr>
            </w:pPr>
            <w:r>
              <w:rPr>
                <w:rFonts w:hint="eastAsia" w:ascii="宋体" w:hAnsi="宋体" w:cs="宋体"/>
                <w:color w:val="auto"/>
                <w:kern w:val="0"/>
                <w:sz w:val="22"/>
                <w:highlight w:val="none"/>
              </w:rPr>
              <w:t>中标人与采购人签订合同后，2日历天内将合同扫描件电子版发给采购代理机构：邮箱：</w:t>
            </w:r>
            <w:r>
              <w:rPr>
                <w:rFonts w:hint="eastAsia"/>
                <w:color w:val="auto"/>
                <w:highlight w:val="none"/>
              </w:rPr>
              <w:fldChar w:fldCharType="begin"/>
            </w:r>
            <w:r>
              <w:rPr>
                <w:color w:val="auto"/>
                <w:highlight w:val="none"/>
              </w:rPr>
              <w:instrText xml:space="preserve"> HYPERLINK "mailto:1322521566@qq.com。" </w:instrText>
            </w:r>
            <w:r>
              <w:rPr>
                <w:rFonts w:hint="eastAsia"/>
                <w:color w:val="auto"/>
                <w:highlight w:val="none"/>
              </w:rPr>
              <w:fldChar w:fldCharType="separate"/>
            </w:r>
            <w:r>
              <w:rPr>
                <w:rFonts w:hint="eastAsia" w:ascii="宋体" w:hAnsi="宋体" w:cs="宋体"/>
                <w:color w:val="auto"/>
                <w:kern w:val="0"/>
                <w:sz w:val="22"/>
                <w:highlight w:val="none"/>
                <w:lang w:eastAsia="zh-CN"/>
              </w:rPr>
              <w:t>2812799762</w:t>
            </w:r>
            <w:r>
              <w:rPr>
                <w:rFonts w:hint="eastAsia" w:ascii="宋体" w:hAnsi="宋体" w:cs="宋体"/>
                <w:color w:val="auto"/>
                <w:kern w:val="0"/>
                <w:sz w:val="22"/>
                <w:highlight w:val="none"/>
              </w:rPr>
              <w:t>@qq.com。</w:t>
            </w:r>
            <w:r>
              <w:rPr>
                <w:rFonts w:hint="eastAsia" w:ascii="宋体" w:hAnsi="宋体" w:cs="宋体"/>
                <w:color w:val="auto"/>
                <w:kern w:val="0"/>
                <w:sz w:val="22"/>
                <w:highlight w:val="none"/>
              </w:rPr>
              <w:fldChar w:fldCharType="end"/>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26</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解释权</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lang w:val="zh-CN"/>
              </w:rPr>
            </w:pPr>
            <w:r>
              <w:rPr>
                <w:rFonts w:hint="eastAsia" w:ascii="宋体" w:hAnsi="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27</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其它</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1.公开招标公告属于本招标文件的一部分</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2.请务必确保投标文件制作客户端为最新版本，旧版本可能导致投标文件解密失败。</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3.请务必确保投标文件制作时所用的 CA 锁与投标文件解密时的 CA 锁为同一把，否则可能导致投标文件解密失败。</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4.在投标文件解密前，请务必检验 CA 锁与所用电脑的兼容性，部分电脑因 CA 驱动未正常安装、USB 接口兼容性差等原因可能造成投标文件解密失败。</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5.投标人未按招标文件规定及提醒操作的，引起的一切后果由投标人自行负责。</w:t>
            </w:r>
          </w:p>
          <w:p>
            <w:pPr>
              <w:pStyle w:val="34"/>
              <w:spacing w:line="360" w:lineRule="exact"/>
              <w:rPr>
                <w:rFonts w:cs="宋体"/>
                <w:color w:val="auto"/>
                <w:sz w:val="22"/>
                <w:highlight w:val="none"/>
                <w:lang w:val="en-US"/>
              </w:rPr>
            </w:pPr>
            <w:r>
              <w:rPr>
                <w:rFonts w:hint="eastAsia" w:cs="宋体"/>
                <w:b/>
                <w:color w:val="auto"/>
                <w:sz w:val="22"/>
                <w:highlight w:val="none"/>
                <w:lang w:val="en-US"/>
              </w:rPr>
              <w:t>6.投标截止时间同</w:t>
            </w:r>
            <w:r>
              <w:rPr>
                <w:rStyle w:val="29"/>
                <w:rFonts w:hint="eastAsia" w:cs="宋体"/>
                <w:color w:val="auto"/>
                <w:sz w:val="22"/>
                <w:highlight w:val="none"/>
              </w:rPr>
              <w:t>提交投标文件截止时间。</w:t>
            </w:r>
          </w:p>
        </w:tc>
      </w:tr>
    </w:tbl>
    <w:p>
      <w:pPr>
        <w:spacing w:line="360" w:lineRule="exact"/>
        <w:jc w:val="center"/>
        <w:rPr>
          <w:rFonts w:ascii="宋体" w:hAnsi="宋体" w:cs="宋体"/>
          <w:b/>
          <w:color w:val="auto"/>
          <w:sz w:val="32"/>
          <w:highlight w:val="none"/>
        </w:rPr>
      </w:pPr>
    </w:p>
    <w:p>
      <w:pPr>
        <w:spacing w:line="360" w:lineRule="exact"/>
        <w:jc w:val="center"/>
        <w:rPr>
          <w:rFonts w:ascii="宋体" w:hAnsi="宋体" w:cs="宋体"/>
          <w:b/>
          <w:color w:val="auto"/>
          <w:sz w:val="32"/>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pStyle w:val="13"/>
        <w:spacing w:after="0" w:line="360" w:lineRule="exact"/>
        <w:ind w:left="0" w:leftChars="0" w:right="0" w:rightChars="0"/>
        <w:rPr>
          <w:rFonts w:ascii="宋体" w:hAnsi="宋体" w:cs="宋体"/>
          <w:color w:val="auto"/>
          <w:highlight w:val="none"/>
        </w:rPr>
      </w:pPr>
    </w:p>
    <w:p>
      <w:pPr>
        <w:spacing w:line="400" w:lineRule="exact"/>
        <w:jc w:val="center"/>
        <w:outlineLvl w:val="0"/>
        <w:rPr>
          <w:rFonts w:ascii="宋体" w:hAnsi="宋体" w:cs="宋体"/>
          <w:b/>
          <w:color w:val="auto"/>
          <w:sz w:val="26"/>
          <w:highlight w:val="none"/>
        </w:rPr>
      </w:pPr>
      <w:r>
        <w:rPr>
          <w:rFonts w:hint="eastAsia" w:ascii="宋体" w:hAnsi="宋体" w:cs="宋体"/>
          <w:b/>
          <w:color w:val="auto"/>
          <w:sz w:val="26"/>
          <w:highlight w:val="none"/>
        </w:rPr>
        <w:t>一、  说明</w:t>
      </w:r>
    </w:p>
    <w:p>
      <w:pPr>
        <w:tabs>
          <w:tab w:val="left" w:pos="360"/>
        </w:tabs>
        <w:adjustRightIn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1.本次招标是按照《中华人民共和国政府采购法》、《政府采购货物和服务招标投标管理办法》等法律及有关法规组织和实施的。</w:t>
      </w:r>
    </w:p>
    <w:p>
      <w:pPr>
        <w:tabs>
          <w:tab w:val="left" w:pos="360"/>
        </w:tabs>
        <w:adjustRightInd w:val="0"/>
        <w:spacing w:line="400" w:lineRule="exact"/>
        <w:ind w:firstLine="440" w:firstLineChars="200"/>
        <w:rPr>
          <w:rFonts w:ascii="宋体" w:hAnsi="宋体" w:cs="宋体"/>
          <w:color w:val="auto"/>
          <w:kern w:val="0"/>
          <w:sz w:val="22"/>
          <w:highlight w:val="none"/>
          <w:lang w:val="zh-CN"/>
        </w:rPr>
      </w:pPr>
      <w:r>
        <w:rPr>
          <w:rFonts w:hint="eastAsia" w:ascii="宋体" w:hAnsi="宋体" w:cs="宋体"/>
          <w:color w:val="auto"/>
          <w:sz w:val="22"/>
          <w:highlight w:val="none"/>
        </w:rPr>
        <w:t>2.合格投标人</w:t>
      </w:r>
      <w:r>
        <w:rPr>
          <w:rFonts w:hint="eastAsia" w:ascii="宋体" w:hAnsi="宋体" w:cs="宋体"/>
          <w:color w:val="auto"/>
          <w:kern w:val="0"/>
          <w:sz w:val="22"/>
          <w:highlight w:val="none"/>
          <w:lang w:val="zh-CN"/>
        </w:rPr>
        <w:t>要求以招标公告及投标人须知前附表对投标人资格条件要求的表述为准。</w:t>
      </w:r>
    </w:p>
    <w:p>
      <w:pPr>
        <w:tabs>
          <w:tab w:val="left" w:pos="360"/>
        </w:tabs>
        <w:adjustRightInd w:val="0"/>
        <w:spacing w:line="400" w:lineRule="exact"/>
        <w:ind w:firstLine="440" w:firstLineChars="200"/>
        <w:rPr>
          <w:rFonts w:ascii="宋体" w:hAnsi="宋体" w:cs="宋体"/>
          <w:color w:val="auto"/>
          <w:sz w:val="22"/>
          <w:highlight w:val="none"/>
        </w:rPr>
      </w:pPr>
      <w:r>
        <w:rPr>
          <w:rFonts w:hint="eastAsia" w:ascii="宋体" w:hAnsi="宋体" w:cs="宋体"/>
          <w:color w:val="auto"/>
          <w:kern w:val="0"/>
          <w:sz w:val="22"/>
          <w:highlight w:val="none"/>
        </w:rPr>
        <w:t>3.</w:t>
      </w:r>
      <w:r>
        <w:rPr>
          <w:rFonts w:hint="eastAsia" w:ascii="宋体" w:hAnsi="宋体" w:cs="宋体"/>
          <w:color w:val="auto"/>
          <w:sz w:val="22"/>
          <w:highlight w:val="none"/>
        </w:rPr>
        <w:t>投标人代表</w:t>
      </w:r>
    </w:p>
    <w:p>
      <w:pPr>
        <w:tabs>
          <w:tab w:val="left" w:pos="360"/>
        </w:tabs>
        <w:adjustRightIn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adjustRightIn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4.投标费用</w:t>
      </w:r>
    </w:p>
    <w:p>
      <w:pPr>
        <w:tabs>
          <w:tab w:val="left" w:pos="360"/>
        </w:tabs>
        <w:adjustRightIn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4.1投标人应承担所有与准备和参加投标有关费用，不论投标的结果如何，采购代理机构和采购人均无义务和责任承担这些费用。</w:t>
      </w:r>
    </w:p>
    <w:p>
      <w:pPr>
        <w:adjustRightInd w:val="0"/>
        <w:spacing w:line="400" w:lineRule="exact"/>
        <w:ind w:firstLine="440" w:firstLineChars="200"/>
        <w:jc w:val="left"/>
        <w:rPr>
          <w:rFonts w:ascii="宋体" w:hAnsi="宋体"/>
          <w:color w:val="auto"/>
          <w:spacing w:val="-6"/>
          <w:sz w:val="22"/>
          <w:highlight w:val="none"/>
        </w:rPr>
      </w:pPr>
      <w:r>
        <w:rPr>
          <w:rFonts w:hint="eastAsia" w:ascii="宋体" w:hAnsi="宋体" w:cs="宋体"/>
          <w:color w:val="auto"/>
          <w:sz w:val="22"/>
          <w:highlight w:val="none"/>
        </w:rPr>
        <w:t>4.2中标人</w:t>
      </w:r>
      <w:r>
        <w:rPr>
          <w:rFonts w:hint="eastAsia" w:ascii="宋体" w:hAnsi="宋体" w:cs="宋体"/>
          <w:color w:val="auto"/>
          <w:spacing w:val="-6"/>
          <w:sz w:val="22"/>
          <w:highlight w:val="none"/>
        </w:rPr>
        <w:t>在收到中标通知书时向采购代理机构交纳采购代理服务费，收费标准（差额累进）：</w:t>
      </w:r>
    </w:p>
    <w:tbl>
      <w:tblPr>
        <w:tblStyle w:val="26"/>
        <w:tblW w:w="85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adjustRightIn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中标金额（万元）</w:t>
            </w:r>
          </w:p>
        </w:tc>
        <w:tc>
          <w:tcPr>
            <w:tcW w:w="4581" w:type="dxa"/>
            <w:tcMar>
              <w:top w:w="0" w:type="dxa"/>
              <w:left w:w="108" w:type="dxa"/>
              <w:bottom w:w="0" w:type="dxa"/>
              <w:right w:w="108" w:type="dxa"/>
            </w:tcMar>
            <w:vAlign w:val="center"/>
          </w:tcPr>
          <w:p>
            <w:pPr>
              <w:adjustRightIn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adjustRightIn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100以下</w:t>
            </w:r>
          </w:p>
        </w:tc>
        <w:tc>
          <w:tcPr>
            <w:tcW w:w="4581" w:type="dxa"/>
            <w:tcMar>
              <w:top w:w="0" w:type="dxa"/>
              <w:left w:w="108" w:type="dxa"/>
              <w:bottom w:w="0" w:type="dxa"/>
              <w:right w:w="108" w:type="dxa"/>
            </w:tcMar>
            <w:vAlign w:val="center"/>
          </w:tcPr>
          <w:p>
            <w:pPr>
              <w:adjustRightIn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adjustRightIn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100-500</w:t>
            </w:r>
          </w:p>
        </w:tc>
        <w:tc>
          <w:tcPr>
            <w:tcW w:w="4581" w:type="dxa"/>
            <w:tcMar>
              <w:top w:w="0" w:type="dxa"/>
              <w:left w:w="108" w:type="dxa"/>
              <w:bottom w:w="0" w:type="dxa"/>
              <w:right w:w="108" w:type="dxa"/>
            </w:tcMar>
            <w:vAlign w:val="center"/>
          </w:tcPr>
          <w:p>
            <w:pPr>
              <w:adjustRightIn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adjustRightIn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500-1000</w:t>
            </w:r>
          </w:p>
        </w:tc>
        <w:tc>
          <w:tcPr>
            <w:tcW w:w="4581" w:type="dxa"/>
            <w:tcMar>
              <w:top w:w="0" w:type="dxa"/>
              <w:left w:w="108" w:type="dxa"/>
              <w:bottom w:w="0" w:type="dxa"/>
              <w:right w:w="108" w:type="dxa"/>
            </w:tcMar>
            <w:vAlign w:val="center"/>
          </w:tcPr>
          <w:p>
            <w:pPr>
              <w:adjustRightIn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0.45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adjustRightIn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1000-5000</w:t>
            </w:r>
          </w:p>
        </w:tc>
        <w:tc>
          <w:tcPr>
            <w:tcW w:w="4581" w:type="dxa"/>
            <w:tcMar>
              <w:top w:w="0" w:type="dxa"/>
              <w:left w:w="108" w:type="dxa"/>
              <w:bottom w:w="0" w:type="dxa"/>
              <w:right w:w="108" w:type="dxa"/>
            </w:tcMar>
            <w:vAlign w:val="center"/>
          </w:tcPr>
          <w:p>
            <w:pPr>
              <w:adjustRightIn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0.25</w:t>
            </w:r>
          </w:p>
        </w:tc>
      </w:tr>
    </w:tbl>
    <w:p>
      <w:pPr>
        <w:tabs>
          <w:tab w:val="left" w:pos="-180"/>
          <w:tab w:val="left" w:pos="180"/>
          <w:tab w:val="left" w:pos="360"/>
        </w:tabs>
        <w:adjustRightInd w:val="0"/>
        <w:spacing w:line="40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请各投标人将采购代理服务费包含在投标总报价中。</w:t>
      </w:r>
      <w:r>
        <w:rPr>
          <w:rFonts w:hint="eastAsia" w:ascii="宋体" w:hAnsi="宋体" w:cs="宋体"/>
          <w:color w:val="auto"/>
          <w:sz w:val="22"/>
          <w:highlight w:val="none"/>
        </w:rPr>
        <w:t>采购代理服务费可以是现金、支票或汇票。</w:t>
      </w:r>
    </w:p>
    <w:p>
      <w:pPr>
        <w:tabs>
          <w:tab w:val="left" w:pos="360"/>
        </w:tabs>
        <w:adjustRightIn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收款人账号名称：浙江乐诚工程咨询有限公司</w:t>
      </w:r>
    </w:p>
    <w:p>
      <w:pPr>
        <w:tabs>
          <w:tab w:val="left" w:pos="360"/>
        </w:tabs>
        <w:adjustRightIn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税号：91330103MA2AYJQP7X</w:t>
      </w:r>
    </w:p>
    <w:p>
      <w:pPr>
        <w:tabs>
          <w:tab w:val="left" w:pos="360"/>
        </w:tabs>
        <w:adjustRightIn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开户行：建设银行杭州之江支行 </w:t>
      </w:r>
    </w:p>
    <w:p>
      <w:pPr>
        <w:tabs>
          <w:tab w:val="left" w:pos="360"/>
        </w:tabs>
        <w:adjustRightIn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账号：33050161982700000693 </w:t>
      </w:r>
    </w:p>
    <w:p>
      <w:pPr>
        <w:tabs>
          <w:tab w:val="left" w:pos="360"/>
        </w:tabs>
        <w:adjustRightInd w:val="0"/>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5.信用记录：</w:t>
      </w:r>
    </w:p>
    <w:p>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根据财库[2016]125号《关于在政府采购活动中查询及使用信用记录有关问题的通知》要求，采购代理机构会对投标人信用记录进行查询并甄别。</w:t>
      </w:r>
    </w:p>
    <w:p>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5.1.信用信息查询的截止时点：投标截止时间；</w:t>
      </w:r>
    </w:p>
    <w:p>
      <w:pPr>
        <w:tabs>
          <w:tab w:val="left" w:pos="360"/>
        </w:tabs>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5.2.查询渠道：</w:t>
      </w:r>
      <w:r>
        <w:rPr>
          <w:rFonts w:hint="eastAsia" w:ascii="宋体" w:hAnsi="宋体" w:cs="宋体"/>
          <w:b/>
          <w:bCs/>
          <w:color w:val="auto"/>
          <w:sz w:val="22"/>
          <w:highlight w:val="none"/>
        </w:rPr>
        <w:t>“信用中国”网站（www.creditchina.gov.cn）、“中国政府采购网”（www.ccgp.gov.cn）</w:t>
      </w:r>
      <w:r>
        <w:rPr>
          <w:rFonts w:hint="eastAsia" w:ascii="宋体" w:hAnsi="宋体" w:cs="宋体"/>
          <w:b/>
          <w:bCs/>
          <w:color w:val="auto"/>
          <w:spacing w:val="6"/>
          <w:sz w:val="22"/>
          <w:highlight w:val="none"/>
        </w:rPr>
        <w:t>；</w:t>
      </w:r>
    </w:p>
    <w:p>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5.3.信用信息查询记录和证据留存具体方式：采购代理机构经办人或监督人员将查询网页打印与其他采购文件一并保存；</w:t>
      </w:r>
    </w:p>
    <w:p>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5.4.信用信息的使用规则：投标人存在不良信用记录的，其投标将被作为投标无效被拒绝；</w:t>
      </w:r>
    </w:p>
    <w:p>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不良信用记录指：被列入失信被执行人、重大税收违法案件当事人名单、政府采购严重违法失信行为记录名单。</w:t>
      </w:r>
    </w:p>
    <w:p>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6.特别说明：</w:t>
      </w:r>
    </w:p>
    <w:p>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6.1投标人应仔细阅读招标文件的所有内容，按照招标文件的要求提交投标文件，并对所提供的全部资料的真实性承担法律责任。</w:t>
      </w:r>
    </w:p>
    <w:p>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注：所有核心产品品牌均相同按同品牌投标人计算。</w:t>
      </w:r>
    </w:p>
    <w:p>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adjustRightInd w:val="0"/>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djustRightInd w:val="0"/>
        <w:spacing w:line="400" w:lineRule="exact"/>
        <w:ind w:firstLine="466" w:firstLineChars="200"/>
        <w:rPr>
          <w:rFonts w:ascii="宋体" w:hAnsi="宋体" w:cs="宋体"/>
          <w:color w:val="auto"/>
          <w:sz w:val="22"/>
          <w:highlight w:val="none"/>
        </w:rPr>
      </w:pPr>
      <w:r>
        <w:rPr>
          <w:rFonts w:hint="eastAsia" w:ascii="宋体" w:hAnsi="宋体" w:cs="宋体"/>
          <w:b/>
          <w:bCs/>
          <w:color w:val="auto"/>
          <w:spacing w:val="6"/>
          <w:sz w:val="22"/>
          <w:highlight w:val="none"/>
        </w:rPr>
        <w:t>6.5</w:t>
      </w:r>
      <w:r>
        <w:rPr>
          <w:rFonts w:hint="eastAsia" w:ascii="宋体" w:hAnsi="宋体" w:cs="宋体"/>
          <w:b/>
          <w:bCs/>
          <w:color w:val="auto"/>
          <w:kern w:val="0"/>
          <w:sz w:val="22"/>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pPr>
        <w:spacing w:line="400" w:lineRule="exact"/>
        <w:ind w:firstLine="522" w:firstLineChars="200"/>
        <w:jc w:val="center"/>
        <w:rPr>
          <w:rFonts w:ascii="宋体" w:hAnsi="宋体" w:cs="宋体"/>
          <w:b/>
          <w:color w:val="auto"/>
          <w:sz w:val="26"/>
          <w:highlight w:val="none"/>
        </w:rPr>
      </w:pPr>
      <w:r>
        <w:rPr>
          <w:rFonts w:hint="eastAsia" w:ascii="宋体" w:hAnsi="宋体" w:cs="宋体"/>
          <w:b/>
          <w:color w:val="auto"/>
          <w:sz w:val="26"/>
          <w:highlight w:val="none"/>
        </w:rPr>
        <w:t>二、招标文件</w:t>
      </w:r>
    </w:p>
    <w:p>
      <w:pPr>
        <w:spacing w:line="400" w:lineRule="exact"/>
        <w:ind w:firstLine="440" w:firstLineChars="200"/>
        <w:outlineLvl w:val="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pPr>
        <w:spacing w:line="400" w:lineRule="exact"/>
        <w:ind w:firstLine="440" w:firstLineChars="200"/>
        <w:outlineLvl w:val="0"/>
        <w:rPr>
          <w:rFonts w:ascii="宋体" w:hAnsi="宋体" w:cs="宋体"/>
          <w:color w:val="auto"/>
          <w:sz w:val="22"/>
          <w:highlight w:val="none"/>
        </w:rPr>
      </w:pPr>
      <w:r>
        <w:rPr>
          <w:rFonts w:hint="eastAsia" w:ascii="宋体" w:hAnsi="宋体" w:cs="宋体"/>
          <w:color w:val="auto"/>
          <w:sz w:val="22"/>
          <w:highlight w:val="none"/>
        </w:rPr>
        <w:t>2.质疑</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2.1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2.2投标人提出质疑应当提交质疑函和必要的证明材料，质疑函范本请到“浙江政府采购网下载专区”下载，质疑函应当包括下列内容：</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（一）投标人的姓名或者名称、地址、邮编、联系人及联系电话；</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（二）质疑项目的名称、编号；</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（三）具体、明确的质疑事项和与质疑事项相关的请求；</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（四）事实依据；</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（五）必要的法律依据；</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（六）提出质疑的日期。</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投标人为自然人的，应当由本人签字；投标人为法人或者其他组织的，应当由法定代表人、主要负责人，或者其授权代表签字或者盖章，并加盖电子签章。</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2.3提出质疑的投标人应当是参与本项目招标活动的投标人。</w:t>
      </w:r>
      <w:r>
        <w:rPr>
          <w:rFonts w:hint="eastAsia" w:ascii="宋体" w:hAnsi="宋体" w:cs="宋体"/>
          <w:b/>
          <w:bCs/>
          <w:color w:val="auto"/>
          <w:spacing w:val="6"/>
          <w:sz w:val="22"/>
          <w:highlight w:val="none"/>
        </w:rPr>
        <w:t>投标人在法定质疑期内一次性提出针对同一采购程序环节的质疑。</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2.4根据《政府采购质疑和投诉办法》第三十七条的规定，投诉人在全国范围12个月内三次以上投诉查无实据的，由财政部门列入不良行为记录名单。</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投诉人有下列行为之一的，属于虚假、恶意投诉，由财政部门列入不良行为记录名单，禁止其1至3年内参加政府采购活动：</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（一）捏造事实；</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（二）提供虚假材料；</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（三）以非法手段取得证明材料。证据来源的合法性存在明显疑问，投诉人无法证明其取得方式合法的，视为以非法手段取得证明材料。</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3.投诉</w:t>
      </w:r>
    </w:p>
    <w:p>
      <w:pPr>
        <w:spacing w:line="40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4.澄清或修改</w:t>
      </w:r>
    </w:p>
    <w:p>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4.1采购人或者采购代理机构可以对已发出的招标文件进行必要的澄清或者修改。澄清或者修改</w:t>
      </w:r>
      <w:r>
        <w:rPr>
          <w:rStyle w:val="29"/>
          <w:rFonts w:hint="eastAsia" w:ascii="宋体" w:hAnsi="宋体" w:cs="宋体"/>
          <w:b w:val="0"/>
          <w:color w:val="auto"/>
          <w:sz w:val="22"/>
          <w:highlight w:val="none"/>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投标人公章）向采购代理机构回函给予确认。过期未回复的，视为默认接受。</w:t>
      </w:r>
      <w:r>
        <w:rPr>
          <w:rFonts w:hint="eastAsia" w:ascii="宋体" w:hAnsi="宋体" w:cs="宋体"/>
          <w:color w:val="auto"/>
          <w:spacing w:val="6"/>
          <w:sz w:val="22"/>
          <w:highlight w:val="none"/>
        </w:rPr>
        <w:t>澄清或者修改的内容为招标文件的组成部分。</w:t>
      </w:r>
    </w:p>
    <w:p>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澄清或者修改的内容可能影响投标文件编制的，采购人或者采购代理机构应当在投标截止时间至少15日前，以书面形式（</w:t>
      </w:r>
      <w:r>
        <w:rPr>
          <w:rStyle w:val="29"/>
          <w:rFonts w:hint="eastAsia" w:ascii="宋体" w:hAnsi="宋体" w:cs="宋体"/>
          <w:b w:val="0"/>
          <w:color w:val="auto"/>
          <w:sz w:val="22"/>
          <w:highlight w:val="none"/>
        </w:rPr>
        <w:t>在浙江政府采购网上发布公告</w:t>
      </w:r>
      <w:r>
        <w:rPr>
          <w:rFonts w:hint="eastAsia" w:ascii="宋体" w:hAnsi="宋体" w:cs="宋体"/>
          <w:color w:val="auto"/>
          <w:spacing w:val="6"/>
          <w:sz w:val="22"/>
          <w:highlight w:val="none"/>
        </w:rPr>
        <w:t>）通知所有获取招标文件的潜在投标人；不足15日的，采购人或者采购代理机构应当顺延提交投标文件的截止时间。</w:t>
      </w:r>
    </w:p>
    <w:p>
      <w:pPr>
        <w:spacing w:line="400" w:lineRule="exact"/>
        <w:ind w:firstLine="522" w:firstLineChars="200"/>
        <w:jc w:val="center"/>
        <w:rPr>
          <w:rFonts w:ascii="宋体" w:hAnsi="宋体" w:cs="宋体"/>
          <w:color w:val="auto"/>
          <w:sz w:val="22"/>
          <w:highlight w:val="none"/>
        </w:rPr>
      </w:pPr>
      <w:r>
        <w:rPr>
          <w:rFonts w:hint="eastAsia" w:ascii="宋体" w:hAnsi="宋体" w:cs="宋体"/>
          <w:b/>
          <w:color w:val="auto"/>
          <w:sz w:val="26"/>
          <w:highlight w:val="none"/>
        </w:rPr>
        <w:t>三、 投标文件的编制</w:t>
      </w:r>
    </w:p>
    <w:p>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1.投标文件的形式</w:t>
      </w:r>
    </w:p>
    <w:p>
      <w:pPr>
        <w:pStyle w:val="14"/>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投标文件分为电子投标文件以及备份投标文件，备份文件为以介质存储的数据电文形式的备份投标文件。</w:t>
      </w:r>
    </w:p>
    <w:p>
      <w:pPr>
        <w:spacing w:line="360" w:lineRule="exact"/>
        <w:ind w:firstLine="442" w:firstLineChars="200"/>
        <w:rPr>
          <w:rFonts w:ascii="宋体" w:hAnsi="宋体" w:cs="宋体"/>
          <w:color w:val="auto"/>
          <w:kern w:val="0"/>
          <w:sz w:val="22"/>
          <w:highlight w:val="none"/>
        </w:rPr>
      </w:pPr>
      <w:r>
        <w:rPr>
          <w:rFonts w:hint="eastAsia" w:ascii="宋体" w:hAnsi="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cs="宋体"/>
          <w:color w:val="auto"/>
          <w:kern w:val="0"/>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1.2 以介质存储的数据电文形式的备份投标文件：</w:t>
      </w:r>
      <w:r>
        <w:rPr>
          <w:rStyle w:val="29"/>
          <w:rFonts w:hint="eastAsia" w:ascii="宋体" w:hAnsi="宋体" w:cs="宋体"/>
          <w:bCs/>
          <w:color w:val="auto"/>
          <w:sz w:val="22"/>
          <w:highlight w:val="none"/>
        </w:rPr>
        <w:t>与“电子投标文件”同时生成的数据电文形式的备份投标文件</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文件扩展名为</w:t>
      </w:r>
      <w:r>
        <w:rPr>
          <w:rFonts w:hint="eastAsia" w:ascii="宋体" w:hAnsi="宋体" w:cs="宋体"/>
          <w:b/>
          <w:bCs/>
          <w:color w:val="auto"/>
          <w:sz w:val="22"/>
          <w:highlight w:val="none"/>
        </w:rPr>
        <w:t>.bfbs)，</w:t>
      </w:r>
      <w:r>
        <w:rPr>
          <w:rFonts w:hint="eastAsia" w:ascii="宋体" w:hAnsi="宋体" w:cs="宋体"/>
          <w:b/>
          <w:bCs/>
          <w:color w:val="auto"/>
          <w:sz w:val="22"/>
          <w:highlight w:val="none"/>
          <w:lang w:val="zh-CN"/>
        </w:rPr>
        <w:t>投标文件提交截止时间前以电子邮件方式传送至浙江乐诚工程咨询有限公司电子邮箱</w:t>
      </w:r>
      <w:r>
        <w:rPr>
          <w:rFonts w:hint="eastAsia" w:ascii="宋体" w:hAnsi="宋体" w:cs="宋体"/>
          <w:b/>
          <w:bCs/>
          <w:color w:val="auto"/>
          <w:sz w:val="22"/>
          <w:highlight w:val="none"/>
          <w:lang w:eastAsia="zh-CN"/>
        </w:rPr>
        <w:t>2812799762</w:t>
      </w:r>
      <w:r>
        <w:rPr>
          <w:rFonts w:hint="eastAsia" w:ascii="宋体" w:hAnsi="宋体" w:cs="宋体"/>
          <w:b/>
          <w:bCs/>
          <w:color w:val="auto"/>
          <w:sz w:val="22"/>
          <w:highlight w:val="none"/>
        </w:rPr>
        <w:t>@qq.com，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29"/>
          <w:rFonts w:hint="eastAsia" w:ascii="宋体" w:hAnsi="宋体" w:cs="宋体"/>
          <w:bCs/>
          <w:color w:val="auto"/>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1.3 投标文件的效力</w:t>
      </w:r>
    </w:p>
    <w:p>
      <w:pPr>
        <w:spacing w:line="360" w:lineRule="exact"/>
        <w:ind w:firstLine="442" w:firstLineChars="200"/>
        <w:rPr>
          <w:rFonts w:ascii="宋体" w:hAnsi="宋体" w:cs="宋体"/>
          <w:b/>
          <w:bCs/>
          <w:color w:val="auto"/>
          <w:sz w:val="22"/>
          <w:highlight w:val="none"/>
          <w:lang w:val="zh-CN"/>
        </w:rPr>
      </w:pPr>
      <w:r>
        <w:rPr>
          <w:rFonts w:hint="eastAsia" w:ascii="宋体" w:hAnsi="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2.投标人应认真阅读招标文件中所有事项格式、条款和技术规范等。</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投标人没有对招标文件各个方面做出实质性响应，导致投标被拒绝的风险由投标人自行承担。</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3.</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pPr>
        <w:spacing w:line="40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4.投标文件的构成：</w:t>
      </w:r>
    </w:p>
    <w:p>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pPr>
        <w:spacing w:line="400" w:lineRule="exact"/>
        <w:ind w:firstLine="442" w:firstLineChars="200"/>
        <w:outlineLvl w:val="0"/>
        <w:rPr>
          <w:rFonts w:ascii="宋体" w:hAnsi="宋体" w:cs="宋体"/>
          <w:b/>
          <w:bCs/>
          <w:color w:val="auto"/>
          <w:sz w:val="22"/>
          <w:highlight w:val="none"/>
        </w:rPr>
      </w:pPr>
      <w:r>
        <w:rPr>
          <w:rFonts w:hint="eastAsia" w:ascii="宋体" w:hAnsi="宋体" w:cs="宋体"/>
          <w:b/>
          <w:bCs/>
          <w:color w:val="auto"/>
          <w:sz w:val="22"/>
          <w:highlight w:val="none"/>
        </w:rPr>
        <w:t>（1）报价文件</w:t>
      </w:r>
    </w:p>
    <w:p>
      <w:pPr>
        <w:tabs>
          <w:tab w:val="left" w:pos="535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1）开标一览表；（见附件1）</w:t>
      </w:r>
    </w:p>
    <w:p>
      <w:pPr>
        <w:tabs>
          <w:tab w:val="left" w:pos="535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2）投标报价明细表；（见附件2）</w:t>
      </w:r>
    </w:p>
    <w:p>
      <w:pPr>
        <w:tabs>
          <w:tab w:val="left" w:pos="535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3）中小企业声明函；（见附件3）</w:t>
      </w:r>
    </w:p>
    <w:p>
      <w:pPr>
        <w:tabs>
          <w:tab w:val="left" w:pos="535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4）投标报价部分其他内容（如有，格式自拟）。</w:t>
      </w:r>
    </w:p>
    <w:p>
      <w:pPr>
        <w:tabs>
          <w:tab w:val="left" w:pos="5355"/>
        </w:tabs>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（2）资格文件：（见附件4）</w:t>
      </w:r>
    </w:p>
    <w:p>
      <w:pPr>
        <w:autoSpaceDE w:val="0"/>
        <w:autoSpaceDN w:val="0"/>
        <w:adjustRightInd w:val="0"/>
        <w:snapToGrid w:val="0"/>
        <w:spacing w:line="360" w:lineRule="exact"/>
        <w:ind w:firstLine="442" w:firstLineChars="200"/>
        <w:textAlignment w:val="bottom"/>
        <w:rPr>
          <w:rFonts w:ascii="宋体" w:hAnsi="宋体" w:cs="宋体"/>
          <w:b/>
          <w:bCs/>
          <w:snapToGrid w:val="0"/>
          <w:color w:val="auto"/>
          <w:sz w:val="22"/>
          <w:highlight w:val="none"/>
        </w:rPr>
      </w:pPr>
      <w:r>
        <w:rPr>
          <w:rFonts w:hint="eastAsia" w:ascii="宋体" w:hAnsi="宋体" w:cs="宋体"/>
          <w:b/>
          <w:bCs/>
          <w:snapToGrid w:val="0"/>
          <w:color w:val="auto"/>
          <w:sz w:val="22"/>
          <w:highlight w:val="none"/>
        </w:rPr>
        <w:t>①有效的法人或者其他组织的营业执照等证明文件，自然人的身份证明（五选一）</w:t>
      </w:r>
      <w:r>
        <w:rPr>
          <w:rFonts w:hint="eastAsia" w:ascii="宋体" w:hAnsi="宋体" w:cs="宋体"/>
          <w:b/>
          <w:bCs/>
          <w:color w:val="auto"/>
          <w:sz w:val="22"/>
          <w:highlight w:val="none"/>
        </w:rPr>
        <w:t>（见附件4-1）</w:t>
      </w:r>
    </w:p>
    <w:p>
      <w:pPr>
        <w:autoSpaceDE w:val="0"/>
        <w:autoSpaceDN w:val="0"/>
        <w:adjustRightInd w:val="0"/>
        <w:spacing w:line="360" w:lineRule="exact"/>
        <w:ind w:firstLine="470" w:firstLineChars="213"/>
        <w:rPr>
          <w:rFonts w:ascii="宋体" w:hAnsi="宋体" w:cs="宋体"/>
          <w:b/>
          <w:bCs/>
          <w:color w:val="auto"/>
          <w:sz w:val="22"/>
          <w:highlight w:val="none"/>
        </w:rPr>
      </w:pPr>
      <w:r>
        <w:rPr>
          <w:rFonts w:hint="eastAsia" w:ascii="宋体" w:hAnsi="宋体" w:cs="宋体"/>
          <w:b/>
          <w:bCs/>
          <w:snapToGrid w:val="0"/>
          <w:color w:val="auto"/>
          <w:sz w:val="22"/>
          <w:highlight w:val="none"/>
        </w:rPr>
        <w:t>②关于符合《中华人民共和国政府采购法》第二十二条规定的承诺函</w:t>
      </w:r>
      <w:r>
        <w:rPr>
          <w:rFonts w:hint="eastAsia" w:ascii="宋体" w:hAnsi="宋体" w:cs="宋体"/>
          <w:b/>
          <w:bCs/>
          <w:color w:val="auto"/>
          <w:sz w:val="22"/>
          <w:highlight w:val="none"/>
        </w:rPr>
        <w:t>（见附件4-2）</w:t>
      </w:r>
    </w:p>
    <w:p>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（3）商务和技术文件</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评分索引表（见附件5）</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法定代表人资格证明书/法定代表人授权委托书；（见附件6）</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投标函（见附件7）</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投标人基本情况表（见附件8）                </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节能、环保产品证明材料（如有）（见附件9）；</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投标人同类项目业绩一览表（如有）（见附件10）；</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采购需求偏离表（见附件11）；</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政府采购活动现场确认声明书（见附件12）；</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货物配置清单（见附件13）</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选配件、专用耗材、备品备件优惠表（见附件14）；</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投标产品技术支持材料（见附件15）； </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投标人需要说明的其他文件和说明（格式自拟）。</w:t>
      </w:r>
    </w:p>
    <w:p>
      <w:pPr>
        <w:spacing w:line="40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以上内容按照招标文件第四部分附件所附格式填写，相关证书、报告等</w:t>
      </w:r>
      <w:r>
        <w:rPr>
          <w:rFonts w:hint="eastAsia" w:ascii="宋体" w:hAnsi="宋体" w:cs="宋体"/>
          <w:b/>
          <w:bCs/>
          <w:color w:val="auto"/>
          <w:spacing w:val="-6"/>
          <w:sz w:val="22"/>
          <w:highlight w:val="none"/>
        </w:rPr>
        <w:t>如遇年检或换证等特殊情况须按要求提供相应的证明材料</w:t>
      </w:r>
      <w:r>
        <w:rPr>
          <w:rFonts w:hint="eastAsia" w:ascii="宋体" w:hAnsi="宋体" w:cs="宋体"/>
          <w:b/>
          <w:bCs/>
          <w:color w:val="auto"/>
          <w:sz w:val="22"/>
          <w:highlight w:val="none"/>
        </w:rPr>
        <w:t>。没有提供格式的，投标人根据实际情况自行编制。</w:t>
      </w:r>
    </w:p>
    <w:p>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投标人可在招标文件中对项目的技术规格和要求选用替代标准，但这些替代标准必须相等于或优于招标文件中提出的相应要求，并使采购人满意。同时在采购需求偏离表中作出详细说明。</w:t>
      </w:r>
    </w:p>
    <w:p>
      <w:pPr>
        <w:pStyle w:val="14"/>
        <w:spacing w:line="400" w:lineRule="exact"/>
        <w:ind w:firstLine="442" w:firstLineChars="200"/>
        <w:rPr>
          <w:rFonts w:hAnsi="宋体" w:cs="宋体"/>
          <w:b/>
          <w:color w:val="auto"/>
          <w:sz w:val="22"/>
          <w:highlight w:val="none"/>
        </w:rPr>
      </w:pPr>
      <w:r>
        <w:rPr>
          <w:rFonts w:hint="eastAsia" w:hAnsi="宋体" w:cs="宋体"/>
          <w:b/>
          <w:color w:val="auto"/>
          <w:sz w:val="22"/>
          <w:highlight w:val="none"/>
        </w:rPr>
        <w:t>5.投标文件格式</w:t>
      </w:r>
    </w:p>
    <w:p>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4"/>
        <w:spacing w:line="400" w:lineRule="exact"/>
        <w:ind w:firstLine="442" w:firstLineChars="200"/>
        <w:rPr>
          <w:rFonts w:hAnsi="宋体" w:cs="宋体"/>
          <w:b/>
          <w:color w:val="auto"/>
          <w:sz w:val="22"/>
          <w:highlight w:val="none"/>
        </w:rPr>
      </w:pPr>
      <w:r>
        <w:rPr>
          <w:rFonts w:hint="eastAsia" w:hAnsi="宋体" w:cs="宋体"/>
          <w:b/>
          <w:color w:val="auto"/>
          <w:sz w:val="22"/>
          <w:highlight w:val="none"/>
        </w:rPr>
        <w:t>6.投标文件编制要求</w:t>
      </w:r>
    </w:p>
    <w:p>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6.1</w:t>
      </w:r>
      <w:r>
        <w:rPr>
          <w:rFonts w:hint="eastAsia" w:ascii="宋体" w:hAnsi="宋体" w:cs="宋体"/>
          <w:b/>
          <w:bCs/>
          <w:color w:val="auto"/>
          <w:sz w:val="22"/>
          <w:highlight w:val="none"/>
        </w:rPr>
        <w:t>投标人应根据电子投标操作指南按本招标文件规定的格式和顺序编制电子投标文件并进行关联定位</w:t>
      </w:r>
      <w:r>
        <w:rPr>
          <w:rFonts w:hint="eastAsia" w:ascii="宋体" w:hAnsi="宋体" w:cs="宋体"/>
          <w:color w:val="auto"/>
          <w:sz w:val="22"/>
          <w:highlight w:val="none"/>
        </w:rPr>
        <w:t>。</w:t>
      </w:r>
    </w:p>
    <w:p>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6.2由于未按招标文件的规定要求编制投标文件，导致评标委员会作出的对投标人的误判，责任由投标人自己承担。</w:t>
      </w:r>
    </w:p>
    <w:p>
      <w:pPr>
        <w:tabs>
          <w:tab w:val="left" w:pos="-180"/>
          <w:tab w:val="left" w:pos="180"/>
          <w:tab w:val="left" w:pos="360"/>
        </w:tabs>
        <w:spacing w:line="40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7.投标报价</w:t>
      </w:r>
    </w:p>
    <w:p>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7.1投标报价是指投标人在正确地完全履行合同义务后采购人应支付给投标人的货款、安装调试费、各种税费、验收（含第三方验收）、采购代理服务费、售后服务、材料税费、旧台拆装、搬运费、施工造成的线路改造材料及其他费用等全部费用等全部费用，实行固定费用总包干，投标人应根据上述因素自行考虑含入投标总价。</w:t>
      </w:r>
    </w:p>
    <w:p>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7.2投标人须按第四部分附件的开标一览表（统一格式）、投标报价明细表（统一格式）的内容填写产品单价、合价及其他事项，并由法定代表人或授权代表签字或盖章。</w:t>
      </w:r>
    </w:p>
    <w:p>
      <w:pPr>
        <w:tabs>
          <w:tab w:val="left" w:pos="-180"/>
          <w:tab w:val="left" w:pos="180"/>
          <w:tab w:val="left" w:pos="360"/>
        </w:tabs>
        <w:spacing w:line="400" w:lineRule="exact"/>
        <w:ind w:firstLine="442" w:firstLineChars="200"/>
        <w:outlineLvl w:val="0"/>
        <w:rPr>
          <w:rFonts w:ascii="宋体" w:hAnsi="宋体" w:cs="宋体"/>
          <w:b/>
          <w:color w:val="auto"/>
          <w:sz w:val="22"/>
          <w:highlight w:val="none"/>
        </w:rPr>
      </w:pPr>
      <w:r>
        <w:rPr>
          <w:rFonts w:hint="eastAsia" w:ascii="宋体" w:hAnsi="宋体" w:cs="宋体"/>
          <w:b/>
          <w:color w:val="auto"/>
          <w:sz w:val="22"/>
          <w:highlight w:val="none"/>
        </w:rPr>
        <w:t>7.3报价货币为人民币。</w:t>
      </w:r>
    </w:p>
    <w:p>
      <w:pPr>
        <w:tabs>
          <w:tab w:val="left" w:pos="-180"/>
          <w:tab w:val="left" w:pos="180"/>
          <w:tab w:val="left" w:pos="360"/>
        </w:tabs>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▲7.4采购人不接受任何选择报价，对每一种货物、服务只允许一个报价。</w:t>
      </w:r>
    </w:p>
    <w:p>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7.5采购人要求分类报价是为了方便评标，但在任何情况下不限制采购人以其认为最合适的条款、条件签订合同的权利。</w:t>
      </w:r>
    </w:p>
    <w:p>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7.5最低报价不能作为中标的保证。</w:t>
      </w:r>
    </w:p>
    <w:p>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8.投标保证金：</w:t>
      </w:r>
      <w:r>
        <w:rPr>
          <w:rFonts w:hint="eastAsia" w:ascii="宋体" w:hAnsi="宋体" w:cs="宋体"/>
          <w:color w:val="auto"/>
          <w:spacing w:val="-6"/>
          <w:sz w:val="22"/>
          <w:highlight w:val="none"/>
          <w:lang w:val="zh-CN"/>
        </w:rPr>
        <w:t>本项目不收取投标保证金。</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9.投标有效期</w:t>
      </w:r>
    </w:p>
    <w:p>
      <w:pPr>
        <w:spacing w:line="40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9.1</w:t>
      </w:r>
      <w:r>
        <w:rPr>
          <w:rFonts w:hint="eastAsia" w:ascii="宋体" w:hAnsi="宋体" w:cs="宋体"/>
          <w:b/>
          <w:bCs/>
          <w:color w:val="auto"/>
          <w:sz w:val="22"/>
          <w:highlight w:val="none"/>
        </w:rPr>
        <w:t>自提交投标文件的截止之日起</w:t>
      </w:r>
      <w:r>
        <w:rPr>
          <w:rFonts w:hint="eastAsia" w:ascii="宋体" w:hAnsi="宋体" w:cs="宋体"/>
          <w:b/>
          <w:bCs/>
          <w:color w:val="auto"/>
          <w:sz w:val="22"/>
          <w:highlight w:val="none"/>
          <w:u w:val="single"/>
        </w:rPr>
        <w:t>90</w:t>
      </w:r>
      <w:r>
        <w:rPr>
          <w:rFonts w:hint="eastAsia" w:ascii="宋体" w:hAnsi="宋体" w:cs="宋体"/>
          <w:b/>
          <w:bCs/>
          <w:color w:val="auto"/>
          <w:sz w:val="22"/>
          <w:highlight w:val="none"/>
        </w:rPr>
        <w:t>天内投标应保持有效。有效期不足的投标文件将被拒绝。</w:t>
      </w:r>
    </w:p>
    <w:p>
      <w:pPr>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10.投标文件的签署和规定</w:t>
      </w:r>
    </w:p>
    <w:p>
      <w:pPr>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b/>
          <w:bCs/>
          <w:color w:val="auto"/>
          <w:spacing w:val="-6"/>
          <w:sz w:val="22"/>
          <w:highlight w:val="none"/>
        </w:rPr>
        <w:t>其中资格文件、商务和技术文件中不得出现投标报价，如因投标人原因提前泄露投标报价，是投标人的责任。</w:t>
      </w:r>
    </w:p>
    <w:p>
      <w:pPr>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10.2投标文件须由投标人在规定位置加盖公章并由投标人代表签署，投标人应写全称。</w:t>
      </w:r>
    </w:p>
    <w:p>
      <w:pPr>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10.3投标文件不得涂改，若有修改错漏处，须由投标人代表签字并加盖投标人公章。投标文件因字迹潦草或表达不清所引起的后果由投标人负责。</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10.4</w:t>
      </w:r>
      <w:r>
        <w:rPr>
          <w:rFonts w:hint="eastAsia" w:ascii="宋体" w:hAnsi="宋体" w:cs="宋体"/>
          <w:b/>
          <w:bCs/>
          <w:color w:val="auto"/>
          <w:sz w:val="22"/>
          <w:highlight w:val="none"/>
        </w:rPr>
        <w:t>投标文件字迹模糊或在关键的技术、商务条款上表述不清楚，将可能导致其投标被拒绝。</w:t>
      </w:r>
    </w:p>
    <w:p>
      <w:pPr>
        <w:spacing w:line="400" w:lineRule="exact"/>
        <w:jc w:val="center"/>
        <w:outlineLvl w:val="0"/>
        <w:rPr>
          <w:rFonts w:ascii="宋体" w:hAnsi="宋体" w:cs="宋体"/>
          <w:color w:val="auto"/>
          <w:sz w:val="22"/>
          <w:highlight w:val="none"/>
        </w:rPr>
      </w:pPr>
      <w:r>
        <w:rPr>
          <w:rFonts w:hint="eastAsia" w:ascii="宋体" w:hAnsi="宋体" w:cs="宋体"/>
          <w:b/>
          <w:color w:val="auto"/>
          <w:sz w:val="26"/>
          <w:highlight w:val="none"/>
        </w:rPr>
        <w:t>四、 投标文件的递交</w:t>
      </w:r>
    </w:p>
    <w:p>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1.电子投标文件的加密、递交</w:t>
      </w:r>
    </w:p>
    <w:p>
      <w:pPr>
        <w:spacing w:line="400" w:lineRule="exact"/>
        <w:ind w:firstLine="440" w:firstLineChars="200"/>
        <w:rPr>
          <w:rFonts w:ascii="宋体" w:hAnsi="宋体" w:cs="宋体"/>
          <w:b/>
          <w:bCs/>
          <w:color w:val="auto"/>
          <w:sz w:val="22"/>
          <w:highlight w:val="none"/>
        </w:rPr>
      </w:pPr>
      <w:r>
        <w:rPr>
          <w:rFonts w:hint="eastAsia" w:ascii="宋体" w:hAnsi="宋体" w:cs="宋体"/>
          <w:color w:val="auto"/>
          <w:kern w:val="0"/>
          <w:sz w:val="22"/>
          <w:highlight w:val="none"/>
        </w:rPr>
        <w:t>投标人</w:t>
      </w:r>
      <w:r>
        <w:rPr>
          <w:rFonts w:hint="eastAsia" w:ascii="宋体" w:hAnsi="宋体" w:cs="宋体"/>
          <w:color w:val="auto"/>
          <w:spacing w:val="-6"/>
          <w:sz w:val="22"/>
          <w:highlight w:val="none"/>
        </w:rPr>
        <w:t>于投标截止时间前按照电子投标要求将加密电子投标文件上传到“政采云”平台，逾期或未上传成功的将被政府采购云平台拒收</w:t>
      </w:r>
      <w:r>
        <w:rPr>
          <w:rFonts w:hint="eastAsia" w:ascii="宋体" w:hAnsi="宋体" w:cs="宋体"/>
          <w:color w:val="auto"/>
          <w:kern w:val="0"/>
          <w:sz w:val="22"/>
          <w:highlight w:val="none"/>
        </w:rPr>
        <w:t>。</w:t>
      </w:r>
    </w:p>
    <w:p>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w:t>
      </w:r>
      <w:r>
        <w:rPr>
          <w:rFonts w:hint="eastAsia" w:ascii="宋体" w:hAnsi="宋体" w:cs="宋体"/>
          <w:b/>
          <w:color w:val="auto"/>
          <w:sz w:val="22"/>
          <w:highlight w:val="none"/>
        </w:rPr>
        <w:t>备份电子投标文件的加密、递交（如有）</w:t>
      </w:r>
    </w:p>
    <w:p>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为</w:t>
      </w:r>
      <w:r>
        <w:rPr>
          <w:rFonts w:hint="eastAsia" w:ascii="宋体" w:hAnsi="宋体" w:cs="宋体"/>
          <w:color w:val="auto"/>
          <w:kern w:val="0"/>
          <w:sz w:val="22"/>
          <w:highlight w:val="none"/>
        </w:rPr>
        <w:t>确保采购项目顺利实施，避免因政采云上电子投标文件解密失败导致投标人投标无效，</w:t>
      </w:r>
      <w:r>
        <w:rPr>
          <w:color w:val="auto"/>
          <w:highlight w:val="none"/>
        </w:rPr>
        <w:fldChar w:fldCharType="begin"/>
      </w:r>
      <w:r>
        <w:rPr>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color w:val="auto"/>
          <w:highlight w:val="none"/>
        </w:rPr>
        <w:fldChar w:fldCharType="separate"/>
      </w:r>
      <w:r>
        <w:rPr>
          <w:rFonts w:hint="eastAsia" w:ascii="宋体" w:hAnsi="宋体" w:cs="宋体"/>
          <w:color w:val="auto"/>
          <w:kern w:val="0"/>
          <w:sz w:val="22"/>
          <w:highlight w:val="none"/>
        </w:rPr>
        <w:t>投标人在政府采购云平台完成加密电子投标文件的上传后投标文件提交截止时间前将</w:t>
      </w:r>
      <w:r>
        <w:rPr>
          <w:rFonts w:hint="eastAsia" w:ascii="宋体" w:hAnsi="宋体" w:cs="宋体"/>
          <w:b/>
          <w:bCs/>
          <w:color w:val="auto"/>
          <w:sz w:val="22"/>
          <w:highlight w:val="none"/>
        </w:rPr>
        <w:t>以介质存储的数据电文形式的备份投标文件按“</w:t>
      </w:r>
      <w:r>
        <w:rPr>
          <w:rFonts w:hint="eastAsia" w:ascii="宋体" w:hAnsi="宋体" w:cs="宋体"/>
          <w:b/>
          <w:bCs/>
          <w:color w:val="auto"/>
          <w:sz w:val="22"/>
          <w:highlight w:val="none"/>
          <w:lang w:val="zh-CN"/>
        </w:rPr>
        <w:t>投标人须知前附表</w:t>
      </w:r>
      <w:r>
        <w:rPr>
          <w:rFonts w:hint="eastAsia" w:ascii="宋体" w:hAnsi="宋体" w:cs="宋体"/>
          <w:b/>
          <w:bCs/>
          <w:color w:val="auto"/>
          <w:sz w:val="22"/>
          <w:highlight w:val="none"/>
        </w:rPr>
        <w:t>”要求</w:t>
      </w:r>
      <w:r>
        <w:rPr>
          <w:rFonts w:hint="eastAsia" w:ascii="宋体" w:hAnsi="宋体" w:cs="宋体"/>
          <w:b/>
          <w:bCs/>
          <w:color w:val="auto"/>
          <w:sz w:val="22"/>
          <w:highlight w:val="none"/>
        </w:rPr>
        <w:fldChar w:fldCharType="end"/>
      </w:r>
      <w:r>
        <w:rPr>
          <w:rFonts w:hint="eastAsia" w:ascii="宋体" w:hAnsi="宋体" w:cs="宋体"/>
          <w:color w:val="auto"/>
          <w:kern w:val="0"/>
          <w:sz w:val="22"/>
          <w:highlight w:val="none"/>
        </w:rPr>
        <w:t>加密、递交。</w:t>
      </w:r>
    </w:p>
    <w:p>
      <w:pPr>
        <w:pStyle w:val="14"/>
        <w:snapToGrid w:val="0"/>
        <w:spacing w:line="360" w:lineRule="exact"/>
        <w:ind w:firstLine="440" w:firstLineChars="200"/>
        <w:rPr>
          <w:rFonts w:hAnsi="宋体" w:cs="宋体"/>
          <w:color w:val="auto"/>
          <w:kern w:val="0"/>
          <w:sz w:val="22"/>
          <w:highlight w:val="none"/>
        </w:rPr>
      </w:pPr>
      <w:r>
        <w:rPr>
          <w:rFonts w:hint="eastAsia" w:hAnsi="宋体" w:cs="宋体"/>
          <w:color w:val="auto"/>
          <w:kern w:val="0"/>
          <w:sz w:val="22"/>
          <w:highlight w:val="none"/>
        </w:rPr>
        <w:t>本项目由采购代理机构做好“</w:t>
      </w:r>
      <w:r>
        <w:rPr>
          <w:rFonts w:hint="eastAsia" w:hAnsi="宋体" w:cs="宋体"/>
          <w:b/>
          <w:bCs/>
          <w:color w:val="auto"/>
          <w:sz w:val="22"/>
          <w:highlight w:val="none"/>
        </w:rPr>
        <w:t>介质存储的数据电文形式的备份投标文件</w:t>
      </w:r>
      <w:r>
        <w:rPr>
          <w:rFonts w:hint="eastAsia" w:hAnsi="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▲投标人递交的介质存储的数据电文形式的备份投标文件时，如出现下列情况之一的，视为无效备份投标文件：</w:t>
      </w:r>
    </w:p>
    <w:p>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（1）超过投标文件提交截止时间送达的；</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（2）未在政采云平台获取招标文件的。</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3.投标文件的修改和撤回</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3.2在投标截止时间之后，投标人不得对其投标做任何修改。</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3.3从投标截止时间至投标人在投标书格式中确定的投标有效期期满这段时间内，投标人不得撤回其投标。</w:t>
      </w:r>
    </w:p>
    <w:p>
      <w:pPr>
        <w:tabs>
          <w:tab w:val="left" w:pos="360"/>
          <w:tab w:val="left" w:pos="540"/>
          <w:tab w:val="left" w:pos="1260"/>
        </w:tabs>
        <w:spacing w:line="400" w:lineRule="exact"/>
        <w:ind w:left="919" w:hanging="919" w:hangingChars="352"/>
        <w:jc w:val="center"/>
        <w:outlineLvl w:val="0"/>
        <w:rPr>
          <w:rFonts w:ascii="宋体" w:hAnsi="宋体" w:cs="宋体"/>
          <w:b/>
          <w:color w:val="auto"/>
          <w:sz w:val="26"/>
          <w:highlight w:val="none"/>
        </w:rPr>
      </w:pPr>
      <w:r>
        <w:rPr>
          <w:rFonts w:hint="eastAsia" w:ascii="宋体" w:hAnsi="宋体" w:cs="宋体"/>
          <w:b/>
          <w:color w:val="auto"/>
          <w:sz w:val="26"/>
          <w:highlight w:val="none"/>
        </w:rPr>
        <w:t>五、 开标和评标</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1.评标委员会</w:t>
      </w:r>
    </w:p>
    <w:p>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采购人依法组建评标委员会。评标委员会的成员在评标过程中必须严格遵守《中华人民共和国政府采购法》等有关法律、法规的规定。</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2.评标过程的保密性</w:t>
      </w:r>
    </w:p>
    <w:p>
      <w:pPr>
        <w:spacing w:line="400" w:lineRule="exact"/>
        <w:ind w:firstLine="442" w:firstLineChars="200"/>
        <w:rPr>
          <w:rFonts w:ascii="宋体" w:hAnsi="宋体" w:cs="宋体"/>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2.1开标后直至向中标人授予合同时止，凡与评审有关的资料均不得向投标人及与评标无关人员透漏。如果投标人在评标过程中试图向采购人和采购人施加影响，其投标将被拒绝。</w:t>
      </w:r>
    </w:p>
    <w:p>
      <w:pPr>
        <w:spacing w:line="400" w:lineRule="exact"/>
        <w:ind w:left="420" w:leftChars="200"/>
        <w:rPr>
          <w:rFonts w:ascii="宋体" w:hAnsi="宋体" w:cs="宋体"/>
          <w:color w:val="auto"/>
          <w:sz w:val="22"/>
          <w:highlight w:val="none"/>
        </w:rPr>
      </w:pPr>
      <w:r>
        <w:rPr>
          <w:rFonts w:hint="eastAsia" w:ascii="宋体" w:hAnsi="宋体" w:cs="宋体"/>
          <w:color w:val="auto"/>
          <w:sz w:val="22"/>
          <w:highlight w:val="none"/>
        </w:rPr>
        <w:t>3.开标</w:t>
      </w:r>
    </w:p>
    <w:p>
      <w:pPr>
        <w:pStyle w:val="41"/>
        <w:snapToGrid w:val="0"/>
        <w:spacing w:line="400" w:lineRule="exact"/>
        <w:ind w:firstLine="440" w:firstLineChars="200"/>
        <w:rPr>
          <w:color w:val="auto"/>
          <w:sz w:val="22"/>
          <w:highlight w:val="none"/>
        </w:rPr>
      </w:pPr>
      <w:r>
        <w:rPr>
          <w:rFonts w:hint="eastAsia"/>
          <w:color w:val="auto"/>
          <w:sz w:val="22"/>
          <w:highlight w:val="none"/>
        </w:rPr>
        <w:t>本项目实行电子开评标，投标人无需前往开评标现场，只需在规定时间内在“政采云”平台上上传电子投标文件。</w:t>
      </w:r>
    </w:p>
    <w:p>
      <w:pPr>
        <w:pStyle w:val="41"/>
        <w:snapToGrid w:val="0"/>
        <w:spacing w:line="400" w:lineRule="exact"/>
        <w:ind w:firstLine="440" w:firstLineChars="200"/>
        <w:rPr>
          <w:color w:val="auto"/>
          <w:sz w:val="22"/>
          <w:highlight w:val="none"/>
        </w:rPr>
      </w:pPr>
      <w:r>
        <w:rPr>
          <w:rFonts w:hint="eastAsia"/>
          <w:color w:val="auto"/>
          <w:sz w:val="22"/>
          <w:highlight w:val="none"/>
        </w:rPr>
        <w:t>3.1开标准备</w:t>
      </w:r>
    </w:p>
    <w:p>
      <w:pPr>
        <w:pStyle w:val="41"/>
        <w:snapToGrid w:val="0"/>
        <w:spacing w:line="400" w:lineRule="exact"/>
        <w:ind w:firstLine="440" w:firstLineChars="200"/>
        <w:rPr>
          <w:color w:val="auto"/>
          <w:sz w:val="22"/>
          <w:highlight w:val="none"/>
        </w:rPr>
      </w:pPr>
      <w:r>
        <w:rPr>
          <w:rFonts w:hint="eastAsia"/>
          <w:color w:val="auto"/>
          <w:sz w:val="22"/>
          <w:highlight w:val="none"/>
        </w:rPr>
        <w:t>①制订开标、评审工作的组织方案，落实工作场地、设施，检查录音录像采集设备运行情况。采用电子评审方式的，验证电子评审系统是否正常运行。</w:t>
      </w:r>
    </w:p>
    <w:p>
      <w:pPr>
        <w:pStyle w:val="41"/>
        <w:snapToGrid w:val="0"/>
        <w:spacing w:line="400" w:lineRule="exact"/>
        <w:ind w:firstLine="440" w:firstLineChars="200"/>
        <w:rPr>
          <w:color w:val="auto"/>
          <w:sz w:val="22"/>
          <w:highlight w:val="none"/>
        </w:rPr>
      </w:pPr>
      <w:r>
        <w:rPr>
          <w:rFonts w:hint="eastAsia"/>
          <w:color w:val="auto"/>
          <w:sz w:val="22"/>
          <w:highlight w:val="none"/>
        </w:rPr>
        <w:t>②通知或邀请相关单位和人员出席开标、评审活动（按规定由相关监管部门或其授权机构随机抽取、通知的政府采购评审专家除外）。</w:t>
      </w:r>
    </w:p>
    <w:p>
      <w:pPr>
        <w:pStyle w:val="41"/>
        <w:snapToGrid w:val="0"/>
        <w:spacing w:line="400" w:lineRule="exact"/>
        <w:ind w:firstLine="440" w:firstLineChars="200"/>
        <w:rPr>
          <w:color w:val="auto"/>
          <w:sz w:val="22"/>
          <w:highlight w:val="none"/>
        </w:rPr>
      </w:pPr>
      <w:r>
        <w:rPr>
          <w:rFonts w:hint="eastAsia"/>
          <w:color w:val="auto"/>
          <w:sz w:val="22"/>
          <w:highlight w:val="none"/>
        </w:rPr>
        <w:t>③准备政府采购项目的相关文件资料，如项目政府采购预算确认书（计划）、专家抽取有关凭证、项目书面说明、采购文件、补充文件及质疑答复情况、现场工作所需的相关登记表单、评审工作底稿等。</w:t>
      </w:r>
    </w:p>
    <w:p>
      <w:pPr>
        <w:pStyle w:val="41"/>
        <w:snapToGrid w:val="0"/>
        <w:spacing w:line="400" w:lineRule="exact"/>
        <w:ind w:firstLine="440" w:firstLineChars="200"/>
        <w:rPr>
          <w:color w:val="auto"/>
          <w:sz w:val="22"/>
          <w:highlight w:val="none"/>
        </w:rPr>
      </w:pPr>
      <w:r>
        <w:rPr>
          <w:rFonts w:hint="eastAsia"/>
          <w:color w:val="auto"/>
          <w:sz w:val="22"/>
          <w:highlight w:val="none"/>
        </w:rPr>
        <w:t>④其他应准备的事项。</w:t>
      </w:r>
    </w:p>
    <w:p>
      <w:pPr>
        <w:pStyle w:val="11"/>
        <w:spacing w:line="40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3.2采购代理机构按照招标文件规定的时间、地点和程序组织开标，具体按以下程序进行：</w:t>
      </w:r>
    </w:p>
    <w:p>
      <w:pPr>
        <w:pStyle w:val="14"/>
        <w:overflowPunct/>
        <w:autoSpaceDE/>
        <w:autoSpaceDN/>
        <w:adjustRightInd/>
        <w:spacing w:line="40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pPr>
        <w:pStyle w:val="22"/>
        <w:spacing w:before="0" w:beforeAutospacing="0" w:after="0" w:afterAutospacing="0" w:line="400" w:lineRule="exact"/>
        <w:ind w:firstLine="440" w:firstLineChars="200"/>
        <w:jc w:val="both"/>
        <w:rPr>
          <w:color w:val="auto"/>
          <w:sz w:val="22"/>
          <w:highlight w:val="none"/>
        </w:rPr>
      </w:pPr>
      <w:r>
        <w:rPr>
          <w:rFonts w:hint="eastAsia"/>
          <w:color w:val="auto"/>
          <w:sz w:val="22"/>
          <w:highlight w:val="none"/>
        </w:rPr>
        <w:t>②解密</w:t>
      </w:r>
    </w:p>
    <w:p>
      <w:pPr>
        <w:spacing w:line="400" w:lineRule="exact"/>
        <w:ind w:firstLine="442" w:firstLineChars="200"/>
        <w:rPr>
          <w:rFonts w:ascii="宋体" w:hAnsi="宋体" w:cs="宋体"/>
          <w:b/>
          <w:bCs/>
          <w:color w:val="auto"/>
          <w:sz w:val="22"/>
          <w:highlight w:val="none"/>
        </w:rPr>
      </w:pPr>
      <w:r>
        <w:rPr>
          <w:rFonts w:hint="eastAsia" w:cs="宋体"/>
          <w:b/>
          <w:bCs/>
          <w:color w:val="auto"/>
          <w:sz w:val="22"/>
          <w:highlight w:val="none"/>
        </w:rPr>
        <w:t>投标截止时间止采购代理机构向各投标人发出电子投标文件开始解密通知，由投标人在</w:t>
      </w:r>
      <w:r>
        <w:rPr>
          <w:rFonts w:hint="eastAsia" w:ascii="宋体" w:hAnsi="宋体" w:cs="宋体"/>
          <w:b/>
          <w:bCs/>
          <w:snapToGrid w:val="0"/>
          <w:color w:val="auto"/>
          <w:sz w:val="22"/>
          <w:highlight w:val="none"/>
        </w:rPr>
        <w:t>政采云平台</w:t>
      </w:r>
      <w:r>
        <w:rPr>
          <w:rFonts w:hint="eastAsia" w:ascii="宋体" w:hAnsi="宋体" w:cs="宋体"/>
          <w:b/>
          <w:bCs/>
          <w:color w:val="auto"/>
          <w:sz w:val="22"/>
          <w:highlight w:val="none"/>
        </w:rPr>
        <w:t>规定时间（不少于30分钟）内自行进行投标文件解密（</w:t>
      </w:r>
      <w:r>
        <w:rPr>
          <w:rFonts w:hint="eastAsia" w:ascii="宋体" w:hAnsi="宋体" w:cs="宋体"/>
          <w:b/>
          <w:bCs/>
          <w:color w:val="auto"/>
          <w:kern w:val="0"/>
          <w:sz w:val="22"/>
          <w:highlight w:val="none"/>
        </w:rPr>
        <w:t>投标人无需在开标当天到达开标现场对电子投标进行解密，可在公司办公场地在</w:t>
      </w:r>
      <w:r>
        <w:rPr>
          <w:rFonts w:hint="eastAsia" w:ascii="宋体" w:hAnsi="宋体" w:cs="宋体"/>
          <w:b/>
          <w:bCs/>
          <w:snapToGrid w:val="0"/>
          <w:color w:val="auto"/>
          <w:sz w:val="22"/>
          <w:highlight w:val="none"/>
        </w:rPr>
        <w:t>政采云平台</w:t>
      </w:r>
      <w:r>
        <w:rPr>
          <w:rFonts w:hint="eastAsia" w:ascii="宋体" w:hAnsi="宋体" w:cs="宋体"/>
          <w:b/>
          <w:bCs/>
          <w:color w:val="auto"/>
          <w:kern w:val="0"/>
          <w:sz w:val="22"/>
          <w:highlight w:val="none"/>
        </w:rPr>
        <w:t>规定时间内</w:t>
      </w:r>
      <w:r>
        <w:rPr>
          <w:rFonts w:hint="eastAsia" w:ascii="宋体" w:hAnsi="宋体" w:cs="宋体"/>
          <w:b/>
          <w:bCs/>
          <w:color w:val="auto"/>
          <w:sz w:val="22"/>
          <w:highlight w:val="none"/>
        </w:rPr>
        <w:t>通过制作电子投标文件的CA锁用“项目采购-开标评标”功能</w:t>
      </w:r>
      <w:r>
        <w:rPr>
          <w:rFonts w:hint="eastAsia" w:ascii="宋体" w:hAnsi="宋体" w:cs="宋体"/>
          <w:b/>
          <w:bCs/>
          <w:color w:val="auto"/>
          <w:kern w:val="0"/>
          <w:sz w:val="22"/>
          <w:highlight w:val="none"/>
        </w:rPr>
        <w:t>对电子投标文件进行解密。</w:t>
      </w:r>
      <w:r>
        <w:rPr>
          <w:rFonts w:hint="eastAsia" w:ascii="宋体" w:hAnsi="宋体" w:cs="宋体"/>
          <w:b/>
          <w:bCs/>
          <w:color w:val="auto"/>
          <w:sz w:val="22"/>
          <w:highlight w:val="none"/>
        </w:rPr>
        <w:t>）。</w:t>
      </w:r>
    </w:p>
    <w:p>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本项目原则上采用政采云电子招投标开标及评审程序，但有下情形的，按以下情况处理：</w:t>
      </w:r>
    </w:p>
    <w:p>
      <w:pPr>
        <w:pStyle w:val="14"/>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w:t>
      </w:r>
      <w:r>
        <w:rPr>
          <w:rFonts w:hint="eastAsia" w:hAnsi="宋体" w:cs="宋体"/>
          <w:b/>
          <w:bCs/>
          <w:color w:val="auto"/>
          <w:sz w:val="22"/>
          <w:highlight w:val="none"/>
          <w:lang w:eastAsia="zh-CN"/>
        </w:rPr>
        <w:t>2812799762</w:t>
      </w:r>
      <w:r>
        <w:rPr>
          <w:rFonts w:hint="eastAsia" w:hAnsi="宋体" w:cs="宋体"/>
          <w:b/>
          <w:bCs/>
          <w:color w:val="auto"/>
          <w:sz w:val="22"/>
          <w:highlight w:val="none"/>
        </w:rPr>
        <w:t>@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pPr>
        <w:snapToGrid w:val="0"/>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u w:val="single"/>
        </w:rPr>
        <w:t>▲电子投标文件解密失败的，且未在规定时间内提交备份投标文件的视为投标无效。</w:t>
      </w:r>
    </w:p>
    <w:p>
      <w:pPr>
        <w:pStyle w:val="14"/>
        <w:snapToGrid w:val="0"/>
        <w:spacing w:line="400" w:lineRule="exact"/>
        <w:ind w:firstLine="442" w:firstLineChars="200"/>
        <w:rPr>
          <w:rFonts w:hAnsi="宋体" w:cs="宋体"/>
          <w:b/>
          <w:bCs/>
          <w:color w:val="auto"/>
          <w:sz w:val="22"/>
          <w:highlight w:val="none"/>
        </w:rPr>
      </w:pPr>
      <w:r>
        <w:rPr>
          <w:rFonts w:hint="eastAsia" w:hAnsi="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4"/>
        <w:widowControl w:val="0"/>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投标人不足3家的，不得开标。</w:t>
      </w:r>
    </w:p>
    <w:p>
      <w:pPr>
        <w:pStyle w:val="14"/>
        <w:widowControl w:val="0"/>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③投标文件解密结束，组织投标人签署《政府采购活动现场确认声明书》，格式详见附件。</w:t>
      </w:r>
    </w:p>
    <w:p>
      <w:pPr>
        <w:pStyle w:val="14"/>
        <w:widowControl w:val="0"/>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④采购代理机构对资格进行审查。</w:t>
      </w:r>
    </w:p>
    <w:p>
      <w:pPr>
        <w:pStyle w:val="14"/>
        <w:widowControl w:val="0"/>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⑤评标委员会对商务技术文件进行评审。</w:t>
      </w:r>
    </w:p>
    <w:p>
      <w:pPr>
        <w:pStyle w:val="14"/>
        <w:widowControl w:val="0"/>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⑥评标委员会对报价情况进行评审。</w:t>
      </w:r>
    </w:p>
    <w:p>
      <w:pPr>
        <w:pStyle w:val="14"/>
        <w:widowControl w:val="0"/>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⑦在系统上公布评审结果。</w:t>
      </w:r>
    </w:p>
    <w:p>
      <w:pPr>
        <w:pStyle w:val="14"/>
        <w:widowControl w:val="0"/>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特别说明：政采云公司如对电子化开标及评审程序有调整的，按调整后的程序操作。</w:t>
      </w:r>
    </w:p>
    <w:p>
      <w:pPr>
        <w:spacing w:line="400" w:lineRule="exact"/>
        <w:ind w:firstLine="440" w:firstLineChars="200"/>
        <w:rPr>
          <w:rFonts w:ascii="宋体" w:hAnsi="宋体" w:cs="宋体"/>
          <w:bCs/>
          <w:color w:val="auto"/>
          <w:sz w:val="22"/>
          <w:highlight w:val="none"/>
          <w:lang w:val="zh-CN"/>
        </w:rPr>
      </w:pPr>
      <w:r>
        <w:rPr>
          <w:rFonts w:hint="eastAsia" w:ascii="宋体" w:hAnsi="宋体" w:cs="宋体"/>
          <w:color w:val="auto"/>
          <w:sz w:val="22"/>
          <w:highlight w:val="none"/>
        </w:rPr>
        <w:t>4.评标</w:t>
      </w:r>
    </w:p>
    <w:p>
      <w:pPr>
        <w:pStyle w:val="14"/>
        <w:overflowPunct/>
        <w:autoSpaceDE/>
        <w:autoSpaceDN/>
        <w:adjustRightInd/>
        <w:spacing w:line="40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采购代理机构按照招标文件规定的时间、地点及程序组织评审。评审活动一般应按以下程序组织开展：</w:t>
      </w:r>
    </w:p>
    <w:p>
      <w:pPr>
        <w:pStyle w:val="14"/>
        <w:overflowPunct/>
        <w:autoSpaceDE/>
        <w:autoSpaceDN/>
        <w:adjustRightInd/>
        <w:spacing w:line="40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pPr>
        <w:pStyle w:val="14"/>
        <w:overflowPunct/>
        <w:autoSpaceDE/>
        <w:autoSpaceDN/>
        <w:adjustRightInd/>
        <w:spacing w:line="40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②</w:t>
      </w:r>
      <w:r>
        <w:rPr>
          <w:rFonts w:hint="eastAsia" w:hAnsi="宋体" w:cs="宋体"/>
          <w:color w:val="auto"/>
          <w:spacing w:val="-6"/>
          <w:sz w:val="22"/>
          <w:highlight w:val="none"/>
        </w:rPr>
        <w:t>核验出席评审活动现场的评标委员会各成员身份，并要求其分别登记、签到，按规定统一收缴、保存其通讯工具，无关人员一律拒绝其进入评审现场。</w:t>
      </w:r>
    </w:p>
    <w:p>
      <w:pPr>
        <w:pStyle w:val="14"/>
        <w:overflowPunct/>
        <w:autoSpaceDE/>
        <w:autoSpaceDN/>
        <w:adjustRightInd/>
        <w:spacing w:line="40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③介绍评审现场的人员情况，宣布评审工作纪律，告知评标委员会应当回避情形；组织推选评标委员会组长。</w:t>
      </w:r>
    </w:p>
    <w:p>
      <w:pPr>
        <w:pStyle w:val="14"/>
        <w:overflowPunct/>
        <w:autoSpaceDE/>
        <w:autoSpaceDN/>
        <w:adjustRightInd/>
        <w:spacing w:line="40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④宣布获取</w:t>
      </w:r>
      <w:r>
        <w:rPr>
          <w:rFonts w:hint="eastAsia" w:hAnsi="宋体" w:cs="宋体"/>
          <w:color w:val="auto"/>
          <w:spacing w:val="-6"/>
          <w:sz w:val="22"/>
          <w:highlight w:val="none"/>
        </w:rPr>
        <w:t>本项目采购的投标人名单，宣读最终提交投标文件且通过资格审查的投标人名单，组织评标委员会各位成员签订《政府采购评审人员廉洁自律承诺书》。</w:t>
      </w:r>
    </w:p>
    <w:p>
      <w:pPr>
        <w:pStyle w:val="14"/>
        <w:overflowPunct/>
        <w:autoSpaceDE/>
        <w:autoSpaceDN/>
        <w:adjustRightInd/>
        <w:spacing w:line="40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⑤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r>
        <w:rPr>
          <w:rFonts w:hint="eastAsia" w:hAnsi="宋体" w:cs="宋体"/>
          <w:color w:val="auto"/>
          <w:kern w:val="0"/>
          <w:sz w:val="22"/>
          <w:highlight w:val="none"/>
        </w:rPr>
        <w:t>评标委员会要求投标人澄清、说明或者补正，须通过政采云平台要求澄清、说明或者补正。</w:t>
      </w:r>
    </w:p>
    <w:p>
      <w:pPr>
        <w:pStyle w:val="41"/>
        <w:snapToGrid w:val="0"/>
        <w:spacing w:line="400" w:lineRule="exact"/>
        <w:ind w:firstLine="416" w:firstLineChars="200"/>
        <w:rPr>
          <w:color w:val="auto"/>
          <w:spacing w:val="-6"/>
          <w:sz w:val="22"/>
          <w:highlight w:val="none"/>
        </w:rPr>
      </w:pPr>
      <w:r>
        <w:rPr>
          <w:rFonts w:hint="eastAsia"/>
          <w:color w:val="auto"/>
          <w:spacing w:val="-6"/>
          <w:sz w:val="22"/>
          <w:highlight w:val="none"/>
        </w:rPr>
        <w:t>⑥评标委员会组长组织评标委员会独立评审。评标委员会对拟认定为投标文件无效的，应组织相关投标人代表进行陈述、澄清或申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14"/>
        <w:overflowPunct/>
        <w:autoSpaceDE/>
        <w:autoSpaceDN/>
        <w:adjustRightInd/>
        <w:spacing w:line="40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做好评审现场相关记录，做好评审报告起草、有关内容电脑文字录入等工作，并要求评标委员会各成员签字确认。</w:t>
      </w:r>
    </w:p>
    <w:p>
      <w:pPr>
        <w:pStyle w:val="14"/>
        <w:overflowPunct/>
        <w:autoSpaceDE/>
        <w:autoSpaceDN/>
        <w:adjustRightInd/>
        <w:spacing w:line="400" w:lineRule="exact"/>
        <w:ind w:firstLine="416" w:firstLineChars="200"/>
        <w:textAlignment w:val="auto"/>
        <w:rPr>
          <w:rFonts w:hAnsi="宋体" w:cs="宋体"/>
          <w:b/>
          <w:bCs/>
          <w:color w:val="auto"/>
          <w:sz w:val="22"/>
          <w:highlight w:val="none"/>
        </w:rPr>
      </w:pPr>
      <w:r>
        <w:rPr>
          <w:rFonts w:hint="eastAsia" w:hAnsi="宋体" w:cs="宋体"/>
          <w:color w:val="auto"/>
          <w:spacing w:val="-6"/>
          <w:sz w:val="22"/>
          <w:highlight w:val="none"/>
        </w:rPr>
        <w:t>⑦评审结束后，采购代理机构交还评审人员及其他现场相关人员的通讯工具。</w:t>
      </w:r>
    </w:p>
    <w:p>
      <w:pPr>
        <w:spacing w:line="400" w:lineRule="exact"/>
        <w:rPr>
          <w:rFonts w:ascii="宋体" w:hAnsi="宋体" w:cs="宋体"/>
          <w:color w:val="auto"/>
          <w:sz w:val="22"/>
          <w:highlight w:val="none"/>
        </w:rPr>
      </w:pPr>
      <w:r>
        <w:rPr>
          <w:rFonts w:hint="eastAsia" w:ascii="宋体" w:hAnsi="宋体" w:cs="宋体"/>
          <w:b/>
          <w:bCs/>
          <w:color w:val="auto"/>
          <w:sz w:val="22"/>
          <w:highlight w:val="none"/>
        </w:rPr>
        <w:t>5.投标无效的情形</w:t>
      </w:r>
    </w:p>
    <w:p>
      <w:pPr>
        <w:pStyle w:val="14"/>
        <w:overflowPunct/>
        <w:autoSpaceDE/>
        <w:autoSpaceDN/>
        <w:adjustRightInd/>
        <w:spacing w:line="400" w:lineRule="exact"/>
        <w:ind w:firstLine="440" w:firstLineChars="200"/>
        <w:textAlignment w:val="auto"/>
        <w:rPr>
          <w:rFonts w:hAnsi="宋体" w:cs="宋体"/>
          <w:color w:val="auto"/>
          <w:spacing w:val="-6"/>
          <w:sz w:val="22"/>
          <w:highlight w:val="none"/>
          <w:u w:val="single"/>
        </w:rPr>
      </w:pPr>
      <w:r>
        <w:rPr>
          <w:rFonts w:hint="eastAsia" w:hAnsi="宋体" w:cs="宋体"/>
          <w:color w:val="auto"/>
          <w:sz w:val="22"/>
          <w:highlight w:val="none"/>
          <w:u w:val="single"/>
        </w:rPr>
        <w:t>▲</w:t>
      </w:r>
      <w:r>
        <w:rPr>
          <w:rFonts w:hint="eastAsia" w:hAnsi="宋体" w:cs="宋体"/>
          <w:color w:val="auto"/>
          <w:spacing w:val="-6"/>
          <w:sz w:val="22"/>
          <w:highlight w:val="none"/>
          <w:u w:val="single"/>
        </w:rPr>
        <w:t>5.1、有下列情形之一的，将不予受理投标文件：</w:t>
      </w:r>
    </w:p>
    <w:p>
      <w:pPr>
        <w:pStyle w:val="14"/>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（1）逾期上传电子档投标文件至“政采云”平台的；</w:t>
      </w:r>
    </w:p>
    <w:p>
      <w:pPr>
        <w:pStyle w:val="14"/>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（2）仅递交备份电子投标文件的；</w:t>
      </w:r>
    </w:p>
    <w:p>
      <w:pPr>
        <w:pStyle w:val="14"/>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（3）投标文件只有商务技术文件或者商务技术文件与报价文件部分上传在一份文档中的。</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▲5.2在资格审查时，如发现下列情形之一的，投标无效：</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（1）资格审查材料不全的，或者不符合招标文件要求的；</w:t>
      </w:r>
    </w:p>
    <w:p>
      <w:pPr>
        <w:spacing w:line="400" w:lineRule="exact"/>
        <w:ind w:firstLine="440" w:firstLineChars="200"/>
        <w:rPr>
          <w:rFonts w:hint="eastAsia" w:ascii="宋体" w:hAnsi="宋体" w:eastAsia="宋体" w:cs="宋体"/>
          <w:color w:val="auto"/>
          <w:sz w:val="22"/>
          <w:highlight w:val="none"/>
          <w:u w:val="single"/>
          <w:lang w:eastAsia="zh-CN"/>
        </w:rPr>
      </w:pPr>
      <w:r>
        <w:rPr>
          <w:rFonts w:hint="eastAsia" w:ascii="宋体" w:hAnsi="宋体" w:cs="宋体"/>
          <w:color w:val="auto"/>
          <w:sz w:val="22"/>
          <w:highlight w:val="none"/>
          <w:u w:val="single"/>
        </w:rPr>
        <w:t>（2）资格审查材料未按招标文件要求签署、盖章的</w:t>
      </w:r>
      <w:r>
        <w:rPr>
          <w:rFonts w:hint="eastAsia" w:ascii="宋体" w:hAnsi="宋体" w:cs="宋体"/>
          <w:color w:val="auto"/>
          <w:sz w:val="22"/>
          <w:highlight w:val="none"/>
          <w:u w:val="single"/>
          <w:lang w:eastAsia="zh-CN"/>
        </w:rPr>
        <w:t>；</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（3）不具备招标文件中规定的资格条件的；</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w:t>
      </w:r>
      <w:r>
        <w:rPr>
          <w:rFonts w:hint="eastAsia" w:ascii="宋体" w:hAnsi="宋体" w:cs="宋体"/>
          <w:color w:val="auto"/>
          <w:sz w:val="22"/>
          <w:highlight w:val="none"/>
          <w:u w:val="single"/>
          <w:lang w:val="en-US" w:eastAsia="zh-CN"/>
        </w:rPr>
        <w:t>4</w:t>
      </w:r>
      <w:r>
        <w:rPr>
          <w:rFonts w:hint="eastAsia" w:ascii="宋体" w:hAnsi="宋体" w:cs="宋体"/>
          <w:color w:val="auto"/>
          <w:sz w:val="22"/>
          <w:highlight w:val="none"/>
          <w:u w:val="single"/>
        </w:rPr>
        <w:t>）经查询存在不良信用记录的。</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▲5.3在符合性审查、商务和技术评审时，如发现下列情形之一的，投标无效：</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（1）“资格文件”或“商务和技术文件”未按招标文件要求签署、盖章的；</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（2）未提供合法、有效有效法定代表人授权委托书；法定代表人或委托授权代表与投标文件所附身份证明不符；</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（3）明显不符合招标文件实质性要求或者与招标文件中标“▲且加下划线”的内容发生实质性偏离的；</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（4）未提供或未如实提供采购需求偏离表的；</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（5）未提供或未如实提供投标项目的技术参数，或者投标文件标明的响应或偏离与事实不符或虚假投标的；</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（6）投标有效期不能满足招标文件要求的；</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（7）投标技术方案不明确，存在一个或一个以上备选（替代）投标方案的；</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（8）投标文件含有采购人不能接受的附加条件的；</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（9）在“资格文件”或“商务和技术文件”中出现投标报价的；</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（10）法律、法规和招标文件中规定的其他无效情形的。</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▲5.4在报价评审时，如发现下列情形之一的，投标无效：</w:t>
      </w:r>
    </w:p>
    <w:p>
      <w:pPr>
        <w:spacing w:line="400" w:lineRule="exact"/>
        <w:ind w:left="420" w:leftChars="200"/>
        <w:rPr>
          <w:rFonts w:ascii="宋体" w:hAnsi="宋体" w:cs="宋体"/>
          <w:color w:val="auto"/>
          <w:sz w:val="22"/>
          <w:highlight w:val="none"/>
          <w:u w:val="single"/>
        </w:rPr>
      </w:pPr>
      <w:r>
        <w:rPr>
          <w:rFonts w:hint="eastAsia" w:ascii="宋体" w:hAnsi="宋体" w:cs="宋体"/>
          <w:color w:val="auto"/>
          <w:sz w:val="22"/>
          <w:highlight w:val="none"/>
          <w:u w:val="single"/>
        </w:rPr>
        <w:t>（1）报价文件未按招标文件要求签署、盖章的；</w:t>
      </w:r>
    </w:p>
    <w:p>
      <w:pPr>
        <w:spacing w:line="400" w:lineRule="exact"/>
        <w:ind w:left="420" w:leftChars="200"/>
        <w:rPr>
          <w:rFonts w:ascii="宋体" w:hAnsi="宋体" w:cs="宋体"/>
          <w:color w:val="auto"/>
          <w:sz w:val="22"/>
          <w:highlight w:val="none"/>
          <w:u w:val="single"/>
        </w:rPr>
      </w:pPr>
      <w:r>
        <w:rPr>
          <w:rFonts w:hint="eastAsia" w:ascii="宋体" w:hAnsi="宋体" w:cs="宋体"/>
          <w:color w:val="auto"/>
          <w:sz w:val="22"/>
          <w:highlight w:val="none"/>
          <w:u w:val="single"/>
        </w:rPr>
        <w:t>（2）未按照招标文件标明的币种报价的；</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（3）报价超出招标文件中规定的预算金额或者最高限价的；</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（4）投标报价具有选择性，或者开标价格与投标文件承诺的优惠（折扣）价格不一致的；</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（5）报价明显低于其他通过符合性审查投标人的报价（有可能影响产品质量或者不能诚信履约的），投标人在评标现场合理的时间内无法提供书面说明（必要时提交相关证明材料，证明其报价合理性的）。</w:t>
      </w:r>
    </w:p>
    <w:p>
      <w:pPr>
        <w:spacing w:line="40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rPr>
        <w:t>▲5.5</w:t>
      </w:r>
      <w:r>
        <w:rPr>
          <w:rFonts w:hint="eastAsia" w:ascii="宋体" w:hAnsi="宋体" w:cs="宋体"/>
          <w:color w:val="auto"/>
          <w:sz w:val="22"/>
          <w:highlight w:val="none"/>
          <w:u w:val="single"/>
          <w:lang w:val="zh-CN"/>
        </w:rPr>
        <w:t>有下列情形之一的，视为投标人串通投标，</w:t>
      </w:r>
      <w:r>
        <w:rPr>
          <w:rFonts w:hint="eastAsia" w:ascii="宋体" w:hAnsi="宋体" w:cs="宋体"/>
          <w:color w:val="auto"/>
          <w:sz w:val="22"/>
          <w:highlight w:val="none"/>
          <w:u w:val="single"/>
        </w:rPr>
        <w:t>投标无效</w:t>
      </w:r>
      <w:r>
        <w:rPr>
          <w:rFonts w:hint="eastAsia" w:ascii="宋体" w:hAnsi="宋体" w:cs="宋体"/>
          <w:color w:val="auto"/>
          <w:sz w:val="22"/>
          <w:highlight w:val="none"/>
          <w:u w:val="single"/>
          <w:lang w:val="zh-CN"/>
        </w:rPr>
        <w:t>，由采购人或采购代理机构上报政府采购监督管理部门，视情列入不良行为记录名单，在一至三年内禁止参加政府采购活动：</w:t>
      </w:r>
    </w:p>
    <w:p>
      <w:pPr>
        <w:spacing w:line="40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）不同投标人的投标文件由同一单位或者个人编制；</w:t>
      </w:r>
    </w:p>
    <w:p>
      <w:pPr>
        <w:spacing w:line="40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）不同投标人委托同一单位或者个人办理投标事宜；</w:t>
      </w:r>
    </w:p>
    <w:p>
      <w:pPr>
        <w:spacing w:line="40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3</w:t>
      </w:r>
      <w:r>
        <w:rPr>
          <w:rFonts w:hint="eastAsia" w:ascii="宋体" w:hAnsi="宋体" w:cs="宋体"/>
          <w:color w:val="auto"/>
          <w:sz w:val="22"/>
          <w:highlight w:val="none"/>
          <w:u w:val="single"/>
          <w:lang w:val="zh-CN"/>
        </w:rPr>
        <w:t>）不同投标人的投标文件载明的项目管理成员或者联系人员为同一人；</w:t>
      </w:r>
    </w:p>
    <w:p>
      <w:pPr>
        <w:spacing w:line="40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4</w:t>
      </w:r>
      <w:r>
        <w:rPr>
          <w:rFonts w:hint="eastAsia" w:ascii="宋体" w:hAnsi="宋体" w:cs="宋体"/>
          <w:color w:val="auto"/>
          <w:sz w:val="22"/>
          <w:highlight w:val="none"/>
          <w:u w:val="single"/>
          <w:lang w:val="zh-CN"/>
        </w:rPr>
        <w:t>）不同投标人的投标文件异常一致或者投标报价呈规律性差异；</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5</w:t>
      </w:r>
      <w:r>
        <w:rPr>
          <w:rFonts w:hint="eastAsia" w:ascii="宋体" w:hAnsi="宋体" w:cs="宋体"/>
          <w:color w:val="auto"/>
          <w:sz w:val="22"/>
          <w:highlight w:val="none"/>
          <w:u w:val="single"/>
          <w:lang w:val="zh-CN"/>
        </w:rPr>
        <w:t>）不同投标人的投标文件相互混装。</w:t>
      </w:r>
    </w:p>
    <w:p>
      <w:pPr>
        <w:pStyle w:val="14"/>
        <w:overflowPunct/>
        <w:autoSpaceDE/>
        <w:autoSpaceDN/>
        <w:adjustRightInd/>
        <w:snapToGrid w:val="0"/>
        <w:spacing w:line="40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6.错误修正</w:t>
      </w:r>
    </w:p>
    <w:p>
      <w:pPr>
        <w:pStyle w:val="14"/>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投标文件报价出现前后不一致的，除招标文件另有规定外，按照下列规定修正：</w:t>
      </w:r>
    </w:p>
    <w:p>
      <w:pPr>
        <w:pStyle w:val="14"/>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6.1投标文件中开标一览表（报价表）内容与投标文件中相应内容不一致的，以开标一览表（报价表）为准；</w:t>
      </w:r>
    </w:p>
    <w:p>
      <w:pPr>
        <w:pStyle w:val="14"/>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6.2大写金额和小写金额不一致的，以大写金额为准；</w:t>
      </w:r>
    </w:p>
    <w:p>
      <w:pPr>
        <w:pStyle w:val="14"/>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6.3单价金额小数点或者百分比有明显错位的，以开标一览表的总价为准，并修改单价；</w:t>
      </w:r>
    </w:p>
    <w:p>
      <w:pPr>
        <w:pStyle w:val="14"/>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6.4总价金额与按单价汇总金额不一致的，以单价金额计算结果为准。</w:t>
      </w:r>
    </w:p>
    <w:p>
      <w:pPr>
        <w:pStyle w:val="14"/>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6.5对不同文字文本投标文件的解释发生异义的，以中文文本为准</w:t>
      </w:r>
    </w:p>
    <w:p>
      <w:pPr>
        <w:pStyle w:val="14"/>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6.6客户端填写的报价与以pdf格式上传文件中的报价不一致的，应以Pdf格式上传文件中的报价为准。</w:t>
      </w:r>
    </w:p>
    <w:p>
      <w:pPr>
        <w:pStyle w:val="14"/>
        <w:overflowPunct/>
        <w:autoSpaceDE/>
        <w:autoSpaceDN/>
        <w:adjustRightInd/>
        <w:snapToGrid w:val="0"/>
        <w:spacing w:line="40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pPr>
        <w:pStyle w:val="14"/>
        <w:overflowPunct/>
        <w:autoSpaceDE/>
        <w:autoSpaceDN/>
        <w:adjustRightInd/>
        <w:snapToGrid w:val="0"/>
        <w:spacing w:line="40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7.投标文件的澄清</w:t>
      </w:r>
    </w:p>
    <w:p>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7.1为有助于投标文件的审查、评价和比较，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标委员会在评标中发现的计算错误并进行核实的修改不在此列。</w:t>
      </w:r>
    </w:p>
    <w:p>
      <w:pPr>
        <w:pStyle w:val="14"/>
        <w:tabs>
          <w:tab w:val="left" w:pos="0"/>
        </w:tabs>
        <w:spacing w:line="400" w:lineRule="exact"/>
        <w:ind w:firstLine="442" w:firstLineChars="200"/>
        <w:rPr>
          <w:rFonts w:hAnsi="宋体" w:cs="宋体"/>
          <w:b/>
          <w:color w:val="auto"/>
          <w:sz w:val="22"/>
          <w:highlight w:val="none"/>
        </w:rPr>
      </w:pPr>
      <w:r>
        <w:rPr>
          <w:rFonts w:hint="eastAsia" w:hAnsi="宋体" w:cs="宋体"/>
          <w:b/>
          <w:bCs/>
          <w:color w:val="auto"/>
          <w:sz w:val="22"/>
          <w:highlight w:val="none"/>
        </w:rPr>
        <w:t>7.2如果投标人代表拒绝按评标委员会要求在“政采云”平台作出在线回复且无其他有效回复方式的，评标委员会可以对其作出投标无效处理。</w:t>
      </w:r>
    </w:p>
    <w:p>
      <w:pPr>
        <w:tabs>
          <w:tab w:val="left" w:pos="1365"/>
        </w:tabs>
        <w:spacing w:line="400" w:lineRule="exact"/>
        <w:ind w:firstLine="442" w:firstLineChars="200"/>
        <w:rPr>
          <w:rFonts w:ascii="宋体" w:hAnsi="宋体" w:cs="宋体"/>
          <w:b/>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7.3经澄清后，若偏差仍存在，且不可接受，投标人则被认为是“没有实质性响应招标文件要求”，其投标不进入下一步评审。</w:t>
      </w:r>
    </w:p>
    <w:p>
      <w:pPr>
        <w:pStyle w:val="14"/>
        <w:tabs>
          <w:tab w:val="left" w:pos="630"/>
        </w:tabs>
        <w:overflowPunct/>
        <w:autoSpaceDE/>
        <w:autoSpaceDN/>
        <w:adjustRightInd/>
        <w:snapToGrid w:val="0"/>
        <w:spacing w:line="400" w:lineRule="exact"/>
        <w:ind w:firstLine="433" w:firstLineChars="196"/>
        <w:textAlignment w:val="auto"/>
        <w:rPr>
          <w:rFonts w:hAnsi="宋体" w:cs="宋体"/>
          <w:b/>
          <w:bCs/>
          <w:color w:val="auto"/>
          <w:sz w:val="22"/>
          <w:highlight w:val="none"/>
        </w:rPr>
      </w:pPr>
      <w:r>
        <w:rPr>
          <w:rFonts w:hint="eastAsia" w:hAnsi="宋体" w:cs="宋体"/>
          <w:b/>
          <w:bCs/>
          <w:color w:val="auto"/>
          <w:sz w:val="22"/>
          <w:highlight w:val="none"/>
        </w:rPr>
        <w:t>8.评标原则和评标办法</w:t>
      </w:r>
    </w:p>
    <w:p>
      <w:pPr>
        <w:pStyle w:val="14"/>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pStyle w:val="22"/>
        <w:spacing w:before="0" w:beforeAutospacing="0" w:after="0" w:afterAutospacing="0" w:line="400" w:lineRule="exact"/>
        <w:ind w:firstLine="440" w:firstLineChars="200"/>
        <w:jc w:val="both"/>
        <w:rPr>
          <w:color w:val="auto"/>
          <w:sz w:val="22"/>
          <w:highlight w:val="none"/>
        </w:rPr>
      </w:pPr>
      <w:r>
        <w:rPr>
          <w:rFonts w:hint="eastAsia"/>
          <w:color w:val="auto"/>
          <w:sz w:val="22"/>
          <w:highlight w:val="none"/>
        </w:rPr>
        <w:t>8.2评标中因评标委员会成员缺席、回避或者健康等特殊原因导致评标委员会组成不符合规定的，依法补足后继续评标。被更换的评标委员会成员所作出的评标意见无效。</w:t>
      </w:r>
    </w:p>
    <w:p>
      <w:pPr>
        <w:pStyle w:val="14"/>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8.3评标委员会成员对需要共同认定的事项存在争议的，应当按照少数服从多数的原则作出结论。持不同意见的评标委员会成员应当在评标报告上签署不同意见及理由，否则视为同意评标报告。</w:t>
      </w:r>
    </w:p>
    <w:p>
      <w:pPr>
        <w:pStyle w:val="14"/>
        <w:overflowPunct/>
        <w:autoSpaceDE/>
        <w:autoSpaceDN/>
        <w:adjustRightInd/>
        <w:snapToGrid w:val="0"/>
        <w:spacing w:line="40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8.4评标办法。本项目评标办法是综合评分法，具体评标内容及评分标准等详见第六部分“评标原则及方法”。</w:t>
      </w:r>
    </w:p>
    <w:p>
      <w:pPr>
        <w:tabs>
          <w:tab w:val="left" w:pos="136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8.5评标过程中遇到特殊情况，由评标委员会遵循公开、公正原则，采取投票方式按照少数服从多数原则决定。</w:t>
      </w:r>
    </w:p>
    <w:p>
      <w:pPr>
        <w:pStyle w:val="14"/>
        <w:overflowPunct/>
        <w:autoSpaceDE/>
        <w:autoSpaceDN/>
        <w:adjustRightInd/>
        <w:snapToGrid w:val="0"/>
        <w:spacing w:line="40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8.6《中华人民共和国政府采购法》第三十六条 在招标采购中，出现下列情形之一的，应予废标：</w:t>
      </w:r>
    </w:p>
    <w:p>
      <w:pPr>
        <w:pStyle w:val="14"/>
        <w:overflowPunct/>
        <w:autoSpaceDE/>
        <w:autoSpaceDN/>
        <w:adjustRightInd/>
        <w:snapToGrid w:val="0"/>
        <w:spacing w:line="40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（一）符合专业条件的供应商或者对招标文件作实质响应的供应商不足三家的；</w:t>
      </w:r>
    </w:p>
    <w:p>
      <w:pPr>
        <w:pStyle w:val="14"/>
        <w:overflowPunct/>
        <w:autoSpaceDE/>
        <w:autoSpaceDN/>
        <w:adjustRightInd/>
        <w:snapToGrid w:val="0"/>
        <w:spacing w:line="40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（二）出现影响采购公正的违法、违规行为的；</w:t>
      </w:r>
    </w:p>
    <w:p>
      <w:pPr>
        <w:pStyle w:val="14"/>
        <w:overflowPunct/>
        <w:autoSpaceDE/>
        <w:autoSpaceDN/>
        <w:adjustRightInd/>
        <w:snapToGrid w:val="0"/>
        <w:spacing w:line="40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（三）投标人的报价均超过了采购预算，采购人不能支付的；</w:t>
      </w:r>
    </w:p>
    <w:p>
      <w:pPr>
        <w:pStyle w:val="14"/>
        <w:overflowPunct/>
        <w:autoSpaceDE/>
        <w:autoSpaceDN/>
        <w:adjustRightInd/>
        <w:snapToGrid w:val="0"/>
        <w:spacing w:line="40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（四）因重大变故，采购任务取消的。</w:t>
      </w:r>
    </w:p>
    <w:p>
      <w:pPr>
        <w:tabs>
          <w:tab w:val="left" w:pos="136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9.确定中标候选人</w:t>
      </w:r>
    </w:p>
    <w:p>
      <w:pPr>
        <w:tabs>
          <w:tab w:val="left" w:pos="136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9.1本次招标由评标委员会确定中标候选人（招标文件另有规定的除外）。</w:t>
      </w:r>
    </w:p>
    <w:p>
      <w:pPr>
        <w:tabs>
          <w:tab w:val="left" w:pos="136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9.4采购人根据招标文件、中标人的投标文件、合同等材料及时组织验收，并严把质量关。</w:t>
      </w:r>
    </w:p>
    <w:p>
      <w:pPr>
        <w:tabs>
          <w:tab w:val="left" w:pos="1365"/>
        </w:tabs>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9.5采购代理机构对决标结果不做任何解释，也不保证最低价中标。</w:t>
      </w:r>
    </w:p>
    <w:p>
      <w:pPr>
        <w:pStyle w:val="14"/>
        <w:snapToGrid w:val="0"/>
        <w:spacing w:line="400" w:lineRule="exact"/>
        <w:ind w:firstLine="433" w:firstLineChars="196"/>
        <w:rPr>
          <w:rFonts w:hAnsi="宋体" w:cs="宋体"/>
          <w:b/>
          <w:bCs/>
          <w:color w:val="auto"/>
          <w:sz w:val="22"/>
          <w:highlight w:val="none"/>
        </w:rPr>
      </w:pPr>
      <w:r>
        <w:rPr>
          <w:rFonts w:hint="eastAsia" w:hAnsi="宋体" w:cs="宋体"/>
          <w:b/>
          <w:bCs/>
          <w:color w:val="auto"/>
          <w:sz w:val="22"/>
          <w:highlight w:val="none"/>
        </w:rPr>
        <w:t>10.定标</w:t>
      </w:r>
    </w:p>
    <w:p>
      <w:pPr>
        <w:pStyle w:val="14"/>
        <w:snapToGrid w:val="0"/>
        <w:spacing w:line="400" w:lineRule="exact"/>
        <w:ind w:firstLine="433" w:firstLineChars="196"/>
        <w:rPr>
          <w:rFonts w:hAnsi="宋体" w:cs="宋体"/>
          <w:b/>
          <w:bCs/>
          <w:color w:val="auto"/>
          <w:sz w:val="22"/>
          <w:highlight w:val="none"/>
        </w:rPr>
      </w:pPr>
      <w:r>
        <w:rPr>
          <w:rFonts w:hint="eastAsia" w:hAnsi="宋体" w:cs="宋体"/>
          <w:b/>
          <w:bCs/>
          <w:color w:val="auto"/>
          <w:sz w:val="22"/>
          <w:highlight w:val="none"/>
        </w:rPr>
        <w:t>（一）确定中标人。本项目由采购人确定中标人。</w:t>
      </w:r>
    </w:p>
    <w:p>
      <w:pPr>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标委员会直接确定中标人。采购人逾期未确定中标人且不提出异议的，视为确定评审报告提出的排序第一的投标人为中标人。</w:t>
      </w:r>
    </w:p>
    <w:p>
      <w:pPr>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10.2.采购代理机构自中标人确定之日起2个工作日内，在省级以上财政部门指定的政府采购信息发布媒体上公告中标结果，同时向中标人发出中标通知书。</w:t>
      </w:r>
    </w:p>
    <w:p>
      <w:pPr>
        <w:spacing w:line="400" w:lineRule="exact"/>
        <w:jc w:val="center"/>
        <w:outlineLvl w:val="0"/>
        <w:rPr>
          <w:rFonts w:ascii="宋体" w:hAnsi="宋体" w:cs="宋体"/>
          <w:b/>
          <w:color w:val="auto"/>
          <w:sz w:val="26"/>
          <w:highlight w:val="none"/>
        </w:rPr>
      </w:pPr>
      <w:r>
        <w:rPr>
          <w:rFonts w:hint="eastAsia" w:ascii="宋体" w:hAnsi="宋体" w:cs="宋体"/>
          <w:b/>
          <w:color w:val="auto"/>
          <w:sz w:val="26"/>
          <w:highlight w:val="none"/>
        </w:rPr>
        <w:t>六、 授予合同</w:t>
      </w:r>
    </w:p>
    <w:p>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spacing w:line="400" w:lineRule="exact"/>
        <w:jc w:val="center"/>
        <w:rPr>
          <w:rFonts w:ascii="宋体" w:hAnsi="宋体" w:cs="宋体"/>
          <w:b/>
          <w:color w:val="auto"/>
          <w:sz w:val="28"/>
          <w:szCs w:val="28"/>
          <w:highlight w:val="none"/>
        </w:rPr>
      </w:pPr>
      <w:r>
        <w:rPr>
          <w:rFonts w:hint="eastAsia" w:ascii="宋体" w:hAnsi="宋体" w:cs="宋体"/>
          <w:b/>
          <w:color w:val="auto"/>
          <w:sz w:val="26"/>
          <w:highlight w:val="none"/>
        </w:rPr>
        <w:t xml:space="preserve">七、 </w:t>
      </w:r>
      <w:r>
        <w:rPr>
          <w:rFonts w:hint="eastAsia" w:ascii="宋体" w:hAnsi="宋体" w:cs="宋体"/>
          <w:b/>
          <w:color w:val="auto"/>
          <w:sz w:val="28"/>
          <w:szCs w:val="28"/>
          <w:highlight w:val="none"/>
        </w:rPr>
        <w:t>可中止电子交易活动的情形</w:t>
      </w:r>
    </w:p>
    <w:p>
      <w:pPr>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w:t>
      </w:r>
      <w:r>
        <w:rPr>
          <w:rFonts w:ascii="宋体" w:hAnsi="宋体" w:cs="宋体"/>
          <w:color w:val="auto"/>
          <w:sz w:val="22"/>
          <w:highlight w:val="none"/>
          <w:lang w:val="zh-CN"/>
        </w:rPr>
        <w:t>采购过程中出现以下情形，导致电子交易平台无法正常运行，或者无法保证电子交易的公平、公正和安全时，采购组织机构可中止电子交易活动：</w:t>
      </w:r>
    </w:p>
    <w:p>
      <w:pPr>
        <w:spacing w:line="400" w:lineRule="exact"/>
        <w:ind w:firstLine="440" w:firstLineChars="200"/>
        <w:rPr>
          <w:rFonts w:ascii="宋体" w:hAnsi="宋体" w:cs="宋体"/>
          <w:color w:val="auto"/>
          <w:sz w:val="22"/>
          <w:highlight w:val="none"/>
          <w:lang w:val="zh-CN"/>
        </w:rPr>
      </w:pPr>
      <w:r>
        <w:rPr>
          <w:rFonts w:ascii="宋体" w:hAnsi="宋体" w:cs="宋体"/>
          <w:color w:val="auto"/>
          <w:sz w:val="22"/>
          <w:highlight w:val="none"/>
          <w:lang w:val="zh-CN"/>
        </w:rPr>
        <w:t>（一）电子交易平台发生故障而无法登录访问的； </w:t>
      </w:r>
    </w:p>
    <w:p>
      <w:pPr>
        <w:spacing w:line="400" w:lineRule="exact"/>
        <w:ind w:firstLine="440" w:firstLineChars="200"/>
        <w:rPr>
          <w:rFonts w:ascii="宋体" w:hAnsi="宋体" w:cs="宋体"/>
          <w:color w:val="auto"/>
          <w:sz w:val="22"/>
          <w:highlight w:val="none"/>
          <w:lang w:val="zh-CN"/>
        </w:rPr>
      </w:pPr>
      <w:r>
        <w:rPr>
          <w:rFonts w:ascii="宋体" w:hAnsi="宋体" w:cs="宋体"/>
          <w:color w:val="auto"/>
          <w:sz w:val="22"/>
          <w:highlight w:val="none"/>
          <w:lang w:val="zh-CN"/>
        </w:rPr>
        <w:t>（二）电子交易平台应用或数据库出现错误，不能进行正常操作的；</w:t>
      </w:r>
    </w:p>
    <w:p>
      <w:pPr>
        <w:spacing w:line="400" w:lineRule="exact"/>
        <w:ind w:firstLine="440" w:firstLineChars="200"/>
        <w:rPr>
          <w:rFonts w:ascii="宋体" w:hAnsi="宋体" w:cs="宋体"/>
          <w:color w:val="auto"/>
          <w:sz w:val="22"/>
          <w:highlight w:val="none"/>
          <w:lang w:val="zh-CN"/>
        </w:rPr>
      </w:pPr>
      <w:r>
        <w:rPr>
          <w:rFonts w:ascii="宋体" w:hAnsi="宋体" w:cs="宋体"/>
          <w:color w:val="auto"/>
          <w:sz w:val="22"/>
          <w:highlight w:val="none"/>
          <w:lang w:val="zh-CN"/>
        </w:rPr>
        <w:t>（三）电子交易平台发现严重安全漏洞，有潜在泄密危险的；</w:t>
      </w:r>
    </w:p>
    <w:p>
      <w:pPr>
        <w:spacing w:line="400" w:lineRule="exact"/>
        <w:ind w:firstLine="440" w:firstLineChars="200"/>
        <w:rPr>
          <w:rFonts w:ascii="宋体" w:hAnsi="宋体" w:cs="宋体"/>
          <w:color w:val="auto"/>
          <w:sz w:val="22"/>
          <w:highlight w:val="none"/>
          <w:lang w:val="zh-CN"/>
        </w:rPr>
      </w:pPr>
      <w:r>
        <w:rPr>
          <w:rFonts w:ascii="宋体" w:hAnsi="宋体" w:cs="宋体"/>
          <w:color w:val="auto"/>
          <w:sz w:val="22"/>
          <w:highlight w:val="none"/>
          <w:lang w:val="zh-CN"/>
        </w:rPr>
        <w:t>（四）病毒发作导致不能进行正常操作的； </w:t>
      </w:r>
    </w:p>
    <w:p>
      <w:pPr>
        <w:spacing w:line="400" w:lineRule="exact"/>
        <w:ind w:firstLine="440" w:firstLineChars="200"/>
        <w:rPr>
          <w:rFonts w:ascii="宋体" w:hAnsi="宋体" w:cs="宋体"/>
          <w:color w:val="auto"/>
          <w:sz w:val="22"/>
          <w:highlight w:val="none"/>
          <w:lang w:val="zh-CN"/>
        </w:rPr>
      </w:pPr>
      <w:r>
        <w:rPr>
          <w:rFonts w:ascii="宋体" w:hAnsi="宋体" w:cs="宋体"/>
          <w:color w:val="auto"/>
          <w:sz w:val="22"/>
          <w:highlight w:val="none"/>
          <w:lang w:val="zh-CN"/>
        </w:rPr>
        <w:t>（五）其他无法保证电子交易的公平、公正和安全的情况。</w:t>
      </w:r>
    </w:p>
    <w:p>
      <w:pPr>
        <w:spacing w:line="400" w:lineRule="exact"/>
        <w:ind w:firstLine="440" w:firstLineChars="200"/>
        <w:rPr>
          <w:rFonts w:ascii="宋体" w:hAnsi="宋体" w:cs="宋体"/>
          <w:color w:val="auto"/>
          <w:sz w:val="22"/>
          <w:highlight w:val="none"/>
          <w:lang w:val="zh-CN"/>
        </w:rPr>
      </w:pPr>
      <w:r>
        <w:rPr>
          <w:rFonts w:hint="eastAsia" w:ascii="宋体" w:hAnsi="宋体"/>
          <w:color w:val="auto"/>
          <w:sz w:val="22"/>
          <w:highlight w:val="none"/>
        </w:rPr>
        <w:t>出现前款规定情形，不影响采购公平、公正性的，采购</w:t>
      </w:r>
      <w:r>
        <w:rPr>
          <w:rFonts w:hint="eastAsia" w:ascii="宋体" w:hAnsi="宋体" w:cs="宋体"/>
          <w:color w:val="auto"/>
          <w:sz w:val="22"/>
          <w:highlight w:val="none"/>
        </w:rPr>
        <w:t>代理</w:t>
      </w:r>
      <w:r>
        <w:rPr>
          <w:rFonts w:hint="eastAsia" w:ascii="宋体" w:hAnsi="宋体"/>
          <w:color w:val="auto"/>
          <w:sz w:val="22"/>
          <w:highlight w:val="none"/>
        </w:rPr>
        <w:t>机构可以待上述情形消除后继续组织电子交易活动</w:t>
      </w:r>
      <w:r>
        <w:rPr>
          <w:rFonts w:hint="eastAsia" w:ascii="宋体" w:hAnsi="宋体" w:cs="宋体"/>
          <w:color w:val="auto"/>
          <w:sz w:val="22"/>
          <w:highlight w:val="none"/>
        </w:rPr>
        <w:t>，也可以决定某些环节以纸质形式进行</w:t>
      </w:r>
      <w:r>
        <w:rPr>
          <w:rFonts w:hint="eastAsia" w:ascii="宋体" w:hAnsi="宋体"/>
          <w:color w:val="auto"/>
          <w:sz w:val="22"/>
          <w:highlight w:val="none"/>
        </w:rPr>
        <w:t>；影响或可能影响采购公平、公正性的，重新采购。</w:t>
      </w:r>
    </w:p>
    <w:p>
      <w:pPr>
        <w:spacing w:line="400" w:lineRule="exact"/>
        <w:ind w:firstLine="442" w:firstLineChars="200"/>
        <w:jc w:val="center"/>
        <w:rPr>
          <w:rFonts w:ascii="宋体" w:hAnsi="宋体" w:cs="宋体"/>
          <w:b/>
          <w:bCs/>
          <w:color w:val="auto"/>
          <w:szCs w:val="21"/>
          <w:highlight w:val="none"/>
        </w:rPr>
      </w:pPr>
      <w:r>
        <w:rPr>
          <w:rFonts w:hint="eastAsia" w:ascii="宋体" w:hAnsi="宋体" w:cs="宋体"/>
          <w:b/>
          <w:color w:val="auto"/>
          <w:sz w:val="22"/>
          <w:highlight w:val="none"/>
        </w:rPr>
        <w:br w:type="page"/>
      </w:r>
      <w:r>
        <w:rPr>
          <w:rFonts w:hint="eastAsia" w:ascii="宋体" w:hAnsi="宋体" w:cs="宋体"/>
          <w:b/>
          <w:color w:val="auto"/>
          <w:sz w:val="32"/>
          <w:highlight w:val="none"/>
        </w:rPr>
        <w:t xml:space="preserve">第三部分     </w:t>
      </w:r>
      <w:r>
        <w:rPr>
          <w:rFonts w:hint="eastAsia" w:ascii="宋体" w:hAnsi="宋体" w:cs="宋体"/>
          <w:b/>
          <w:bCs/>
          <w:color w:val="auto"/>
          <w:sz w:val="36"/>
          <w:szCs w:val="36"/>
          <w:highlight w:val="none"/>
        </w:rPr>
        <w:t>拟签订的合同文本</w:t>
      </w:r>
    </w:p>
    <w:p>
      <w:pPr>
        <w:spacing w:line="400" w:lineRule="exact"/>
        <w:jc w:val="center"/>
        <w:rPr>
          <w:rFonts w:ascii="宋体" w:hAnsi="宋体" w:cs="宋体"/>
          <w:b/>
          <w:bCs/>
          <w:color w:val="auto"/>
          <w:sz w:val="22"/>
          <w:highlight w:val="none"/>
        </w:rPr>
      </w:pPr>
      <w:r>
        <w:rPr>
          <w:rFonts w:hint="eastAsia" w:ascii="宋体" w:hAnsi="宋体" w:cs="宋体"/>
          <w:color w:val="auto"/>
          <w:sz w:val="22"/>
          <w:highlight w:val="none"/>
        </w:rPr>
        <w:t>（本合同为样稿，最终稿由买卖双方协商后确定）</w:t>
      </w:r>
    </w:p>
    <w:p>
      <w:pPr>
        <w:spacing w:line="360" w:lineRule="exact"/>
        <w:rPr>
          <w:rFonts w:ascii="宋体" w:hAnsi="宋体" w:cs="宋体"/>
          <w:color w:val="auto"/>
          <w:sz w:val="22"/>
          <w:highlight w:val="none"/>
          <w:u w:val="single"/>
        </w:rPr>
      </w:pPr>
      <w:r>
        <w:rPr>
          <w:rFonts w:hint="eastAsia" w:ascii="宋体" w:hAnsi="宋体" w:cs="宋体"/>
          <w:color w:val="auto"/>
          <w:sz w:val="22"/>
          <w:highlight w:val="none"/>
        </w:rPr>
        <w:t xml:space="preserve">项目编号： </w:t>
      </w:r>
    </w:p>
    <w:p>
      <w:pPr>
        <w:spacing w:line="360" w:lineRule="exact"/>
        <w:rPr>
          <w:rFonts w:ascii="宋体" w:hAnsi="宋体" w:cs="宋体"/>
          <w:color w:val="auto"/>
          <w:sz w:val="22"/>
          <w:highlight w:val="none"/>
        </w:rPr>
      </w:pPr>
      <w:r>
        <w:rPr>
          <w:rFonts w:hint="eastAsia" w:ascii="宋体" w:hAnsi="宋体" w:cs="宋体"/>
          <w:color w:val="auto"/>
          <w:sz w:val="22"/>
          <w:highlight w:val="none"/>
        </w:rPr>
        <w:t>买方：</w:t>
      </w:r>
      <w:r>
        <w:rPr>
          <w:rFonts w:hint="eastAsia" w:ascii="宋体" w:hAnsi="宋体" w:cs="宋体"/>
          <w:color w:val="auto"/>
          <w:sz w:val="22"/>
          <w:highlight w:val="none"/>
          <w:u w:val="single"/>
        </w:rPr>
        <w:t>温州大学瓯江学院</w:t>
      </w:r>
      <w:r>
        <w:rPr>
          <w:rFonts w:hint="eastAsia" w:ascii="宋体" w:hAnsi="宋体" w:cs="宋体"/>
          <w:color w:val="auto"/>
          <w:sz w:val="22"/>
          <w:highlight w:val="none"/>
        </w:rPr>
        <w:t xml:space="preserve"> 卖方：</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hint="eastAsia" w:ascii="宋体" w:hAnsi="宋体" w:cs="宋体"/>
          <w:color w:val="auto"/>
          <w:sz w:val="22"/>
          <w:highlight w:val="none"/>
        </w:rPr>
        <w:t>合同鉴证方：</w:t>
      </w:r>
      <w:r>
        <w:rPr>
          <w:rFonts w:hint="eastAsia" w:ascii="宋体" w:hAnsi="宋体" w:cs="宋体"/>
          <w:color w:val="auto"/>
          <w:sz w:val="22"/>
          <w:highlight w:val="none"/>
          <w:u w:val="single"/>
        </w:rPr>
        <w:t xml:space="preserve">浙江乐诚工程咨询有限公司 </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hint="eastAsia" w:ascii="宋体" w:hAnsi="宋体" w:cs="宋体"/>
          <w:color w:val="auto"/>
          <w:sz w:val="22"/>
          <w:highlight w:val="none"/>
        </w:rPr>
        <w:t>年</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hint="eastAsia" w:ascii="宋体" w:hAnsi="宋体" w:cs="宋体"/>
          <w:color w:val="auto"/>
          <w:sz w:val="22"/>
          <w:highlight w:val="none"/>
        </w:rPr>
        <w:t>日在</w:t>
      </w:r>
      <w:r>
        <w:rPr>
          <w:rFonts w:hint="eastAsia" w:ascii="宋体" w:hAnsi="宋体" w:cs="宋体"/>
          <w:color w:val="auto"/>
          <w:sz w:val="22"/>
          <w:highlight w:val="none"/>
          <w:u w:val="single"/>
        </w:rPr>
        <w:t>温州大学瓯江学院</w:t>
      </w:r>
      <w:r>
        <w:rPr>
          <w:rFonts w:hint="eastAsia" w:ascii="宋体" w:hAnsi="宋体" w:cs="宋体"/>
          <w:color w:val="auto"/>
          <w:sz w:val="22"/>
          <w:highlight w:val="none"/>
        </w:rPr>
        <w:t>的</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hint="eastAsia" w:ascii="宋体" w:hAnsi="宋体" w:cs="宋体"/>
          <w:color w:val="auto"/>
          <w:sz w:val="22"/>
          <w:highlight w:val="none"/>
        </w:rPr>
        <w:t>项目采购中，买方接受卖方对本次设备的投标，买卖双方及采购方根据《中华人民共和国民法典》等法规和本合同的招标文件、投标文件及其投标中的承诺，经双方协商，同意签订本合同，共同遵守。</w:t>
      </w:r>
    </w:p>
    <w:p>
      <w:pPr>
        <w:numPr>
          <w:ilvl w:val="0"/>
          <w:numId w:val="3"/>
        </w:numPr>
        <w:spacing w:line="360" w:lineRule="exact"/>
        <w:outlineLvl w:val="0"/>
        <w:rPr>
          <w:rFonts w:ascii="宋体" w:hAnsi="宋体" w:cs="宋体"/>
          <w:color w:val="auto"/>
          <w:sz w:val="22"/>
          <w:highlight w:val="none"/>
          <w:u w:val="single"/>
        </w:rPr>
      </w:pPr>
      <w:r>
        <w:rPr>
          <w:rFonts w:hint="eastAsia" w:ascii="宋体" w:hAnsi="宋体" w:cs="宋体"/>
          <w:color w:val="auto"/>
          <w:sz w:val="22"/>
          <w:highlight w:val="none"/>
        </w:rPr>
        <w:t xml:space="preserve">采购设备内容及价格（详细清单可附后）                         单位： </w:t>
      </w:r>
      <w:r>
        <w:rPr>
          <w:rFonts w:hint="eastAsia" w:ascii="宋体" w:hAnsi="宋体" w:cs="宋体"/>
          <w:color w:val="auto"/>
          <w:sz w:val="22"/>
          <w:highlight w:val="none"/>
          <w:u w:val="single"/>
        </w:rPr>
        <w:t xml:space="preserve"> 元 </w:t>
      </w:r>
    </w:p>
    <w:tbl>
      <w:tblPr>
        <w:tblStyle w:val="26"/>
        <w:tblW w:w="8900"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67"/>
        <w:gridCol w:w="1266"/>
        <w:gridCol w:w="2367"/>
        <w:gridCol w:w="867"/>
        <w:gridCol w:w="88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1567"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设备名称</w:t>
            </w:r>
          </w:p>
        </w:tc>
        <w:tc>
          <w:tcPr>
            <w:tcW w:w="1266"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2367"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型号规格和主要配置</w:t>
            </w:r>
          </w:p>
        </w:tc>
        <w:tc>
          <w:tcPr>
            <w:tcW w:w="867"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883"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单价</w:t>
            </w:r>
          </w:p>
        </w:tc>
        <w:tc>
          <w:tcPr>
            <w:tcW w:w="1117"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33"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1567" w:type="dxa"/>
            <w:vAlign w:val="center"/>
          </w:tcPr>
          <w:p>
            <w:pPr>
              <w:spacing w:line="360" w:lineRule="exact"/>
              <w:jc w:val="center"/>
              <w:rPr>
                <w:rFonts w:ascii="宋体" w:hAnsi="宋体" w:cs="宋体"/>
                <w:color w:val="auto"/>
                <w:sz w:val="22"/>
                <w:highlight w:val="none"/>
              </w:rPr>
            </w:pPr>
          </w:p>
        </w:tc>
        <w:tc>
          <w:tcPr>
            <w:tcW w:w="1266" w:type="dxa"/>
            <w:vAlign w:val="center"/>
          </w:tcPr>
          <w:p>
            <w:pPr>
              <w:spacing w:line="360" w:lineRule="exact"/>
              <w:jc w:val="center"/>
              <w:rPr>
                <w:rFonts w:ascii="宋体" w:hAnsi="宋体" w:cs="宋体"/>
                <w:color w:val="auto"/>
                <w:sz w:val="22"/>
                <w:highlight w:val="none"/>
              </w:rPr>
            </w:pPr>
          </w:p>
        </w:tc>
        <w:tc>
          <w:tcPr>
            <w:tcW w:w="2367" w:type="dxa"/>
            <w:vAlign w:val="center"/>
          </w:tcPr>
          <w:p>
            <w:pPr>
              <w:spacing w:line="360" w:lineRule="exact"/>
              <w:jc w:val="center"/>
              <w:rPr>
                <w:rFonts w:ascii="宋体" w:hAnsi="宋体" w:cs="宋体"/>
                <w:color w:val="auto"/>
                <w:sz w:val="22"/>
                <w:highlight w:val="none"/>
              </w:rPr>
            </w:pPr>
          </w:p>
        </w:tc>
        <w:tc>
          <w:tcPr>
            <w:tcW w:w="867" w:type="dxa"/>
            <w:vAlign w:val="center"/>
          </w:tcPr>
          <w:p>
            <w:pPr>
              <w:spacing w:line="360" w:lineRule="exact"/>
              <w:jc w:val="center"/>
              <w:rPr>
                <w:rFonts w:ascii="宋体" w:hAnsi="宋体" w:cs="宋体"/>
                <w:color w:val="auto"/>
                <w:sz w:val="22"/>
                <w:highlight w:val="none"/>
              </w:rPr>
            </w:pPr>
          </w:p>
        </w:tc>
        <w:tc>
          <w:tcPr>
            <w:tcW w:w="883" w:type="dxa"/>
            <w:vAlign w:val="center"/>
          </w:tcPr>
          <w:p>
            <w:pPr>
              <w:spacing w:line="360" w:lineRule="exact"/>
              <w:jc w:val="center"/>
              <w:rPr>
                <w:rFonts w:ascii="宋体" w:hAnsi="宋体" w:cs="宋体"/>
                <w:color w:val="auto"/>
                <w:sz w:val="22"/>
                <w:highlight w:val="none"/>
              </w:rPr>
            </w:pPr>
          </w:p>
        </w:tc>
        <w:tc>
          <w:tcPr>
            <w:tcW w:w="1117" w:type="dxa"/>
            <w:vAlign w:val="center"/>
          </w:tcPr>
          <w:p>
            <w:pPr>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00" w:type="dxa"/>
            <w:gridSpan w:val="7"/>
          </w:tcPr>
          <w:p>
            <w:pPr>
              <w:spacing w:line="360" w:lineRule="exact"/>
              <w:rPr>
                <w:rFonts w:ascii="宋体" w:hAnsi="宋体" w:cs="宋体"/>
                <w:color w:val="auto"/>
                <w:sz w:val="22"/>
                <w:highlight w:val="none"/>
              </w:rPr>
            </w:pPr>
            <w:r>
              <w:rPr>
                <w:rFonts w:hint="eastAsia" w:ascii="宋体" w:hAnsi="宋体" w:cs="宋体"/>
                <w:color w:val="auto"/>
                <w:sz w:val="22"/>
                <w:highlight w:val="none"/>
              </w:rPr>
              <w:t>合计：（大写）        元整                              小写：￥</w:t>
            </w:r>
          </w:p>
        </w:tc>
      </w:tr>
    </w:tbl>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本合同总价为设备供货、运输、保险、装卸、安装调试及技术、验收（含第三方验收）、培训、售后服务、税费等的全部费用，实行固定总价包干。除发生下列因素可调整合同价外，不得以任何其他理由调整任何费用。</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2.1买方提出的设备变更或由卖方提出的合理化建议，经买方同意采纳的设备型号、规格等各方面的变更，可根据原中标单价计算变更费用。但属卖方投标漏项少算的设备及服务费用不得追补。</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3、设备、材料供应</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本合同范围所需的设备均由卖方提供。采购供应的材料、设备均须有合格证、质保书等相关技术资料。如发现不合格的设备材料，由卖方承担全部的经济损失和责任。</w:t>
      </w:r>
    </w:p>
    <w:p>
      <w:pPr>
        <w:spacing w:line="360" w:lineRule="exact"/>
        <w:ind w:firstLine="440" w:firstLineChars="200"/>
        <w:outlineLvl w:val="0"/>
        <w:rPr>
          <w:rFonts w:ascii="宋体" w:hAnsi="宋体" w:cs="宋体"/>
          <w:color w:val="auto"/>
          <w:sz w:val="22"/>
          <w:highlight w:val="none"/>
        </w:rPr>
      </w:pPr>
      <w:r>
        <w:rPr>
          <w:rFonts w:hint="eastAsia" w:ascii="宋体" w:hAnsi="宋体" w:cs="宋体"/>
          <w:color w:val="auto"/>
          <w:sz w:val="22"/>
          <w:highlight w:val="none"/>
        </w:rPr>
        <w:t>4、产品包装</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4.1为了保证设备在长途运输和装卸过程中的安全，产品包装应符合国家或专业（部）标准规定。由于包装不善导致设备锈蚀、失缺或损坏，由卖方承担一切责任。</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4.2每一包装箱内必须附有装箱清单。</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5、唛头</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5.1卖方应在每件包装箱上，明显地标注下列标记：</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1)收货人； 2)产品名称；  3)合同号；4)品目号和箱号； 5)到达站或到货地点；6)外形尺寸(长宽高)，以厘米计；7)毛重、净重(公斤)。</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5.2卖方应根据设备特点，在包装箱上标明“小心轻放”、“请勿倒置”、“防潮”等字样和吊装标记。</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6、本合同产品的免费保修期限为设备验收合格交付使用后</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hint="eastAsia" w:ascii="宋体" w:hAnsi="宋体" w:cs="宋体"/>
          <w:color w:val="auto"/>
          <w:sz w:val="22"/>
          <w:highlight w:val="none"/>
        </w:rPr>
        <w:t>。</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在产品质量保证期限内，卖方对由于产品设计、工艺、材料、配套件的缺陷而造成的任何产品质量问题或故障负责。</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应当按照招标文件、投标文件、采购合同、封存样品等约定的质量、数量、技术指标或者服务要求设置验收指标及其标准。</w:t>
      </w:r>
    </w:p>
    <w:p>
      <w:pPr>
        <w:spacing w:line="360" w:lineRule="exact"/>
        <w:ind w:firstLine="440" w:firstLineChars="200"/>
        <w:outlineLvl w:val="0"/>
        <w:rPr>
          <w:rFonts w:ascii="宋体" w:hAnsi="宋体" w:cs="宋体"/>
          <w:color w:val="auto"/>
          <w:sz w:val="22"/>
          <w:highlight w:val="none"/>
        </w:rPr>
      </w:pPr>
      <w:r>
        <w:rPr>
          <w:rFonts w:hint="eastAsia" w:ascii="宋体" w:hAnsi="宋体" w:cs="宋体"/>
          <w:color w:val="auto"/>
          <w:sz w:val="22"/>
          <w:highlight w:val="none"/>
        </w:rPr>
        <w:t>7、产品资料</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档案资料，包括：设备的数量、型号、规格，设备生产厂家的产品检测证书，出厂检验报告，合格证书，产品说明书等有关资料。如发现不合格的设备材料，由卖方承担全部的经济损失的责任。设备开箱后的全部随机资料所有权归买方所有。开箱验收后由买方保管。</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8、交付使用时间：</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hint="eastAsia" w:ascii="宋体" w:hAnsi="宋体" w:cs="宋体"/>
          <w:color w:val="auto"/>
          <w:sz w:val="22"/>
          <w:highlight w:val="none"/>
        </w:rPr>
        <w:t>，交货地点：</w:t>
      </w:r>
      <w:r>
        <w:rPr>
          <w:rFonts w:hint="eastAsia" w:ascii="宋体" w:hAnsi="宋体" w:cs="宋体"/>
          <w:color w:val="auto"/>
          <w:sz w:val="22"/>
          <w:highlight w:val="none"/>
          <w:u w:val="single"/>
        </w:rPr>
        <w:t xml:space="preserve"> 买方指定地点 </w:t>
      </w:r>
      <w:r>
        <w:rPr>
          <w:rFonts w:hint="eastAsia" w:ascii="宋体" w:hAnsi="宋体" w:cs="宋体"/>
          <w:color w:val="auto"/>
          <w:sz w:val="22"/>
          <w:highlight w:val="none"/>
        </w:rPr>
        <w:t>。</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9、付款方式与结算</w:t>
      </w:r>
      <w:r>
        <w:rPr>
          <w:rFonts w:ascii="宋体" w:hAnsi="宋体" w:cs="宋体"/>
          <w:color w:val="auto"/>
          <w:sz w:val="22"/>
          <w:highlight w:val="none"/>
        </w:rPr>
        <w:br w:type="textWrapping"/>
      </w:r>
      <w:r>
        <w:rPr>
          <w:rFonts w:hint="eastAsia" w:ascii="宋体" w:hAnsi="宋体" w:cs="宋体"/>
          <w:color w:val="auto"/>
          <w:sz w:val="22"/>
          <w:highlight w:val="none"/>
        </w:rPr>
        <w:t xml:space="preserve">    根据招标文件要求支付 </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10、违约责任</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10.1设备质量责任</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在设备质量保证期内，凡设备在开箱检验、安装调试、设备试运行过程中发现的设备质量问题，由卖方负责处理，实行包修、包换、包退、直至产品符合质量要求。卖方承担修理、调换、退货发生的一切费用和买方的直接经济损失。</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2）接到买方通知后，温州及附近地区4小时内，外地24小时内派人赴现场处理设备质量问题。</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3）由于买方保管不善或使用不当造成设备短缺、故障或损坏，由买方负责。但卖方保证及时给予补齐和修复。</w:t>
      </w:r>
    </w:p>
    <w:p>
      <w:pPr>
        <w:spacing w:line="360" w:lineRule="exact"/>
        <w:ind w:firstLine="440" w:firstLineChars="200"/>
        <w:outlineLvl w:val="0"/>
        <w:rPr>
          <w:rFonts w:ascii="宋体" w:hAnsi="宋体" w:cs="宋体"/>
          <w:color w:val="auto"/>
          <w:sz w:val="22"/>
          <w:highlight w:val="none"/>
        </w:rPr>
      </w:pPr>
      <w:r>
        <w:rPr>
          <w:rFonts w:hint="eastAsia" w:ascii="宋体" w:hAnsi="宋体" w:cs="宋体"/>
          <w:color w:val="auto"/>
          <w:sz w:val="22"/>
          <w:highlight w:val="none"/>
        </w:rPr>
        <w:t>10.2违约赔偿</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除不可抗力外，如卖方发生不能按期交货或提供服务，买方发生中途退货等情况，应及时以书面形式通知对方。双方应本着友好的态度进行协商，妥善解决。</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如协商无效，按下列规定处以罚金。</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1）逾期交货</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卖方逾期交货，应向买方偿付违约金，每逾一周违约罚款按合同总价的0.8%计收，直至交货为止。（一周按7天计算，不足一周按一周计算）。</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2）卖方不能交货或买方中途退货</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卖方不能交货，应向买方偿付违约金。违约金按合同总价的10-30%计算。</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买方中途退货，应向卖方偿付违约金。违约金的计算方法与卖方违约相同。</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3）逾期交货的违约赔偿最高限额为合同总价的8%，如违约金达到最高限额时卖方仍不能交货，买方可考虑终止合同。</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4）经双方协商同意延期交货和经双方友好协商同意退货且无需罚款者不在此例。</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11、履约保证金的罚没</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11.1如卖方未能履行合同规定的任何义务，买方有权从履约保证金中得到补偿。</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11.2如果卖方毫无理由地拖延交货或拒绝履行合同规定的任何义务，履约保证金将被没收，并加收违约赔偿。</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11.3卖方提供的设备须和投标文件中所承诺的设备规格、数量、型号等相符合（合同中另有约定除外）。</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12、转让和分包</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12.1未经买方事先书面同意，卖方不得部分转让或分包或全部转让其应履行的合同义务。</w:t>
      </w:r>
    </w:p>
    <w:p>
      <w:pPr>
        <w:numPr>
          <w:ilvl w:val="0"/>
          <w:numId w:val="4"/>
        </w:num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争端的解决</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13.1合同实施或与合同有关的一切争端，买卖双方首先应通过友好协商解决，如果协商仍得不到解决，任何一方可向买方所在地人民法院申请诉讼。</w:t>
      </w:r>
    </w:p>
    <w:p>
      <w:pPr>
        <w:numPr>
          <w:ilvl w:val="0"/>
          <w:numId w:val="5"/>
        </w:numPr>
        <w:spacing w:line="360" w:lineRule="exact"/>
        <w:ind w:firstLine="440" w:firstLineChars="200"/>
        <w:outlineLvl w:val="0"/>
        <w:rPr>
          <w:rFonts w:ascii="宋体" w:hAnsi="宋体" w:cs="宋体"/>
          <w:color w:val="auto"/>
          <w:sz w:val="22"/>
          <w:highlight w:val="none"/>
        </w:rPr>
      </w:pPr>
      <w:r>
        <w:rPr>
          <w:rFonts w:hint="eastAsia" w:ascii="宋体" w:hAnsi="宋体" w:cs="宋体"/>
          <w:color w:val="auto"/>
          <w:sz w:val="22"/>
          <w:highlight w:val="none"/>
        </w:rPr>
        <w:t>约定事项：</w:t>
      </w:r>
    </w:p>
    <w:p>
      <w:pPr>
        <w:spacing w:line="360" w:lineRule="exact"/>
        <w:ind w:firstLine="440" w:firstLineChars="200"/>
        <w:outlineLvl w:val="0"/>
        <w:rPr>
          <w:rFonts w:ascii="宋体" w:hAnsi="宋体" w:cs="宋体"/>
          <w:color w:val="auto"/>
          <w:sz w:val="22"/>
          <w:highlight w:val="none"/>
        </w:rPr>
      </w:pPr>
      <w:r>
        <w:rPr>
          <w:rFonts w:hint="eastAsia" w:ascii="宋体" w:hAnsi="宋体" w:cs="宋体"/>
          <w:color w:val="auto"/>
          <w:sz w:val="22"/>
          <w:highlight w:val="none"/>
        </w:rPr>
        <w:t>14.1本合同一式伍份，买方贰份、卖方贰份、鉴证方壹份。</w:t>
      </w:r>
    </w:p>
    <w:p>
      <w:pPr>
        <w:spacing w:line="360" w:lineRule="exact"/>
        <w:ind w:firstLine="440" w:firstLineChars="200"/>
        <w:outlineLvl w:val="0"/>
        <w:rPr>
          <w:rFonts w:ascii="宋体" w:hAnsi="宋体" w:cs="宋体"/>
          <w:color w:val="auto"/>
          <w:sz w:val="22"/>
          <w:highlight w:val="none"/>
        </w:rPr>
      </w:pPr>
      <w:r>
        <w:rPr>
          <w:rFonts w:hint="eastAsia" w:ascii="宋体" w:hAnsi="宋体" w:cs="宋体"/>
          <w:color w:val="auto"/>
          <w:sz w:val="22"/>
          <w:highlight w:val="none"/>
        </w:rPr>
        <w:t>14.2合同经买方、卖方、鉴定方三方签字盖章后生效。</w:t>
      </w:r>
    </w:p>
    <w:p>
      <w:pPr>
        <w:spacing w:line="360" w:lineRule="exact"/>
        <w:ind w:firstLine="440" w:firstLineChars="200"/>
        <w:outlineLvl w:val="0"/>
        <w:rPr>
          <w:rFonts w:ascii="宋体" w:hAnsi="宋体" w:cs="宋体"/>
          <w:color w:val="auto"/>
          <w:sz w:val="22"/>
          <w:highlight w:val="none"/>
        </w:rPr>
      </w:pPr>
      <w:r>
        <w:rPr>
          <w:rFonts w:hint="eastAsia" w:ascii="宋体" w:hAnsi="宋体" w:cs="宋体"/>
          <w:color w:val="auto"/>
          <w:sz w:val="22"/>
          <w:highlight w:val="none"/>
        </w:rPr>
        <w:t>14.3如需修改或补充合同内容，经协商，双方应签署书面修改或补充协议，该协议将作为本合同的一个组成部分。</w:t>
      </w:r>
    </w:p>
    <w:p>
      <w:pPr>
        <w:spacing w:line="360" w:lineRule="exact"/>
        <w:ind w:firstLine="440" w:firstLineChars="200"/>
        <w:outlineLvl w:val="0"/>
        <w:rPr>
          <w:rFonts w:ascii="宋体" w:hAnsi="宋体" w:cs="宋体"/>
          <w:color w:val="auto"/>
          <w:sz w:val="22"/>
          <w:highlight w:val="none"/>
        </w:rPr>
      </w:pPr>
      <w:r>
        <w:rPr>
          <w:rFonts w:hint="eastAsia" w:ascii="宋体" w:hAnsi="宋体" w:cs="宋体"/>
          <w:color w:val="auto"/>
          <w:sz w:val="22"/>
          <w:highlight w:val="none"/>
        </w:rPr>
        <w:t>14.4</w:t>
      </w:r>
      <w:r>
        <w:rPr>
          <w:rFonts w:hint="eastAsia" w:ascii="宋体" w:hAnsi="宋体" w:cs="宋体"/>
          <w:b/>
          <w:color w:val="auto"/>
          <w:sz w:val="22"/>
          <w:highlight w:val="none"/>
        </w:rPr>
        <w:t>本合同未尽事宜及对合同内容如有异议，以买方招标文件和卖方投标文件及投标现场承诺为准，</w:t>
      </w:r>
      <w:r>
        <w:rPr>
          <w:rFonts w:hint="eastAsia" w:ascii="宋体" w:hAnsi="宋体" w:cs="宋体"/>
          <w:color w:val="auto"/>
          <w:sz w:val="22"/>
          <w:highlight w:val="none"/>
        </w:rPr>
        <w:t>如遇国家法律、法规及政策另有规定的，从其规定。</w:t>
      </w:r>
    </w:p>
    <w:p>
      <w:pPr>
        <w:spacing w:line="360" w:lineRule="exact"/>
        <w:rPr>
          <w:rFonts w:ascii="宋体" w:hAnsi="宋体" w:cs="宋体"/>
          <w:color w:val="auto"/>
          <w:sz w:val="22"/>
          <w:highlight w:val="none"/>
        </w:rPr>
      </w:pPr>
    </w:p>
    <w:p>
      <w:pPr>
        <w:spacing w:line="360" w:lineRule="exact"/>
        <w:rPr>
          <w:rFonts w:ascii="宋体" w:hAnsi="宋体" w:cs="宋体"/>
          <w:color w:val="auto"/>
          <w:sz w:val="22"/>
          <w:highlight w:val="none"/>
        </w:rPr>
      </w:pPr>
    </w:p>
    <w:p>
      <w:pPr>
        <w:spacing w:line="360" w:lineRule="exact"/>
        <w:rPr>
          <w:rFonts w:ascii="宋体" w:hAnsi="宋体" w:cs="宋体"/>
          <w:color w:val="auto"/>
          <w:sz w:val="22"/>
          <w:highlight w:val="none"/>
        </w:rPr>
      </w:pPr>
    </w:p>
    <w:p>
      <w:pPr>
        <w:spacing w:line="360" w:lineRule="exact"/>
        <w:ind w:left="216" w:leftChars="103"/>
        <w:outlineLvl w:val="0"/>
        <w:rPr>
          <w:rFonts w:ascii="宋体" w:hAnsi="宋体" w:cs="宋体"/>
          <w:color w:val="auto"/>
          <w:sz w:val="22"/>
          <w:highlight w:val="none"/>
          <w:lang w:val="zh-CN"/>
        </w:rPr>
      </w:pPr>
      <w:r>
        <w:rPr>
          <w:rFonts w:hint="eastAsia" w:ascii="宋体" w:hAnsi="宋体" w:cs="宋体"/>
          <w:color w:val="auto"/>
          <w:sz w:val="22"/>
          <w:highlight w:val="none"/>
        </w:rPr>
        <w:t>买方（盖章）：                             卖方（盖章）：</w:t>
      </w:r>
    </w:p>
    <w:p>
      <w:pPr>
        <w:spacing w:line="360" w:lineRule="exact"/>
        <w:ind w:left="216" w:leftChars="103"/>
        <w:outlineLvl w:val="0"/>
        <w:rPr>
          <w:rFonts w:ascii="宋体" w:hAnsi="宋体" w:cs="宋体"/>
          <w:color w:val="auto"/>
          <w:sz w:val="22"/>
          <w:highlight w:val="none"/>
        </w:rPr>
      </w:pPr>
      <w:r>
        <w:rPr>
          <w:rFonts w:hint="eastAsia" w:ascii="宋体" w:hAnsi="宋体" w:cs="宋体"/>
          <w:color w:val="auto"/>
          <w:sz w:val="22"/>
          <w:highlight w:val="none"/>
        </w:rPr>
        <w:t>法人代表：                                 法人代表：</w:t>
      </w:r>
    </w:p>
    <w:p>
      <w:pPr>
        <w:spacing w:line="360" w:lineRule="exact"/>
        <w:ind w:left="216" w:leftChars="103"/>
        <w:outlineLvl w:val="0"/>
        <w:rPr>
          <w:rFonts w:ascii="宋体" w:hAnsi="宋体" w:cs="宋体"/>
          <w:color w:val="auto"/>
          <w:sz w:val="22"/>
          <w:highlight w:val="none"/>
        </w:rPr>
      </w:pPr>
      <w:r>
        <w:rPr>
          <w:rFonts w:hint="eastAsia" w:ascii="宋体" w:hAnsi="宋体" w:cs="宋体"/>
          <w:color w:val="auto"/>
          <w:sz w:val="22"/>
          <w:highlight w:val="none"/>
        </w:rPr>
        <w:t xml:space="preserve">委托代理人（签字）：                       委托代理人（签字）： </w:t>
      </w:r>
    </w:p>
    <w:p>
      <w:pPr>
        <w:spacing w:line="360" w:lineRule="exact"/>
        <w:ind w:firstLine="220" w:firstLineChars="100"/>
        <w:outlineLvl w:val="0"/>
        <w:rPr>
          <w:rFonts w:ascii="宋体" w:hAnsi="宋体" w:cs="宋体"/>
          <w:color w:val="auto"/>
          <w:sz w:val="22"/>
          <w:highlight w:val="none"/>
        </w:rPr>
      </w:pPr>
      <w:r>
        <w:rPr>
          <w:rFonts w:hint="eastAsia" w:ascii="宋体" w:hAnsi="宋体" w:cs="宋体"/>
          <w:color w:val="auto"/>
          <w:sz w:val="22"/>
          <w:highlight w:val="none"/>
        </w:rPr>
        <w:t>联系电话：                                 联系电话：</w:t>
      </w:r>
    </w:p>
    <w:p>
      <w:pPr>
        <w:spacing w:line="360" w:lineRule="exact"/>
        <w:ind w:left="216" w:leftChars="103"/>
        <w:outlineLvl w:val="0"/>
        <w:rPr>
          <w:rFonts w:ascii="宋体" w:hAnsi="宋体" w:cs="宋体"/>
          <w:color w:val="auto"/>
          <w:sz w:val="22"/>
          <w:highlight w:val="none"/>
        </w:rPr>
      </w:pPr>
      <w:r>
        <w:rPr>
          <w:rFonts w:hint="eastAsia" w:ascii="宋体" w:hAnsi="宋体" w:cs="宋体"/>
          <w:color w:val="auto"/>
          <w:sz w:val="22"/>
          <w:highlight w:val="none"/>
        </w:rPr>
        <w:t>地    址：                                 地    址：</w:t>
      </w:r>
    </w:p>
    <w:p>
      <w:pPr>
        <w:spacing w:line="360" w:lineRule="exact"/>
        <w:ind w:left="216" w:leftChars="103"/>
        <w:outlineLvl w:val="0"/>
        <w:rPr>
          <w:rFonts w:ascii="宋体" w:hAnsi="宋体" w:cs="宋体"/>
          <w:color w:val="auto"/>
          <w:sz w:val="22"/>
          <w:highlight w:val="none"/>
        </w:rPr>
      </w:pPr>
      <w:r>
        <w:rPr>
          <w:rFonts w:hint="eastAsia" w:ascii="宋体" w:hAnsi="宋体" w:cs="宋体"/>
          <w:color w:val="auto"/>
          <w:sz w:val="22"/>
          <w:highlight w:val="none"/>
        </w:rPr>
        <w:t>纳税人名称：                               纳税人名称：</w:t>
      </w:r>
    </w:p>
    <w:p>
      <w:pPr>
        <w:spacing w:line="360" w:lineRule="exact"/>
        <w:ind w:left="216" w:leftChars="103"/>
        <w:outlineLvl w:val="0"/>
        <w:rPr>
          <w:rFonts w:ascii="宋体" w:hAnsi="宋体" w:cs="宋体"/>
          <w:color w:val="auto"/>
          <w:sz w:val="22"/>
          <w:highlight w:val="none"/>
        </w:rPr>
      </w:pPr>
      <w:r>
        <w:rPr>
          <w:rFonts w:hint="eastAsia" w:ascii="宋体" w:hAnsi="宋体" w:cs="宋体"/>
          <w:color w:val="auto"/>
          <w:sz w:val="22"/>
          <w:highlight w:val="none"/>
        </w:rPr>
        <w:t>纳税人识别号：                             纳税人识别号：</w:t>
      </w:r>
    </w:p>
    <w:p>
      <w:pPr>
        <w:spacing w:line="360" w:lineRule="exact"/>
        <w:ind w:left="216" w:leftChars="103"/>
        <w:outlineLvl w:val="0"/>
        <w:rPr>
          <w:rFonts w:ascii="宋体" w:hAnsi="宋体" w:cs="宋体"/>
          <w:color w:val="auto"/>
          <w:sz w:val="22"/>
          <w:highlight w:val="none"/>
        </w:rPr>
      </w:pPr>
      <w:r>
        <w:rPr>
          <w:rFonts w:hint="eastAsia" w:ascii="宋体" w:hAnsi="宋体" w:cs="宋体"/>
          <w:color w:val="auto"/>
          <w:sz w:val="22"/>
          <w:highlight w:val="none"/>
        </w:rPr>
        <w:t>开户行：                                   开户行：</w:t>
      </w:r>
    </w:p>
    <w:p>
      <w:pPr>
        <w:spacing w:line="360" w:lineRule="exact"/>
        <w:ind w:left="216" w:leftChars="103"/>
        <w:outlineLvl w:val="0"/>
        <w:rPr>
          <w:rFonts w:ascii="宋体" w:hAnsi="宋体" w:cs="宋体"/>
          <w:color w:val="auto"/>
          <w:sz w:val="22"/>
          <w:highlight w:val="none"/>
        </w:rPr>
      </w:pPr>
      <w:r>
        <w:rPr>
          <w:rFonts w:hint="eastAsia" w:ascii="宋体" w:hAnsi="宋体" w:cs="宋体"/>
          <w:color w:val="auto"/>
          <w:sz w:val="22"/>
          <w:highlight w:val="none"/>
        </w:rPr>
        <w:t>账号：                                     账号：</w:t>
      </w:r>
    </w:p>
    <w:p>
      <w:pPr>
        <w:spacing w:line="360" w:lineRule="exact"/>
        <w:rPr>
          <w:rFonts w:ascii="宋体" w:hAnsi="宋体" w:cs="宋体"/>
          <w:color w:val="auto"/>
          <w:sz w:val="22"/>
          <w:highlight w:val="none"/>
        </w:rPr>
      </w:pPr>
    </w:p>
    <w:p>
      <w:pPr>
        <w:pStyle w:val="13"/>
        <w:ind w:left="1470" w:right="1470"/>
        <w:rPr>
          <w:color w:val="auto"/>
          <w:highlight w:val="none"/>
        </w:rPr>
      </w:pPr>
    </w:p>
    <w:p>
      <w:pPr>
        <w:spacing w:line="360" w:lineRule="exact"/>
        <w:ind w:firstLine="220" w:firstLineChars="100"/>
        <w:rPr>
          <w:rFonts w:ascii="宋体" w:hAnsi="宋体" w:cs="宋体"/>
          <w:color w:val="auto"/>
          <w:sz w:val="22"/>
          <w:highlight w:val="none"/>
        </w:rPr>
      </w:pPr>
      <w:r>
        <w:rPr>
          <w:rFonts w:hint="eastAsia" w:ascii="宋体" w:hAnsi="宋体" w:cs="宋体"/>
          <w:color w:val="auto"/>
          <w:sz w:val="22"/>
          <w:highlight w:val="none"/>
        </w:rPr>
        <w:t>合同鉴证方：浙江乐诚工程咨询有限公司</w:t>
      </w:r>
    </w:p>
    <w:p>
      <w:pPr>
        <w:spacing w:line="360" w:lineRule="exact"/>
        <w:ind w:firstLine="220" w:firstLineChars="100"/>
        <w:rPr>
          <w:rFonts w:ascii="宋体" w:hAnsi="宋体" w:cs="宋体"/>
          <w:color w:val="auto"/>
          <w:sz w:val="22"/>
          <w:highlight w:val="none"/>
        </w:rPr>
      </w:pPr>
      <w:r>
        <w:rPr>
          <w:rFonts w:hint="eastAsia" w:ascii="宋体" w:hAnsi="宋体" w:cs="宋体"/>
          <w:color w:val="auto"/>
          <w:sz w:val="22"/>
          <w:highlight w:val="none"/>
        </w:rPr>
        <w:t xml:space="preserve">法定代表人或主要负责人：（签字）                                 </w:t>
      </w:r>
    </w:p>
    <w:p>
      <w:pPr>
        <w:spacing w:line="360" w:lineRule="exact"/>
        <w:ind w:firstLine="220" w:firstLineChars="100"/>
        <w:rPr>
          <w:rFonts w:ascii="宋体" w:hAnsi="宋体" w:cs="宋体"/>
          <w:color w:val="auto"/>
          <w:sz w:val="22"/>
          <w:highlight w:val="none"/>
        </w:rPr>
      </w:pPr>
      <w:r>
        <w:rPr>
          <w:rFonts w:hint="eastAsia" w:ascii="宋体" w:hAnsi="宋体" w:cs="宋体"/>
          <w:color w:val="auto"/>
          <w:sz w:val="22"/>
          <w:highlight w:val="none"/>
        </w:rPr>
        <w:t>合同签订日期：     年     月     日</w:t>
      </w:r>
    </w:p>
    <w:p>
      <w:pPr>
        <w:spacing w:line="400" w:lineRule="exact"/>
        <w:outlineLvl w:val="0"/>
        <w:rPr>
          <w:rFonts w:ascii="宋体" w:hAnsi="宋体" w:cs="宋体"/>
          <w:color w:val="auto"/>
          <w:sz w:val="22"/>
          <w:highlight w:val="none"/>
        </w:rPr>
      </w:pPr>
    </w:p>
    <w:p>
      <w:pPr>
        <w:spacing w:line="400" w:lineRule="exact"/>
        <w:rPr>
          <w:rFonts w:ascii="宋体" w:hAnsi="宋体" w:cs="宋体"/>
          <w:color w:val="auto"/>
          <w:sz w:val="22"/>
          <w:highlight w:val="none"/>
        </w:rPr>
      </w:pPr>
    </w:p>
    <w:p>
      <w:pPr>
        <w:pStyle w:val="13"/>
        <w:spacing w:after="0" w:line="400" w:lineRule="exact"/>
        <w:ind w:left="0" w:leftChars="0" w:right="0" w:rightChars="0"/>
        <w:rPr>
          <w:rFonts w:ascii="宋体" w:hAnsi="宋体" w:cs="宋体"/>
          <w:color w:val="auto"/>
          <w:sz w:val="22"/>
          <w:highlight w:val="none"/>
        </w:rPr>
      </w:pPr>
    </w:p>
    <w:p>
      <w:pPr>
        <w:spacing w:line="360" w:lineRule="exact"/>
        <w:rPr>
          <w:rFonts w:ascii="宋体" w:hAnsi="宋体" w:cs="宋体"/>
          <w:color w:val="auto"/>
          <w:sz w:val="22"/>
          <w:highlight w:val="none"/>
        </w:rPr>
      </w:pPr>
    </w:p>
    <w:p>
      <w:pPr>
        <w:pStyle w:val="10"/>
        <w:ind w:firstLine="221"/>
        <w:rPr>
          <w:rFonts w:ascii="宋体" w:hAnsi="宋体" w:cs="宋体"/>
          <w:color w:val="auto"/>
          <w:sz w:val="22"/>
          <w:highlight w:val="none"/>
        </w:rPr>
      </w:pPr>
    </w:p>
    <w:p>
      <w:pPr>
        <w:pStyle w:val="10"/>
        <w:ind w:firstLine="221"/>
        <w:rPr>
          <w:rFonts w:ascii="宋体" w:hAnsi="宋体" w:cs="宋体"/>
          <w:color w:val="auto"/>
          <w:sz w:val="22"/>
          <w:highlight w:val="none"/>
        </w:rPr>
      </w:pPr>
    </w:p>
    <w:p>
      <w:pPr>
        <w:pStyle w:val="10"/>
        <w:ind w:firstLine="221"/>
        <w:rPr>
          <w:rFonts w:ascii="宋体" w:hAnsi="宋体" w:cs="宋体"/>
          <w:color w:val="auto"/>
          <w:sz w:val="22"/>
          <w:highlight w:val="none"/>
        </w:rPr>
      </w:pPr>
    </w:p>
    <w:p>
      <w:pPr>
        <w:pStyle w:val="10"/>
        <w:ind w:firstLine="221"/>
        <w:rPr>
          <w:rFonts w:ascii="宋体" w:hAnsi="宋体" w:cs="宋体"/>
          <w:color w:val="auto"/>
          <w:sz w:val="22"/>
          <w:highlight w:val="none"/>
        </w:rPr>
      </w:pPr>
    </w:p>
    <w:p>
      <w:pPr>
        <w:pStyle w:val="13"/>
        <w:ind w:left="1470" w:right="1470"/>
        <w:rPr>
          <w:rFonts w:ascii="宋体" w:hAnsi="宋体" w:cs="宋体"/>
          <w:color w:val="auto"/>
          <w:sz w:val="22"/>
          <w:highlight w:val="none"/>
        </w:rPr>
      </w:pPr>
    </w:p>
    <w:p>
      <w:pPr>
        <w:pStyle w:val="13"/>
        <w:ind w:left="1470" w:right="1470"/>
        <w:rPr>
          <w:rFonts w:ascii="宋体" w:hAnsi="宋体" w:cs="宋体"/>
          <w:color w:val="auto"/>
          <w:sz w:val="22"/>
          <w:highlight w:val="none"/>
        </w:rPr>
      </w:pPr>
    </w:p>
    <w:p>
      <w:pPr>
        <w:pStyle w:val="13"/>
        <w:ind w:left="1470" w:right="1470"/>
        <w:rPr>
          <w:rFonts w:ascii="宋体" w:hAnsi="宋体" w:cs="宋体"/>
          <w:color w:val="auto"/>
          <w:sz w:val="22"/>
          <w:highlight w:val="none"/>
        </w:rPr>
      </w:pPr>
    </w:p>
    <w:p>
      <w:pPr>
        <w:pStyle w:val="13"/>
        <w:ind w:left="1470" w:right="1470"/>
        <w:rPr>
          <w:rFonts w:ascii="宋体" w:hAnsi="宋体" w:cs="宋体"/>
          <w:color w:val="auto"/>
          <w:sz w:val="22"/>
          <w:highlight w:val="none"/>
        </w:rPr>
      </w:pPr>
    </w:p>
    <w:p>
      <w:pPr>
        <w:pStyle w:val="13"/>
        <w:ind w:left="1470" w:right="1470"/>
        <w:rPr>
          <w:rFonts w:ascii="宋体" w:hAnsi="宋体" w:cs="宋体"/>
          <w:color w:val="auto"/>
          <w:sz w:val="22"/>
          <w:highlight w:val="none"/>
        </w:rPr>
      </w:pPr>
    </w:p>
    <w:p>
      <w:pPr>
        <w:pStyle w:val="13"/>
        <w:ind w:left="1470" w:right="1470"/>
        <w:rPr>
          <w:rFonts w:ascii="宋体" w:hAnsi="宋体" w:cs="宋体"/>
          <w:color w:val="auto"/>
          <w:sz w:val="22"/>
          <w:highlight w:val="none"/>
        </w:rPr>
      </w:pPr>
    </w:p>
    <w:p>
      <w:pPr>
        <w:pStyle w:val="13"/>
        <w:ind w:left="1470" w:right="1470"/>
        <w:rPr>
          <w:rFonts w:ascii="宋体" w:hAnsi="宋体" w:cs="宋体"/>
          <w:color w:val="auto"/>
          <w:sz w:val="22"/>
          <w:highlight w:val="none"/>
        </w:rPr>
      </w:pPr>
    </w:p>
    <w:p>
      <w:pPr>
        <w:pStyle w:val="13"/>
        <w:ind w:left="1470" w:right="1470"/>
        <w:rPr>
          <w:rFonts w:ascii="宋体" w:hAnsi="宋体" w:cs="宋体"/>
          <w:color w:val="auto"/>
          <w:sz w:val="22"/>
          <w:highlight w:val="none"/>
        </w:rPr>
      </w:pPr>
    </w:p>
    <w:p>
      <w:pPr>
        <w:pStyle w:val="13"/>
        <w:ind w:left="1470" w:right="1470"/>
        <w:rPr>
          <w:rFonts w:ascii="宋体" w:hAnsi="宋体" w:cs="宋体"/>
          <w:color w:val="auto"/>
          <w:sz w:val="22"/>
          <w:highlight w:val="none"/>
        </w:rPr>
      </w:pPr>
    </w:p>
    <w:p>
      <w:pPr>
        <w:pStyle w:val="13"/>
        <w:ind w:left="1470" w:right="1470"/>
        <w:rPr>
          <w:rFonts w:ascii="宋体" w:hAnsi="宋体" w:cs="宋体"/>
          <w:color w:val="auto"/>
          <w:sz w:val="22"/>
          <w:highlight w:val="none"/>
        </w:rPr>
      </w:pPr>
    </w:p>
    <w:p>
      <w:pPr>
        <w:tabs>
          <w:tab w:val="left" w:pos="4286"/>
        </w:tabs>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第四部分    附件</w:t>
      </w:r>
    </w:p>
    <w:p>
      <w:pPr>
        <w:snapToGrid w:val="0"/>
        <w:spacing w:before="120" w:beforeLines="50" w:after="50"/>
        <w:jc w:val="center"/>
        <w:outlineLvl w:val="1"/>
        <w:rPr>
          <w:rFonts w:ascii="宋体" w:hAnsi="宋体" w:cs="宋体"/>
          <w:b/>
          <w:color w:val="auto"/>
          <w:sz w:val="24"/>
          <w:highlight w:val="none"/>
        </w:rPr>
      </w:pPr>
      <w:r>
        <w:rPr>
          <w:rFonts w:hint="eastAsia" w:ascii="宋体" w:hAnsi="宋体" w:cs="宋体"/>
          <w:b/>
          <w:bCs/>
          <w:color w:val="auto"/>
          <w:sz w:val="24"/>
          <w:highlight w:val="none"/>
        </w:rPr>
        <w:t>一、报价文件部分格式</w:t>
      </w: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szCs w:val="24"/>
          <w:highlight w:val="none"/>
        </w:rPr>
      </w:pPr>
      <w:r>
        <w:rPr>
          <w:rFonts w:hint="eastAsia" w:ascii="宋体" w:hAnsi="宋体" w:cs="宋体"/>
          <w:b/>
          <w:bCs/>
          <w:color w:val="auto"/>
          <w:sz w:val="24"/>
          <w:highlight w:val="none"/>
        </w:rPr>
        <w:t>投标报价文件封面格式：</w:t>
      </w:r>
    </w:p>
    <w:p>
      <w:pPr>
        <w:pStyle w:val="13"/>
        <w:ind w:left="0" w:leftChars="0" w:right="1470"/>
        <w:rPr>
          <w:rFonts w:ascii="宋体" w:hAnsi="宋体" w:cs="宋体"/>
          <w:b/>
          <w:color w:val="auto"/>
          <w:sz w:val="24"/>
          <w:szCs w:val="24"/>
          <w:highlight w:val="none"/>
        </w:rPr>
      </w:pPr>
    </w:p>
    <w:p>
      <w:pPr>
        <w:snapToGrid w:val="0"/>
        <w:spacing w:line="400" w:lineRule="exact"/>
        <w:jc w:val="center"/>
        <w:outlineLvl w:val="1"/>
        <w:rPr>
          <w:rFonts w:ascii="宋体" w:hAnsi="宋体" w:cs="宋体"/>
          <w:b/>
          <w:bCs/>
          <w:color w:val="auto"/>
          <w:sz w:val="24"/>
          <w:szCs w:val="20"/>
          <w:highlight w:val="none"/>
        </w:rPr>
      </w:pPr>
    </w:p>
    <w:p>
      <w:pPr>
        <w:snapToGrid w:val="0"/>
        <w:spacing w:line="400" w:lineRule="exact"/>
        <w:jc w:val="center"/>
        <w:rPr>
          <w:rFonts w:ascii="宋体" w:hAnsi="宋体" w:cs="宋体"/>
          <w:bCs/>
          <w:color w:val="auto"/>
          <w:sz w:val="24"/>
          <w:szCs w:val="20"/>
          <w:highlight w:val="none"/>
        </w:rPr>
      </w:pPr>
      <w:r>
        <w:rPr>
          <w:rFonts w:ascii="宋体" w:hAnsi="宋体" w:cs="宋体"/>
          <w:b/>
          <w:bCs/>
          <w:color w:val="auto"/>
          <w:sz w:val="24"/>
          <w:highlight w:val="none"/>
        </w:rPr>
        <w:pict>
          <v:shape id="_x0000_s1031" o:spid="_x0000_s1031" o:spt="202" type="#_x0000_t202" style="position:absolute;left:0pt;margin-left:30.7pt;margin-top:16pt;height:276.7pt;width:399.75pt;mso-wrap-distance-bottom:0pt;mso-wrap-distance-top:0pt;z-index:251662336;mso-width-relative:page;mso-height-relative:page;" coordsize="21600,21600" o:gfxdata="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rBKK2QAAAAkBAAAPAAAAAAAAAAEAIAAAACIAAABk&#10;cnMvZG93bnJldi54bWxQSwECFAAUAAAACACHTuJASA3vAAUCAAAaBAAADgAAAAAAAAABACAAAAAo&#10;AQAAZHJzL2Uyb0RvYy54bWxQSwUGAAAAAAYABgBZAQAAnwUAAAAA&#10;">
            <v:path/>
            <v:fill focussize="0,0"/>
            <v:stroke joinstyle="miter"/>
            <v:imagedata o:title=""/>
            <o:lock v:ext="edit" rotation="t"/>
            <v:textbox>
              <w:txbxContent>
                <w:p>
                  <w:pPr>
                    <w:snapToGrid w:val="0"/>
                    <w:spacing w:before="120" w:beforeLines="50" w:after="50"/>
                    <w:ind w:left="-850" w:leftChars="-405"/>
                    <w:rPr>
                      <w:rFonts w:ascii="宋体" w:hAnsi="宋体"/>
                      <w:sz w:val="24"/>
                      <w:szCs w:val="20"/>
                    </w:rPr>
                  </w:pPr>
                </w:p>
                <w:p>
                  <w:pPr>
                    <w:pStyle w:val="25"/>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ind w:firstLine="240" w:firstLineChars="100"/>
                  </w:pPr>
                  <w:r>
                    <w:rPr>
                      <w:rFonts w:hint="eastAsia"/>
                      <w:sz w:val="24"/>
                    </w:rPr>
                    <w:t>年 月 日</w:t>
                  </w:r>
                </w:p>
              </w:txbxContent>
            </v:textbox>
            <w10:wrap type="topAndBottom"/>
          </v:shape>
        </w:pict>
      </w:r>
    </w:p>
    <w:p>
      <w:pPr>
        <w:snapToGrid w:val="0"/>
        <w:spacing w:line="400" w:lineRule="exact"/>
        <w:jc w:val="center"/>
        <w:outlineLvl w:val="1"/>
        <w:rPr>
          <w:rFonts w:ascii="宋体" w:hAnsi="宋体" w:cs="宋体"/>
          <w:color w:val="auto"/>
          <w:highlight w:val="none"/>
        </w:rPr>
      </w:pPr>
    </w:p>
    <w:p>
      <w:pPr>
        <w:snapToGrid w:val="0"/>
        <w:spacing w:line="400" w:lineRule="exact"/>
        <w:jc w:val="center"/>
        <w:outlineLvl w:val="1"/>
        <w:rPr>
          <w:rFonts w:ascii="宋体" w:hAnsi="宋体" w:cs="宋体"/>
          <w:color w:val="auto"/>
          <w:highlight w:val="none"/>
        </w:rPr>
      </w:pPr>
    </w:p>
    <w:p>
      <w:pPr>
        <w:snapToGrid w:val="0"/>
        <w:spacing w:line="400" w:lineRule="exact"/>
        <w:jc w:val="center"/>
        <w:outlineLvl w:val="1"/>
        <w:rPr>
          <w:rFonts w:ascii="宋体" w:hAnsi="宋体" w:cs="宋体"/>
          <w:bCs/>
          <w:color w:val="auto"/>
          <w:sz w:val="24"/>
          <w:szCs w:val="20"/>
          <w:highlight w:val="none"/>
        </w:rPr>
      </w:pPr>
    </w:p>
    <w:p>
      <w:pPr>
        <w:snapToGrid w:val="0"/>
        <w:spacing w:line="400" w:lineRule="exact"/>
        <w:jc w:val="center"/>
        <w:rPr>
          <w:rFonts w:ascii="宋体" w:hAnsi="宋体" w:cs="宋体"/>
          <w:b/>
          <w:color w:val="auto"/>
          <w:sz w:val="24"/>
          <w:highlight w:val="none"/>
        </w:rPr>
      </w:pPr>
      <w:r>
        <w:rPr>
          <w:rFonts w:hint="eastAsia" w:ascii="宋体" w:hAnsi="宋体" w:cs="宋体"/>
          <w:bCs/>
          <w:color w:val="auto"/>
          <w:sz w:val="24"/>
          <w:szCs w:val="20"/>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开标一览表</w:t>
      </w:r>
    </w:p>
    <w:p>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项目名称：                                   单位：人民币（元）                </w:t>
      </w:r>
    </w:p>
    <w:tbl>
      <w:tblPr>
        <w:tblStyle w:val="26"/>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745"/>
        <w:gridCol w:w="1035"/>
        <w:gridCol w:w="795"/>
        <w:gridCol w:w="1500"/>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83" w:type="dxa"/>
            <w:vAlign w:val="center"/>
          </w:tcPr>
          <w:p>
            <w:pPr>
              <w:pStyle w:val="14"/>
              <w:spacing w:line="400" w:lineRule="exact"/>
              <w:jc w:val="center"/>
              <w:rPr>
                <w:rFonts w:hAnsi="宋体" w:cs="宋体"/>
                <w:color w:val="auto"/>
                <w:highlight w:val="none"/>
              </w:rPr>
            </w:pPr>
            <w:r>
              <w:rPr>
                <w:rFonts w:hint="eastAsia" w:hAnsi="宋体" w:cs="宋体"/>
                <w:color w:val="auto"/>
                <w:highlight w:val="none"/>
              </w:rPr>
              <w:t>序号</w:t>
            </w:r>
          </w:p>
        </w:tc>
        <w:tc>
          <w:tcPr>
            <w:tcW w:w="2745" w:type="dxa"/>
            <w:vAlign w:val="center"/>
          </w:tcPr>
          <w:p>
            <w:pPr>
              <w:pStyle w:val="14"/>
              <w:spacing w:line="400" w:lineRule="exact"/>
              <w:jc w:val="center"/>
              <w:rPr>
                <w:rFonts w:hAnsi="宋体" w:cs="宋体"/>
                <w:color w:val="auto"/>
                <w:highlight w:val="none"/>
              </w:rPr>
            </w:pPr>
            <w:r>
              <w:rPr>
                <w:rFonts w:hint="eastAsia" w:hAnsi="宋体" w:cs="宋体"/>
                <w:color w:val="auto"/>
                <w:highlight w:val="none"/>
              </w:rPr>
              <w:t>报价内容</w:t>
            </w:r>
          </w:p>
        </w:tc>
        <w:tc>
          <w:tcPr>
            <w:tcW w:w="1035" w:type="dxa"/>
            <w:vAlign w:val="center"/>
          </w:tcPr>
          <w:p>
            <w:pPr>
              <w:pStyle w:val="14"/>
              <w:spacing w:line="400" w:lineRule="exact"/>
              <w:jc w:val="center"/>
              <w:rPr>
                <w:rFonts w:hAnsi="宋体" w:cs="宋体"/>
                <w:color w:val="auto"/>
                <w:highlight w:val="none"/>
              </w:rPr>
            </w:pPr>
            <w:r>
              <w:rPr>
                <w:rFonts w:hint="eastAsia" w:hAnsi="宋体" w:cs="宋体"/>
                <w:color w:val="auto"/>
                <w:highlight w:val="none"/>
              </w:rPr>
              <w:t>单位</w:t>
            </w:r>
          </w:p>
        </w:tc>
        <w:tc>
          <w:tcPr>
            <w:tcW w:w="795" w:type="dxa"/>
            <w:vAlign w:val="center"/>
          </w:tcPr>
          <w:p>
            <w:pPr>
              <w:pStyle w:val="14"/>
              <w:spacing w:line="400" w:lineRule="exact"/>
              <w:jc w:val="center"/>
              <w:rPr>
                <w:rFonts w:hAnsi="宋体" w:cs="宋体"/>
                <w:color w:val="auto"/>
                <w:highlight w:val="none"/>
              </w:rPr>
            </w:pPr>
            <w:r>
              <w:rPr>
                <w:rFonts w:hint="eastAsia" w:hAnsi="宋体" w:cs="宋体"/>
                <w:color w:val="auto"/>
                <w:highlight w:val="none"/>
              </w:rPr>
              <w:t>数量</w:t>
            </w:r>
          </w:p>
        </w:tc>
        <w:tc>
          <w:tcPr>
            <w:tcW w:w="1500" w:type="dxa"/>
            <w:vAlign w:val="center"/>
          </w:tcPr>
          <w:p>
            <w:pPr>
              <w:pStyle w:val="14"/>
              <w:spacing w:line="400" w:lineRule="exact"/>
              <w:jc w:val="center"/>
              <w:rPr>
                <w:rFonts w:hAnsi="宋体" w:cs="宋体"/>
                <w:color w:val="auto"/>
                <w:highlight w:val="none"/>
              </w:rPr>
            </w:pPr>
            <w:r>
              <w:rPr>
                <w:rFonts w:hint="eastAsia" w:hAnsi="宋体" w:cs="宋体"/>
                <w:color w:val="auto"/>
                <w:highlight w:val="none"/>
              </w:rPr>
              <w:t>投标报价</w:t>
            </w:r>
          </w:p>
        </w:tc>
        <w:tc>
          <w:tcPr>
            <w:tcW w:w="1826" w:type="dxa"/>
            <w:vAlign w:val="center"/>
          </w:tcPr>
          <w:p>
            <w:pPr>
              <w:pStyle w:val="14"/>
              <w:spacing w:line="400" w:lineRule="exact"/>
              <w:jc w:val="center"/>
              <w:rPr>
                <w:rFonts w:hAnsi="宋体" w:cs="宋体"/>
                <w:color w:val="auto"/>
                <w:highlight w:val="none"/>
              </w:rPr>
            </w:pPr>
            <w:r>
              <w:rPr>
                <w:rFonts w:hint="eastAsia"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dxa"/>
            <w:vAlign w:val="center"/>
          </w:tcPr>
          <w:p>
            <w:pPr>
              <w:spacing w:line="340" w:lineRule="exact"/>
              <w:jc w:val="center"/>
              <w:rPr>
                <w:rFonts w:ascii="宋体" w:hAnsi="宋体" w:cs="宋体"/>
                <w:color w:val="auto"/>
                <w:sz w:val="24"/>
                <w:highlight w:val="none"/>
              </w:rPr>
            </w:pPr>
            <w:r>
              <w:rPr>
                <w:rFonts w:hint="eastAsia" w:ascii="宋体" w:hAnsi="宋体" w:cs="宋体"/>
                <w:bCs/>
                <w:color w:val="auto"/>
                <w:spacing w:val="-6"/>
                <w:sz w:val="22"/>
                <w:highlight w:val="none"/>
              </w:rPr>
              <w:t>1</w:t>
            </w:r>
          </w:p>
        </w:tc>
        <w:tc>
          <w:tcPr>
            <w:tcW w:w="2745" w:type="dxa"/>
            <w:vAlign w:val="center"/>
          </w:tcPr>
          <w:p>
            <w:pPr>
              <w:spacing w:line="340" w:lineRule="exact"/>
              <w:jc w:val="center"/>
              <w:rPr>
                <w:rFonts w:ascii="宋体" w:hAnsi="宋体" w:cs="宋体"/>
                <w:color w:val="auto"/>
                <w:sz w:val="22"/>
                <w:highlight w:val="none"/>
              </w:rPr>
            </w:pPr>
          </w:p>
        </w:tc>
        <w:tc>
          <w:tcPr>
            <w:tcW w:w="1035" w:type="dxa"/>
            <w:vAlign w:val="center"/>
          </w:tcPr>
          <w:p>
            <w:pPr>
              <w:spacing w:line="400" w:lineRule="exact"/>
              <w:jc w:val="center"/>
              <w:rPr>
                <w:rFonts w:ascii="宋体" w:hAnsi="宋体" w:cs="宋体"/>
                <w:color w:val="auto"/>
                <w:sz w:val="22"/>
                <w:highlight w:val="none"/>
              </w:rPr>
            </w:pPr>
          </w:p>
        </w:tc>
        <w:tc>
          <w:tcPr>
            <w:tcW w:w="795" w:type="dxa"/>
            <w:vAlign w:val="center"/>
          </w:tcPr>
          <w:p>
            <w:pPr>
              <w:spacing w:line="400" w:lineRule="exact"/>
              <w:jc w:val="center"/>
              <w:rPr>
                <w:rFonts w:ascii="宋体" w:hAnsi="宋体" w:cs="宋体"/>
                <w:color w:val="auto"/>
                <w:sz w:val="24"/>
                <w:highlight w:val="none"/>
              </w:rPr>
            </w:pPr>
          </w:p>
        </w:tc>
        <w:tc>
          <w:tcPr>
            <w:tcW w:w="1500" w:type="dxa"/>
            <w:vAlign w:val="center"/>
          </w:tcPr>
          <w:p>
            <w:pPr>
              <w:pStyle w:val="14"/>
              <w:spacing w:line="400" w:lineRule="exact"/>
              <w:jc w:val="center"/>
              <w:rPr>
                <w:rFonts w:hAnsi="宋体" w:cs="宋体"/>
                <w:color w:val="auto"/>
                <w:highlight w:val="none"/>
              </w:rPr>
            </w:pPr>
          </w:p>
        </w:tc>
        <w:tc>
          <w:tcPr>
            <w:tcW w:w="1826" w:type="dxa"/>
            <w:vAlign w:val="center"/>
          </w:tcPr>
          <w:p>
            <w:pPr>
              <w:pStyle w:val="14"/>
              <w:spacing w:line="400" w:lineRule="exact"/>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83" w:type="dxa"/>
            <w:vAlign w:val="center"/>
          </w:tcPr>
          <w:p>
            <w:pPr>
              <w:pStyle w:val="14"/>
              <w:spacing w:line="400" w:lineRule="exact"/>
              <w:rPr>
                <w:rFonts w:hAnsi="宋体" w:cs="宋体"/>
                <w:color w:val="auto"/>
                <w:highlight w:val="none"/>
              </w:rPr>
            </w:pPr>
            <w:r>
              <w:rPr>
                <w:rFonts w:hint="eastAsia" w:hAnsi="宋体" w:cs="宋体"/>
                <w:b/>
                <w:color w:val="auto"/>
                <w:highlight w:val="none"/>
              </w:rPr>
              <w:t>投标总报价（元）</w:t>
            </w:r>
          </w:p>
        </w:tc>
        <w:tc>
          <w:tcPr>
            <w:tcW w:w="7901" w:type="dxa"/>
            <w:gridSpan w:val="5"/>
            <w:vAlign w:val="center"/>
          </w:tcPr>
          <w:p>
            <w:pPr>
              <w:pStyle w:val="14"/>
              <w:spacing w:line="400" w:lineRule="exact"/>
              <w:rPr>
                <w:rFonts w:hAnsi="宋体" w:cs="宋体"/>
                <w:b/>
                <w:color w:val="auto"/>
                <w:highlight w:val="none"/>
              </w:rPr>
            </w:pPr>
            <w:r>
              <w:rPr>
                <w:rFonts w:hint="eastAsia" w:hAnsi="宋体" w:cs="宋体"/>
                <w:b/>
                <w:color w:val="auto"/>
                <w:highlight w:val="none"/>
              </w:rPr>
              <w:t>小写：</w:t>
            </w:r>
          </w:p>
          <w:p>
            <w:pPr>
              <w:pStyle w:val="14"/>
              <w:spacing w:line="400" w:lineRule="exact"/>
              <w:rPr>
                <w:rFonts w:hAnsi="宋体" w:cs="宋体"/>
                <w:color w:val="auto"/>
                <w:highlight w:val="none"/>
              </w:rPr>
            </w:pPr>
            <w:r>
              <w:rPr>
                <w:rFonts w:hint="eastAsia" w:hAnsi="宋体" w:cs="宋体"/>
                <w:b/>
                <w:color w:val="auto"/>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83" w:type="dxa"/>
            <w:vAlign w:val="center"/>
          </w:tcPr>
          <w:p>
            <w:pPr>
              <w:pStyle w:val="14"/>
              <w:spacing w:line="400" w:lineRule="exact"/>
              <w:rPr>
                <w:rFonts w:hAnsi="宋体" w:cs="宋体"/>
                <w:b/>
                <w:color w:val="auto"/>
                <w:highlight w:val="none"/>
              </w:rPr>
            </w:pPr>
            <w:r>
              <w:rPr>
                <w:rFonts w:hint="eastAsia" w:hAnsi="宋体" w:cs="宋体"/>
                <w:b/>
                <w:color w:val="auto"/>
                <w:highlight w:val="none"/>
              </w:rPr>
              <w:t>交付时间：</w:t>
            </w:r>
          </w:p>
        </w:tc>
        <w:tc>
          <w:tcPr>
            <w:tcW w:w="7901" w:type="dxa"/>
            <w:gridSpan w:val="5"/>
            <w:vAlign w:val="center"/>
          </w:tcPr>
          <w:p>
            <w:pPr>
              <w:pStyle w:val="14"/>
              <w:spacing w:line="400" w:lineRule="exact"/>
              <w:rPr>
                <w:rFonts w:hAnsi="宋体" w:cs="宋体"/>
                <w:b/>
                <w:color w:val="auto"/>
                <w:highlight w:val="none"/>
              </w:rPr>
            </w:pPr>
          </w:p>
        </w:tc>
      </w:tr>
    </w:tbl>
    <w:p>
      <w:pPr>
        <w:spacing w:line="400" w:lineRule="exact"/>
        <w:rPr>
          <w:rFonts w:ascii="宋体" w:hAnsi="宋体" w:cs="宋体"/>
          <w:color w:val="auto"/>
          <w:sz w:val="22"/>
          <w:highlight w:val="none"/>
        </w:rPr>
      </w:pPr>
    </w:p>
    <w:p>
      <w:pPr>
        <w:spacing w:line="360" w:lineRule="auto"/>
        <w:rPr>
          <w:rFonts w:ascii="宋体" w:hAnsi="宋体" w:cs="宋体"/>
          <w:color w:val="auto"/>
          <w:sz w:val="22"/>
          <w:highlight w:val="none"/>
        </w:rPr>
      </w:pPr>
      <w:r>
        <w:rPr>
          <w:rFonts w:hint="eastAsia" w:ascii="宋体" w:hAnsi="宋体" w:cs="宋体"/>
          <w:color w:val="auto"/>
          <w:sz w:val="22"/>
          <w:highlight w:val="none"/>
        </w:rPr>
        <w:t>备注：1、投标总报价是指投标人在正确地完全履行合同义务后采购人应支付给投标人所有的货物价款，即货物的供货、包装、运输、装卸、安装调试、验收（含第三方验收）、采购代理服务费、售后服务、材料税费、搬运费及其他费用等全部费用，实行固定费用总包干，投标人应根据上述因素自行考虑含入投标总价。</w:t>
      </w:r>
    </w:p>
    <w:p>
      <w:pPr>
        <w:spacing w:line="360" w:lineRule="auto"/>
        <w:rPr>
          <w:rFonts w:ascii="宋体" w:hAnsi="宋体" w:cs="宋体"/>
          <w:color w:val="auto"/>
          <w:sz w:val="22"/>
          <w:highlight w:val="none"/>
        </w:rPr>
      </w:pPr>
      <w:r>
        <w:rPr>
          <w:rFonts w:hint="eastAsia" w:ascii="宋体" w:hAnsi="宋体" w:cs="宋体"/>
          <w:color w:val="auto"/>
          <w:sz w:val="22"/>
          <w:highlight w:val="none"/>
        </w:rPr>
        <w:t>2、此栏内投标报价应与“投标报价明细表”中投标报价相一致。</w:t>
      </w:r>
    </w:p>
    <w:p>
      <w:pPr>
        <w:spacing w:line="400" w:lineRule="exact"/>
        <w:rPr>
          <w:rFonts w:ascii="宋体" w:hAnsi="宋体" w:cs="宋体"/>
          <w:color w:val="auto"/>
          <w:sz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pStyle w:val="2"/>
        <w:rPr>
          <w:color w:val="auto"/>
          <w:highlight w:val="none"/>
        </w:rPr>
      </w:pPr>
    </w:p>
    <w:p>
      <w:pPr>
        <w:rPr>
          <w:color w:val="auto"/>
          <w:highlight w:val="none"/>
        </w:rPr>
      </w:pPr>
    </w:p>
    <w:p>
      <w:pPr>
        <w:pStyle w:val="13"/>
        <w:ind w:left="1470" w:right="1470"/>
        <w:rPr>
          <w:color w:val="auto"/>
          <w:highlight w:val="none"/>
        </w:rPr>
      </w:pPr>
    </w:p>
    <w:p>
      <w:pPr>
        <w:pStyle w:val="13"/>
        <w:ind w:left="1470" w:right="1470"/>
        <w:rPr>
          <w:color w:val="auto"/>
          <w:highlight w:val="none"/>
        </w:rPr>
      </w:pPr>
    </w:p>
    <w:p>
      <w:pPr>
        <w:pStyle w:val="13"/>
        <w:ind w:left="1470" w:right="1470"/>
        <w:rPr>
          <w:color w:val="auto"/>
          <w:highlight w:val="none"/>
        </w:rPr>
      </w:pPr>
    </w:p>
    <w:p>
      <w:pPr>
        <w:pStyle w:val="13"/>
        <w:ind w:left="1470" w:right="1470"/>
        <w:rPr>
          <w:color w:val="auto"/>
          <w:highlight w:val="none"/>
        </w:rPr>
      </w:pPr>
    </w:p>
    <w:p>
      <w:pPr>
        <w:pStyle w:val="13"/>
        <w:ind w:left="1470" w:right="1470"/>
        <w:rPr>
          <w:color w:val="auto"/>
          <w:highlight w:val="none"/>
        </w:rPr>
      </w:pPr>
    </w:p>
    <w:p>
      <w:pPr>
        <w:rPr>
          <w:color w:val="auto"/>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pStyle w:val="23"/>
        <w:ind w:firstLine="482"/>
        <w:rPr>
          <w:rFonts w:ascii="宋体" w:hAnsi="宋体" w:cs="宋体"/>
          <w:color w:val="auto"/>
          <w:sz w:val="24"/>
          <w:szCs w:val="24"/>
          <w:highlight w:val="none"/>
        </w:rPr>
      </w:pPr>
    </w:p>
    <w:p>
      <w:pPr>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附件2</w:t>
      </w:r>
    </w:p>
    <w:p>
      <w:pPr>
        <w:pStyle w:val="14"/>
        <w:snapToGrid w:val="0"/>
        <w:spacing w:line="400" w:lineRule="exact"/>
        <w:jc w:val="center"/>
        <w:rPr>
          <w:rFonts w:hAnsi="宋体" w:cs="宋体"/>
          <w:b/>
          <w:color w:val="auto"/>
          <w:highlight w:val="none"/>
        </w:rPr>
      </w:pPr>
      <w:r>
        <w:rPr>
          <w:rFonts w:hint="eastAsia" w:hAnsi="宋体" w:cs="宋体"/>
          <w:b/>
          <w:color w:val="auto"/>
          <w:highlight w:val="none"/>
        </w:rPr>
        <w:t>投标报价明细表</w:t>
      </w:r>
    </w:p>
    <w:p>
      <w:pPr>
        <w:pStyle w:val="14"/>
        <w:snapToGrid w:val="0"/>
        <w:spacing w:line="400" w:lineRule="exact"/>
        <w:jc w:val="center"/>
        <w:rPr>
          <w:rFonts w:hAnsi="宋体" w:cs="宋体"/>
          <w:b/>
          <w:color w:val="auto"/>
          <w:highlight w:val="none"/>
        </w:rPr>
      </w:pPr>
    </w:p>
    <w:p>
      <w:pPr>
        <w:spacing w:line="400" w:lineRule="exact"/>
        <w:ind w:firstLine="440" w:firstLineChars="200"/>
        <w:rPr>
          <w:rFonts w:ascii="宋体" w:hAnsi="宋体" w:cs="宋体"/>
          <w:color w:val="auto"/>
          <w:szCs w:val="21"/>
          <w:highlight w:val="none"/>
        </w:rPr>
      </w:pPr>
      <w:r>
        <w:rPr>
          <w:rFonts w:hint="eastAsia" w:ascii="宋体" w:hAnsi="宋体" w:cs="宋体"/>
          <w:color w:val="auto"/>
          <w:sz w:val="22"/>
          <w:highlight w:val="none"/>
        </w:rPr>
        <w:t xml:space="preserve">项目名称：                          项目编号：                   </w:t>
      </w:r>
      <w:r>
        <w:rPr>
          <w:rFonts w:hint="eastAsia" w:ascii="宋体" w:hAnsi="宋体" w:cs="宋体"/>
          <w:color w:val="auto"/>
          <w:szCs w:val="21"/>
          <w:highlight w:val="none"/>
        </w:rPr>
        <w:t xml:space="preserve">  </w:t>
      </w:r>
    </w:p>
    <w:tbl>
      <w:tblPr>
        <w:tblStyle w:val="2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1393"/>
        <w:gridCol w:w="729"/>
        <w:gridCol w:w="713"/>
        <w:gridCol w:w="1230"/>
        <w:gridCol w:w="853"/>
        <w:gridCol w:w="722"/>
        <w:gridCol w:w="1301"/>
        <w:gridCol w:w="1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序号</w:t>
            </w:r>
          </w:p>
        </w:tc>
        <w:tc>
          <w:tcPr>
            <w:tcW w:w="139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货物名称</w:t>
            </w:r>
          </w:p>
        </w:tc>
        <w:tc>
          <w:tcPr>
            <w:tcW w:w="72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产地</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单价（元）</w:t>
            </w: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ascii="宋体" w:hAnsi="宋体" w:cs="宋体"/>
                <w:color w:val="auto"/>
                <w:spacing w:val="20"/>
                <w:sz w:val="22"/>
                <w:highlight w:val="none"/>
              </w:rPr>
            </w:pPr>
            <w:r>
              <w:rPr>
                <w:rFonts w:hint="eastAsia" w:ascii="宋体" w:hAnsi="宋体" w:cs="宋体"/>
                <w:color w:val="auto"/>
                <w:sz w:val="22"/>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012" w:type="dxa"/>
            <w:gridSpan w:val="9"/>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color w:val="auto"/>
                <w:spacing w:val="20"/>
                <w:sz w:val="24"/>
                <w:szCs w:val="24"/>
                <w:highlight w:val="none"/>
              </w:rPr>
            </w:pPr>
            <w:r>
              <w:rPr>
                <w:rFonts w:hint="eastAsia" w:ascii="宋体" w:hAnsi="宋体" w:cs="宋体"/>
                <w:b/>
                <w:color w:val="auto"/>
                <w:spacing w:val="20"/>
                <w:sz w:val="24"/>
                <w:szCs w:val="24"/>
                <w:highlight w:val="none"/>
              </w:rPr>
              <w:t>投标总价（应与</w:t>
            </w:r>
            <w:r>
              <w:rPr>
                <w:rFonts w:hint="eastAsia" w:ascii="宋体" w:hAnsi="宋体" w:cs="宋体"/>
                <w:b/>
                <w:color w:val="auto"/>
                <w:sz w:val="24"/>
                <w:szCs w:val="24"/>
                <w:highlight w:val="none"/>
              </w:rPr>
              <w:t>开标一览表一致</w:t>
            </w:r>
            <w:r>
              <w:rPr>
                <w:rFonts w:hint="eastAsia" w:ascii="宋体" w:hAnsi="宋体" w:cs="宋体"/>
                <w:b/>
                <w:color w:val="auto"/>
                <w:spacing w:val="20"/>
                <w:sz w:val="24"/>
                <w:szCs w:val="24"/>
                <w:highlight w:val="none"/>
              </w:rPr>
              <w:t>）：</w:t>
            </w:r>
          </w:p>
        </w:tc>
      </w:tr>
    </w:tbl>
    <w:p>
      <w:pPr>
        <w:spacing w:line="360" w:lineRule="auto"/>
        <w:rPr>
          <w:rFonts w:ascii="宋体" w:hAnsi="宋体" w:cs="宋体"/>
          <w:color w:val="auto"/>
          <w:sz w:val="22"/>
          <w:highlight w:val="none"/>
        </w:rPr>
      </w:pPr>
      <w:r>
        <w:rPr>
          <w:rFonts w:hint="eastAsia" w:ascii="宋体" w:hAnsi="宋体" w:cs="宋体"/>
          <w:b/>
          <w:color w:val="auto"/>
          <w:szCs w:val="21"/>
          <w:highlight w:val="none"/>
        </w:rPr>
        <w:t>注：1</w:t>
      </w:r>
      <w:r>
        <w:rPr>
          <w:rFonts w:hint="eastAsia" w:ascii="宋体" w:hAnsi="宋体" w:cs="宋体"/>
          <w:color w:val="auto"/>
          <w:sz w:val="22"/>
          <w:highlight w:val="none"/>
        </w:rPr>
        <w:t>、“报价明细表”内“投标总价”应与附件1“开标一览表”中“投标总报价”相一致。</w:t>
      </w:r>
    </w:p>
    <w:p>
      <w:pPr>
        <w:spacing w:line="360" w:lineRule="auto"/>
        <w:rPr>
          <w:rFonts w:ascii="宋体" w:hAnsi="宋体" w:cs="宋体"/>
          <w:color w:val="auto"/>
          <w:sz w:val="22"/>
          <w:highlight w:val="none"/>
        </w:rPr>
      </w:pPr>
      <w:r>
        <w:rPr>
          <w:rFonts w:hint="eastAsia" w:ascii="宋体" w:hAnsi="宋体" w:cs="宋体"/>
          <w:color w:val="auto"/>
          <w:sz w:val="22"/>
          <w:highlight w:val="none"/>
        </w:rPr>
        <w:t>2、如果含在产品价格中则填“含”，如无此项内容则填“无”，不留空白。此表投标人可根据实际需求自行编制。</w:t>
      </w:r>
    </w:p>
    <w:p>
      <w:pPr>
        <w:spacing w:line="400" w:lineRule="exact"/>
        <w:ind w:firstLine="480" w:firstLineChars="200"/>
        <w:rPr>
          <w:rFonts w:ascii="宋体" w:hAnsi="宋体" w:cs="宋体"/>
          <w:color w:val="auto"/>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color w:val="auto"/>
          <w:highlight w:val="none"/>
        </w:rPr>
      </w:pPr>
      <w:r>
        <w:rPr>
          <w:rFonts w:hint="eastAsia" w:ascii="宋体" w:hAnsi="宋体" w:cs="宋体"/>
          <w:b/>
          <w:color w:val="auto"/>
          <w:sz w:val="24"/>
          <w:szCs w:val="24"/>
          <w:highlight w:val="none"/>
        </w:rPr>
        <w:t>附件3</w:t>
      </w:r>
    </w:p>
    <w:p>
      <w:pPr>
        <w:pStyle w:val="22"/>
        <w:spacing w:before="0" w:beforeAutospacing="0" w:after="0" w:afterAutospacing="0" w:line="400" w:lineRule="exact"/>
        <w:jc w:val="center"/>
        <w:rPr>
          <w:b/>
          <w:bCs/>
          <w:color w:val="auto"/>
          <w:sz w:val="28"/>
          <w:szCs w:val="28"/>
          <w:highlight w:val="none"/>
          <w:shd w:val="clear" w:color="auto" w:fill="FFFFFF"/>
        </w:rPr>
      </w:pPr>
      <w:r>
        <w:rPr>
          <w:rFonts w:hint="eastAsia"/>
          <w:b/>
          <w:bCs/>
          <w:color w:val="auto"/>
          <w:sz w:val="28"/>
          <w:szCs w:val="28"/>
          <w:highlight w:val="none"/>
          <w:shd w:val="clear" w:color="auto" w:fill="FFFFFF"/>
        </w:rPr>
        <w:t>中小企业声明函（货物）</w:t>
      </w:r>
    </w:p>
    <w:p>
      <w:pPr>
        <w:pStyle w:val="22"/>
        <w:spacing w:before="0" w:beforeAutospacing="0" w:after="0" w:afterAutospacing="0" w:line="400" w:lineRule="exact"/>
        <w:jc w:val="center"/>
        <w:rPr>
          <w:color w:val="auto"/>
          <w:sz w:val="28"/>
          <w:szCs w:val="28"/>
          <w:highlight w:val="none"/>
          <w:shd w:val="clear" w:color="auto" w:fill="FFFFFF"/>
        </w:rPr>
      </w:pPr>
    </w:p>
    <w:p>
      <w:pPr>
        <w:pStyle w:val="65"/>
        <w:spacing w:line="376" w:lineRule="exact"/>
        <w:ind w:firstLine="460"/>
        <w:rPr>
          <w:color w:val="auto"/>
          <w:sz w:val="24"/>
          <w:szCs w:val="24"/>
          <w:highlight w:val="none"/>
        </w:rPr>
      </w:pPr>
      <w:r>
        <w:rPr>
          <w:color w:val="auto"/>
          <w:sz w:val="24"/>
          <w:szCs w:val="24"/>
          <w:highlight w:val="none"/>
        </w:rPr>
        <w:t>本公司郑重声明，根据《政府采购促进中小企业发展管理办法》（财库（2020）46号）的规定，本公司参加</w:t>
      </w:r>
      <w:r>
        <w:rPr>
          <w:rFonts w:hint="eastAsia"/>
          <w:color w:val="auto"/>
          <w:sz w:val="24"/>
          <w:szCs w:val="24"/>
          <w:highlight w:val="none"/>
          <w:u w:val="single"/>
          <w:lang w:val="en-US" w:eastAsia="zh-CN"/>
        </w:rPr>
        <w:t xml:space="preserve">         </w:t>
      </w:r>
      <w:r>
        <w:rPr>
          <w:color w:val="auto"/>
          <w:sz w:val="24"/>
          <w:szCs w:val="24"/>
          <w:highlight w:val="none"/>
          <w:u w:val="single"/>
        </w:rPr>
        <w:t>（</w:t>
      </w:r>
      <w:r>
        <w:rPr>
          <w:rFonts w:hint="eastAsia"/>
          <w:color w:val="auto"/>
          <w:sz w:val="24"/>
          <w:szCs w:val="24"/>
          <w:highlight w:val="none"/>
          <w:u w:val="single"/>
          <w:lang w:val="en-US" w:eastAsia="zh-CN"/>
        </w:rPr>
        <w:t>单位</w:t>
      </w:r>
      <w:r>
        <w:rPr>
          <w:color w:val="auto"/>
          <w:sz w:val="24"/>
          <w:szCs w:val="24"/>
          <w:highlight w:val="none"/>
          <w:u w:val="single"/>
        </w:rPr>
        <w:t>名</w:t>
      </w:r>
      <w:r>
        <w:rPr>
          <w:rFonts w:hint="eastAsia"/>
          <w:color w:val="auto"/>
          <w:sz w:val="24"/>
          <w:szCs w:val="24"/>
          <w:highlight w:val="none"/>
          <w:u w:val="single"/>
          <w:lang w:val="en-US" w:eastAsia="zh-CN" w:bidi="en-US"/>
        </w:rPr>
        <w:t>称</w:t>
      </w:r>
      <w:r>
        <w:rPr>
          <w:color w:val="auto"/>
          <w:sz w:val="24"/>
          <w:szCs w:val="24"/>
          <w:highlight w:val="none"/>
          <w:u w:val="single"/>
          <w:lang w:val="en-US" w:eastAsia="zh-CN" w:bidi="en-US"/>
        </w:rPr>
        <w:t>）</w:t>
      </w:r>
      <w:r>
        <w:rPr>
          <w:color w:val="auto"/>
          <w:sz w:val="24"/>
          <w:szCs w:val="24"/>
          <w:highlight w:val="none"/>
        </w:rPr>
        <w:t>的</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（项目名称）</w:t>
      </w:r>
      <w:r>
        <w:rPr>
          <w:color w:val="auto"/>
          <w:sz w:val="24"/>
          <w:szCs w:val="24"/>
          <w:highlight w:val="none"/>
        </w:rPr>
        <w:t>釆购活动</w:t>
      </w:r>
      <w:r>
        <w:rPr>
          <w:rFonts w:hint="eastAsia"/>
          <w:color w:val="auto"/>
          <w:sz w:val="24"/>
          <w:szCs w:val="24"/>
          <w:highlight w:val="none"/>
          <w:lang w:eastAsia="zh-CN"/>
        </w:rPr>
        <w:t>，</w:t>
      </w:r>
      <w:r>
        <w:rPr>
          <w:color w:val="auto"/>
          <w:sz w:val="24"/>
          <w:szCs w:val="24"/>
          <w:highlight w:val="none"/>
        </w:rPr>
        <w:t>提供的货物全部由符合政策要求的中小企业制造。相关企业的具体情况如下：</w:t>
      </w:r>
    </w:p>
    <w:p>
      <w:pPr>
        <w:pStyle w:val="65"/>
        <w:numPr>
          <w:ilvl w:val="0"/>
          <w:numId w:val="6"/>
        </w:numPr>
        <w:tabs>
          <w:tab w:val="left" w:pos="908"/>
          <w:tab w:val="left" w:pos="921"/>
          <w:tab w:val="left" w:pos="3178"/>
          <w:tab w:val="left" w:pos="4761"/>
        </w:tabs>
        <w:spacing w:line="370" w:lineRule="exact"/>
        <w:ind w:firstLine="460"/>
        <w:rPr>
          <w:color w:val="auto"/>
          <w:sz w:val="24"/>
          <w:szCs w:val="24"/>
          <w:highlight w:val="none"/>
        </w:rPr>
      </w:pPr>
      <w:bookmarkStart w:id="1" w:name="bookmark0"/>
      <w:bookmarkEnd w:id="1"/>
      <w:r>
        <w:rPr>
          <w:rFonts w:hint="eastAsia"/>
          <w:color w:val="auto"/>
          <w:sz w:val="24"/>
          <w:szCs w:val="24"/>
          <w:highlight w:val="none"/>
          <w:u w:val="single"/>
          <w:lang w:val="en-US" w:eastAsia="zh-CN"/>
        </w:rPr>
        <w:t xml:space="preserve">     </w:t>
      </w:r>
      <w:r>
        <w:rPr>
          <w:color w:val="auto"/>
          <w:sz w:val="24"/>
          <w:szCs w:val="24"/>
          <w:highlight w:val="none"/>
          <w:u w:val="single"/>
        </w:rPr>
        <w:t>（标的名称）</w:t>
      </w:r>
      <w:r>
        <w:rPr>
          <w:rFonts w:hint="eastAsia"/>
          <w:color w:val="auto"/>
          <w:sz w:val="24"/>
          <w:szCs w:val="24"/>
          <w:highlight w:val="none"/>
          <w:lang w:eastAsia="zh-CN"/>
        </w:rPr>
        <w:t>，</w:t>
      </w:r>
      <w:r>
        <w:rPr>
          <w:color w:val="auto"/>
          <w:sz w:val="24"/>
          <w:szCs w:val="24"/>
          <w:highlight w:val="none"/>
        </w:rPr>
        <w:t>属于</w:t>
      </w:r>
      <w:r>
        <w:rPr>
          <w:color w:val="auto"/>
          <w:sz w:val="24"/>
          <w:szCs w:val="24"/>
          <w:highlight w:val="none"/>
          <w:u w:val="single"/>
        </w:rPr>
        <w:t>（采购文件中明确的所属行业）</w:t>
      </w:r>
      <w:r>
        <w:rPr>
          <w:i/>
          <w:iCs/>
          <w:color w:val="auto"/>
          <w:sz w:val="24"/>
          <w:szCs w:val="24"/>
          <w:highlight w:val="none"/>
          <w:u w:val="single"/>
        </w:rPr>
        <w:t xml:space="preserve"> </w:t>
      </w:r>
      <w:r>
        <w:rPr>
          <w:rFonts w:hint="eastAsia"/>
          <w:color w:val="auto"/>
          <w:sz w:val="24"/>
          <w:szCs w:val="24"/>
          <w:highlight w:val="none"/>
          <w:lang w:val="en-US" w:eastAsia="zh-CN"/>
        </w:rPr>
        <w:t>行</w:t>
      </w:r>
      <w:r>
        <w:rPr>
          <w:color w:val="auto"/>
          <w:sz w:val="24"/>
          <w:szCs w:val="24"/>
          <w:highlight w:val="none"/>
        </w:rPr>
        <w:t>业；制造商为</w:t>
      </w:r>
      <w:r>
        <w:rPr>
          <w:color w:val="auto"/>
          <w:sz w:val="24"/>
          <w:szCs w:val="24"/>
          <w:highlight w:val="none"/>
          <w:u w:val="single"/>
        </w:rPr>
        <w:t>（企业名称）</w:t>
      </w:r>
      <w:r>
        <w:rPr>
          <w:i/>
          <w:iCs/>
          <w:color w:val="auto"/>
          <w:sz w:val="24"/>
          <w:szCs w:val="24"/>
          <w:highlight w:val="none"/>
        </w:rPr>
        <w:t>、</w:t>
      </w:r>
      <w:r>
        <w:rPr>
          <w:color w:val="auto"/>
          <w:sz w:val="24"/>
          <w:szCs w:val="24"/>
          <w:highlight w:val="none"/>
        </w:rPr>
        <w:t>从业人员</w:t>
      </w:r>
      <w:r>
        <w:rPr>
          <w:rFonts w:hint="eastAsia"/>
          <w:color w:val="auto"/>
          <w:sz w:val="24"/>
          <w:szCs w:val="24"/>
          <w:highlight w:val="none"/>
          <w:u w:val="single"/>
          <w:lang w:val="en-US" w:eastAsia="zh-CN"/>
        </w:rPr>
        <w:t xml:space="preserve">       </w:t>
      </w:r>
      <w:r>
        <w:rPr>
          <w:color w:val="auto"/>
          <w:sz w:val="24"/>
          <w:szCs w:val="24"/>
          <w:highlight w:val="none"/>
        </w:rPr>
        <w:t>人，营业收 入为</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rPr>
        <w:t>万元，资产总额为</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ab/>
      </w:r>
      <w:r>
        <w:rPr>
          <w:color w:val="auto"/>
          <w:sz w:val="24"/>
          <w:szCs w:val="24"/>
          <w:highlight w:val="none"/>
        </w:rPr>
        <w:t>万元</w:t>
      </w:r>
      <w:r>
        <w:rPr>
          <w:rStyle w:val="32"/>
          <w:color w:val="auto"/>
          <w:sz w:val="24"/>
          <w:szCs w:val="24"/>
          <w:highlight w:val="none"/>
          <w:lang w:val="en-US" w:eastAsia="en-US" w:bidi="en-US"/>
        </w:rPr>
        <w:footnoteReference w:id="0"/>
      </w:r>
      <w:r>
        <w:rPr>
          <w:color w:val="auto"/>
          <w:sz w:val="24"/>
          <w:szCs w:val="24"/>
          <w:highlight w:val="none"/>
          <w:lang w:val="en-US" w:eastAsia="zh-CN" w:bidi="en-US"/>
        </w:rPr>
        <w:t>，</w:t>
      </w:r>
      <w:r>
        <w:rPr>
          <w:color w:val="auto"/>
          <w:sz w:val="24"/>
          <w:szCs w:val="24"/>
          <w:highlight w:val="none"/>
        </w:rPr>
        <w:t>属于</w:t>
      </w:r>
      <w:r>
        <w:rPr>
          <w:rFonts w:hint="eastAsia"/>
          <w:color w:val="auto"/>
          <w:sz w:val="24"/>
          <w:szCs w:val="24"/>
          <w:highlight w:val="none"/>
          <w:u w:val="single"/>
          <w:lang w:val="en-US" w:eastAsia="zh-CN"/>
        </w:rPr>
        <w:t xml:space="preserve">       </w:t>
      </w:r>
      <w:r>
        <w:rPr>
          <w:color w:val="auto"/>
          <w:sz w:val="24"/>
          <w:szCs w:val="24"/>
          <w:highlight w:val="none"/>
          <w:u w:val="single"/>
        </w:rPr>
        <w:t>（中型企业、小型企业、微型企业）</w:t>
      </w:r>
      <w:r>
        <w:rPr>
          <w:rFonts w:hint="eastAsia"/>
          <w:color w:val="auto"/>
          <w:sz w:val="24"/>
          <w:szCs w:val="24"/>
          <w:highlight w:val="none"/>
          <w:lang w:eastAsia="zh-CN"/>
        </w:rPr>
        <w:t>；</w:t>
      </w:r>
    </w:p>
    <w:p>
      <w:pPr>
        <w:pStyle w:val="65"/>
        <w:numPr>
          <w:ilvl w:val="0"/>
          <w:numId w:val="6"/>
        </w:numPr>
        <w:tabs>
          <w:tab w:val="left" w:pos="662"/>
          <w:tab w:val="left" w:pos="908"/>
          <w:tab w:val="left" w:pos="2945"/>
        </w:tabs>
        <w:spacing w:line="370" w:lineRule="exact"/>
        <w:ind w:firstLine="460"/>
        <w:rPr>
          <w:color w:val="auto"/>
          <w:sz w:val="24"/>
          <w:szCs w:val="24"/>
          <w:highlight w:val="none"/>
        </w:rPr>
      </w:pPr>
      <w:bookmarkStart w:id="2" w:name="bookmark1"/>
      <w:bookmarkEnd w:id="2"/>
      <w:r>
        <w:rPr>
          <w:rFonts w:hint="eastAsia"/>
          <w:color w:val="auto"/>
          <w:sz w:val="24"/>
          <w:szCs w:val="24"/>
          <w:highlight w:val="none"/>
          <w:u w:val="single"/>
          <w:lang w:val="en-US" w:eastAsia="zh-CN"/>
        </w:rPr>
        <w:t xml:space="preserve">    </w:t>
      </w:r>
      <w:r>
        <w:rPr>
          <w:color w:val="auto"/>
          <w:sz w:val="24"/>
          <w:szCs w:val="24"/>
          <w:highlight w:val="none"/>
          <w:u w:val="single"/>
        </w:rPr>
        <w:t>（标的名称）</w:t>
      </w:r>
      <w:r>
        <w:rPr>
          <w:rFonts w:hint="eastAsia"/>
          <w:color w:val="auto"/>
          <w:sz w:val="24"/>
          <w:szCs w:val="24"/>
          <w:highlight w:val="none"/>
          <w:lang w:eastAsia="zh-CN"/>
        </w:rPr>
        <w:t>，</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u w:val="single"/>
          <w:lang w:val="zh-CN" w:eastAsia="zh-CN" w:bidi="zh-CN"/>
        </w:rPr>
        <w:t>行业</w:t>
      </w:r>
      <w:r>
        <w:rPr>
          <w:i/>
          <w:iCs/>
          <w:color w:val="auto"/>
          <w:sz w:val="24"/>
          <w:szCs w:val="24"/>
          <w:highlight w:val="none"/>
          <w:lang w:val="zh-CN" w:eastAsia="zh-CN" w:bidi="zh-CN"/>
        </w:rPr>
        <w:t>、</w:t>
      </w:r>
      <w:r>
        <w:rPr>
          <w:color w:val="auto"/>
          <w:sz w:val="24"/>
          <w:szCs w:val="24"/>
          <w:highlight w:val="none"/>
        </w:rPr>
        <w:t>制造商为</w:t>
      </w:r>
      <w:r>
        <w:rPr>
          <w:i/>
          <w:iCs/>
          <w:color w:val="auto"/>
          <w:sz w:val="24"/>
          <w:szCs w:val="24"/>
          <w:highlight w:val="none"/>
          <w:u w:val="single"/>
        </w:rPr>
        <w:t>（</w:t>
      </w:r>
      <w:r>
        <w:rPr>
          <w:color w:val="auto"/>
          <w:sz w:val="24"/>
          <w:szCs w:val="24"/>
          <w:highlight w:val="none"/>
          <w:u w:val="single"/>
        </w:rPr>
        <w:t>企业名称）</w:t>
      </w:r>
      <w:r>
        <w:rPr>
          <w:rFonts w:hint="eastAsia"/>
          <w:i/>
          <w:iCs/>
          <w:color w:val="auto"/>
          <w:sz w:val="24"/>
          <w:szCs w:val="24"/>
          <w:highlight w:val="none"/>
          <w:lang w:eastAsia="zh-CN"/>
        </w:rPr>
        <w:t>，</w:t>
      </w:r>
      <w:r>
        <w:rPr>
          <w:color w:val="auto"/>
          <w:sz w:val="24"/>
          <w:szCs w:val="24"/>
          <w:highlight w:val="none"/>
        </w:rPr>
        <w:t>从业人员</w:t>
      </w:r>
      <w:r>
        <w:rPr>
          <w:rFonts w:hint="eastAsia"/>
          <w:color w:val="auto"/>
          <w:sz w:val="24"/>
          <w:szCs w:val="24"/>
          <w:highlight w:val="none"/>
          <w:u w:val="single"/>
          <w:lang w:val="en-US" w:eastAsia="zh-CN" w:bidi="zh-CN"/>
        </w:rPr>
        <w:t xml:space="preserve">      </w:t>
      </w:r>
      <w:r>
        <w:rPr>
          <w:color w:val="auto"/>
          <w:sz w:val="24"/>
          <w:szCs w:val="24"/>
          <w:highlight w:val="none"/>
        </w:rPr>
        <w:t>人，营业收入为</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万元，资产总额为</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万元，属于</w:t>
      </w:r>
      <w:r>
        <w:rPr>
          <w:rFonts w:hint="eastAsia"/>
          <w:color w:val="auto"/>
          <w:sz w:val="24"/>
          <w:szCs w:val="24"/>
          <w:highlight w:val="none"/>
          <w:u w:val="single"/>
          <w:lang w:val="en-US" w:eastAsia="zh-CN"/>
        </w:rPr>
        <w:t xml:space="preserve">       </w:t>
      </w:r>
      <w:r>
        <w:rPr>
          <w:color w:val="auto"/>
          <w:sz w:val="24"/>
          <w:szCs w:val="24"/>
          <w:highlight w:val="none"/>
          <w:u w:val="single"/>
        </w:rPr>
        <w:t>（中型企业、小型 企业、微型</w:t>
      </w:r>
      <w:r>
        <w:rPr>
          <w:color w:val="auto"/>
          <w:sz w:val="24"/>
          <w:szCs w:val="24"/>
          <w:highlight w:val="none"/>
          <w:u w:val="single"/>
          <w:lang w:val="zh-CN" w:eastAsia="zh-CN" w:bidi="zh-CN"/>
        </w:rPr>
        <w:t>企业</w:t>
      </w:r>
      <w:r>
        <w:rPr>
          <w:rFonts w:hint="eastAsia"/>
          <w:color w:val="auto"/>
          <w:sz w:val="24"/>
          <w:szCs w:val="24"/>
          <w:highlight w:val="none"/>
          <w:u w:val="single"/>
          <w:lang w:val="zh-CN" w:eastAsia="zh-CN" w:bidi="zh-CN"/>
        </w:rPr>
        <w:t>）；</w:t>
      </w:r>
    </w:p>
    <w:p>
      <w:pPr>
        <w:pStyle w:val="65"/>
        <w:tabs>
          <w:tab w:val="left" w:pos="662"/>
          <w:tab w:val="left" w:pos="908"/>
          <w:tab w:val="left" w:pos="2945"/>
        </w:tabs>
        <w:spacing w:line="370" w:lineRule="exact"/>
        <w:ind w:left="460" w:firstLine="480" w:firstLineChars="200"/>
        <w:rPr>
          <w:color w:val="auto"/>
          <w:sz w:val="24"/>
          <w:szCs w:val="24"/>
          <w:highlight w:val="none"/>
          <w:lang w:val="en-US" w:eastAsia="zh-CN"/>
        </w:rPr>
      </w:pPr>
      <w:r>
        <w:rPr>
          <w:rFonts w:hint="eastAsia"/>
          <w:color w:val="auto"/>
          <w:sz w:val="24"/>
          <w:szCs w:val="24"/>
          <w:highlight w:val="none"/>
          <w:lang w:val="en-US" w:eastAsia="zh-CN"/>
        </w:rPr>
        <w:t>……</w:t>
      </w:r>
    </w:p>
    <w:p>
      <w:pPr>
        <w:pStyle w:val="65"/>
        <w:tabs>
          <w:tab w:val="left" w:pos="662"/>
          <w:tab w:val="left" w:pos="908"/>
          <w:tab w:val="left" w:pos="2945"/>
        </w:tabs>
        <w:spacing w:line="370" w:lineRule="exact"/>
        <w:ind w:firstLine="480" w:firstLineChars="200"/>
        <w:rPr>
          <w:color w:val="auto"/>
          <w:sz w:val="24"/>
          <w:szCs w:val="24"/>
          <w:highlight w:val="none"/>
          <w:lang w:val="en-US" w:eastAsia="zh-CN"/>
        </w:rPr>
      </w:pPr>
      <w:r>
        <w:rPr>
          <w:color w:val="auto"/>
          <w:sz w:val="24"/>
          <w:szCs w:val="24"/>
          <w:highlight w:val="none"/>
        </w:rPr>
        <w:t>以上企业，不属于大企业的分支机构，不存在控股股东为大企业的情形，也不存在与大企业的负责人为同一人的情形。</w:t>
      </w:r>
      <w:r>
        <w:rPr>
          <w:rFonts w:hint="eastAsia"/>
          <w:color w:val="auto"/>
          <w:sz w:val="24"/>
          <w:szCs w:val="24"/>
          <w:highlight w:val="none"/>
          <w:lang w:val="en-US" w:eastAsia="zh-CN"/>
        </w:rPr>
        <w:tab/>
      </w:r>
      <w:r>
        <w:rPr>
          <w:rFonts w:hint="eastAsia"/>
          <w:color w:val="auto"/>
          <w:sz w:val="24"/>
          <w:szCs w:val="24"/>
          <w:highlight w:val="none"/>
          <w:lang w:val="en-US" w:eastAsia="zh-CN"/>
        </w:rPr>
        <w:tab/>
      </w:r>
    </w:p>
    <w:p>
      <w:pPr>
        <w:pStyle w:val="65"/>
        <w:tabs>
          <w:tab w:val="left" w:pos="662"/>
          <w:tab w:val="left" w:pos="908"/>
          <w:tab w:val="left" w:pos="2945"/>
        </w:tabs>
        <w:spacing w:line="370" w:lineRule="exact"/>
        <w:ind w:firstLine="480" w:firstLineChars="200"/>
        <w:rPr>
          <w:color w:val="auto"/>
          <w:sz w:val="24"/>
          <w:szCs w:val="24"/>
          <w:highlight w:val="none"/>
        </w:rPr>
      </w:pPr>
      <w:r>
        <w:rPr>
          <w:color w:val="auto"/>
          <w:sz w:val="24"/>
          <w:szCs w:val="24"/>
          <w:highlight w:val="none"/>
        </w:rPr>
        <w:t>本企业对上述声明内容的真实性负责。如有虚假，将依法承担相应责任。</w:t>
      </w:r>
    </w:p>
    <w:p>
      <w:pPr>
        <w:pStyle w:val="65"/>
        <w:spacing w:line="372" w:lineRule="exact"/>
        <w:jc w:val="left"/>
        <w:rPr>
          <w:color w:val="auto"/>
          <w:sz w:val="24"/>
          <w:szCs w:val="24"/>
          <w:highlight w:val="none"/>
        </w:rPr>
      </w:pPr>
    </w:p>
    <w:p>
      <w:pPr>
        <w:pStyle w:val="65"/>
        <w:spacing w:line="372" w:lineRule="exact"/>
        <w:jc w:val="left"/>
        <w:rPr>
          <w:color w:val="auto"/>
          <w:sz w:val="24"/>
          <w:szCs w:val="24"/>
          <w:highlight w:val="none"/>
        </w:rPr>
      </w:pPr>
    </w:p>
    <w:p>
      <w:pPr>
        <w:pStyle w:val="65"/>
        <w:spacing w:line="372" w:lineRule="exact"/>
        <w:ind w:firstLine="4468" w:firstLineChars="1862"/>
        <w:jc w:val="left"/>
        <w:rPr>
          <w:color w:val="auto"/>
          <w:sz w:val="24"/>
          <w:szCs w:val="24"/>
          <w:highlight w:val="none"/>
        </w:rPr>
      </w:pPr>
      <w:r>
        <w:rPr>
          <w:color w:val="auto"/>
          <w:sz w:val="24"/>
          <w:szCs w:val="24"/>
          <w:highlight w:val="none"/>
        </w:rPr>
        <w:t>企业名称（盖章）：</w:t>
      </w:r>
    </w:p>
    <w:p>
      <w:pPr>
        <w:pStyle w:val="22"/>
        <w:spacing w:before="0" w:beforeAutospacing="0" w:after="0" w:afterAutospacing="0" w:line="360" w:lineRule="auto"/>
        <w:ind w:firstLine="480" w:firstLineChars="200"/>
        <w:jc w:val="center"/>
        <w:rPr>
          <w:color w:val="auto"/>
          <w:sz w:val="22"/>
          <w:highlight w:val="none"/>
          <w:shd w:val="clear" w:color="auto" w:fill="FFFFFF"/>
        </w:rPr>
      </w:pPr>
      <w:r>
        <w:rPr>
          <w:color w:val="auto"/>
          <w:szCs w:val="24"/>
          <w:highlight w:val="none"/>
        </w:rPr>
        <w:t>日期：</w:t>
      </w:r>
      <w:r>
        <w:rPr>
          <w:rFonts w:hint="eastAsia"/>
          <w:color w:val="auto"/>
          <w:sz w:val="22"/>
          <w:highlight w:val="none"/>
          <w:shd w:val="clear" w:color="auto" w:fill="FFFFFF"/>
        </w:rPr>
        <w:t>　</w:t>
      </w:r>
    </w:p>
    <w:p>
      <w:pPr>
        <w:pStyle w:val="22"/>
        <w:spacing w:before="0" w:beforeAutospacing="0" w:after="0" w:afterAutospacing="0" w:line="360" w:lineRule="auto"/>
        <w:ind w:firstLine="440" w:firstLineChars="200"/>
        <w:jc w:val="center"/>
        <w:rPr>
          <w:color w:val="auto"/>
          <w:sz w:val="22"/>
          <w:highlight w:val="none"/>
          <w:shd w:val="clear" w:color="auto" w:fill="FFFFFF"/>
        </w:rPr>
      </w:pPr>
    </w:p>
    <w:p>
      <w:pPr>
        <w:pStyle w:val="65"/>
        <w:tabs>
          <w:tab w:val="left" w:pos="662"/>
          <w:tab w:val="left" w:pos="908"/>
          <w:tab w:val="left" w:pos="2945"/>
        </w:tabs>
        <w:spacing w:line="370" w:lineRule="exact"/>
        <w:ind w:firstLine="0"/>
        <w:rPr>
          <w:b/>
          <w:bCs/>
          <w:color w:val="auto"/>
          <w:highlight w:val="none"/>
        </w:rPr>
      </w:pPr>
      <w:r>
        <w:rPr>
          <w:b/>
          <w:bCs/>
          <w:color w:val="auto"/>
          <w:highlight w:val="none"/>
        </w:rPr>
        <w:t>注：</w:t>
      </w:r>
      <w:r>
        <w:rPr>
          <w:rFonts w:hint="eastAsia"/>
          <w:b/>
          <w:bCs/>
          <w:color w:val="auto"/>
          <w:highlight w:val="none"/>
          <w:lang w:val="en-US" w:eastAsia="zh-CN"/>
        </w:rPr>
        <w:t>1.</w:t>
      </w:r>
      <w:r>
        <w:rPr>
          <w:b/>
          <w:bCs/>
          <w:color w:val="auto"/>
          <w:highlight w:val="none"/>
        </w:rPr>
        <w:t>从业人员、营业收入、资产总额填报上一年度数据，无上一年度数据的新成立企业可不填报。</w:t>
      </w:r>
    </w:p>
    <w:p>
      <w:pPr>
        <w:pStyle w:val="65"/>
        <w:tabs>
          <w:tab w:val="left" w:pos="662"/>
          <w:tab w:val="left" w:pos="908"/>
          <w:tab w:val="left" w:pos="2945"/>
        </w:tabs>
        <w:spacing w:line="370" w:lineRule="exact"/>
        <w:ind w:firstLine="442" w:firstLineChars="200"/>
        <w:rPr>
          <w:b/>
          <w:bCs/>
          <w:color w:val="auto"/>
          <w:highlight w:val="none"/>
          <w:lang w:eastAsia="zh-CN"/>
        </w:rPr>
      </w:pPr>
      <w:r>
        <w:rPr>
          <w:rFonts w:hint="eastAsia"/>
          <w:b/>
          <w:bCs/>
          <w:color w:val="auto"/>
          <w:highlight w:val="none"/>
          <w:lang w:val="en-US" w:eastAsia="zh-CN"/>
        </w:rPr>
        <w:t>2.</w:t>
      </w:r>
      <w:r>
        <w:rPr>
          <w:rFonts w:hint="eastAsia"/>
          <w:b/>
          <w:bCs/>
          <w:color w:val="auto"/>
          <w:highlight w:val="none"/>
          <w:lang w:eastAsia="zh-CN"/>
        </w:rPr>
        <w:t>投标人提供中小企业声明函且符合《政府采购促进中小企业发展管理办法》（财库〔2020〕46号）文件规定的要求并符合《工业和信息化部、国家统计局、国家发展和改革委员会、财政部关于印发中小企业划型标准规定的通知》（工信部联企业〔2011〕300号）规定的小、微企业的划型标准规定。</w:t>
      </w:r>
    </w:p>
    <w:p>
      <w:pPr>
        <w:pStyle w:val="65"/>
        <w:tabs>
          <w:tab w:val="left" w:pos="662"/>
          <w:tab w:val="left" w:pos="908"/>
          <w:tab w:val="left" w:pos="2945"/>
        </w:tabs>
        <w:spacing w:line="370" w:lineRule="exact"/>
        <w:ind w:firstLine="442" w:firstLineChars="200"/>
        <w:rPr>
          <w:b/>
          <w:bCs/>
          <w:color w:val="auto"/>
          <w:highlight w:val="none"/>
        </w:rPr>
      </w:pPr>
      <w:r>
        <w:rPr>
          <w:rFonts w:hint="eastAsia"/>
          <w:b/>
          <w:bCs/>
          <w:color w:val="auto"/>
          <w:highlight w:val="none"/>
          <w:lang w:val="en-US" w:eastAsia="zh-CN"/>
        </w:rPr>
        <w:t>3.</w:t>
      </w:r>
      <w:r>
        <w:rPr>
          <w:b/>
          <w:bCs/>
          <w:color w:val="auto"/>
          <w:highlight w:val="none"/>
        </w:rPr>
        <w:t>在货物采购项目中，货物由中小企业制造，即货物由中小企业生产且使用该中小企业商号或者注册商标；如</w:t>
      </w:r>
      <w:r>
        <w:rPr>
          <w:rFonts w:hint="eastAsia"/>
          <w:b/>
          <w:bCs/>
          <w:color w:val="auto"/>
          <w:highlight w:val="none"/>
          <w:lang w:eastAsia="zh-CN"/>
        </w:rPr>
        <w:t>投标人</w:t>
      </w:r>
      <w:r>
        <w:rPr>
          <w:b/>
          <w:bCs/>
          <w:color w:val="auto"/>
          <w:highlight w:val="none"/>
        </w:rPr>
        <w:t>提供的货物既有中小企业制造货物，也有大型企业制造货物的，不享受本办法规定的中小企业扶持政策。</w:t>
      </w:r>
    </w:p>
    <w:p>
      <w:pPr>
        <w:pStyle w:val="65"/>
        <w:tabs>
          <w:tab w:val="left" w:pos="662"/>
          <w:tab w:val="left" w:pos="908"/>
          <w:tab w:val="left" w:pos="2945"/>
        </w:tabs>
        <w:spacing w:line="370" w:lineRule="exact"/>
        <w:ind w:firstLine="442" w:firstLineChars="200"/>
        <w:rPr>
          <w:b/>
          <w:bCs/>
          <w:color w:val="auto"/>
          <w:highlight w:val="none"/>
        </w:rPr>
      </w:pPr>
      <w:r>
        <w:rPr>
          <w:b/>
          <w:bCs/>
          <w:color w:val="auto"/>
          <w:highlight w:val="none"/>
        </w:rPr>
        <w:t>4.如</w:t>
      </w:r>
      <w:r>
        <w:rPr>
          <w:rFonts w:hint="eastAsia"/>
          <w:b/>
          <w:bCs/>
          <w:color w:val="auto"/>
          <w:highlight w:val="none"/>
          <w:lang w:eastAsia="zh-CN"/>
        </w:rPr>
        <w:t>中标人</w:t>
      </w:r>
      <w:r>
        <w:rPr>
          <w:b/>
          <w:bCs/>
          <w:color w:val="auto"/>
          <w:highlight w:val="none"/>
        </w:rPr>
        <w:t>声明为小微企业，本声明函将随中标(成交)结果同时公告，接受社会监督。</w:t>
      </w:r>
    </w:p>
    <w:p>
      <w:pPr>
        <w:jc w:val="center"/>
        <w:rPr>
          <w:rFonts w:ascii="宋体" w:hAnsi="宋体" w:cs="宋体"/>
          <w:b/>
          <w:bCs/>
          <w:color w:val="auto"/>
          <w:sz w:val="24"/>
          <w:highlight w:val="none"/>
        </w:rPr>
      </w:pPr>
    </w:p>
    <w:p>
      <w:pPr>
        <w:pStyle w:val="13"/>
        <w:spacing w:after="0" w:line="400" w:lineRule="exact"/>
        <w:ind w:left="0" w:leftChars="0" w:right="0" w:rightChars="0"/>
        <w:rPr>
          <w:rFonts w:ascii="宋体" w:hAnsi="宋体" w:cs="宋体"/>
          <w:color w:val="auto"/>
          <w:highlight w:val="none"/>
        </w:rPr>
      </w:pPr>
    </w:p>
    <w:p>
      <w:pPr>
        <w:spacing w:line="400" w:lineRule="exact"/>
        <w:ind w:firstLine="480" w:firstLineChars="200"/>
        <w:rPr>
          <w:rFonts w:ascii="宋体" w:hAnsi="宋体" w:cs="宋体"/>
          <w:color w:val="auto"/>
          <w:sz w:val="24"/>
          <w:szCs w:val="24"/>
          <w:highlight w:val="none"/>
        </w:rPr>
      </w:pPr>
    </w:p>
    <w:p>
      <w:pPr>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pStyle w:val="13"/>
        <w:spacing w:after="0" w:line="400" w:lineRule="exact"/>
        <w:ind w:left="0" w:leftChars="0" w:right="0" w:rightChars="0"/>
        <w:jc w:val="center"/>
        <w:rPr>
          <w:rFonts w:hint="eastAsia" w:ascii="宋体" w:hAnsi="宋体" w:cs="宋体"/>
          <w:b/>
          <w:bCs/>
          <w:color w:val="auto"/>
          <w:sz w:val="24"/>
          <w:highlight w:val="none"/>
        </w:rPr>
      </w:pPr>
    </w:p>
    <w:p>
      <w:pPr>
        <w:pStyle w:val="13"/>
        <w:spacing w:after="0" w:line="400" w:lineRule="exact"/>
        <w:ind w:left="0" w:leftChars="0" w:right="0" w:rightChars="0"/>
        <w:jc w:val="center"/>
        <w:rPr>
          <w:rFonts w:ascii="宋体" w:hAnsi="宋体" w:cs="宋体"/>
          <w:b/>
          <w:bCs/>
          <w:color w:val="auto"/>
          <w:sz w:val="24"/>
          <w:highlight w:val="none"/>
        </w:rPr>
      </w:pPr>
      <w:r>
        <w:rPr>
          <w:rFonts w:hint="eastAsia" w:ascii="宋体" w:hAnsi="宋体" w:cs="宋体"/>
          <w:b/>
          <w:bCs/>
          <w:color w:val="auto"/>
          <w:sz w:val="24"/>
          <w:highlight w:val="none"/>
        </w:rPr>
        <w:t>监狱企业资格证明材料</w:t>
      </w:r>
    </w:p>
    <w:p>
      <w:pPr>
        <w:jc w:val="center"/>
        <w:rPr>
          <w:rFonts w:ascii="宋体" w:hAnsi="宋体" w:cs="宋体"/>
          <w:color w:val="auto"/>
          <w:sz w:val="24"/>
          <w:highlight w:val="none"/>
        </w:rPr>
      </w:pPr>
      <w:r>
        <w:rPr>
          <w:rFonts w:hint="eastAsia" w:ascii="宋体" w:hAnsi="宋体" w:cs="宋体"/>
          <w:color w:val="auto"/>
          <w:sz w:val="24"/>
          <w:highlight w:val="none"/>
        </w:rPr>
        <w:t>（注：符合条件的监狱企业请提供本函，不符合的不提供本函）</w:t>
      </w:r>
    </w:p>
    <w:p>
      <w:pPr>
        <w:pStyle w:val="13"/>
        <w:spacing w:after="0" w:line="400" w:lineRule="exact"/>
        <w:ind w:left="0" w:leftChars="0" w:right="0" w:rightChars="0"/>
        <w:jc w:val="center"/>
        <w:rPr>
          <w:rFonts w:ascii="宋体" w:hAnsi="宋体" w:cs="宋体"/>
          <w:b/>
          <w:bCs/>
          <w:color w:val="auto"/>
          <w:sz w:val="24"/>
          <w:highlight w:val="none"/>
        </w:rPr>
      </w:pPr>
    </w:p>
    <w:p>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t>（省级以上监狱管理局、戒毒管理局（含新疆生产建设兵团）出具的属于监狱企业的证明文件）</w:t>
      </w:r>
    </w:p>
    <w:p>
      <w:pPr>
        <w:pStyle w:val="13"/>
        <w:spacing w:after="0" w:line="400" w:lineRule="exact"/>
        <w:ind w:left="0" w:leftChars="0" w:right="0" w:rightChars="0"/>
        <w:rPr>
          <w:rFonts w:ascii="宋体" w:hAnsi="宋体" w:cs="宋体"/>
          <w:color w:val="auto"/>
          <w:sz w:val="22"/>
          <w:highlight w:val="none"/>
        </w:rPr>
      </w:pPr>
    </w:p>
    <w:p>
      <w:pPr>
        <w:pStyle w:val="13"/>
        <w:spacing w:after="0" w:line="400" w:lineRule="exact"/>
        <w:ind w:left="0" w:leftChars="0" w:right="0" w:rightChars="0"/>
        <w:rPr>
          <w:rFonts w:ascii="宋体" w:hAnsi="宋体" w:cs="宋体"/>
          <w:color w:val="auto"/>
          <w:sz w:val="22"/>
          <w:highlight w:val="none"/>
        </w:rPr>
      </w:pPr>
    </w:p>
    <w:p>
      <w:pPr>
        <w:pStyle w:val="13"/>
        <w:spacing w:after="0" w:line="400" w:lineRule="exact"/>
        <w:ind w:left="0" w:leftChars="0" w:right="0" w:rightChars="0"/>
        <w:rPr>
          <w:rFonts w:ascii="宋体" w:hAnsi="宋体" w:cs="宋体"/>
          <w:color w:val="auto"/>
          <w:sz w:val="22"/>
          <w:highlight w:val="none"/>
        </w:rPr>
      </w:pPr>
    </w:p>
    <w:p>
      <w:pPr>
        <w:pStyle w:val="13"/>
        <w:spacing w:after="0" w:line="400" w:lineRule="exact"/>
        <w:ind w:left="0" w:leftChars="0" w:right="0" w:rightChars="0"/>
        <w:rPr>
          <w:rFonts w:ascii="宋体" w:hAnsi="宋体" w:cs="宋体"/>
          <w:color w:val="auto"/>
          <w:sz w:val="22"/>
          <w:highlight w:val="none"/>
        </w:rPr>
      </w:pPr>
    </w:p>
    <w:p>
      <w:pPr>
        <w:pStyle w:val="13"/>
        <w:spacing w:after="0" w:line="400" w:lineRule="exact"/>
        <w:ind w:left="0" w:leftChars="0" w:right="0" w:rightChars="0"/>
        <w:rPr>
          <w:rFonts w:ascii="宋体" w:hAnsi="宋体" w:cs="宋体"/>
          <w:color w:val="auto"/>
          <w:sz w:val="22"/>
          <w:highlight w:val="none"/>
        </w:rPr>
      </w:pPr>
    </w:p>
    <w:p>
      <w:pPr>
        <w:pStyle w:val="13"/>
        <w:spacing w:after="0" w:line="400" w:lineRule="exact"/>
        <w:ind w:left="0" w:leftChars="0" w:right="0" w:rightChars="0"/>
        <w:rPr>
          <w:rFonts w:ascii="宋体" w:hAnsi="宋体" w:cs="宋体"/>
          <w:color w:val="auto"/>
          <w:highlight w:val="none"/>
        </w:rPr>
      </w:pPr>
    </w:p>
    <w:p>
      <w:pPr>
        <w:pStyle w:val="13"/>
        <w:spacing w:after="0" w:line="400" w:lineRule="exact"/>
        <w:ind w:left="0" w:leftChars="0" w:right="0" w:rightChars="0"/>
        <w:rPr>
          <w:rFonts w:ascii="宋体" w:hAnsi="宋体" w:cs="宋体"/>
          <w:color w:val="auto"/>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残疾人福利性单位声明函</w:t>
      </w:r>
    </w:p>
    <w:p>
      <w:pPr>
        <w:jc w:val="center"/>
        <w:rPr>
          <w:rFonts w:ascii="宋体" w:hAnsi="宋体" w:cs="宋体"/>
          <w:color w:val="auto"/>
          <w:sz w:val="24"/>
          <w:highlight w:val="none"/>
        </w:rPr>
      </w:pPr>
      <w:r>
        <w:rPr>
          <w:rFonts w:hint="eastAsia" w:ascii="宋体" w:hAnsi="宋体" w:cs="宋体"/>
          <w:color w:val="auto"/>
          <w:sz w:val="24"/>
          <w:highlight w:val="none"/>
        </w:rPr>
        <w:t>（注：符合条件的残疾人福利性单位请提供本函，不符合的不提供本函）</w:t>
      </w:r>
    </w:p>
    <w:p>
      <w:pPr>
        <w:spacing w:line="400" w:lineRule="exact"/>
        <w:jc w:val="center"/>
        <w:rPr>
          <w:rFonts w:ascii="宋体" w:cs="宋体"/>
          <w:b/>
          <w:bCs/>
          <w:color w:val="auto"/>
          <w:sz w:val="24"/>
          <w:highlight w:val="none"/>
        </w:rPr>
      </w:pPr>
    </w:p>
    <w:p>
      <w:pPr>
        <w:spacing w:line="400" w:lineRule="exact"/>
        <w:ind w:firstLine="504" w:firstLineChars="200"/>
        <w:rPr>
          <w:rFonts w:asci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w:t>
      </w:r>
      <w:r>
        <w:rPr>
          <w:rFonts w:ascii="宋体" w:hAnsi="宋体" w:cs="宋体"/>
          <w:color w:val="auto"/>
          <w:spacing w:val="6"/>
          <w:sz w:val="24"/>
          <w:szCs w:val="24"/>
          <w:highlight w:val="none"/>
        </w:rPr>
        <w:t xml:space="preserve"> </w:t>
      </w:r>
      <w:r>
        <w:rPr>
          <w:rFonts w:hint="eastAsia" w:ascii="宋体" w:hAnsi="宋体" w:cs="宋体"/>
          <w:color w:val="auto"/>
          <w:spacing w:val="6"/>
          <w:sz w:val="24"/>
          <w:szCs w:val="24"/>
          <w:highlight w:val="none"/>
        </w:rPr>
        <w:t>民政部</w:t>
      </w:r>
      <w:r>
        <w:rPr>
          <w:rFonts w:ascii="宋体" w:hAnsi="宋体" w:cs="宋体"/>
          <w:color w:val="auto"/>
          <w:spacing w:val="6"/>
          <w:sz w:val="24"/>
          <w:szCs w:val="24"/>
          <w:highlight w:val="none"/>
        </w:rPr>
        <w:t xml:space="preserve"> </w:t>
      </w:r>
      <w:r>
        <w:rPr>
          <w:rFonts w:hint="eastAsia" w:ascii="宋体" w:hAnsi="宋体" w:cs="宋体"/>
          <w:color w:val="auto"/>
          <w:spacing w:val="6"/>
          <w:sz w:val="24"/>
          <w:szCs w:val="24"/>
          <w:highlight w:val="none"/>
        </w:rPr>
        <w:t>中国残疾人联合会关于促进残疾人就业政府采购政策的通知》（财库</w:t>
      </w:r>
      <w:r>
        <w:rPr>
          <w:rFonts w:hint="eastAsia" w:ascii="宋体" w:hAnsi="宋体" w:cs="宋体"/>
          <w:color w:val="auto"/>
          <w:sz w:val="24"/>
          <w:szCs w:val="24"/>
          <w:highlight w:val="none"/>
        </w:rPr>
        <w:t>〔</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pacing w:val="6"/>
          <w:sz w:val="24"/>
          <w:szCs w:val="24"/>
          <w:highlight w:val="none"/>
        </w:rPr>
        <w:t>号）的规定，本单位为符合条件的残疾人福利性单位，且本单位参加</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单位的</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项目采购活动提供本单位制造的货物（由本单位承担工程</w:t>
      </w:r>
      <w:r>
        <w:rPr>
          <w:rFonts w:ascii="宋体" w:hAnsi="宋体" w:cs="宋体"/>
          <w:color w:val="auto"/>
          <w:spacing w:val="6"/>
          <w:sz w:val="24"/>
          <w:szCs w:val="24"/>
          <w:highlight w:val="none"/>
        </w:rPr>
        <w:t>/</w:t>
      </w:r>
      <w:r>
        <w:rPr>
          <w:rFonts w:hint="eastAsia" w:ascii="宋体" w:hAnsi="宋体" w:cs="宋体"/>
          <w:color w:val="auto"/>
          <w:spacing w:val="6"/>
          <w:sz w:val="24"/>
          <w:szCs w:val="24"/>
          <w:highlight w:val="none"/>
        </w:rPr>
        <w:t>提供服务），或者提供其他残疾人福利性单位制造的货物（不包括使用非残疾人福利性单位注册商标的货物）。</w:t>
      </w:r>
    </w:p>
    <w:p>
      <w:pPr>
        <w:spacing w:line="400" w:lineRule="exact"/>
        <w:ind w:firstLine="504" w:firstLineChars="200"/>
        <w:rPr>
          <w:rFonts w:asci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pPr>
        <w:spacing w:line="400" w:lineRule="exact"/>
        <w:ind w:firstLine="504" w:firstLineChars="200"/>
        <w:rPr>
          <w:rFonts w:ascii="宋体" w:cs="宋体"/>
          <w:color w:val="auto"/>
          <w:spacing w:val="6"/>
          <w:sz w:val="24"/>
          <w:szCs w:val="24"/>
          <w:highlight w:val="none"/>
        </w:rPr>
      </w:pPr>
    </w:p>
    <w:p>
      <w:pPr>
        <w:tabs>
          <w:tab w:val="left" w:pos="4860"/>
        </w:tabs>
        <w:spacing w:line="400" w:lineRule="exact"/>
        <w:ind w:firstLine="504" w:firstLineChars="200"/>
        <w:jc w:val="center"/>
        <w:rPr>
          <w:rFonts w:ascii="宋体" w:cs="宋体"/>
          <w:color w:val="auto"/>
          <w:spacing w:val="6"/>
          <w:sz w:val="24"/>
          <w:szCs w:val="24"/>
          <w:highlight w:val="none"/>
        </w:rPr>
      </w:pPr>
      <w:r>
        <w:rPr>
          <w:rFonts w:ascii="宋体" w:hAnsi="宋体" w:cs="宋体"/>
          <w:color w:val="auto"/>
          <w:spacing w:val="6"/>
          <w:sz w:val="24"/>
          <w:szCs w:val="24"/>
          <w:highlight w:val="none"/>
        </w:rPr>
        <w:t xml:space="preserve">                               </w:t>
      </w:r>
      <w:r>
        <w:rPr>
          <w:rFonts w:hint="eastAsia" w:ascii="宋体" w:hAnsi="宋体" w:cs="宋体"/>
          <w:color w:val="auto"/>
          <w:spacing w:val="6"/>
          <w:sz w:val="24"/>
          <w:szCs w:val="24"/>
          <w:highlight w:val="none"/>
        </w:rPr>
        <w:t>单位名称（</w:t>
      </w:r>
      <w:r>
        <w:rPr>
          <w:rFonts w:ascii="宋体" w:hAnsi="宋体" w:cs="宋体"/>
          <w:color w:val="auto"/>
          <w:spacing w:val="6"/>
          <w:sz w:val="24"/>
          <w:szCs w:val="24"/>
          <w:highlight w:val="none"/>
        </w:rPr>
        <w:t>CA</w:t>
      </w:r>
      <w:r>
        <w:rPr>
          <w:rFonts w:hint="eastAsia" w:ascii="宋体" w:hAnsi="宋体" w:cs="宋体"/>
          <w:color w:val="auto"/>
          <w:spacing w:val="6"/>
          <w:sz w:val="24"/>
          <w:szCs w:val="24"/>
          <w:highlight w:val="none"/>
        </w:rPr>
        <w:t>电子公章）：</w:t>
      </w:r>
    </w:p>
    <w:p>
      <w:pPr>
        <w:tabs>
          <w:tab w:val="left" w:pos="4860"/>
        </w:tabs>
        <w:spacing w:line="400" w:lineRule="exact"/>
        <w:ind w:firstLine="504" w:firstLineChars="200"/>
        <w:jc w:val="center"/>
        <w:rPr>
          <w:rFonts w:ascii="宋体" w:cs="宋体"/>
          <w:color w:val="auto"/>
          <w:sz w:val="24"/>
          <w:szCs w:val="24"/>
          <w:highlight w:val="none"/>
        </w:rPr>
      </w:pPr>
      <w:r>
        <w:rPr>
          <w:rFonts w:ascii="宋体" w:hAnsi="宋体" w:cs="宋体"/>
          <w:color w:val="auto"/>
          <w:spacing w:val="6"/>
          <w:sz w:val="24"/>
          <w:szCs w:val="24"/>
          <w:highlight w:val="none"/>
        </w:rPr>
        <w:t xml:space="preserve">                           </w:t>
      </w:r>
      <w:r>
        <w:rPr>
          <w:rFonts w:hint="eastAsia" w:ascii="宋体" w:hAnsi="宋体" w:cs="宋体"/>
          <w:color w:val="auto"/>
          <w:spacing w:val="6"/>
          <w:sz w:val="24"/>
          <w:szCs w:val="24"/>
          <w:highlight w:val="none"/>
        </w:rPr>
        <w:t>日</w:t>
      </w:r>
      <w:r>
        <w:rPr>
          <w:rFonts w:ascii="宋体" w:hAnsi="宋体" w:cs="宋体"/>
          <w:color w:val="auto"/>
          <w:spacing w:val="6"/>
          <w:sz w:val="24"/>
          <w:szCs w:val="24"/>
          <w:highlight w:val="none"/>
        </w:rPr>
        <w:t xml:space="preserve">        </w:t>
      </w:r>
      <w:r>
        <w:rPr>
          <w:rFonts w:hint="eastAsia" w:ascii="宋体" w:hAnsi="宋体" w:cs="宋体"/>
          <w:color w:val="auto"/>
          <w:spacing w:val="6"/>
          <w:sz w:val="24"/>
          <w:szCs w:val="24"/>
          <w:highlight w:val="none"/>
        </w:rPr>
        <w:t>期：</w:t>
      </w:r>
    </w:p>
    <w:p>
      <w:pPr>
        <w:spacing w:line="400" w:lineRule="exact"/>
        <w:rPr>
          <w:rFonts w:ascii="宋体" w:cs="宋体"/>
          <w:b/>
          <w:color w:val="auto"/>
          <w:sz w:val="24"/>
          <w:szCs w:val="24"/>
          <w:highlight w:val="none"/>
        </w:rPr>
      </w:pPr>
    </w:p>
    <w:p>
      <w:pPr>
        <w:spacing w:line="400" w:lineRule="exact"/>
        <w:rPr>
          <w:color w:val="auto"/>
          <w:highlight w:val="none"/>
        </w:rPr>
      </w:pPr>
      <w:r>
        <w:rPr>
          <w:rFonts w:hint="eastAsia" w:ascii="宋体" w:hAnsi="宋体" w:cs="宋体"/>
          <w:b/>
          <w:bCs/>
          <w:color w:val="auto"/>
          <w:sz w:val="24"/>
          <w:highlight w:val="none"/>
        </w:rPr>
        <w:t>注：投标人不属于残疾人福利性单位的，无需提供此声明函，如提供所引起的后果由投标人承担。中标、中标人为残疾人福利性单位的</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采购代理机构将随中标结果同时公告其《残疾人福利性单位声明函》</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接受社会监督。</w:t>
      </w:r>
    </w:p>
    <w:p>
      <w:pPr>
        <w:spacing w:line="400" w:lineRule="exact"/>
        <w:rPr>
          <w:rFonts w:ascii="宋体" w:hAnsi="宋体" w:cs="宋体"/>
          <w:b/>
          <w:color w:val="auto"/>
          <w:sz w:val="24"/>
          <w:szCs w:val="24"/>
          <w:highlight w:val="none"/>
        </w:rPr>
      </w:pPr>
    </w:p>
    <w:p>
      <w:pPr>
        <w:pStyle w:val="13"/>
        <w:ind w:left="1470" w:right="1470"/>
        <w:rPr>
          <w:rFonts w:ascii="宋体" w:hAnsi="宋体" w:cs="宋体"/>
          <w:color w:val="auto"/>
          <w:highlight w:val="none"/>
        </w:rPr>
      </w:pPr>
    </w:p>
    <w:p>
      <w:pPr>
        <w:pStyle w:val="13"/>
        <w:ind w:left="1470" w:right="1470"/>
        <w:rPr>
          <w:rFonts w:ascii="宋体" w:hAnsi="宋体" w:cs="宋体"/>
          <w:color w:val="auto"/>
          <w:highlight w:val="none"/>
        </w:rPr>
      </w:pPr>
    </w:p>
    <w:p>
      <w:pPr>
        <w:snapToGrid w:val="0"/>
        <w:spacing w:before="120" w:beforeLines="50" w:after="50"/>
        <w:jc w:val="center"/>
        <w:outlineLvl w:val="1"/>
        <w:rPr>
          <w:rFonts w:ascii="宋体" w:hAnsi="宋体" w:cs="宋体"/>
          <w:b/>
          <w:bCs/>
          <w:color w:val="auto"/>
          <w:sz w:val="24"/>
          <w:highlight w:val="none"/>
        </w:rPr>
      </w:pPr>
    </w:p>
    <w:p>
      <w:pPr>
        <w:snapToGrid w:val="0"/>
        <w:spacing w:before="120" w:beforeLines="50" w:after="50"/>
        <w:jc w:val="center"/>
        <w:outlineLvl w:val="1"/>
        <w:rPr>
          <w:rFonts w:ascii="宋体" w:hAnsi="宋体" w:cs="宋体"/>
          <w:b/>
          <w:bCs/>
          <w:color w:val="auto"/>
          <w:sz w:val="24"/>
          <w:highlight w:val="none"/>
        </w:rPr>
      </w:pPr>
    </w:p>
    <w:p>
      <w:pPr>
        <w:snapToGrid w:val="0"/>
        <w:spacing w:before="120" w:beforeLines="50" w:after="50"/>
        <w:jc w:val="center"/>
        <w:outlineLvl w:val="1"/>
        <w:rPr>
          <w:rFonts w:ascii="宋体" w:hAnsi="宋体" w:cs="宋体"/>
          <w:b/>
          <w:bCs/>
          <w:color w:val="auto"/>
          <w:sz w:val="24"/>
          <w:highlight w:val="none"/>
        </w:rPr>
      </w:pPr>
    </w:p>
    <w:p>
      <w:pPr>
        <w:snapToGrid w:val="0"/>
        <w:spacing w:before="120" w:beforeLines="50" w:after="50"/>
        <w:jc w:val="center"/>
        <w:outlineLvl w:val="1"/>
        <w:rPr>
          <w:rFonts w:ascii="宋体" w:hAnsi="宋体" w:cs="宋体"/>
          <w:b/>
          <w:bCs/>
          <w:color w:val="auto"/>
          <w:sz w:val="24"/>
          <w:highlight w:val="none"/>
        </w:rPr>
      </w:pPr>
    </w:p>
    <w:p>
      <w:pPr>
        <w:snapToGrid w:val="0"/>
        <w:spacing w:before="120" w:beforeLines="50" w:after="50"/>
        <w:jc w:val="center"/>
        <w:outlineLvl w:val="1"/>
        <w:rPr>
          <w:rFonts w:ascii="宋体" w:hAnsi="宋体" w:cs="宋体"/>
          <w:b/>
          <w:bCs/>
          <w:color w:val="auto"/>
          <w:sz w:val="24"/>
          <w:highlight w:val="none"/>
        </w:rPr>
      </w:pPr>
    </w:p>
    <w:p>
      <w:pPr>
        <w:snapToGrid w:val="0"/>
        <w:spacing w:before="120" w:beforeLines="50" w:after="50"/>
        <w:jc w:val="center"/>
        <w:outlineLvl w:val="1"/>
        <w:rPr>
          <w:rFonts w:hint="eastAsia" w:ascii="宋体" w:hAnsi="宋体" w:cs="宋体"/>
          <w:b/>
          <w:bCs/>
          <w:color w:val="auto"/>
          <w:sz w:val="24"/>
          <w:highlight w:val="none"/>
        </w:rPr>
      </w:pPr>
    </w:p>
    <w:p>
      <w:pPr>
        <w:snapToGrid w:val="0"/>
        <w:spacing w:before="120" w:beforeLines="50" w:after="50"/>
        <w:jc w:val="center"/>
        <w:outlineLvl w:val="1"/>
        <w:rPr>
          <w:rFonts w:ascii="宋体" w:hAnsi="宋体" w:cs="宋体"/>
          <w:b/>
          <w:color w:val="auto"/>
          <w:sz w:val="24"/>
          <w:highlight w:val="none"/>
        </w:rPr>
      </w:pPr>
      <w:r>
        <w:rPr>
          <w:rFonts w:hint="eastAsia" w:ascii="宋体" w:hAnsi="宋体" w:cs="宋体"/>
          <w:b/>
          <w:bCs/>
          <w:color w:val="auto"/>
          <w:sz w:val="24"/>
          <w:highlight w:val="none"/>
        </w:rPr>
        <w:t>二、资格文件部分封面格式</w:t>
      </w:r>
    </w:p>
    <w:p>
      <w:pPr>
        <w:snapToGrid w:val="0"/>
        <w:spacing w:before="120" w:beforeLines="50" w:after="50"/>
        <w:jc w:val="center"/>
        <w:outlineLvl w:val="1"/>
        <w:rPr>
          <w:rFonts w:ascii="宋体" w:hAnsi="宋体" w:cs="宋体"/>
          <w:b/>
          <w:bCs/>
          <w:color w:val="auto"/>
          <w:sz w:val="24"/>
          <w:highlight w:val="none"/>
        </w:rPr>
      </w:pPr>
    </w:p>
    <w:p>
      <w:pPr>
        <w:pStyle w:val="13"/>
        <w:ind w:left="0" w:leftChars="0" w:right="1470"/>
        <w:rPr>
          <w:rFonts w:ascii="宋体" w:hAnsi="宋体" w:cs="宋体"/>
          <w:b/>
          <w:color w:val="auto"/>
          <w:sz w:val="24"/>
          <w:szCs w:val="24"/>
          <w:highlight w:val="none"/>
        </w:rPr>
      </w:pPr>
    </w:p>
    <w:p>
      <w:pPr>
        <w:snapToGrid w:val="0"/>
        <w:spacing w:line="400" w:lineRule="exact"/>
        <w:jc w:val="center"/>
        <w:outlineLvl w:val="1"/>
        <w:rPr>
          <w:rFonts w:ascii="宋体" w:hAnsi="宋体" w:cs="宋体"/>
          <w:b/>
          <w:bCs/>
          <w:color w:val="auto"/>
          <w:sz w:val="24"/>
          <w:szCs w:val="20"/>
          <w:highlight w:val="none"/>
        </w:rPr>
      </w:pPr>
    </w:p>
    <w:p>
      <w:pPr>
        <w:snapToGrid w:val="0"/>
        <w:spacing w:line="400" w:lineRule="exact"/>
        <w:jc w:val="center"/>
        <w:rPr>
          <w:rFonts w:ascii="宋体" w:hAnsi="宋体" w:cs="宋体"/>
          <w:bCs/>
          <w:color w:val="auto"/>
          <w:sz w:val="24"/>
          <w:szCs w:val="20"/>
          <w:highlight w:val="none"/>
        </w:rPr>
      </w:pPr>
      <w:r>
        <w:rPr>
          <w:rFonts w:ascii="宋体" w:hAnsi="宋体" w:cs="宋体"/>
          <w:b/>
          <w:bCs/>
          <w:color w:val="auto"/>
          <w:sz w:val="24"/>
          <w:highlight w:val="none"/>
        </w:rPr>
        <w:pict>
          <v:shape id="_x0000_s1032" o:spid="_x0000_s1032" o:spt="202" type="#_x0000_t202" style="position:absolute;left:0pt;margin-left:30.7pt;margin-top:16pt;height:263.35pt;width:399.75pt;mso-wrap-distance-bottom:0pt;mso-wrap-distance-top:0pt;z-index:251660288;mso-width-relative:page;mso-height-relative:page;"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6LEN9kAAAAJAQAADwAAAAAAAAABACAAAAAiAAAA&#10;ZHJzL2Rvd25yZXYueG1sUEsBAhQAFAAAAAgAh07iQDOaIa0GAgAAHAQAAA4AAAAAAAAAAQAgAAAA&#10;KAEAAGRycy9lMm9Eb2MueG1sUEsFBgAAAAAGAAYAWQEAAKAFAAAAAA==&#10;">
            <v:path/>
            <v:fill focussize="0,0"/>
            <v:stroke joinstyle="miter"/>
            <v:imagedata o:title=""/>
            <o:lock v:ext="edit" rotation="t"/>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rFonts w:hint="eastAsia"/>
                      <w:sz w:val="24"/>
                    </w:rPr>
                    <w:t>年月日</w:t>
                  </w:r>
                </w:p>
              </w:txbxContent>
            </v:textbox>
            <w10:wrap type="topAndBottom"/>
          </v:shape>
        </w:pict>
      </w:r>
    </w:p>
    <w:p>
      <w:pPr>
        <w:snapToGrid w:val="0"/>
        <w:spacing w:before="120" w:beforeLines="50" w:after="50"/>
        <w:jc w:val="center"/>
        <w:outlineLvl w:val="1"/>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 xml:space="preserve">附件4                             </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资格文件</w:t>
      </w:r>
    </w:p>
    <w:p>
      <w:pPr>
        <w:spacing w:line="400" w:lineRule="exact"/>
        <w:ind w:firstLine="240" w:firstLineChars="100"/>
        <w:rPr>
          <w:rFonts w:ascii="宋体" w:hAnsi="宋体" w:cs="宋体"/>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附件4-1</w:t>
      </w:r>
    </w:p>
    <w:p>
      <w:pPr>
        <w:pStyle w:val="11"/>
        <w:rPr>
          <w:color w:val="auto"/>
          <w:highlight w:val="none"/>
        </w:rPr>
      </w:pPr>
    </w:p>
    <w:p>
      <w:pPr>
        <w:spacing w:line="360" w:lineRule="auto"/>
        <w:jc w:val="center"/>
        <w:rPr>
          <w:rFonts w:ascii="宋体" w:cs="宋体"/>
          <w:b/>
          <w:color w:val="auto"/>
          <w:sz w:val="24"/>
          <w:szCs w:val="24"/>
          <w:highlight w:val="none"/>
        </w:rPr>
      </w:pPr>
      <w:r>
        <w:rPr>
          <w:rFonts w:hint="eastAsia" w:ascii="宋体" w:hAnsi="宋体" w:cs="宋体"/>
          <w:b/>
          <w:color w:val="auto"/>
          <w:sz w:val="24"/>
          <w:szCs w:val="24"/>
          <w:highlight w:val="none"/>
        </w:rPr>
        <w:t>有效的法人或者其他组织的营业执照等证明文件，自然人的身份证明</w:t>
      </w:r>
      <w:r>
        <w:rPr>
          <w:rFonts w:hint="eastAsia" w:ascii="宋体" w:hAnsi="宋体" w:cs="宋体"/>
          <w:b/>
          <w:color w:val="auto"/>
          <w:highlight w:val="none"/>
        </w:rPr>
        <w:t>（五选一）</w:t>
      </w:r>
    </w:p>
    <w:p>
      <w:pPr>
        <w:spacing w:line="360" w:lineRule="auto"/>
        <w:rPr>
          <w:rFonts w:ascii="宋体" w:cs="宋体"/>
          <w:b/>
          <w:color w:val="auto"/>
          <w:sz w:val="24"/>
          <w:szCs w:val="24"/>
          <w:highlight w:val="none"/>
        </w:rPr>
      </w:pPr>
    </w:p>
    <w:p>
      <w:pPr>
        <w:spacing w:line="360" w:lineRule="auto"/>
        <w:rPr>
          <w:rFonts w:ascii="宋体" w:cs="宋体"/>
          <w:b/>
          <w:color w:val="auto"/>
          <w:spacing w:val="-6"/>
          <w:sz w:val="22"/>
          <w:highlight w:val="none"/>
        </w:rPr>
      </w:pPr>
      <w:r>
        <w:rPr>
          <w:rFonts w:hint="eastAsia" w:ascii="宋体" w:hAnsi="宋体" w:cs="宋体"/>
          <w:b/>
          <w:color w:val="auto"/>
          <w:spacing w:val="-6"/>
          <w:sz w:val="22"/>
          <w:highlight w:val="none"/>
        </w:rPr>
        <w:t>说明：</w:t>
      </w:r>
    </w:p>
    <w:p>
      <w:pPr>
        <w:pStyle w:val="20"/>
        <w:spacing w:line="360" w:lineRule="auto"/>
        <w:ind w:left="418" w:hanging="418"/>
        <w:rPr>
          <w:rFonts w:ascii="宋体" w:cs="宋体"/>
          <w:b/>
          <w:color w:val="auto"/>
          <w:spacing w:val="-6"/>
          <w:sz w:val="22"/>
          <w:highlight w:val="none"/>
        </w:rPr>
      </w:pPr>
      <w:r>
        <w:rPr>
          <w:rFonts w:ascii="宋体" w:hAnsi="宋体" w:cs="宋体"/>
          <w:b/>
          <w:color w:val="auto"/>
          <w:spacing w:val="-6"/>
          <w:sz w:val="22"/>
          <w:highlight w:val="none"/>
        </w:rPr>
        <w:t>1.</w:t>
      </w:r>
      <w:r>
        <w:rPr>
          <w:rFonts w:hint="eastAsia" w:ascii="宋体" w:hAnsi="宋体" w:cs="宋体"/>
          <w:b/>
          <w:color w:val="auto"/>
          <w:spacing w:val="-6"/>
          <w:sz w:val="22"/>
          <w:highlight w:val="none"/>
        </w:rPr>
        <w:t>如投标人是企业（包括合伙企业），提供有效“企业法人营业执照”或“营业执照”；</w:t>
      </w:r>
    </w:p>
    <w:p>
      <w:pPr>
        <w:pStyle w:val="20"/>
        <w:spacing w:line="360" w:lineRule="auto"/>
        <w:ind w:left="418" w:hanging="418"/>
        <w:rPr>
          <w:rFonts w:ascii="宋体" w:cs="宋体"/>
          <w:b/>
          <w:color w:val="auto"/>
          <w:spacing w:val="-6"/>
          <w:sz w:val="22"/>
          <w:highlight w:val="none"/>
        </w:rPr>
      </w:pPr>
      <w:r>
        <w:rPr>
          <w:rFonts w:ascii="宋体" w:hAnsi="宋体" w:cs="宋体"/>
          <w:b/>
          <w:color w:val="auto"/>
          <w:spacing w:val="-6"/>
          <w:sz w:val="22"/>
          <w:highlight w:val="none"/>
        </w:rPr>
        <w:t>2.</w:t>
      </w:r>
      <w:r>
        <w:rPr>
          <w:rFonts w:hint="eastAsia" w:ascii="宋体" w:hAnsi="宋体" w:cs="宋体"/>
          <w:b/>
          <w:color w:val="auto"/>
          <w:spacing w:val="-6"/>
          <w:sz w:val="22"/>
          <w:highlight w:val="none"/>
        </w:rPr>
        <w:t>如投标人是事业单位，提供有效的“事业单位法人证书”；</w:t>
      </w:r>
    </w:p>
    <w:p>
      <w:pPr>
        <w:pStyle w:val="20"/>
        <w:spacing w:line="360" w:lineRule="auto"/>
        <w:ind w:left="418" w:hanging="418"/>
        <w:rPr>
          <w:rFonts w:ascii="宋体" w:cs="宋体"/>
          <w:b/>
          <w:color w:val="auto"/>
          <w:spacing w:val="-6"/>
          <w:sz w:val="22"/>
          <w:highlight w:val="none"/>
        </w:rPr>
      </w:pPr>
      <w:r>
        <w:rPr>
          <w:rFonts w:ascii="宋体" w:hAnsi="宋体" w:cs="宋体"/>
          <w:b/>
          <w:color w:val="auto"/>
          <w:spacing w:val="-6"/>
          <w:sz w:val="22"/>
          <w:highlight w:val="none"/>
        </w:rPr>
        <w:t>3.</w:t>
      </w:r>
      <w:r>
        <w:rPr>
          <w:rFonts w:hint="eastAsia" w:ascii="宋体" w:hAnsi="宋体" w:cs="宋体"/>
          <w:b/>
          <w:color w:val="auto"/>
          <w:spacing w:val="-6"/>
          <w:sz w:val="22"/>
          <w:highlight w:val="none"/>
        </w:rPr>
        <w:t>如投标人是非企业专业服务机构的，提供执业许可证等证明文件；</w:t>
      </w:r>
    </w:p>
    <w:p>
      <w:pPr>
        <w:pStyle w:val="20"/>
        <w:spacing w:line="360" w:lineRule="auto"/>
        <w:ind w:left="418" w:hanging="418"/>
        <w:rPr>
          <w:rFonts w:ascii="宋体" w:cs="宋体"/>
          <w:b/>
          <w:color w:val="auto"/>
          <w:spacing w:val="-6"/>
          <w:sz w:val="22"/>
          <w:highlight w:val="none"/>
        </w:rPr>
      </w:pPr>
      <w:r>
        <w:rPr>
          <w:rFonts w:ascii="宋体" w:hAnsi="宋体" w:cs="宋体"/>
          <w:b/>
          <w:color w:val="auto"/>
          <w:spacing w:val="-6"/>
          <w:sz w:val="22"/>
          <w:highlight w:val="none"/>
        </w:rPr>
        <w:t>4.</w:t>
      </w:r>
      <w:r>
        <w:rPr>
          <w:rFonts w:hint="eastAsia" w:ascii="宋体" w:hAnsi="宋体" w:cs="宋体"/>
          <w:b/>
          <w:color w:val="auto"/>
          <w:spacing w:val="-6"/>
          <w:sz w:val="22"/>
          <w:highlight w:val="none"/>
        </w:rPr>
        <w:t>如投标人是个体工商户，提供有效的“个体工商户营业执照”；</w:t>
      </w:r>
    </w:p>
    <w:p>
      <w:pPr>
        <w:pStyle w:val="20"/>
        <w:spacing w:line="360" w:lineRule="auto"/>
        <w:ind w:left="418" w:hanging="418"/>
        <w:rPr>
          <w:color w:val="auto"/>
          <w:highlight w:val="none"/>
        </w:rPr>
      </w:pPr>
      <w:r>
        <w:rPr>
          <w:rFonts w:ascii="宋体" w:hAnsi="宋体" w:cs="宋体"/>
          <w:b/>
          <w:color w:val="auto"/>
          <w:spacing w:val="-6"/>
          <w:sz w:val="22"/>
          <w:highlight w:val="none"/>
        </w:rPr>
        <w:t>5.</w:t>
      </w:r>
      <w:r>
        <w:rPr>
          <w:rFonts w:hint="eastAsia" w:ascii="宋体" w:hAnsi="宋体" w:cs="宋体"/>
          <w:b/>
          <w:color w:val="auto"/>
          <w:spacing w:val="-6"/>
          <w:sz w:val="22"/>
          <w:highlight w:val="none"/>
        </w:rPr>
        <w:t>如投标人是自然人，提供有效的自然人身份证明（居民身份证正反面或公安机关出具的临时居民身份证正反面或港澳台胞证或证照）。</w:t>
      </w: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附件4-2</w:t>
      </w:r>
    </w:p>
    <w:p>
      <w:pPr>
        <w:spacing w:before="240" w:beforeLines="100" w:after="240" w:afterLines="100" w:line="360" w:lineRule="auto"/>
        <w:jc w:val="center"/>
        <w:rPr>
          <w:rFonts w:hAnsi="宋体"/>
          <w:b/>
          <w:color w:val="auto"/>
          <w:sz w:val="24"/>
          <w:szCs w:val="24"/>
          <w:highlight w:val="none"/>
        </w:rPr>
      </w:pPr>
      <w:r>
        <w:rPr>
          <w:rFonts w:hint="eastAsia" w:hAnsi="宋体"/>
          <w:b/>
          <w:color w:val="auto"/>
          <w:sz w:val="24"/>
          <w:szCs w:val="24"/>
          <w:highlight w:val="none"/>
        </w:rPr>
        <w:t>关于符合《中华人民共和国政府采购法》第二十二条规定的承诺函</w:t>
      </w:r>
    </w:p>
    <w:p>
      <w:pPr>
        <w:spacing w:before="240" w:beforeLines="100" w:after="240" w:afterLines="100" w:line="360" w:lineRule="auto"/>
        <w:rPr>
          <w:rFonts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rPr>
        <w:t>温州大学瓯江学院、浙江乐诚工程咨询有限公司</w:t>
      </w:r>
      <w:r>
        <w:rPr>
          <w:rFonts w:hint="eastAsia" w:ascii="宋体" w:hAnsi="宋体" w:cs="宋体"/>
          <w:color w:val="auto"/>
          <w:spacing w:val="-6"/>
          <w:sz w:val="22"/>
          <w:highlight w:val="none"/>
        </w:rPr>
        <w:t>：</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项目承诺具备下列条件：</w:t>
      </w:r>
    </w:p>
    <w:p>
      <w:pPr>
        <w:pStyle w:val="22"/>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（一）具有独立承担民事责任的能力；</w:t>
      </w:r>
    </w:p>
    <w:p>
      <w:pPr>
        <w:pStyle w:val="22"/>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（二）具有良好的商业信誉和健全的财务会计制度；</w:t>
      </w:r>
    </w:p>
    <w:p>
      <w:pPr>
        <w:pStyle w:val="22"/>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（三）具有履行合同所必需的设备和专业技术能力；</w:t>
      </w:r>
    </w:p>
    <w:p>
      <w:pPr>
        <w:pStyle w:val="22"/>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（四）有依法缴纳税收和社会保障资金的良好记录；</w:t>
      </w:r>
    </w:p>
    <w:p>
      <w:pPr>
        <w:pStyle w:val="22"/>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（五）参加政府采购活动前三年内，在经营活动中没有重大违法记录（重大违法记录是指供应商因违法经营受到刑事处罚或者责令停产停业、吊销许可证或者执照、较大数额罚款等行政处罚。）；</w:t>
      </w:r>
    </w:p>
    <w:p>
      <w:pPr>
        <w:pStyle w:val="22"/>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pPr>
        <w:pStyle w:val="22"/>
        <w:spacing w:before="0" w:beforeAutospacing="0" w:after="0" w:afterAutospacing="0" w:line="360" w:lineRule="auto"/>
        <w:ind w:firstLine="442" w:firstLineChars="200"/>
        <w:rPr>
          <w:b/>
          <w:color w:val="auto"/>
          <w:sz w:val="22"/>
          <w:highlight w:val="none"/>
        </w:rPr>
      </w:pPr>
      <w:r>
        <w:rPr>
          <w:rFonts w:hint="eastAsia"/>
          <w:b/>
          <w:color w:val="auto"/>
          <w:kern w:val="2"/>
          <w:sz w:val="22"/>
          <w:highlight w:val="none"/>
        </w:rPr>
        <w:t>如有虚假，采购人可取消我单位任何资格（投标/中标/签订合同</w:t>
      </w:r>
      <w:r>
        <w:rPr>
          <w:rFonts w:hint="eastAsia"/>
          <w:b/>
          <w:color w:val="auto"/>
          <w:sz w:val="22"/>
          <w:highlight w:val="none"/>
        </w:rPr>
        <w:t>），我单位对此无任何异议。</w:t>
      </w:r>
    </w:p>
    <w:p>
      <w:pPr>
        <w:snapToGrid w:val="0"/>
        <w:spacing w:line="360" w:lineRule="auto"/>
        <w:ind w:firstLine="442" w:firstLineChars="200"/>
        <w:rPr>
          <w:rFonts w:ascii="宋体" w:hAnsi="宋体" w:cs="宋体"/>
          <w:b/>
          <w:color w:val="auto"/>
          <w:sz w:val="22"/>
          <w:highlight w:val="none"/>
        </w:rPr>
      </w:pPr>
      <w:r>
        <w:rPr>
          <w:rFonts w:hint="eastAsia" w:ascii="宋体" w:hAnsi="宋体" w:cs="宋体"/>
          <w:b/>
          <w:color w:val="auto"/>
          <w:sz w:val="22"/>
          <w:highlight w:val="none"/>
        </w:rPr>
        <w:t>特此承诺！</w:t>
      </w:r>
    </w:p>
    <w:p>
      <w:pPr>
        <w:tabs>
          <w:tab w:val="left" w:pos="9180"/>
        </w:tabs>
        <w:spacing w:line="360" w:lineRule="auto"/>
        <w:ind w:firstLine="440" w:firstLineChars="200"/>
        <w:rPr>
          <w:rFonts w:ascii="宋体" w:hAnsi="宋体" w:cs="宋体"/>
          <w:snapToGrid w:val="0"/>
          <w:color w:val="auto"/>
          <w:sz w:val="22"/>
          <w:highlight w:val="none"/>
        </w:rPr>
      </w:pPr>
    </w:p>
    <w:p>
      <w:pPr>
        <w:tabs>
          <w:tab w:val="left" w:pos="9180"/>
        </w:tabs>
        <w:spacing w:line="360" w:lineRule="auto"/>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注：（1）参加政府采购活动的时间是指供应商参加本项目的政府采购活动时间为准（具体以投标截止时间为准）。</w:t>
      </w:r>
    </w:p>
    <w:p>
      <w:pPr>
        <w:tabs>
          <w:tab w:val="left" w:pos="9180"/>
        </w:tabs>
        <w:spacing w:line="360" w:lineRule="auto"/>
        <w:ind w:firstLine="880" w:firstLineChars="400"/>
        <w:rPr>
          <w:rFonts w:ascii="宋体" w:hAnsi="宋体" w:cs="宋体"/>
          <w:snapToGrid w:val="0"/>
          <w:color w:val="auto"/>
          <w:sz w:val="22"/>
          <w:highlight w:val="none"/>
        </w:rPr>
      </w:pPr>
      <w:r>
        <w:rPr>
          <w:rFonts w:hint="eastAsia" w:ascii="宋体" w:hAnsi="宋体" w:cs="宋体"/>
          <w:snapToGrid w:val="0"/>
          <w:color w:val="auto"/>
          <w:sz w:val="22"/>
          <w:highlight w:val="none"/>
        </w:rPr>
        <w:t>（2）本承诺函必须提供。</w:t>
      </w:r>
    </w:p>
    <w:p>
      <w:pPr>
        <w:spacing w:line="360" w:lineRule="auto"/>
        <w:ind w:left="4620" w:leftChars="2200"/>
        <w:rPr>
          <w:rFonts w:ascii="宋体" w:hAnsi="宋体"/>
          <w:color w:val="auto"/>
          <w:szCs w:val="21"/>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pStyle w:val="13"/>
        <w:ind w:left="1470" w:right="1470"/>
        <w:rPr>
          <w:rFonts w:ascii="宋体" w:hAnsi="宋体" w:cs="宋体"/>
          <w:color w:val="auto"/>
          <w:sz w:val="24"/>
          <w:szCs w:val="24"/>
          <w:highlight w:val="none"/>
        </w:rPr>
      </w:pPr>
    </w:p>
    <w:p>
      <w:pPr>
        <w:pStyle w:val="13"/>
        <w:ind w:left="1470" w:right="1470"/>
        <w:rPr>
          <w:rFonts w:ascii="宋体" w:hAnsi="宋体" w:cs="宋体"/>
          <w:color w:val="auto"/>
          <w:sz w:val="24"/>
          <w:szCs w:val="24"/>
          <w:highlight w:val="none"/>
        </w:rPr>
      </w:pPr>
    </w:p>
    <w:p>
      <w:pPr>
        <w:pStyle w:val="13"/>
        <w:ind w:left="1470" w:right="1470"/>
        <w:rPr>
          <w:rFonts w:ascii="宋体" w:hAnsi="宋体" w:cs="宋体"/>
          <w:color w:val="auto"/>
          <w:sz w:val="24"/>
          <w:szCs w:val="24"/>
          <w:highlight w:val="none"/>
        </w:rPr>
      </w:pPr>
    </w:p>
    <w:p>
      <w:pPr>
        <w:pStyle w:val="13"/>
        <w:ind w:left="1470" w:right="1470"/>
        <w:rPr>
          <w:rFonts w:ascii="宋体" w:hAnsi="宋体" w:cs="宋体"/>
          <w:color w:val="auto"/>
          <w:sz w:val="24"/>
          <w:szCs w:val="24"/>
          <w:highlight w:val="none"/>
        </w:rPr>
      </w:pPr>
    </w:p>
    <w:p>
      <w:pPr>
        <w:pStyle w:val="13"/>
        <w:ind w:left="1470" w:right="1470"/>
        <w:rPr>
          <w:rFonts w:ascii="宋体" w:hAnsi="宋体" w:cs="宋体"/>
          <w:b/>
          <w:color w:val="auto"/>
          <w:sz w:val="24"/>
          <w:highlight w:val="none"/>
        </w:rPr>
      </w:pPr>
    </w:p>
    <w:p>
      <w:pPr>
        <w:pStyle w:val="13"/>
        <w:ind w:left="1470" w:right="1470"/>
        <w:rPr>
          <w:rFonts w:ascii="宋体" w:hAnsi="宋体" w:cs="宋体"/>
          <w:b/>
          <w:color w:val="auto"/>
          <w:sz w:val="24"/>
          <w:highlight w:val="none"/>
        </w:rPr>
      </w:pPr>
    </w:p>
    <w:p>
      <w:pPr>
        <w:pStyle w:val="13"/>
        <w:ind w:left="1470" w:right="1470"/>
        <w:rPr>
          <w:rFonts w:ascii="宋体" w:hAnsi="宋体" w:cs="宋体"/>
          <w:b/>
          <w:color w:val="auto"/>
          <w:sz w:val="24"/>
          <w:highlight w:val="none"/>
        </w:rPr>
      </w:pPr>
    </w:p>
    <w:p>
      <w:pPr>
        <w:snapToGrid w:val="0"/>
        <w:spacing w:before="120" w:beforeLines="50" w:after="50"/>
        <w:jc w:val="center"/>
        <w:outlineLvl w:val="1"/>
        <w:rPr>
          <w:rFonts w:ascii="宋体" w:hAnsi="宋体" w:cs="宋体"/>
          <w:b/>
          <w:color w:val="auto"/>
          <w:sz w:val="24"/>
          <w:highlight w:val="none"/>
        </w:rPr>
      </w:pPr>
      <w:r>
        <w:rPr>
          <w:rFonts w:hint="eastAsia" w:ascii="宋体" w:hAnsi="宋体" w:cs="宋体"/>
          <w:b/>
          <w:bCs/>
          <w:color w:val="auto"/>
          <w:sz w:val="24"/>
          <w:highlight w:val="none"/>
        </w:rPr>
        <w:t>三、商务和技术文件部分封面格式</w:t>
      </w:r>
    </w:p>
    <w:p>
      <w:pPr>
        <w:snapToGrid w:val="0"/>
        <w:spacing w:before="120" w:beforeLines="50" w:after="50"/>
        <w:jc w:val="center"/>
        <w:outlineLvl w:val="1"/>
        <w:rPr>
          <w:rFonts w:ascii="宋体" w:hAnsi="宋体" w:cs="宋体"/>
          <w:b/>
          <w:bCs/>
          <w:color w:val="auto"/>
          <w:sz w:val="24"/>
          <w:highlight w:val="none"/>
        </w:rPr>
      </w:pPr>
    </w:p>
    <w:p>
      <w:pPr>
        <w:pStyle w:val="13"/>
        <w:ind w:left="0" w:leftChars="0" w:right="1470"/>
        <w:rPr>
          <w:rFonts w:ascii="宋体" w:hAnsi="宋体" w:cs="宋体"/>
          <w:b/>
          <w:color w:val="auto"/>
          <w:sz w:val="24"/>
          <w:szCs w:val="24"/>
          <w:highlight w:val="none"/>
        </w:rPr>
      </w:pPr>
    </w:p>
    <w:p>
      <w:pPr>
        <w:snapToGrid w:val="0"/>
        <w:spacing w:line="400" w:lineRule="exact"/>
        <w:jc w:val="center"/>
        <w:outlineLvl w:val="1"/>
        <w:rPr>
          <w:rFonts w:ascii="宋体" w:hAnsi="宋体" w:cs="宋体"/>
          <w:b/>
          <w:bCs/>
          <w:color w:val="auto"/>
          <w:sz w:val="24"/>
          <w:szCs w:val="20"/>
          <w:highlight w:val="none"/>
        </w:rPr>
      </w:pPr>
    </w:p>
    <w:p>
      <w:pPr>
        <w:snapToGrid w:val="0"/>
        <w:spacing w:line="400" w:lineRule="exact"/>
        <w:jc w:val="center"/>
        <w:rPr>
          <w:rFonts w:ascii="宋体" w:hAnsi="宋体" w:cs="宋体"/>
          <w:bCs/>
          <w:color w:val="auto"/>
          <w:sz w:val="24"/>
          <w:szCs w:val="20"/>
          <w:highlight w:val="none"/>
        </w:rPr>
      </w:pPr>
      <w:r>
        <w:rPr>
          <w:rFonts w:ascii="宋体" w:hAnsi="宋体" w:cs="宋体"/>
          <w:b/>
          <w:bCs/>
          <w:color w:val="auto"/>
          <w:sz w:val="24"/>
          <w:highlight w:val="none"/>
        </w:rPr>
        <w:pict>
          <v:shape id="_x0000_s1035" o:spid="_x0000_s1035" o:spt="202" type="#_x0000_t202" style="position:absolute;left:0pt;margin-left:30.7pt;margin-top:16pt;height:285.2pt;width:399.75pt;mso-wrap-distance-bottom:0pt;mso-wrap-distance-top:0pt;z-index:251661312;mso-width-relative:page;mso-height-relative:page;" coordsize="21600,21600" o:gfxdata="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&#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rtx32AAAAAkBAAAPAAAAAAAAAAEAIAAAACIAAABk&#10;cnMvZG93bnJldi54bWxQSwECFAAUAAAACACHTuJA5SnA4AYCAAAcBAAADgAAAAAAAAABACAAAAAn&#10;AQAAZHJzL2Uyb0RvYy54bWxQSwUGAAAAAAYABgBZAQAAnwUAAAAA&#10;">
            <v:path/>
            <v:fill focussize="0,0"/>
            <v:stroke joinstyle="miter"/>
            <v:imagedata o:title=""/>
            <o:lock v:ext="edit" rotation="t"/>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rFonts w:hint="eastAsia"/>
                      <w:sz w:val="24"/>
                    </w:rPr>
                    <w:t>年月日</w:t>
                  </w:r>
                </w:p>
              </w:txbxContent>
            </v:textbox>
            <w10:wrap type="topAndBottom"/>
          </v:shape>
        </w:pict>
      </w:r>
    </w:p>
    <w:p>
      <w:pPr>
        <w:snapToGrid w:val="0"/>
        <w:spacing w:before="120" w:beforeLines="50" w:after="50"/>
        <w:jc w:val="center"/>
        <w:outlineLvl w:val="1"/>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pStyle w:val="13"/>
        <w:ind w:left="1470" w:right="1470"/>
        <w:rPr>
          <w:rFonts w:ascii="宋体" w:hAnsi="宋体" w:cs="宋体"/>
          <w:b/>
          <w:bCs/>
          <w:color w:val="auto"/>
          <w:sz w:val="24"/>
          <w:highlight w:val="none"/>
        </w:rPr>
      </w:pPr>
    </w:p>
    <w:p>
      <w:pPr>
        <w:spacing w:line="400" w:lineRule="exact"/>
        <w:jc w:val="center"/>
        <w:rPr>
          <w:rFonts w:ascii="宋体" w:hAnsi="宋体" w:cs="宋体"/>
          <w:b/>
          <w:color w:val="auto"/>
          <w:sz w:val="28"/>
          <w:highlight w:val="none"/>
        </w:rPr>
      </w:pPr>
    </w:p>
    <w:p>
      <w:pPr>
        <w:spacing w:line="400" w:lineRule="exact"/>
        <w:jc w:val="center"/>
        <w:rPr>
          <w:rFonts w:ascii="宋体" w:hAnsi="宋体" w:cs="宋体"/>
          <w:b/>
          <w:color w:val="auto"/>
          <w:sz w:val="24"/>
          <w:szCs w:val="24"/>
          <w:highlight w:val="none"/>
        </w:rPr>
      </w:pPr>
      <w:r>
        <w:rPr>
          <w:rFonts w:hint="eastAsia" w:ascii="宋体" w:hAnsi="宋体" w:cs="宋体"/>
          <w:b/>
          <w:color w:val="auto"/>
          <w:sz w:val="28"/>
          <w:highlight w:val="none"/>
        </w:rPr>
        <w:t>商务和技术文件</w:t>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附件5</w:t>
      </w:r>
    </w:p>
    <w:p>
      <w:pPr>
        <w:spacing w:line="400" w:lineRule="exact"/>
        <w:jc w:val="center"/>
        <w:rPr>
          <w:rFonts w:ascii="宋体" w:hAnsi="宋体" w:cs="宋体"/>
          <w:b/>
          <w:color w:val="auto"/>
          <w:sz w:val="28"/>
          <w:highlight w:val="none"/>
        </w:rPr>
      </w:pPr>
      <w:r>
        <w:rPr>
          <w:rFonts w:hint="eastAsia" w:ascii="宋体" w:hAnsi="宋体" w:cs="宋体"/>
          <w:b/>
          <w:color w:val="auto"/>
          <w:sz w:val="28"/>
          <w:highlight w:val="none"/>
        </w:rPr>
        <w:t>评分索引表</w:t>
      </w:r>
    </w:p>
    <w:p>
      <w:pPr>
        <w:spacing w:line="400" w:lineRule="exact"/>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为了方便专家评审投标文件，针对招标文件评分细则要求，投标人应制作标书索引，置于投标文件首页，格式如下：</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序号</w:t>
            </w:r>
          </w:p>
        </w:tc>
        <w:tc>
          <w:tcPr>
            <w:tcW w:w="6956" w:type="dxa"/>
            <w:vAlign w:val="center"/>
          </w:tcPr>
          <w:p>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评分内容</w:t>
            </w:r>
          </w:p>
        </w:tc>
        <w:tc>
          <w:tcPr>
            <w:tcW w:w="1313" w:type="dxa"/>
            <w:vAlign w:val="center"/>
          </w:tcPr>
          <w:p>
            <w:pPr>
              <w:pStyle w:val="51"/>
              <w:spacing w:line="400" w:lineRule="exact"/>
              <w:rPr>
                <w:rFonts w:hint="default" w:ascii="宋体" w:hAnsi="宋体" w:eastAsia="宋体" w:cs="宋体"/>
                <w:b/>
                <w:color w:val="auto"/>
                <w:spacing w:val="-6"/>
                <w:szCs w:val="24"/>
                <w:highlight w:val="none"/>
              </w:rPr>
            </w:pPr>
            <w:r>
              <w:rPr>
                <w:rFonts w:ascii="宋体" w:hAnsi="宋体" w:eastAsia="宋体" w:cs="宋体"/>
                <w:b/>
                <w:color w:val="auto"/>
                <w:spacing w:val="-6"/>
                <w:szCs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1</w:t>
            </w:r>
          </w:p>
        </w:tc>
        <w:tc>
          <w:tcPr>
            <w:tcW w:w="6956" w:type="dxa"/>
            <w:vAlign w:val="center"/>
          </w:tcPr>
          <w:p>
            <w:pPr>
              <w:spacing w:line="400" w:lineRule="exact"/>
              <w:jc w:val="left"/>
              <w:rPr>
                <w:rFonts w:ascii="宋体" w:hAnsi="宋体" w:cs="宋体"/>
                <w:color w:val="auto"/>
                <w:kern w:val="0"/>
                <w:sz w:val="24"/>
                <w:szCs w:val="24"/>
                <w:highlight w:val="none"/>
              </w:rPr>
            </w:pPr>
          </w:p>
          <w:p>
            <w:pPr>
              <w:spacing w:line="400" w:lineRule="exact"/>
              <w:jc w:val="left"/>
              <w:rPr>
                <w:rFonts w:ascii="宋体" w:hAnsi="宋体" w:cs="宋体"/>
                <w:color w:val="auto"/>
                <w:kern w:val="0"/>
                <w:sz w:val="24"/>
                <w:szCs w:val="24"/>
                <w:highlight w:val="none"/>
              </w:rPr>
            </w:pPr>
          </w:p>
        </w:tc>
        <w:tc>
          <w:tcPr>
            <w:tcW w:w="1313" w:type="dxa"/>
            <w:vAlign w:val="center"/>
          </w:tcPr>
          <w:p>
            <w:pPr>
              <w:pStyle w:val="11"/>
              <w:spacing w:line="400" w:lineRule="exact"/>
              <w:ind w:left="456" w:hanging="456"/>
              <w:rPr>
                <w:rFonts w:ascii="宋体" w:hAnsi="宋体" w:cs="宋体"/>
                <w:color w:val="auto"/>
                <w:spacing w:val="-6"/>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2</w:t>
            </w:r>
          </w:p>
        </w:tc>
        <w:tc>
          <w:tcPr>
            <w:tcW w:w="6956" w:type="dxa"/>
            <w:vAlign w:val="center"/>
          </w:tcPr>
          <w:p>
            <w:pPr>
              <w:spacing w:line="400" w:lineRule="exact"/>
              <w:jc w:val="left"/>
              <w:rPr>
                <w:rFonts w:ascii="宋体" w:hAnsi="宋体" w:cs="宋体"/>
                <w:color w:val="auto"/>
                <w:kern w:val="0"/>
                <w:sz w:val="24"/>
                <w:szCs w:val="24"/>
                <w:highlight w:val="none"/>
              </w:rPr>
            </w:pPr>
          </w:p>
        </w:tc>
        <w:tc>
          <w:tcPr>
            <w:tcW w:w="1313" w:type="dxa"/>
            <w:vAlign w:val="center"/>
          </w:tcPr>
          <w:p>
            <w:pPr>
              <w:pStyle w:val="11"/>
              <w:spacing w:line="400" w:lineRule="exact"/>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w:t>
            </w:r>
          </w:p>
        </w:tc>
        <w:tc>
          <w:tcPr>
            <w:tcW w:w="6956" w:type="dxa"/>
            <w:vAlign w:val="center"/>
          </w:tcPr>
          <w:p>
            <w:pPr>
              <w:spacing w:line="400" w:lineRule="exac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w:t>
            </w:r>
          </w:p>
        </w:tc>
        <w:tc>
          <w:tcPr>
            <w:tcW w:w="6956" w:type="dxa"/>
            <w:vAlign w:val="center"/>
          </w:tcPr>
          <w:p>
            <w:pPr>
              <w:spacing w:line="400" w:lineRule="exac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5</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6</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7</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8</w:t>
            </w:r>
          </w:p>
        </w:tc>
        <w:tc>
          <w:tcPr>
            <w:tcW w:w="6956" w:type="dxa"/>
            <w:vAlign w:val="center"/>
          </w:tcPr>
          <w:p>
            <w:pPr>
              <w:spacing w:line="400" w:lineRule="exac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9</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bl>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备注：一.“评分内容”对应“第六部分”评标原则及方法。</w:t>
      </w:r>
    </w:p>
    <w:p>
      <w:pPr>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二.评标内容自行添加。本表可扩展。</w:t>
      </w:r>
    </w:p>
    <w:p>
      <w:pPr>
        <w:spacing w:line="400" w:lineRule="exact"/>
        <w:ind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三.各投标人在投标文件最前页根据本评标细则制作评分索引表，清楚标注响应内容及证明材料的所在页码。</w:t>
      </w:r>
    </w:p>
    <w:p>
      <w:pPr>
        <w:spacing w:line="400" w:lineRule="exact"/>
        <w:ind w:hanging="1"/>
        <w:rPr>
          <w:rFonts w:ascii="宋体" w:hAnsi="宋体" w:cs="宋体"/>
          <w:b/>
          <w:color w:val="auto"/>
          <w:sz w:val="22"/>
          <w:highlight w:val="none"/>
        </w:rPr>
      </w:pPr>
    </w:p>
    <w:p>
      <w:pPr>
        <w:spacing w:line="400" w:lineRule="exact"/>
        <w:ind w:hanging="1"/>
        <w:rPr>
          <w:rFonts w:ascii="宋体" w:hAnsi="宋体" w:cs="宋体"/>
          <w:b/>
          <w:color w:val="auto"/>
          <w:sz w:val="22"/>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附件6</w:t>
      </w:r>
    </w:p>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法定代表人资格证明书</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温州大学瓯江学院、浙江乐诚工程咨询有限公司</w:t>
      </w:r>
      <w:r>
        <w:rPr>
          <w:rFonts w:hint="eastAsia" w:ascii="宋体" w:hAnsi="宋体" w:cs="宋体"/>
          <w:color w:val="auto"/>
          <w:sz w:val="24"/>
          <w:szCs w:val="24"/>
          <w:highlight w:val="none"/>
        </w:rPr>
        <w:t>：</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（姓名、性别、年龄）</w:t>
      </w:r>
      <w:r>
        <w:rPr>
          <w:rFonts w:hint="eastAsia" w:ascii="宋体" w:hAnsi="宋体" w:cs="宋体"/>
          <w:color w:val="auto"/>
          <w:sz w:val="24"/>
          <w:szCs w:val="24"/>
          <w:highlight w:val="none"/>
        </w:rPr>
        <w:t>在我单位任</w:t>
      </w:r>
      <w:r>
        <w:rPr>
          <w:rFonts w:hint="eastAsia" w:ascii="宋体" w:hAnsi="宋体" w:cs="宋体"/>
          <w:color w:val="auto"/>
          <w:sz w:val="24"/>
          <w:szCs w:val="24"/>
          <w:highlight w:val="none"/>
          <w:u w:val="single"/>
        </w:rPr>
        <w:t xml:space="preserve">                      （职务名称）</w:t>
      </w:r>
      <w:r>
        <w:rPr>
          <w:rFonts w:hint="eastAsia" w:ascii="宋体" w:hAnsi="宋体" w:cs="宋体"/>
          <w:color w:val="auto"/>
          <w:sz w:val="24"/>
          <w:szCs w:val="24"/>
          <w:highlight w:val="none"/>
        </w:rPr>
        <w:t>职务，是我单位的法定代表人。</w:t>
      </w:r>
    </w:p>
    <w:p>
      <w:pPr>
        <w:spacing w:line="400" w:lineRule="exact"/>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pacing w:line="400" w:lineRule="exact"/>
        <w:jc w:val="left"/>
        <w:rPr>
          <w:rFonts w:ascii="宋体" w:hAnsi="宋体" w:cs="宋体"/>
          <w:b/>
          <w:bCs/>
          <w:color w:val="auto"/>
          <w:sz w:val="24"/>
          <w:szCs w:val="24"/>
          <w:highlight w:val="none"/>
        </w:rPr>
      </w:pPr>
    </w:p>
    <w:p>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法定代表人身份证号：（身份证复印附后）</w:t>
      </w:r>
    </w:p>
    <w:p>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法定代表人电话：</w:t>
      </w:r>
    </w:p>
    <w:p>
      <w:pPr>
        <w:spacing w:line="400" w:lineRule="exact"/>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投标人全称（电子签章）</w:t>
      </w:r>
    </w:p>
    <w:p>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日 期：   年  月  日</w:t>
      </w:r>
    </w:p>
    <w:p>
      <w:pPr>
        <w:spacing w:line="400" w:lineRule="exact"/>
        <w:rPr>
          <w:rFonts w:ascii="宋体" w:hAnsi="宋体" w:cs="宋体"/>
          <w:b/>
          <w:bCs/>
          <w:color w:val="auto"/>
          <w:sz w:val="24"/>
          <w:szCs w:val="24"/>
          <w:highlight w:val="none"/>
        </w:rPr>
      </w:pPr>
      <w:r>
        <w:rPr>
          <w:rFonts w:ascii="宋体" w:hAnsi="宋体" w:cs="宋体"/>
          <w:b/>
          <w:bCs/>
          <w:color w:val="auto"/>
          <w:sz w:val="24"/>
          <w:szCs w:val="24"/>
          <w:highlight w:val="none"/>
        </w:rPr>
        <w:pict>
          <v:shape id="_x0000_s1036" o:spid="_x0000_s1036" o:spt="202" type="#_x0000_t202" style="position:absolute;left:0pt;margin-left:47.1pt;margin-top:12.45pt;height:187.2pt;width:267.75pt;z-index:251664384;mso-width-relative:page;mso-height-relative:page;"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l8mDtgAAAAJAQAADwAAAAAAAAABACAAAAAiAAAAZHJzL2Rvd25yZXYueG1s&#10;UEsBAhQAFAAAAAgAh07iQLtPeAP4AQAA9wMAAA4AAAAAAAAAAQAgAAAAJwEAAGRycy9lMm9Eb2Mu&#10;eG1sUEsFBgAAAAAGAAYAWQEAAJEFAAAAAA==&#10;">
            <v:path/>
            <v:fill focussize="0,0"/>
            <v:stroke joinstyle="miter"/>
            <v:imagedata o:title=""/>
            <o:lock v:ext="edit"/>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w: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napToGrid w:val="0"/>
        <w:spacing w:line="400" w:lineRule="exact"/>
        <w:rPr>
          <w:rFonts w:ascii="宋体" w:hAnsi="宋体" w:cs="宋体"/>
          <w:color w:val="auto"/>
          <w:sz w:val="24"/>
          <w:szCs w:val="24"/>
          <w:highlight w:val="none"/>
        </w:rPr>
      </w:pPr>
    </w:p>
    <w:p>
      <w:pPr>
        <w:spacing w:line="400" w:lineRule="exact"/>
        <w:rPr>
          <w:rFonts w:ascii="宋体" w:hAnsi="宋体" w:cs="宋体"/>
          <w:b/>
          <w:bCs/>
          <w:color w:val="auto"/>
          <w:spacing w:val="-6"/>
          <w:sz w:val="24"/>
          <w:highlight w:val="none"/>
        </w:rPr>
      </w:pPr>
      <w:r>
        <w:rPr>
          <w:rFonts w:hint="eastAsia" w:ascii="宋体" w:hAnsi="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说明：投标人的法定代表人参加投标，须在投标文件中提供法定代表人资格证明书；投标人的法定代表人委托授权代表参加投标，须在投标文件中提供法定代表人授权委托书。</w:t>
      </w:r>
    </w:p>
    <w:p>
      <w:pPr>
        <w:spacing w:line="400" w:lineRule="exact"/>
        <w:rPr>
          <w:rFonts w:ascii="宋体" w:hAnsi="宋体" w:cs="宋体"/>
          <w:color w:val="auto"/>
          <w:sz w:val="24"/>
          <w:szCs w:val="24"/>
          <w:highlight w:val="none"/>
        </w:rPr>
      </w:pPr>
    </w:p>
    <w:p>
      <w:pPr>
        <w:spacing w:line="400" w:lineRule="exact"/>
        <w:rPr>
          <w:rFonts w:ascii="宋体" w:hAnsi="宋体" w:cs="宋体"/>
          <w:color w:val="auto"/>
          <w:sz w:val="24"/>
          <w:szCs w:val="24"/>
          <w:highlight w:val="none"/>
        </w:rPr>
      </w:pPr>
    </w:p>
    <w:p>
      <w:pPr>
        <w:pStyle w:val="13"/>
        <w:spacing w:after="0" w:line="400" w:lineRule="exact"/>
        <w:ind w:left="0" w:leftChars="0" w:right="0" w:rightChars="0"/>
        <w:rPr>
          <w:rFonts w:ascii="宋体" w:hAnsi="宋体" w:cs="宋体"/>
          <w:color w:val="auto"/>
          <w:highlight w:val="none"/>
        </w:rPr>
      </w:pPr>
    </w:p>
    <w:p>
      <w:pPr>
        <w:pStyle w:val="13"/>
        <w:spacing w:after="0" w:line="400" w:lineRule="exact"/>
        <w:ind w:left="0" w:leftChars="0" w:right="0" w:rightChars="0"/>
        <w:rPr>
          <w:rFonts w:ascii="宋体" w:hAnsi="宋体" w:cs="宋体"/>
          <w:color w:val="auto"/>
          <w:highlight w:val="none"/>
        </w:rPr>
      </w:pPr>
    </w:p>
    <w:p>
      <w:pPr>
        <w:pStyle w:val="13"/>
        <w:spacing w:after="0" w:line="400" w:lineRule="exact"/>
        <w:ind w:left="0" w:leftChars="0" w:right="0" w:rightChars="0"/>
        <w:rPr>
          <w:rFonts w:ascii="宋体" w:hAnsi="宋体" w:cs="宋体"/>
          <w:color w:val="auto"/>
          <w:highlight w:val="none"/>
        </w:rPr>
      </w:pPr>
    </w:p>
    <w:p>
      <w:pPr>
        <w:pStyle w:val="13"/>
        <w:ind w:left="1470" w:right="1470"/>
        <w:rPr>
          <w:color w:val="auto"/>
          <w:highlight w:val="none"/>
        </w:rPr>
      </w:pPr>
    </w:p>
    <w:p>
      <w:pPr>
        <w:snapToGrid w:val="0"/>
        <w:spacing w:line="400" w:lineRule="exact"/>
        <w:jc w:val="center"/>
        <w:rPr>
          <w:rFonts w:ascii="宋体" w:hAnsi="宋体" w:cs="宋体"/>
          <w:b/>
          <w:color w:val="auto"/>
          <w:spacing w:val="-6"/>
          <w:sz w:val="24"/>
          <w:szCs w:val="24"/>
          <w:highlight w:val="none"/>
        </w:rPr>
      </w:pPr>
    </w:p>
    <w:p>
      <w:pPr>
        <w:snapToGrid w:val="0"/>
        <w:spacing w:line="400" w:lineRule="exact"/>
        <w:jc w:val="center"/>
        <w:rPr>
          <w:rFonts w:ascii="宋体" w:hAnsi="宋体" w:cs="宋体"/>
          <w:b/>
          <w:color w:val="auto"/>
          <w:spacing w:val="-6"/>
          <w:sz w:val="24"/>
          <w:szCs w:val="24"/>
          <w:highlight w:val="none"/>
        </w:rPr>
      </w:pPr>
    </w:p>
    <w:p>
      <w:pPr>
        <w:snapToGrid w:val="0"/>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法定代表人授权委托书</w:t>
      </w:r>
    </w:p>
    <w:p>
      <w:pPr>
        <w:spacing w:line="400" w:lineRule="exact"/>
        <w:rPr>
          <w:rFonts w:ascii="宋体" w:hAnsi="宋体" w:cs="宋体"/>
          <w:b/>
          <w:bCs/>
          <w:color w:val="auto"/>
          <w:spacing w:val="-6"/>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温州大学瓯江学院、浙江乐诚工程咨询有限公司</w:t>
      </w:r>
      <w:r>
        <w:rPr>
          <w:rFonts w:hint="eastAsia" w:ascii="宋体" w:hAnsi="宋体" w:cs="宋体"/>
          <w:color w:val="auto"/>
          <w:spacing w:val="-6"/>
          <w:sz w:val="24"/>
          <w:szCs w:val="24"/>
          <w:highlight w:val="none"/>
        </w:rPr>
        <w:t>：</w:t>
      </w:r>
    </w:p>
    <w:p>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 xml:space="preserve">（投标人名称）的法定代表人，现授权委托本单位在职职工 </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（姓名）（身份证号：</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）以我方的名义参加温州大学瓯江学院</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 xml:space="preserve">项目（项目编号： </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pPr>
        <w:snapToGrid w:val="0"/>
        <w:spacing w:line="400" w:lineRule="exact"/>
        <w:rPr>
          <w:rFonts w:ascii="宋体" w:hAnsi="宋体" w:cs="宋体"/>
          <w:color w:val="auto"/>
          <w:spacing w:val="-6"/>
          <w:sz w:val="24"/>
          <w:szCs w:val="24"/>
          <w:highlight w:val="none"/>
        </w:rPr>
      </w:pPr>
    </w:p>
    <w:p>
      <w:pPr>
        <w:snapToGrid w:val="0"/>
        <w:spacing w:line="400" w:lineRule="exact"/>
        <w:rPr>
          <w:rFonts w:ascii="宋体" w:hAnsi="宋体" w:cs="宋体"/>
          <w:color w:val="auto"/>
          <w:spacing w:val="-6"/>
          <w:sz w:val="24"/>
          <w:szCs w:val="24"/>
          <w:highlight w:val="none"/>
        </w:rPr>
      </w:pPr>
    </w:p>
    <w:p>
      <w:pPr>
        <w:snapToGrid w:val="0"/>
        <w:spacing w:line="400" w:lineRule="exact"/>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被授权人签字：                 法定代表人签字或盖章：</w:t>
      </w:r>
    </w:p>
    <w:p>
      <w:pPr>
        <w:snapToGrid w:val="0"/>
        <w:spacing w:line="400" w:lineRule="exact"/>
        <w:ind w:firstLine="912" w:firstLineChars="4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职务：                  职务：</w:t>
      </w:r>
    </w:p>
    <w:p>
      <w:pPr>
        <w:snapToGrid w:val="0"/>
        <w:spacing w:line="400" w:lineRule="exac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被授权人身份证号码：</w:t>
      </w:r>
    </w:p>
    <w:p>
      <w:pPr>
        <w:snapToGrid w:val="0"/>
        <w:spacing w:line="400" w:lineRule="exac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投标人全称(电子签章)：</w:t>
      </w:r>
    </w:p>
    <w:p>
      <w:pPr>
        <w:snapToGrid w:val="0"/>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年    月    日</w:t>
      </w:r>
    </w:p>
    <w:p>
      <w:pPr>
        <w:spacing w:line="400" w:lineRule="exact"/>
        <w:rPr>
          <w:rFonts w:ascii="宋体" w:hAnsi="宋体" w:cs="宋体"/>
          <w:color w:val="auto"/>
          <w:spacing w:val="-6"/>
          <w:sz w:val="24"/>
          <w:szCs w:val="24"/>
          <w:highlight w:val="none"/>
        </w:rPr>
      </w:pPr>
      <w:r>
        <w:rPr>
          <w:rFonts w:ascii="宋体" w:hAnsi="宋体" w:cs="宋体"/>
          <w:color w:val="auto"/>
          <w:spacing w:val="-6"/>
          <w:sz w:val="24"/>
          <w:szCs w:val="24"/>
          <w:highlight w:val="none"/>
        </w:rPr>
        <w:pict>
          <v:shape id="_x0000_s1037" o:spid="_x0000_s1037" o:spt="202" type="#_x0000_t202" style="position:absolute;left:0pt;margin-left:0pt;margin-top:11.7pt;height:185.85pt;width:408.75pt;z-index:251663360;mso-width-relative:page;mso-height-relative:page;" coordsize="21600,21600" o:gfxdata="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8q/5NgAAAAHAQAADwAAAAAAAAABACAAAAAiAAAAZHJzL2Rvd25yZXYueG1sUEsB&#10;AhQAFAAAAAgAh07iQGJqsUX1AQAA9wMAAA4AAAAAAAAAAQAgAAAAJwEAAGRycy9lMm9Eb2MueG1s&#10;UEsFBgAAAAAGAAYAWQEAAI4FAAAAAA==&#10;">
            <v:path/>
            <v:fill focussize="0,0"/>
            <v:stroke joinstyle="miter"/>
            <v:imagedata o:title=""/>
            <o:lock v:ext="edit"/>
            <v:textbo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w: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jc w:val="center"/>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法定代表人授权书</w:t>
      </w:r>
    </w:p>
    <w:p>
      <w:pPr>
        <w:spacing w:line="400" w:lineRule="exact"/>
        <w:ind w:firstLine="240" w:firstLineChars="100"/>
        <w:rPr>
          <w:rFonts w:ascii="宋体" w:hAnsi="宋体" w:cs="宋体"/>
          <w:color w:val="auto"/>
          <w:sz w:val="24"/>
          <w:szCs w:val="24"/>
          <w:highlight w:val="none"/>
        </w:rPr>
      </w:pPr>
    </w:p>
    <w:p>
      <w:pPr>
        <w:pStyle w:val="2"/>
        <w:rPr>
          <w:rFonts w:ascii="宋体" w:hAnsi="宋体" w:cs="宋体"/>
          <w:color w:val="auto"/>
          <w:sz w:val="24"/>
          <w:szCs w:val="24"/>
          <w:highlight w:val="none"/>
        </w:rPr>
      </w:pPr>
    </w:p>
    <w:p>
      <w:pPr>
        <w:rPr>
          <w:rFonts w:ascii="宋体" w:hAnsi="宋体" w:cs="宋体"/>
          <w:color w:val="auto"/>
          <w:sz w:val="24"/>
          <w:szCs w:val="24"/>
          <w:highlight w:val="none"/>
        </w:rPr>
      </w:pPr>
    </w:p>
    <w:p>
      <w:pPr>
        <w:pStyle w:val="10"/>
        <w:ind w:firstLine="321"/>
        <w:rPr>
          <w:color w:val="auto"/>
          <w:highlight w:val="none"/>
        </w:rPr>
      </w:pPr>
    </w:p>
    <w:p>
      <w:pPr>
        <w:rPr>
          <w:rFonts w:ascii="宋体" w:hAnsi="宋体" w:cs="宋体"/>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附件7</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投 标 函</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温州大学瓯江学院、浙江乐诚工程咨询有限公司</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根据贵方为温州大学瓯江学院</w:t>
      </w:r>
      <w:r>
        <w:rPr>
          <w:rFonts w:ascii="宋体" w:hAnsi="宋体" w:cs="宋体"/>
          <w:color w:val="auto"/>
          <w:sz w:val="22"/>
          <w:highlight w:val="none"/>
        </w:rPr>
        <w:t>_____________</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）的投标邀请，我方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（投标人名称）作为投标人正式授权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（授权代表全名，职务）代表我方处理本次项目中的一切投标相关事宜。</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我方己完全明白招标文件的所有条款要求，并重申以下几点：</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（一）本投标文件的有效期自提交投标文件的截止之日起 </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天内有效，如中标，有效期将延至合同终止日为止；</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（三）我方明白并愿意在规定的开标时间之后，投标人在投标有效期内不撤回投标；</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（四）我方同意提供按照贵方可能要求的与投标有关的一切数据或资料；</w:t>
      </w:r>
    </w:p>
    <w:p>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（五）我方理解贵方不一定接受最低报价</w:t>
      </w:r>
      <w:r>
        <w:rPr>
          <w:rFonts w:hint="eastAsia" w:ascii="宋体" w:hAnsi="宋体" w:cs="宋体"/>
          <w:color w:val="auto"/>
          <w:sz w:val="24"/>
          <w:szCs w:val="24"/>
          <w:highlight w:val="none"/>
          <w:lang w:eastAsia="zh-CN"/>
        </w:rPr>
        <w:t>；</w:t>
      </w:r>
    </w:p>
    <w:p>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（六）如中标，本投标文件至本项目合同履行完毕止均保持有效，本投标人将按“招标文件”及政府采购法律、法规的规定履行合同责任和义务</w:t>
      </w:r>
      <w:r>
        <w:rPr>
          <w:rFonts w:hint="eastAsia" w:ascii="宋体" w:hAnsi="宋体" w:cs="宋体"/>
          <w:color w:val="auto"/>
          <w:sz w:val="24"/>
          <w:szCs w:val="24"/>
          <w:highlight w:val="none"/>
          <w:lang w:eastAsia="zh-CN"/>
        </w:rPr>
        <w:t>；</w:t>
      </w:r>
    </w:p>
    <w:p>
      <w:pPr>
        <w:spacing w:line="400" w:lineRule="exact"/>
        <w:ind w:firstLine="480" w:firstLineChars="200"/>
        <w:rPr>
          <w:rFonts w:ascii="宋体" w:hAnsi="宋体" w:cs="宋体"/>
          <w:color w:val="auto"/>
          <w:spacing w:val="-6"/>
          <w:sz w:val="24"/>
          <w:highlight w:val="none"/>
        </w:rPr>
      </w:pPr>
      <w:r>
        <w:rPr>
          <w:rFonts w:hint="eastAsia" w:ascii="宋体" w:hAnsi="宋体" w:cs="宋体"/>
          <w:color w:val="auto"/>
          <w:sz w:val="24"/>
          <w:szCs w:val="24"/>
          <w:highlight w:val="none"/>
        </w:rPr>
        <w:t>（七）</w:t>
      </w:r>
      <w:r>
        <w:rPr>
          <w:rFonts w:hint="eastAsia" w:ascii="宋体" w:hAnsi="宋体" w:cs="宋体"/>
          <w:color w:val="auto"/>
          <w:spacing w:val="-6"/>
          <w:sz w:val="24"/>
          <w:highlight w:val="none"/>
        </w:rPr>
        <w:t>我方向贵方提交的所有投标文件、资料都是准确的和真实的，</w:t>
      </w:r>
      <w:r>
        <w:rPr>
          <w:rFonts w:hint="eastAsia" w:ascii="宋体" w:hAnsi="宋体" w:cs="宋体"/>
          <w:color w:val="auto"/>
          <w:spacing w:val="-6"/>
          <w:sz w:val="24"/>
          <w:szCs w:val="24"/>
          <w:highlight w:val="none"/>
        </w:rPr>
        <w:t>如有虚假或隐瞒，我方愿意承担一切后果和责任</w:t>
      </w:r>
      <w:r>
        <w:rPr>
          <w:rFonts w:hint="eastAsia" w:ascii="宋体" w:hAnsi="宋体" w:cs="宋体"/>
          <w:color w:val="auto"/>
          <w:spacing w:val="-6"/>
          <w:sz w:val="24"/>
          <w:highlight w:val="none"/>
        </w:rPr>
        <w:t>；</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（八）所有与本投标有关的函件请发往下列地址：</w:t>
      </w:r>
    </w:p>
    <w:p>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rPr>
        <w:t xml:space="preserve">                　　  　　</w:t>
      </w:r>
    </w:p>
    <w:p>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pPr>
        <w:spacing w:line="400" w:lineRule="exact"/>
        <w:ind w:firstLine="435"/>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p>
    <w:p>
      <w:pPr>
        <w:spacing w:line="400" w:lineRule="exact"/>
        <w:ind w:firstLine="840" w:firstLineChars="350"/>
        <w:rPr>
          <w:rFonts w:ascii="宋体" w:hAnsi="宋体" w:cs="宋体"/>
          <w:color w:val="auto"/>
          <w:sz w:val="24"/>
          <w:szCs w:val="24"/>
          <w:highlight w:val="none"/>
          <w:u w:val="singl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p>
    <w:p>
      <w:pPr>
        <w:spacing w:line="400" w:lineRule="exact"/>
        <w:rPr>
          <w:rFonts w:ascii="宋体" w:hAnsi="宋体" w:cs="宋体"/>
          <w:color w:val="auto"/>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napToGrid w:val="0"/>
        <w:spacing w:line="400" w:lineRule="exact"/>
        <w:jc w:val="center"/>
        <w:rPr>
          <w:rFonts w:ascii="宋体" w:hAnsi="宋体" w:cs="宋体"/>
          <w:b/>
          <w:bCs/>
          <w:color w:val="auto"/>
          <w:sz w:val="28"/>
          <w:szCs w:val="28"/>
          <w:highlight w:val="none"/>
        </w:rPr>
      </w:pPr>
    </w:p>
    <w:p>
      <w:pPr>
        <w:snapToGrid w:val="0"/>
        <w:spacing w:line="400" w:lineRule="exact"/>
        <w:jc w:val="center"/>
        <w:rPr>
          <w:rFonts w:ascii="宋体" w:hAnsi="宋体" w:cs="宋体"/>
          <w:b/>
          <w:bCs/>
          <w:color w:val="auto"/>
          <w:sz w:val="28"/>
          <w:szCs w:val="28"/>
          <w:highlight w:val="none"/>
        </w:rPr>
      </w:pPr>
    </w:p>
    <w:p>
      <w:pPr>
        <w:snapToGrid w:val="0"/>
        <w:spacing w:line="400" w:lineRule="exact"/>
        <w:jc w:val="center"/>
        <w:rPr>
          <w:rFonts w:ascii="宋体" w:hAnsi="宋体" w:cs="宋体"/>
          <w:b/>
          <w:bCs/>
          <w:color w:val="auto"/>
          <w:sz w:val="28"/>
          <w:szCs w:val="28"/>
          <w:highlight w:val="none"/>
        </w:rPr>
      </w:pPr>
    </w:p>
    <w:p>
      <w:pPr>
        <w:snapToGrid w:val="0"/>
        <w:spacing w:line="400" w:lineRule="exact"/>
        <w:jc w:val="center"/>
        <w:rPr>
          <w:rFonts w:ascii="宋体" w:hAnsi="宋体" w:cs="宋体"/>
          <w:b/>
          <w:bCs/>
          <w:color w:val="auto"/>
          <w:sz w:val="28"/>
          <w:szCs w:val="28"/>
          <w:highlight w:val="none"/>
        </w:rPr>
      </w:pPr>
    </w:p>
    <w:p>
      <w:pPr>
        <w:pStyle w:val="13"/>
        <w:ind w:left="1470" w:right="1470"/>
        <w:rPr>
          <w:color w:val="auto"/>
          <w:highlight w:val="none"/>
        </w:rPr>
      </w:pPr>
    </w:p>
    <w:p>
      <w:pPr>
        <w:pStyle w:val="10"/>
        <w:ind w:firstLine="321"/>
        <w:rPr>
          <w:rFonts w:ascii="宋体" w:hAnsi="宋体" w:cs="宋体"/>
          <w:color w:val="auto"/>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附件8</w:t>
      </w:r>
    </w:p>
    <w:p>
      <w:pPr>
        <w:spacing w:line="400" w:lineRule="exact"/>
        <w:ind w:firstLine="435"/>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投标人基本情况表</w:t>
      </w:r>
    </w:p>
    <w:tbl>
      <w:tblPr>
        <w:tblStyle w:val="26"/>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2</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4305" w:type="dxa"/>
            <w:gridSpan w:val="2"/>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4185"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4305" w:type="dxa"/>
            <w:gridSpan w:val="2"/>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4185"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4305" w:type="dxa"/>
            <w:gridSpan w:val="2"/>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4185"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8</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9</w:t>
            </w:r>
          </w:p>
        </w:tc>
        <w:tc>
          <w:tcPr>
            <w:tcW w:w="2520"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作为承包人经历年数</w:t>
            </w:r>
          </w:p>
        </w:tc>
        <w:tc>
          <w:tcPr>
            <w:tcW w:w="5970" w:type="dxa"/>
            <w:gridSpan w:val="2"/>
            <w:vAlign w:val="center"/>
          </w:tcPr>
          <w:p>
            <w:pPr>
              <w:spacing w:line="400" w:lineRule="exact"/>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10</w:t>
            </w:r>
          </w:p>
        </w:tc>
        <w:tc>
          <w:tcPr>
            <w:tcW w:w="2520"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970" w:type="dxa"/>
            <w:gridSpan w:val="2"/>
            <w:vAlign w:val="center"/>
          </w:tcPr>
          <w:p>
            <w:pPr>
              <w:spacing w:line="400" w:lineRule="exact"/>
              <w:rPr>
                <w:rFonts w:ascii="宋体" w:hAnsi="宋体" w:cs="宋体"/>
                <w:color w:val="auto"/>
                <w:spacing w:val="-6"/>
                <w:sz w:val="24"/>
                <w:highlight w:val="none"/>
              </w:rPr>
            </w:pPr>
          </w:p>
        </w:tc>
      </w:tr>
    </w:tbl>
    <w:p>
      <w:pPr>
        <w:spacing w:line="400" w:lineRule="exact"/>
        <w:rPr>
          <w:rFonts w:ascii="宋体" w:hAnsi="宋体" w:cs="宋体"/>
          <w:color w:val="auto"/>
          <w:spacing w:val="-6"/>
          <w:sz w:val="24"/>
          <w:highlight w:val="none"/>
        </w:rPr>
      </w:pP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说明：所有投标人都须填写此表。</w:t>
      </w:r>
    </w:p>
    <w:p>
      <w:pPr>
        <w:spacing w:line="400" w:lineRule="exact"/>
        <w:rPr>
          <w:rFonts w:ascii="宋体" w:hAnsi="宋体" w:cs="宋体"/>
          <w:color w:val="auto"/>
          <w:spacing w:val="-6"/>
          <w:sz w:val="24"/>
          <w:highlight w:val="none"/>
        </w:rPr>
      </w:pPr>
    </w:p>
    <w:p>
      <w:pPr>
        <w:spacing w:line="400" w:lineRule="exact"/>
        <w:rPr>
          <w:rFonts w:ascii="宋体" w:hAnsi="宋体" w:cs="宋体"/>
          <w:color w:val="auto"/>
          <w:spacing w:val="-6"/>
          <w:sz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pStyle w:val="13"/>
        <w:spacing w:after="0" w:line="400" w:lineRule="exact"/>
        <w:ind w:left="0" w:leftChars="0" w:right="0" w:rightChars="0"/>
        <w:rPr>
          <w:rFonts w:ascii="宋体" w:hAnsi="宋体" w:cs="宋体"/>
          <w:color w:val="auto"/>
          <w:highlight w:val="none"/>
        </w:rPr>
      </w:pPr>
    </w:p>
    <w:p>
      <w:pPr>
        <w:pStyle w:val="13"/>
        <w:spacing w:after="0" w:line="400" w:lineRule="exact"/>
        <w:ind w:left="0" w:leftChars="0" w:right="0" w:rightChars="0"/>
        <w:rPr>
          <w:rFonts w:ascii="宋体" w:hAnsi="宋体" w:cs="宋体"/>
          <w:color w:val="auto"/>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附件9</w:t>
      </w:r>
    </w:p>
    <w:p>
      <w:pPr>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节能、环保产品证明材料（如有）</w:t>
      </w:r>
    </w:p>
    <w:p>
      <w:pPr>
        <w:spacing w:line="360" w:lineRule="exact"/>
        <w:jc w:val="left"/>
        <w:rPr>
          <w:rFonts w:ascii="宋体" w:hAnsi="宋体" w:cs="宋体"/>
          <w:b/>
          <w:color w:val="auto"/>
          <w:sz w:val="22"/>
          <w:highlight w:val="none"/>
        </w:rPr>
      </w:pPr>
      <w:r>
        <w:rPr>
          <w:rFonts w:hint="eastAsia" w:ascii="宋体" w:hAnsi="宋体" w:cs="宋体"/>
          <w:b/>
          <w:color w:val="auto"/>
          <w:sz w:val="22"/>
          <w:highlight w:val="none"/>
        </w:rPr>
        <w:t>说明：</w:t>
      </w:r>
    </w:p>
    <w:p>
      <w:pPr>
        <w:spacing w:line="360" w:lineRule="exact"/>
        <w:jc w:val="left"/>
        <w:rPr>
          <w:rFonts w:ascii="宋体" w:hAnsi="宋体" w:cs="宋体"/>
          <w:b/>
          <w:color w:val="auto"/>
          <w:sz w:val="22"/>
          <w:highlight w:val="none"/>
        </w:rPr>
      </w:pPr>
      <w:r>
        <w:rPr>
          <w:rFonts w:hint="eastAsia" w:ascii="宋体" w:hAnsi="宋体" w:cs="宋体"/>
          <w:b/>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rFonts w:hint="eastAsia"/>
          <w:color w:val="auto"/>
          <w:highlight w:val="none"/>
        </w:rPr>
        <w:fldChar w:fldCharType="begin"/>
      </w:r>
      <w:r>
        <w:rPr>
          <w:color w:val="auto"/>
          <w:highlight w:val="none"/>
        </w:rPr>
        <w:instrText xml:space="preserve"> HYPERLINK "http://www.ccgp.gov.cn/zcfg/mof/201903/t20190330_11833800.htm" \t "http://www.ccgp.gov.cn/jnhb/jnhbqd/_blank" \o "关于印发环境标志产品政府采购品目清单的通知（财库〔2019〕18号）" </w:instrText>
      </w:r>
      <w:r>
        <w:rPr>
          <w:rFonts w:hint="eastAsia"/>
          <w:color w:val="auto"/>
          <w:highlight w:val="none"/>
        </w:rPr>
        <w:fldChar w:fldCharType="separate"/>
      </w:r>
      <w:r>
        <w:rPr>
          <w:rFonts w:hint="eastAsia" w:ascii="宋体" w:hAnsi="宋体" w:cs="宋体"/>
          <w:b/>
          <w:color w:val="auto"/>
          <w:sz w:val="22"/>
          <w:highlight w:val="none"/>
        </w:rPr>
        <w:t>关于印发环境标志产品政府采购品目清单的通知（财库〔2019〕18号）</w:t>
      </w:r>
      <w:r>
        <w:rPr>
          <w:rFonts w:hint="eastAsia" w:ascii="宋体" w:hAnsi="宋体" w:cs="宋体"/>
          <w:b/>
          <w:color w:val="auto"/>
          <w:sz w:val="22"/>
          <w:highlight w:val="none"/>
        </w:rPr>
        <w:fldChar w:fldCharType="end"/>
      </w:r>
      <w:r>
        <w:rPr>
          <w:color w:val="auto"/>
          <w:highlight w:val="none"/>
        </w:rPr>
        <w:fldChar w:fldCharType="begin"/>
      </w:r>
      <w:r>
        <w:rPr>
          <w:color w:val="auto"/>
          <w:highlight w:val="none"/>
        </w:rPr>
        <w:instrText xml:space="preserve"> HYPERLINK "http://www.ccgp.gov.cn/zcfg/mof/201903/t20190330_11833800.htm" </w:instrText>
      </w:r>
      <w:r>
        <w:rPr>
          <w:color w:val="auto"/>
          <w:highlight w:val="none"/>
        </w:rPr>
        <w:fldChar w:fldCharType="separate"/>
      </w:r>
      <w:r>
        <w:rPr>
          <w:rFonts w:hint="eastAsia" w:ascii="宋体" w:hAnsi="宋体" w:cs="宋体"/>
          <w:b/>
          <w:color w:val="auto"/>
          <w:sz w:val="22"/>
          <w:highlight w:val="none"/>
        </w:rPr>
        <w:t>http://www.ccgp.gov.cn/zcfg/mof/201903/t20190330_11833800.htm</w:t>
      </w:r>
      <w:r>
        <w:rPr>
          <w:rFonts w:hint="eastAsia" w:ascii="宋体" w:hAnsi="宋体" w:cs="宋体"/>
          <w:b/>
          <w:color w:val="auto"/>
          <w:sz w:val="22"/>
          <w:highlight w:val="none"/>
        </w:rPr>
        <w:fldChar w:fldCharType="end"/>
      </w:r>
      <w:r>
        <w:rPr>
          <w:rFonts w:hint="eastAsia" w:ascii="宋体" w:hAnsi="宋体" w:cs="宋体"/>
          <w:b/>
          <w:color w:val="auto"/>
          <w:sz w:val="22"/>
          <w:highlight w:val="none"/>
        </w:rPr>
        <w:t>和</w:t>
      </w:r>
      <w:r>
        <w:rPr>
          <w:rFonts w:hint="eastAsia"/>
          <w:color w:val="auto"/>
          <w:highlight w:val="none"/>
        </w:rPr>
        <w:fldChar w:fldCharType="begin"/>
      </w:r>
      <w:r>
        <w:rPr>
          <w:color w:val="auto"/>
          <w:highlight w:val="none"/>
        </w:rPr>
        <w:instrText xml:space="preserve"> HYPERLINK "http://www.ccgp.gov.cn/zcfg/mof/201904/t20190403_11849836.htm" \t "http://www.ccgp.gov.cn/jnhb/jnhbqd/_blank" \o "关于印发节能产品政府采购品目清单的通知（财库〔2019〕19号）" </w:instrText>
      </w:r>
      <w:r>
        <w:rPr>
          <w:rFonts w:hint="eastAsia"/>
          <w:color w:val="auto"/>
          <w:highlight w:val="none"/>
        </w:rPr>
        <w:fldChar w:fldCharType="separate"/>
      </w:r>
      <w:r>
        <w:rPr>
          <w:rFonts w:hint="eastAsia" w:ascii="宋体" w:hAnsi="宋体" w:cs="宋体"/>
          <w:b/>
          <w:color w:val="auto"/>
          <w:sz w:val="22"/>
          <w:highlight w:val="none"/>
        </w:rPr>
        <w:t>关于印发节能产品政府采购品目清单的通知（财库〔2019〕19号）</w:t>
      </w:r>
      <w:r>
        <w:rPr>
          <w:rFonts w:hint="eastAsia" w:ascii="宋体" w:hAnsi="宋体" w:cs="宋体"/>
          <w:b/>
          <w:color w:val="auto"/>
          <w:sz w:val="22"/>
          <w:highlight w:val="none"/>
        </w:rPr>
        <w:fldChar w:fldCharType="end"/>
      </w:r>
      <w:r>
        <w:rPr>
          <w:color w:val="auto"/>
          <w:highlight w:val="none"/>
        </w:rPr>
        <w:fldChar w:fldCharType="begin"/>
      </w:r>
      <w:r>
        <w:rPr>
          <w:color w:val="auto"/>
          <w:highlight w:val="none"/>
        </w:rPr>
        <w:instrText xml:space="preserve"> HYPERLINK "http://www.ccgp.gov.cn/zcfg/mof/201904/t20190403_11849836.htm" </w:instrText>
      </w:r>
      <w:r>
        <w:rPr>
          <w:color w:val="auto"/>
          <w:highlight w:val="none"/>
        </w:rPr>
        <w:fldChar w:fldCharType="separate"/>
      </w:r>
      <w:r>
        <w:rPr>
          <w:rFonts w:hint="eastAsia" w:ascii="宋体" w:hAnsi="宋体" w:cs="宋体"/>
          <w:b/>
          <w:color w:val="auto"/>
          <w:sz w:val="22"/>
          <w:highlight w:val="none"/>
        </w:rPr>
        <w:t>http://www.ccgp.gov.cn/zcfg/mof/201904/t20190403_11849836.htm</w:t>
      </w:r>
      <w:r>
        <w:rPr>
          <w:rFonts w:hint="eastAsia" w:ascii="宋体" w:hAnsi="宋体" w:cs="宋体"/>
          <w:b/>
          <w:color w:val="auto"/>
          <w:sz w:val="22"/>
          <w:highlight w:val="none"/>
        </w:rPr>
        <w:fldChar w:fldCharType="end"/>
      </w:r>
      <w:r>
        <w:rPr>
          <w:rFonts w:hint="eastAsia" w:ascii="宋体" w:hAnsi="宋体" w:cs="宋体"/>
          <w:b/>
          <w:color w:val="auto"/>
          <w:sz w:val="22"/>
          <w:highlight w:val="none"/>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或“投标产品在‘中国政府采购网’上节能产品或环境标志产品查询截图”；</w:t>
      </w:r>
    </w:p>
    <w:p>
      <w:pPr>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▲注：采购需求中要求提供的产品属于节能产品政府采购品目清单中强制采购的，投标人须提供该清单内产品，并按上款要求提供节能产品认证证书或规定网站证书查询截图，否则其投标无效。</w:t>
      </w:r>
    </w:p>
    <w:p>
      <w:pPr>
        <w:spacing w:line="360" w:lineRule="exact"/>
        <w:jc w:val="left"/>
        <w:rPr>
          <w:rFonts w:ascii="宋体" w:hAnsi="宋体" w:cs="宋体"/>
          <w:b/>
          <w:color w:val="auto"/>
          <w:sz w:val="22"/>
          <w:highlight w:val="none"/>
        </w:rPr>
      </w:pPr>
      <w:r>
        <w:rPr>
          <w:rFonts w:hint="eastAsia" w:ascii="宋体" w:hAnsi="宋体" w:cs="宋体"/>
          <w:b/>
          <w:color w:val="auto"/>
          <w:sz w:val="22"/>
          <w:highlight w:val="none"/>
        </w:rPr>
        <w:t>2、评审小组成员审查此项只根据投标文件本身的内容，不再寻求其他的外部证据。</w:t>
      </w:r>
    </w:p>
    <w:p>
      <w:pPr>
        <w:spacing w:line="400" w:lineRule="exact"/>
        <w:jc w:val="center"/>
        <w:rPr>
          <w:rFonts w:ascii="宋体" w:hAnsi="宋体" w:cs="宋体"/>
          <w:b/>
          <w:color w:val="auto"/>
          <w:sz w:val="24"/>
          <w:szCs w:val="24"/>
          <w:highlight w:val="none"/>
        </w:rPr>
      </w:pP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附表</w:t>
      </w:r>
    </w:p>
    <w:p>
      <w:pPr>
        <w:rPr>
          <w:rFonts w:ascii="宋体" w:hAnsi="宋体" w:cs="宋体"/>
          <w:color w:val="auto"/>
          <w:sz w:val="22"/>
          <w:highlight w:val="none"/>
        </w:rPr>
      </w:pPr>
      <w:r>
        <w:rPr>
          <w:rFonts w:hint="eastAsia" w:ascii="宋体" w:hAnsi="宋体" w:cs="宋体"/>
          <w:color w:val="auto"/>
          <w:sz w:val="22"/>
          <w:highlight w:val="none"/>
        </w:rPr>
        <w:t>（1）投标产品中节能产品明细清单</w:t>
      </w:r>
    </w:p>
    <w:tbl>
      <w:tblPr>
        <w:tblStyle w:val="2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品牌</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r>
    </w:tbl>
    <w:p>
      <w:pPr>
        <w:rPr>
          <w:rFonts w:ascii="宋体" w:hAnsi="宋体" w:cs="宋体"/>
          <w:color w:val="auto"/>
          <w:sz w:val="22"/>
          <w:highlight w:val="none"/>
        </w:rPr>
      </w:pPr>
    </w:p>
    <w:p>
      <w:pPr>
        <w:rPr>
          <w:rFonts w:ascii="宋体" w:hAnsi="宋体" w:cs="宋体"/>
          <w:color w:val="auto"/>
          <w:sz w:val="22"/>
          <w:highlight w:val="none"/>
        </w:rPr>
      </w:pPr>
      <w:r>
        <w:rPr>
          <w:rFonts w:hint="eastAsia" w:ascii="宋体" w:hAnsi="宋体" w:cs="宋体"/>
          <w:color w:val="auto"/>
          <w:sz w:val="22"/>
          <w:highlight w:val="none"/>
        </w:rPr>
        <w:t>（2）投标产品中环保产品明细清单</w:t>
      </w:r>
    </w:p>
    <w:tbl>
      <w:tblPr>
        <w:tblStyle w:val="26"/>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04"/>
        <w:gridCol w:w="1222"/>
        <w:gridCol w:w="1362"/>
        <w:gridCol w:w="1550"/>
        <w:gridCol w:w="20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品牌</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r>
    </w:tbl>
    <w:p>
      <w:pPr>
        <w:rPr>
          <w:rFonts w:ascii="宋体" w:hAnsi="宋体" w:cs="宋体"/>
          <w:color w:val="auto"/>
          <w:sz w:val="22"/>
          <w:highlight w:val="none"/>
        </w:rPr>
      </w:pPr>
    </w:p>
    <w:p>
      <w:pPr>
        <w:rPr>
          <w:rFonts w:ascii="宋体" w:hAnsi="宋体" w:cs="宋体"/>
          <w:b/>
          <w:color w:val="auto"/>
          <w:sz w:val="22"/>
          <w:highlight w:val="none"/>
        </w:rPr>
      </w:pPr>
      <w:r>
        <w:rPr>
          <w:rFonts w:hint="eastAsia" w:ascii="宋体" w:hAnsi="宋体" w:cs="宋体"/>
          <w:color w:val="auto"/>
          <w:sz w:val="22"/>
          <w:highlight w:val="none"/>
        </w:rPr>
        <w:t>备注：节能产品、环境标志产品认证证书或查询截图附后</w:t>
      </w: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附件10</w:t>
      </w:r>
    </w:p>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投标人同类项目业绩一览表（如有）</w:t>
      </w:r>
    </w:p>
    <w:p>
      <w:pPr>
        <w:spacing w:line="400" w:lineRule="exact"/>
        <w:rPr>
          <w:rFonts w:ascii="宋体" w:hAnsi="宋体" w:cs="宋体"/>
          <w:b/>
          <w:bCs/>
          <w:color w:val="auto"/>
          <w:sz w:val="24"/>
          <w:szCs w:val="24"/>
          <w:highlight w:val="none"/>
        </w:rPr>
      </w:pPr>
    </w:p>
    <w:p>
      <w:pPr>
        <w:pStyle w:val="13"/>
        <w:spacing w:after="0" w:line="400" w:lineRule="exact"/>
        <w:ind w:left="0" w:leftChars="0" w:right="0" w:rightChars="0"/>
        <w:rPr>
          <w:rFonts w:ascii="宋体" w:hAnsi="宋体" w:cs="宋体"/>
          <w:bCs/>
          <w:color w:val="auto"/>
          <w:sz w:val="24"/>
          <w:szCs w:val="24"/>
          <w:highlight w:val="none"/>
        </w:rPr>
      </w:pPr>
      <w:r>
        <w:rPr>
          <w:rFonts w:hint="eastAsia" w:ascii="宋体" w:hAnsi="宋体" w:cs="宋体"/>
          <w:b/>
          <w:color w:val="auto"/>
          <w:sz w:val="24"/>
          <w:szCs w:val="24"/>
          <w:highlight w:val="none"/>
        </w:rPr>
        <w:t xml:space="preserve">项目名称：                         项目编号：                  </w:t>
      </w:r>
    </w:p>
    <w:tbl>
      <w:tblPr>
        <w:tblStyle w:val="26"/>
        <w:tblW w:w="9492"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559"/>
        <w:gridCol w:w="2127"/>
        <w:gridCol w:w="1275"/>
        <w:gridCol w:w="127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559"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用户名称</w:t>
            </w:r>
          </w:p>
        </w:tc>
        <w:tc>
          <w:tcPr>
            <w:tcW w:w="2127"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1275"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276"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合同金额</w:t>
            </w:r>
          </w:p>
        </w:tc>
        <w:tc>
          <w:tcPr>
            <w:tcW w:w="2366"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用户联系电话/手机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bl>
    <w:p>
      <w:pPr>
        <w:spacing w:line="400" w:lineRule="exact"/>
        <w:ind w:left="706" w:hanging="705" w:hangingChars="294"/>
        <w:rPr>
          <w:rFonts w:ascii="宋体" w:hAnsi="宋体" w:cs="宋体"/>
          <w:color w:val="auto"/>
          <w:sz w:val="24"/>
          <w:szCs w:val="24"/>
          <w:highlight w:val="none"/>
        </w:rPr>
      </w:pPr>
      <w:r>
        <w:rPr>
          <w:rFonts w:hint="eastAsia" w:ascii="宋体" w:hAnsi="宋体" w:cs="宋体"/>
          <w:color w:val="auto"/>
          <w:sz w:val="24"/>
          <w:szCs w:val="24"/>
          <w:highlight w:val="none"/>
        </w:rPr>
        <w:t>备注：证明材料附后</w:t>
      </w:r>
    </w:p>
    <w:p>
      <w:pPr>
        <w:widowControl/>
        <w:spacing w:line="400" w:lineRule="exact"/>
        <w:rPr>
          <w:rFonts w:ascii="宋体" w:hAnsi="宋体" w:cs="宋体"/>
          <w:color w:val="auto"/>
          <w:kern w:val="0"/>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rPr>
          <w:rFonts w:ascii="宋体" w:hAnsi="宋体" w:cs="宋体"/>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附件11</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采购需求偏离表</w:t>
      </w:r>
    </w:p>
    <w:p>
      <w:pPr>
        <w:pStyle w:val="13"/>
        <w:spacing w:after="0" w:line="400" w:lineRule="exact"/>
        <w:ind w:left="0" w:leftChars="0" w:right="0" w:rightChars="0"/>
        <w:rPr>
          <w:rFonts w:ascii="宋体" w:hAnsi="宋体" w:cs="宋体"/>
          <w:color w:val="auto"/>
          <w:highlight w:val="none"/>
        </w:rPr>
      </w:pPr>
      <w:r>
        <w:rPr>
          <w:rFonts w:hint="eastAsia" w:ascii="宋体" w:hAnsi="宋体" w:cs="宋体"/>
          <w:b/>
          <w:color w:val="auto"/>
          <w:sz w:val="24"/>
          <w:szCs w:val="24"/>
          <w:highlight w:val="none"/>
        </w:rPr>
        <w:t xml:space="preserve">项目名称：                       项目编号：                  </w:t>
      </w:r>
    </w:p>
    <w:tbl>
      <w:tblPr>
        <w:tblStyle w:val="26"/>
        <w:tblW w:w="928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1"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序号</w:t>
            </w:r>
          </w:p>
        </w:tc>
        <w:tc>
          <w:tcPr>
            <w:tcW w:w="1656"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招标文件要求</w:t>
            </w:r>
          </w:p>
        </w:tc>
        <w:tc>
          <w:tcPr>
            <w:tcW w:w="3219"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投标文件对应规范</w:t>
            </w:r>
          </w:p>
        </w:tc>
        <w:tc>
          <w:tcPr>
            <w:tcW w:w="1822"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是否偏离</w:t>
            </w:r>
          </w:p>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（提供说明）</w:t>
            </w:r>
          </w:p>
        </w:tc>
        <w:tc>
          <w:tcPr>
            <w:tcW w:w="1735"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vAlign w:val="center"/>
          </w:tcPr>
          <w:p>
            <w:pPr>
              <w:snapToGrid w:val="0"/>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735"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735"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735"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735"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rPr>
                <w:rFonts w:ascii="宋体" w:hAnsi="宋体" w:cs="宋体"/>
                <w:color w:val="auto"/>
                <w:spacing w:val="-6"/>
                <w:sz w:val="24"/>
                <w:highlight w:val="none"/>
              </w:rPr>
            </w:pPr>
          </w:p>
        </w:tc>
        <w:tc>
          <w:tcPr>
            <w:tcW w:w="1656" w:type="dxa"/>
            <w:vAlign w:val="center"/>
          </w:tcPr>
          <w:p>
            <w:pPr>
              <w:snapToGrid w:val="0"/>
              <w:spacing w:line="400" w:lineRule="exact"/>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735"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vAlign w:val="center"/>
          </w:tcPr>
          <w:p>
            <w:pPr>
              <w:snapToGrid w:val="0"/>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rPr>
                <w:rFonts w:ascii="宋体" w:hAnsi="宋体" w:cs="宋体"/>
                <w:color w:val="auto"/>
                <w:spacing w:val="-6"/>
                <w:sz w:val="24"/>
                <w:highlight w:val="none"/>
              </w:rPr>
            </w:pPr>
          </w:p>
        </w:tc>
        <w:tc>
          <w:tcPr>
            <w:tcW w:w="1656" w:type="dxa"/>
            <w:vAlign w:val="center"/>
          </w:tcPr>
          <w:p>
            <w:pPr>
              <w:snapToGrid w:val="0"/>
              <w:spacing w:line="400" w:lineRule="exact"/>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735"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735"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735"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735"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735" w:type="dxa"/>
            <w:vAlign w:val="center"/>
          </w:tcPr>
          <w:p>
            <w:pPr>
              <w:snapToGrid w:val="0"/>
              <w:spacing w:line="400" w:lineRule="exact"/>
              <w:jc w:val="center"/>
              <w:rPr>
                <w:rFonts w:ascii="宋体" w:hAnsi="宋体" w:cs="宋体"/>
                <w:color w:val="auto"/>
                <w:spacing w:val="-6"/>
                <w:sz w:val="24"/>
                <w:highlight w:val="none"/>
              </w:rPr>
            </w:pPr>
          </w:p>
        </w:tc>
      </w:tr>
    </w:tbl>
    <w:p>
      <w:pPr>
        <w:pStyle w:val="13"/>
        <w:spacing w:after="0" w:line="400" w:lineRule="exact"/>
        <w:ind w:left="0" w:leftChars="0" w:right="0" w:rightChars="0"/>
        <w:rPr>
          <w:rFonts w:ascii="宋体" w:hAnsi="宋体" w:cs="宋体"/>
          <w:b/>
          <w:bCs/>
          <w:color w:val="auto"/>
          <w:spacing w:val="-6"/>
          <w:sz w:val="24"/>
          <w:highlight w:val="none"/>
        </w:rPr>
      </w:pPr>
    </w:p>
    <w:p>
      <w:pPr>
        <w:adjustRightInd w:val="0"/>
        <w:snapToGrid w:val="0"/>
        <w:spacing w:line="400" w:lineRule="exact"/>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注意：1.逐项按照招标文件要求填写响应规格；</w:t>
      </w:r>
    </w:p>
    <w:p>
      <w:pPr>
        <w:adjustRightInd w:val="0"/>
        <w:snapToGrid w:val="0"/>
        <w:spacing w:line="400" w:lineRule="exact"/>
        <w:ind w:firstLine="687" w:firstLineChars="300"/>
        <w:jc w:val="left"/>
        <w:rPr>
          <w:rFonts w:ascii="宋体" w:hAnsi="宋体" w:cs="宋体"/>
          <w:b/>
          <w:bCs/>
          <w:color w:val="auto"/>
          <w:spacing w:val="-6"/>
          <w:sz w:val="24"/>
          <w:szCs w:val="24"/>
          <w:highlight w:val="none"/>
        </w:rPr>
      </w:pPr>
      <w:r>
        <w:rPr>
          <w:rFonts w:hint="eastAsia" w:ascii="宋体" w:hAnsi="宋体" w:cs="宋体"/>
          <w:b/>
          <w:bCs/>
          <w:color w:val="auto"/>
          <w:spacing w:val="-6"/>
          <w:sz w:val="24"/>
          <w:szCs w:val="24"/>
          <w:highlight w:val="none"/>
        </w:rPr>
        <w:t>2.偏离说明是指对招标文件要求存在不同之处的解释说明。偏离系指：正偏离（高于采购需求）、负偏离（低于采购需求或未按采购需求提供相应证明材料的）、无偏离（满足采购需求）；</w:t>
      </w:r>
    </w:p>
    <w:p>
      <w:pPr>
        <w:adjustRightInd w:val="0"/>
        <w:snapToGrid w:val="0"/>
        <w:spacing w:line="400" w:lineRule="exact"/>
        <w:ind w:firstLine="687" w:firstLineChars="300"/>
        <w:jc w:val="left"/>
        <w:rPr>
          <w:rFonts w:ascii="宋体" w:hAnsi="宋体" w:cs="宋体"/>
          <w:b/>
          <w:bCs/>
          <w:color w:val="auto"/>
          <w:spacing w:val="-6"/>
          <w:sz w:val="24"/>
          <w:szCs w:val="24"/>
          <w:highlight w:val="none"/>
        </w:rPr>
      </w:pPr>
      <w:r>
        <w:rPr>
          <w:rFonts w:hint="eastAsia" w:ascii="宋体" w:hAnsi="宋体" w:cs="宋体"/>
          <w:b/>
          <w:bCs/>
          <w:color w:val="auto"/>
          <w:spacing w:val="-6"/>
          <w:sz w:val="24"/>
          <w:szCs w:val="24"/>
          <w:highlight w:val="none"/>
        </w:rPr>
        <w:t>3.建议投标人准备采购需求中要求的证明材料（如证书、检测报告等）条目索引，要求清晰提供的证明材料（如证书、检测报告等），由不清晰或者模糊造成无法判断证明材料是否符合要求的风险由投标人自行承担。</w:t>
      </w:r>
    </w:p>
    <w:p>
      <w:pPr>
        <w:widowControl/>
        <w:spacing w:line="400" w:lineRule="exact"/>
        <w:rPr>
          <w:rFonts w:ascii="宋体" w:hAnsi="宋体" w:cs="宋体"/>
          <w:color w:val="auto"/>
          <w:kern w:val="0"/>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rPr>
          <w:rFonts w:ascii="宋体" w:hAnsi="宋体" w:cs="宋体"/>
          <w:b/>
          <w:color w:val="auto"/>
          <w:sz w:val="24"/>
          <w:szCs w:val="24"/>
          <w:highlight w:val="none"/>
        </w:rPr>
      </w:pPr>
    </w:p>
    <w:p>
      <w:pPr>
        <w:spacing w:line="400" w:lineRule="exact"/>
        <w:rPr>
          <w:rFonts w:ascii="宋体" w:hAnsi="宋体" w:cs="宋体"/>
          <w:b/>
          <w:bCs/>
          <w:color w:val="auto"/>
          <w:sz w:val="24"/>
          <w:szCs w:val="24"/>
          <w:highlight w:val="none"/>
        </w:rPr>
      </w:pPr>
      <w:r>
        <w:rPr>
          <w:rFonts w:hint="eastAsia" w:ascii="宋体" w:hAnsi="宋体" w:cs="宋体"/>
          <w:b/>
          <w:color w:val="auto"/>
          <w:sz w:val="24"/>
          <w:szCs w:val="24"/>
          <w:highlight w:val="none"/>
        </w:rPr>
        <w:t>附件12</w:t>
      </w:r>
    </w:p>
    <w:p>
      <w:pPr>
        <w:pStyle w:val="58"/>
        <w:snapToGrid w:val="0"/>
        <w:spacing w:line="600" w:lineRule="exact"/>
        <w:jc w:val="center"/>
        <w:rPr>
          <w:rFonts w:hint="default" w:hAnsi="宋体" w:eastAsia="宋体" w:cs="宋体"/>
          <w:color w:val="auto"/>
          <w:sz w:val="32"/>
          <w:szCs w:val="32"/>
          <w:highlight w:val="none"/>
        </w:rPr>
      </w:pPr>
      <w:r>
        <w:rPr>
          <w:rFonts w:hAnsi="宋体" w:eastAsia="宋体" w:cs="宋体"/>
          <w:b/>
          <w:bCs/>
          <w:color w:val="auto"/>
          <w:sz w:val="32"/>
          <w:szCs w:val="32"/>
          <w:highlight w:val="none"/>
        </w:rPr>
        <w:t>政府采购活动现场确认声明书</w:t>
      </w:r>
    </w:p>
    <w:p>
      <w:pPr>
        <w:pStyle w:val="58"/>
        <w:snapToGrid w:val="0"/>
        <w:spacing w:line="400" w:lineRule="exact"/>
        <w:rPr>
          <w:rFonts w:hint="default" w:hAnsi="宋体" w:eastAsia="宋体" w:cs="宋体"/>
          <w:b/>
          <w:color w:val="auto"/>
          <w:sz w:val="24"/>
          <w:szCs w:val="24"/>
          <w:highlight w:val="none"/>
        </w:rPr>
      </w:pPr>
      <w:r>
        <w:rPr>
          <w:rFonts w:hAnsi="宋体" w:eastAsia="宋体" w:cs="宋体"/>
          <w:color w:val="auto"/>
          <w:kern w:val="0"/>
          <w:sz w:val="24"/>
          <w:szCs w:val="24"/>
          <w:highlight w:val="none"/>
          <w:u w:val="single"/>
        </w:rPr>
        <w:t>浙江乐诚工程咨询有限公司</w:t>
      </w:r>
      <w:r>
        <w:rPr>
          <w:rFonts w:hAnsi="宋体" w:eastAsia="宋体" w:cs="宋体"/>
          <w:color w:val="auto"/>
          <w:kern w:val="0"/>
          <w:sz w:val="24"/>
          <w:szCs w:val="24"/>
          <w:highlight w:val="none"/>
        </w:rPr>
        <w:t>：</w:t>
      </w:r>
    </w:p>
    <w:p>
      <w:pPr>
        <w:pStyle w:val="58"/>
        <w:snapToGrid w:val="0"/>
        <w:spacing w:line="400" w:lineRule="exact"/>
        <w:ind w:firstLine="504" w:firstLineChars="200"/>
        <w:rPr>
          <w:rFonts w:hint="default" w:hAnsi="宋体" w:eastAsia="宋体" w:cs="宋体"/>
          <w:color w:val="auto"/>
          <w:spacing w:val="6"/>
          <w:sz w:val="24"/>
          <w:szCs w:val="24"/>
          <w:highlight w:val="none"/>
        </w:rPr>
      </w:pPr>
      <w:r>
        <w:rPr>
          <w:rFonts w:hAnsi="宋体" w:eastAsia="宋体" w:cs="宋体"/>
          <w:color w:val="auto"/>
          <w:spacing w:val="6"/>
          <w:sz w:val="24"/>
          <w:szCs w:val="24"/>
          <w:highlight w:val="none"/>
        </w:rPr>
        <w:t>本人经由</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u w:val="single"/>
        </w:rPr>
        <w:t>（</w:t>
      </w:r>
      <w:r>
        <w:rPr>
          <w:rFonts w:hAnsi="宋体" w:eastAsia="宋体" w:cs="宋体"/>
          <w:color w:val="auto"/>
          <w:spacing w:val="6"/>
          <w:sz w:val="24"/>
          <w:szCs w:val="24"/>
          <w:highlight w:val="none"/>
          <w:u w:val="single"/>
        </w:rPr>
        <w:t>单位）</w:t>
      </w:r>
      <w:r>
        <w:rPr>
          <w:rFonts w:hAnsi="宋体" w:eastAsia="宋体" w:cs="宋体"/>
          <w:color w:val="auto"/>
          <w:spacing w:val="6"/>
          <w:sz w:val="24"/>
          <w:szCs w:val="24"/>
          <w:highlight w:val="none"/>
        </w:rPr>
        <w:t>法人代表负责人</w:t>
      </w:r>
      <w:r>
        <w:rPr>
          <w:rFonts w:hAnsi="宋体" w:eastAsia="宋体" w:cs="宋体"/>
          <w:color w:val="auto"/>
          <w:spacing w:val="6"/>
          <w:sz w:val="24"/>
          <w:szCs w:val="24"/>
          <w:highlight w:val="none"/>
          <w:u w:val="single"/>
        </w:rPr>
        <w:t xml:space="preserve">         （姓名）</w:t>
      </w:r>
      <w:r>
        <w:rPr>
          <w:rFonts w:hAnsi="宋体" w:eastAsia="宋体" w:cs="宋体"/>
          <w:color w:val="auto"/>
          <w:spacing w:val="6"/>
          <w:sz w:val="24"/>
          <w:szCs w:val="24"/>
          <w:highlight w:val="none"/>
        </w:rPr>
        <w:t>合法授权参加</w:t>
      </w:r>
      <w:r>
        <w:rPr>
          <w:rFonts w:hAnsi="宋体" w:eastAsia="宋体" w:cs="宋体"/>
          <w:color w:val="auto"/>
          <w:spacing w:val="6"/>
          <w:sz w:val="24"/>
          <w:szCs w:val="24"/>
          <w:highlight w:val="none"/>
          <w:u w:val="single"/>
        </w:rPr>
        <w:t xml:space="preserve">                          </w:t>
      </w:r>
      <w:r>
        <w:rPr>
          <w:rFonts w:hAnsi="宋体" w:eastAsia="宋体" w:cs="宋体"/>
          <w:color w:val="auto"/>
          <w:spacing w:val="6"/>
          <w:sz w:val="24"/>
          <w:szCs w:val="24"/>
          <w:highlight w:val="none"/>
        </w:rPr>
        <w:t>（项目编号</w:t>
      </w:r>
      <w:r>
        <w:rPr>
          <w:rFonts w:hAnsi="宋体" w:eastAsia="宋体" w:cs="宋体"/>
          <w:color w:val="auto"/>
          <w:spacing w:val="6"/>
          <w:sz w:val="24"/>
          <w:szCs w:val="24"/>
          <w:highlight w:val="none"/>
          <w:u w:val="single"/>
        </w:rPr>
        <w:t xml:space="preserve">：             </w:t>
      </w:r>
      <w:r>
        <w:rPr>
          <w:rFonts w:hAnsi="宋体" w:eastAsia="宋体" w:cs="宋体"/>
          <w:color w:val="auto"/>
          <w:spacing w:val="6"/>
          <w:sz w:val="24"/>
          <w:szCs w:val="24"/>
          <w:highlight w:val="none"/>
        </w:rPr>
        <w:t xml:space="preserve">）政府采购活动，经与本单位法人代表（负责人）联系确认，现就有关公平竞争事项郑重声明如下： </w:t>
      </w:r>
    </w:p>
    <w:p>
      <w:pPr>
        <w:pStyle w:val="58"/>
        <w:numPr>
          <w:ilvl w:val="0"/>
          <w:numId w:val="7"/>
        </w:numPr>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本单位与采购人之间□不存在利害关系 □存在下列利害关系</w:t>
      </w:r>
      <w:r>
        <w:rPr>
          <w:rFonts w:hAnsi="宋体" w:eastAsia="宋体" w:cs="宋体"/>
          <w:color w:val="auto"/>
          <w:kern w:val="0"/>
          <w:sz w:val="24"/>
          <w:szCs w:val="24"/>
          <w:highlight w:val="none"/>
          <w:u w:val="single"/>
        </w:rPr>
        <w:t xml:space="preserve">           </w:t>
      </w:r>
      <w:r>
        <w:rPr>
          <w:rFonts w:hAnsi="宋体" w:eastAsia="宋体" w:cs="宋体"/>
          <w:color w:val="auto"/>
          <w:kern w:val="0"/>
          <w:sz w:val="24"/>
          <w:szCs w:val="24"/>
          <w:highlight w:val="none"/>
        </w:rPr>
        <w:t>：</w:t>
      </w:r>
    </w:p>
    <w:p>
      <w:pPr>
        <w:pStyle w:val="58"/>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A.投资关系    B.行政隶属关系    C.业务指导关系</w:t>
      </w:r>
    </w:p>
    <w:p>
      <w:pPr>
        <w:pStyle w:val="58"/>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D.其他可能</w:t>
      </w:r>
      <w:r>
        <w:rPr>
          <w:rFonts w:hAnsi="宋体" w:eastAsia="宋体" w:cs="宋体"/>
          <w:color w:val="auto"/>
          <w:sz w:val="24"/>
          <w:szCs w:val="24"/>
          <w:highlight w:val="none"/>
        </w:rPr>
        <w:t>影响采购公正的</w:t>
      </w:r>
      <w:r>
        <w:rPr>
          <w:rFonts w:hAnsi="宋体" w:eastAsia="宋体" w:cs="宋体"/>
          <w:color w:val="auto"/>
          <w:kern w:val="0"/>
          <w:sz w:val="24"/>
          <w:szCs w:val="24"/>
          <w:highlight w:val="none"/>
        </w:rPr>
        <w:t>利害关系</w:t>
      </w:r>
      <w:r>
        <w:rPr>
          <w:rFonts w:hAnsi="宋体" w:eastAsia="宋体" w:cs="宋体"/>
          <w:color w:val="auto"/>
          <w:kern w:val="0"/>
          <w:sz w:val="24"/>
          <w:szCs w:val="24"/>
          <w:highlight w:val="none"/>
          <w:u w:val="single"/>
        </w:rPr>
        <w:t xml:space="preserve">（如有，请如实说明）                 </w:t>
      </w:r>
      <w:r>
        <w:rPr>
          <w:rFonts w:hAnsi="宋体" w:eastAsia="宋体" w:cs="宋体"/>
          <w:color w:val="auto"/>
          <w:kern w:val="0"/>
          <w:sz w:val="24"/>
          <w:szCs w:val="24"/>
          <w:highlight w:val="none"/>
        </w:rPr>
        <w:t>。</w:t>
      </w:r>
    </w:p>
    <w:p>
      <w:pPr>
        <w:pStyle w:val="59"/>
        <w:widowControl/>
        <w:snapToGrid w:val="0"/>
        <w:spacing w:line="400" w:lineRule="exact"/>
        <w:rPr>
          <w:rFonts w:ascii="宋体" w:cs="宋体"/>
          <w:color w:val="auto"/>
          <w:kern w:val="0"/>
          <w:sz w:val="24"/>
          <w:szCs w:val="24"/>
          <w:highlight w:val="none"/>
        </w:rPr>
      </w:pPr>
      <w:r>
        <w:rPr>
          <w:rFonts w:ascii="宋体" w:hAnsi="宋体" w:cs="宋体"/>
          <w:color w:val="auto"/>
          <w:spacing w:val="6"/>
          <w:sz w:val="24"/>
          <w:szCs w:val="24"/>
          <w:highlight w:val="none"/>
        </w:rPr>
        <w:t xml:space="preserve">  </w:t>
      </w:r>
      <w:r>
        <w:rPr>
          <w:rFonts w:hint="eastAsia" w:ascii="宋体" w:hAnsi="宋体" w:cs="宋体"/>
          <w:color w:val="auto"/>
          <w:spacing w:val="6"/>
          <w:sz w:val="24"/>
          <w:szCs w:val="24"/>
          <w:highlight w:val="none"/>
        </w:rPr>
        <w:t>二、</w:t>
      </w:r>
      <w:r>
        <w:rPr>
          <w:rFonts w:hint="eastAsia" w:ascii="宋体" w:hAnsi="宋体" w:cs="宋体"/>
          <w:color w:val="auto"/>
          <w:kern w:val="0"/>
          <w:sz w:val="24"/>
          <w:szCs w:val="24"/>
          <w:highlight w:val="none"/>
        </w:rPr>
        <w:t>现已清楚知道参加本项目采购活动的其他所有供应商名称，本单位</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□与其他所有供应商之间均不存在利害关系</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□与</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（供应商名称）</w:t>
      </w:r>
      <w:r>
        <w:rPr>
          <w:rFonts w:hint="eastAsia" w:ascii="宋体" w:hAnsi="宋体" w:cs="宋体"/>
          <w:color w:val="auto"/>
          <w:kern w:val="0"/>
          <w:sz w:val="24"/>
          <w:szCs w:val="24"/>
          <w:highlight w:val="none"/>
        </w:rPr>
        <w:t>之间存在下列利害关系</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58"/>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A.法定代表人或负责人或实际控制人是同一人</w:t>
      </w:r>
    </w:p>
    <w:p>
      <w:pPr>
        <w:pStyle w:val="58"/>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B.法定代表人或负责人或实际控制人是夫妻关系</w:t>
      </w:r>
    </w:p>
    <w:p>
      <w:pPr>
        <w:pStyle w:val="58"/>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C.法定代表人或负责人或实际控制人是直系血亲关系</w:t>
      </w:r>
    </w:p>
    <w:p>
      <w:pPr>
        <w:pStyle w:val="58"/>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D.法定代表人或负责人或实际控制人存在三代以内旁系血亲关系</w:t>
      </w:r>
    </w:p>
    <w:p>
      <w:pPr>
        <w:pStyle w:val="58"/>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E.法定代表人或负责人或实际控制人存在近姻亲关系</w:t>
      </w:r>
    </w:p>
    <w:p>
      <w:pPr>
        <w:pStyle w:val="58"/>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F.法定代表人或负责人或实际控制人存在股份控制或实际控制关系</w:t>
      </w:r>
    </w:p>
    <w:p>
      <w:pPr>
        <w:pStyle w:val="58"/>
        <w:snapToGrid w:val="0"/>
        <w:spacing w:line="400" w:lineRule="exact"/>
        <w:outlineLvl w:val="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G.存在共同直接或间接投资设立子公司、联营企业和合营企业情况</w:t>
      </w:r>
    </w:p>
    <w:p>
      <w:pPr>
        <w:pStyle w:val="58"/>
        <w:snapToGrid w:val="0"/>
        <w:spacing w:line="400" w:lineRule="exact"/>
        <w:rPr>
          <w:rFonts w:hint="default" w:hAnsi="宋体" w:eastAsia="宋体" w:cs="宋体"/>
          <w:color w:val="auto"/>
          <w:sz w:val="24"/>
          <w:szCs w:val="24"/>
          <w:highlight w:val="none"/>
        </w:rPr>
      </w:pPr>
      <w:r>
        <w:rPr>
          <w:rFonts w:hAnsi="宋体" w:eastAsia="宋体" w:cs="宋体"/>
          <w:color w:val="auto"/>
          <w:kern w:val="0"/>
          <w:sz w:val="24"/>
          <w:szCs w:val="24"/>
          <w:highlight w:val="none"/>
        </w:rPr>
        <w:t xml:space="preserve">  H.存在分级代理或代销关系、同一生产制造商关系、</w:t>
      </w:r>
      <w:r>
        <w:rPr>
          <w:rFonts w:hAnsi="宋体" w:eastAsia="宋体" w:cs="宋体"/>
          <w:color w:val="auto"/>
          <w:sz w:val="24"/>
          <w:szCs w:val="24"/>
          <w:highlight w:val="none"/>
        </w:rPr>
        <w:t>管理关系、重要业务（占主营业务收入50%以上）或重要财务往来关系（如融资）等其他实质性控制关系</w:t>
      </w:r>
    </w:p>
    <w:p>
      <w:pPr>
        <w:pStyle w:val="58"/>
        <w:snapToGrid w:val="0"/>
        <w:spacing w:line="400" w:lineRule="exact"/>
        <w:rPr>
          <w:rFonts w:hint="default" w:hAnsi="宋体" w:eastAsia="宋体" w:cs="宋体"/>
          <w:color w:val="auto"/>
          <w:spacing w:val="6"/>
          <w:sz w:val="24"/>
          <w:szCs w:val="24"/>
          <w:highlight w:val="none"/>
        </w:rPr>
      </w:pPr>
      <w:r>
        <w:rPr>
          <w:rFonts w:hAnsi="宋体" w:eastAsia="宋体" w:cs="宋体"/>
          <w:color w:val="auto"/>
          <w:sz w:val="24"/>
          <w:szCs w:val="24"/>
          <w:highlight w:val="none"/>
        </w:rPr>
        <w:t xml:space="preserve">    I</w:t>
      </w:r>
      <w:r>
        <w:rPr>
          <w:rFonts w:hAnsi="宋体" w:eastAsia="宋体" w:cs="宋体"/>
          <w:color w:val="auto"/>
          <w:kern w:val="0"/>
          <w:sz w:val="24"/>
          <w:szCs w:val="24"/>
          <w:highlight w:val="none"/>
        </w:rPr>
        <w:t>.</w:t>
      </w:r>
      <w:r>
        <w:rPr>
          <w:rFonts w:hAnsi="宋体" w:eastAsia="宋体" w:cs="宋体"/>
          <w:color w:val="auto"/>
          <w:sz w:val="24"/>
          <w:szCs w:val="24"/>
          <w:highlight w:val="none"/>
        </w:rPr>
        <w:t>其他利害关系情况</w:t>
      </w:r>
      <w:r>
        <w:rPr>
          <w:rFonts w:hAnsi="宋体" w:eastAsia="宋体" w:cs="宋体"/>
          <w:color w:val="auto"/>
          <w:sz w:val="24"/>
          <w:szCs w:val="24"/>
          <w:highlight w:val="none"/>
          <w:u w:val="single"/>
        </w:rPr>
        <w:t xml:space="preserve">                              </w:t>
      </w:r>
      <w:r>
        <w:rPr>
          <w:rFonts w:hAnsi="宋体" w:eastAsia="宋体" w:cs="宋体"/>
          <w:color w:val="auto"/>
          <w:kern w:val="0"/>
          <w:sz w:val="24"/>
          <w:szCs w:val="24"/>
          <w:highlight w:val="none"/>
        </w:rPr>
        <w:t>。</w:t>
      </w:r>
    </w:p>
    <w:p>
      <w:pPr>
        <w:pStyle w:val="59"/>
        <w:widowControl/>
        <w:numPr>
          <w:ilvl w:val="0"/>
          <w:numId w:val="8"/>
        </w:numPr>
        <w:snapToGrid w:val="0"/>
        <w:spacing w:line="400" w:lineRule="exact"/>
        <w:ind w:firstLine="453" w:firstLineChars="189"/>
        <w:rPr>
          <w:rFonts w:asci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pPr>
        <w:pStyle w:val="59"/>
        <w:widowControl/>
        <w:numPr>
          <w:ilvl w:val="0"/>
          <w:numId w:val="8"/>
        </w:numPr>
        <w:snapToGrid w:val="0"/>
        <w:spacing w:line="400" w:lineRule="exact"/>
        <w:ind w:firstLine="453" w:firstLineChars="189"/>
        <w:rPr>
          <w:rFonts w:ascii="宋体" w:cs="宋体"/>
          <w:color w:val="auto"/>
          <w:kern w:val="0"/>
          <w:sz w:val="24"/>
          <w:szCs w:val="24"/>
          <w:highlight w:val="none"/>
        </w:rPr>
      </w:pPr>
      <w:r>
        <w:rPr>
          <w:rFonts w:hint="eastAsia" w:ascii="宋体" w:hAnsi="宋体" w:cs="宋体"/>
          <w:color w:val="auto"/>
          <w:kern w:val="0"/>
          <w:sz w:val="24"/>
          <w:szCs w:val="24"/>
          <w:highlight w:val="none"/>
        </w:rPr>
        <w:t>我发现</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项利害关系。</w:t>
      </w:r>
    </w:p>
    <w:p>
      <w:pPr>
        <w:pStyle w:val="58"/>
        <w:snapToGrid w:val="0"/>
        <w:spacing w:line="400" w:lineRule="exact"/>
        <w:ind w:firstLine="480" w:firstLineChars="200"/>
        <w:rPr>
          <w:rFonts w:hint="default" w:hAnsi="宋体" w:eastAsia="宋体" w:cs="宋体"/>
          <w:color w:val="auto"/>
          <w:sz w:val="24"/>
          <w:szCs w:val="24"/>
          <w:highlight w:val="none"/>
        </w:rPr>
      </w:pPr>
    </w:p>
    <w:p>
      <w:pPr>
        <w:pStyle w:val="58"/>
        <w:snapToGrid w:val="0"/>
        <w:spacing w:line="600" w:lineRule="exact"/>
        <w:ind w:firstLine="480" w:firstLineChars="200"/>
        <w:rPr>
          <w:rFonts w:hint="default" w:hAnsi="宋体" w:eastAsia="宋体" w:cs="宋体"/>
          <w:color w:val="auto"/>
          <w:sz w:val="24"/>
          <w:szCs w:val="24"/>
          <w:highlight w:val="none"/>
        </w:rPr>
      </w:pPr>
      <w:r>
        <w:rPr>
          <w:rFonts w:hAnsi="宋体" w:eastAsia="宋体" w:cs="宋体"/>
          <w:color w:val="auto"/>
          <w:sz w:val="24"/>
          <w:szCs w:val="24"/>
          <w:highlight w:val="none"/>
        </w:rPr>
        <w:t xml:space="preserve">                                         供应商授权代表签名：</w:t>
      </w:r>
    </w:p>
    <w:p>
      <w:pPr>
        <w:pStyle w:val="58"/>
        <w:snapToGrid w:val="0"/>
        <w:spacing w:line="600" w:lineRule="exact"/>
        <w:ind w:firstLine="480" w:firstLineChars="200"/>
        <w:jc w:val="right"/>
        <w:rPr>
          <w:rFonts w:hint="default" w:hAnsi="宋体" w:cs="宋体"/>
          <w:b/>
          <w:color w:val="auto"/>
          <w:sz w:val="32"/>
          <w:highlight w:val="none"/>
        </w:rPr>
      </w:pPr>
      <w:r>
        <w:rPr>
          <w:rFonts w:hAnsi="宋体" w:eastAsia="宋体" w:cs="宋体"/>
          <w:color w:val="auto"/>
          <w:kern w:val="0"/>
          <w:sz w:val="24"/>
          <w:szCs w:val="24"/>
          <w:highlight w:val="none"/>
          <w:u w:val="single"/>
        </w:rPr>
        <w:t xml:space="preserve">     </w:t>
      </w:r>
      <w:r>
        <w:rPr>
          <w:rFonts w:hAnsi="宋体" w:eastAsia="宋体" w:cs="宋体"/>
          <w:color w:val="auto"/>
          <w:sz w:val="24"/>
          <w:szCs w:val="24"/>
          <w:highlight w:val="none"/>
        </w:rPr>
        <w:t>年</w:t>
      </w:r>
      <w:r>
        <w:rPr>
          <w:rFonts w:hAnsi="宋体" w:eastAsia="宋体" w:cs="宋体"/>
          <w:color w:val="auto"/>
          <w:kern w:val="0"/>
          <w:sz w:val="24"/>
          <w:szCs w:val="24"/>
          <w:highlight w:val="none"/>
          <w:u w:val="single"/>
        </w:rPr>
        <w:t xml:space="preserve">     </w:t>
      </w:r>
      <w:r>
        <w:rPr>
          <w:rFonts w:hAnsi="宋体" w:eastAsia="宋体" w:cs="宋体"/>
          <w:color w:val="auto"/>
          <w:sz w:val="24"/>
          <w:szCs w:val="24"/>
          <w:highlight w:val="none"/>
        </w:rPr>
        <w:t>月</w:t>
      </w:r>
      <w:r>
        <w:rPr>
          <w:rFonts w:hAnsi="宋体" w:eastAsia="宋体" w:cs="宋体"/>
          <w:color w:val="auto"/>
          <w:kern w:val="0"/>
          <w:sz w:val="24"/>
          <w:szCs w:val="24"/>
          <w:highlight w:val="none"/>
          <w:u w:val="single"/>
        </w:rPr>
        <w:t xml:space="preserve">     </w:t>
      </w:r>
      <w:r>
        <w:rPr>
          <w:rFonts w:hAnsi="宋体" w:eastAsia="宋体" w:cs="宋体"/>
          <w:color w:val="auto"/>
          <w:sz w:val="24"/>
          <w:szCs w:val="24"/>
          <w:highlight w:val="none"/>
        </w:rPr>
        <w:t>日</w:t>
      </w:r>
    </w:p>
    <w:p>
      <w:pPr>
        <w:spacing w:line="400" w:lineRule="exact"/>
        <w:jc w:val="center"/>
        <w:rPr>
          <w:rFonts w:ascii="宋体" w:hAnsi="宋体" w:cs="宋体"/>
          <w:b/>
          <w:color w:val="auto"/>
          <w:sz w:val="32"/>
          <w:highlight w:val="none"/>
        </w:rPr>
      </w:pPr>
    </w:p>
    <w:p>
      <w:pPr>
        <w:spacing w:line="400" w:lineRule="exact"/>
        <w:jc w:val="center"/>
        <w:rPr>
          <w:rFonts w:ascii="宋体" w:hAnsi="宋体" w:cs="宋体"/>
          <w:b/>
          <w:color w:val="auto"/>
          <w:sz w:val="32"/>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widowControl/>
        <w:rPr>
          <w:rFonts w:ascii="宋体" w:hAnsi="宋体" w:cs="宋体"/>
          <w:b/>
          <w:color w:val="auto"/>
          <w:sz w:val="24"/>
          <w:szCs w:val="24"/>
          <w:highlight w:val="none"/>
        </w:rPr>
      </w:pPr>
      <w:r>
        <w:rPr>
          <w:rFonts w:hint="eastAsia" w:ascii="宋体" w:hAnsi="宋体" w:cs="宋体"/>
          <w:b/>
          <w:color w:val="auto"/>
          <w:sz w:val="24"/>
          <w:szCs w:val="24"/>
          <w:highlight w:val="none"/>
        </w:rPr>
        <w:t>附件13</w:t>
      </w:r>
    </w:p>
    <w:p>
      <w:pPr>
        <w:widowControl/>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货物配置清单</w:t>
      </w:r>
    </w:p>
    <w:p>
      <w:pPr>
        <w:pStyle w:val="13"/>
        <w:ind w:left="0" w:leftChars="0" w:right="1470"/>
        <w:rPr>
          <w:rFonts w:ascii="宋体"/>
          <w:color w:val="auto"/>
          <w:sz w:val="24"/>
          <w:szCs w:val="24"/>
          <w:highlight w:val="none"/>
          <w:u w:val="single"/>
        </w:rPr>
      </w:pPr>
      <w:r>
        <w:rPr>
          <w:rFonts w:hint="eastAsia" w:ascii="宋体" w:hAnsi="宋体" w:cs="宋体"/>
          <w:b/>
          <w:color w:val="auto"/>
          <w:sz w:val="24"/>
          <w:szCs w:val="24"/>
          <w:highlight w:val="none"/>
        </w:rPr>
        <w:t>项目名称：                               项目编号：</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
        <w:gridCol w:w="1376"/>
        <w:gridCol w:w="979"/>
        <w:gridCol w:w="1141"/>
        <w:gridCol w:w="1419"/>
        <w:gridCol w:w="1460"/>
        <w:gridCol w:w="18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货物名称</w:t>
            </w: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产地</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品牌</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规格型号</w:t>
            </w:r>
          </w:p>
        </w:tc>
        <w:tc>
          <w:tcPr>
            <w:tcW w:w="14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单位及数量</w:t>
            </w:r>
          </w:p>
        </w:tc>
        <w:tc>
          <w:tcPr>
            <w:tcW w:w="1847"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性能及指标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p>
            <w:pPr>
              <w:snapToGrid w:val="0"/>
              <w:spacing w:before="50" w:after="50"/>
              <w:jc w:val="center"/>
              <w:rPr>
                <w:rFonts w:ascii="宋体"/>
                <w:color w:val="auto"/>
                <w:sz w:val="24"/>
                <w:szCs w:val="24"/>
                <w:highlight w:val="none"/>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847"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847"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847"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847" w:type="dxa"/>
            <w:tcBorders>
              <w:top w:val="single" w:color="auto" w:sz="4" w:space="0"/>
              <w:left w:val="single" w:color="auto" w:sz="4" w:space="0"/>
              <w:bottom w:val="nil"/>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olor w:val="auto"/>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847"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bl>
    <w:p>
      <w:pPr>
        <w:snapToGrid w:val="0"/>
        <w:spacing w:before="50" w:after="50"/>
        <w:rPr>
          <w:rFonts w:ascii="宋体"/>
          <w:color w:val="auto"/>
          <w:sz w:val="24"/>
          <w:szCs w:val="24"/>
          <w:highlight w:val="none"/>
        </w:rPr>
      </w:pPr>
    </w:p>
    <w:p>
      <w:pPr>
        <w:widowControl/>
        <w:spacing w:line="400" w:lineRule="exact"/>
        <w:ind w:firstLine="420"/>
        <w:rPr>
          <w:rFonts w:ascii="宋体"/>
          <w:color w:val="auto"/>
          <w:kern w:val="0"/>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rPr>
          <w:rFonts w:ascii="宋体" w:hAnsi="宋体" w:cs="宋体"/>
          <w:b/>
          <w:color w:val="auto"/>
          <w:sz w:val="24"/>
          <w:szCs w:val="24"/>
          <w:highlight w:val="none"/>
        </w:rPr>
      </w:pPr>
    </w:p>
    <w:p>
      <w:pPr>
        <w:pStyle w:val="2"/>
        <w:rPr>
          <w:rFonts w:ascii="宋体" w:hAnsi="宋体" w:cs="宋体"/>
          <w:color w:val="auto"/>
          <w:sz w:val="24"/>
          <w:szCs w:val="24"/>
          <w:highlight w:val="none"/>
        </w:rPr>
      </w:pPr>
    </w:p>
    <w:p>
      <w:pPr>
        <w:rPr>
          <w:rFonts w:ascii="宋体" w:hAnsi="宋体" w:cs="宋体"/>
          <w:b/>
          <w:color w:val="auto"/>
          <w:sz w:val="24"/>
          <w:szCs w:val="24"/>
          <w:highlight w:val="none"/>
        </w:rPr>
      </w:pPr>
    </w:p>
    <w:p>
      <w:pPr>
        <w:pStyle w:val="2"/>
        <w:rPr>
          <w:rFonts w:ascii="宋体" w:hAnsi="宋体" w:cs="宋体"/>
          <w:color w:val="auto"/>
          <w:sz w:val="24"/>
          <w:szCs w:val="24"/>
          <w:highlight w:val="none"/>
        </w:rPr>
      </w:pPr>
    </w:p>
    <w:p>
      <w:pPr>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bCs/>
          <w:color w:val="auto"/>
          <w:sz w:val="24"/>
          <w:szCs w:val="24"/>
          <w:highlight w:val="none"/>
        </w:rPr>
      </w:pPr>
      <w:r>
        <w:rPr>
          <w:rFonts w:hint="eastAsia" w:ascii="宋体" w:hAnsi="宋体" w:cs="宋体"/>
          <w:b/>
          <w:color w:val="auto"/>
          <w:sz w:val="24"/>
          <w:szCs w:val="24"/>
          <w:highlight w:val="none"/>
        </w:rPr>
        <w:t>附件14</w:t>
      </w:r>
    </w:p>
    <w:p>
      <w:pPr>
        <w:widowControl/>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选配件、专用耗材、备品备件优惠表</w:t>
      </w:r>
    </w:p>
    <w:p>
      <w:pPr>
        <w:pStyle w:val="13"/>
        <w:ind w:left="0" w:leftChars="0" w:right="1470"/>
        <w:rPr>
          <w:rFonts w:ascii="宋体" w:hAnsi="宋体" w:cs="宋体"/>
          <w:color w:val="auto"/>
          <w:highlight w:val="none"/>
        </w:rPr>
      </w:pPr>
      <w:r>
        <w:rPr>
          <w:rFonts w:hint="eastAsia" w:ascii="宋体" w:hAnsi="宋体" w:cs="宋体"/>
          <w:b/>
          <w:color w:val="auto"/>
          <w:sz w:val="24"/>
          <w:szCs w:val="24"/>
          <w:highlight w:val="none"/>
        </w:rPr>
        <w:t>项目名称：                               项目编号：</w:t>
      </w:r>
    </w:p>
    <w:tbl>
      <w:tblPr>
        <w:tblStyle w:val="26"/>
        <w:tblW w:w="87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79"/>
        <w:gridCol w:w="2127"/>
        <w:gridCol w:w="2249"/>
        <w:gridCol w:w="1765"/>
        <w:gridCol w:w="20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0" w:hRule="atLeast"/>
        </w:trPr>
        <w:tc>
          <w:tcPr>
            <w:tcW w:w="57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snapToGrid w:val="0"/>
              <w:jc w:val="center"/>
              <w:rPr>
                <w:rFonts w:hAnsi="宋体" w:cs="宋体"/>
                <w:color w:val="auto"/>
                <w:szCs w:val="21"/>
                <w:highlight w:val="none"/>
              </w:rPr>
            </w:pPr>
            <w:r>
              <w:rPr>
                <w:rFonts w:hint="eastAsia" w:hAnsi="宋体" w:cs="宋体"/>
                <w:color w:val="auto"/>
                <w:szCs w:val="21"/>
                <w:highlight w:val="none"/>
              </w:rPr>
              <w:t>序号</w:t>
            </w:r>
          </w:p>
        </w:tc>
        <w:tc>
          <w:tcPr>
            <w:tcW w:w="2127" w:type="dxa"/>
            <w:tcBorders>
              <w:top w:val="single" w:color="auto" w:sz="4" w:space="0"/>
              <w:left w:val="single" w:color="auto" w:sz="4" w:space="0"/>
              <w:bottom w:val="single" w:color="auto" w:sz="2" w:space="0"/>
              <w:right w:val="single" w:color="auto" w:sz="4" w:space="0"/>
            </w:tcBorders>
            <w:vAlign w:val="center"/>
          </w:tcPr>
          <w:p>
            <w:pPr>
              <w:pStyle w:val="14"/>
              <w:snapToGrid w:val="0"/>
              <w:jc w:val="center"/>
              <w:rPr>
                <w:rFonts w:hAnsi="宋体" w:cs="宋体"/>
                <w:color w:val="auto"/>
                <w:szCs w:val="21"/>
                <w:highlight w:val="none"/>
              </w:rPr>
            </w:pPr>
            <w:r>
              <w:rPr>
                <w:rFonts w:hint="eastAsia" w:hAnsi="宋体" w:cs="宋体"/>
                <w:color w:val="auto"/>
                <w:szCs w:val="21"/>
                <w:highlight w:val="none"/>
              </w:rPr>
              <w:t>优惠内容</w:t>
            </w:r>
          </w:p>
        </w:tc>
        <w:tc>
          <w:tcPr>
            <w:tcW w:w="2249" w:type="dxa"/>
            <w:tcBorders>
              <w:top w:val="single" w:color="auto" w:sz="4" w:space="0"/>
              <w:left w:val="single" w:color="auto" w:sz="4" w:space="0"/>
              <w:bottom w:val="single" w:color="auto" w:sz="2" w:space="0"/>
              <w:right w:val="single" w:color="auto" w:sz="4" w:space="0"/>
            </w:tcBorders>
            <w:vAlign w:val="center"/>
          </w:tcPr>
          <w:p>
            <w:pPr>
              <w:pStyle w:val="14"/>
              <w:snapToGrid w:val="0"/>
              <w:jc w:val="center"/>
              <w:rPr>
                <w:rFonts w:hAnsi="宋体" w:cs="宋体"/>
                <w:color w:val="auto"/>
                <w:szCs w:val="21"/>
                <w:highlight w:val="none"/>
              </w:rPr>
            </w:pPr>
            <w:r>
              <w:rPr>
                <w:rFonts w:hint="eastAsia" w:hAnsi="宋体" w:cs="宋体"/>
                <w:color w:val="auto"/>
                <w:szCs w:val="21"/>
                <w:highlight w:val="none"/>
              </w:rPr>
              <w:t>适用产品或服务</w:t>
            </w:r>
          </w:p>
        </w:tc>
        <w:tc>
          <w:tcPr>
            <w:tcW w:w="1765" w:type="dxa"/>
            <w:tcBorders>
              <w:top w:val="single" w:color="auto" w:sz="4" w:space="0"/>
              <w:left w:val="single" w:color="auto" w:sz="4" w:space="0"/>
              <w:bottom w:val="single" w:color="auto" w:sz="2" w:space="0"/>
              <w:right w:val="single" w:color="auto" w:sz="4" w:space="0"/>
            </w:tcBorders>
            <w:vAlign w:val="center"/>
          </w:tcPr>
          <w:p>
            <w:pPr>
              <w:pStyle w:val="14"/>
              <w:snapToGrid w:val="0"/>
              <w:jc w:val="center"/>
              <w:rPr>
                <w:rFonts w:hAnsi="宋体" w:cs="宋体"/>
                <w:color w:val="auto"/>
                <w:szCs w:val="24"/>
                <w:highlight w:val="none"/>
              </w:rPr>
            </w:pPr>
            <w:r>
              <w:rPr>
                <w:rFonts w:hint="eastAsia" w:hAnsi="宋体" w:cs="宋体"/>
                <w:color w:val="auto"/>
                <w:szCs w:val="24"/>
                <w:highlight w:val="none"/>
              </w:rPr>
              <w:t>单价</w:t>
            </w:r>
          </w:p>
        </w:tc>
        <w:tc>
          <w:tcPr>
            <w:tcW w:w="2017" w:type="dxa"/>
            <w:tcBorders>
              <w:top w:val="single" w:color="auto" w:sz="4" w:space="0"/>
              <w:left w:val="single" w:color="auto" w:sz="4" w:space="0"/>
              <w:bottom w:val="single" w:color="auto" w:sz="2" w:space="0"/>
              <w:right w:val="single" w:color="auto" w:sz="4" w:space="0"/>
            </w:tcBorders>
            <w:vAlign w:val="center"/>
          </w:tcPr>
          <w:p>
            <w:pPr>
              <w:pStyle w:val="14"/>
              <w:snapToGrid w:val="0"/>
              <w:jc w:val="center"/>
              <w:rPr>
                <w:rFonts w:hAnsi="宋体" w:cs="宋体"/>
                <w:color w:val="auto"/>
                <w:szCs w:val="24"/>
                <w:highlight w:val="none"/>
              </w:rPr>
            </w:pPr>
            <w:r>
              <w:rPr>
                <w:rFonts w:hint="eastAsia" w:hAnsi="宋体" w:cs="宋体"/>
                <w:color w:val="auto"/>
                <w:szCs w:val="24"/>
                <w:highlight w:val="none"/>
              </w:rPr>
              <w:t>比投标报价优惠率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0" w:hRule="atLeast"/>
        </w:trPr>
        <w:tc>
          <w:tcPr>
            <w:tcW w:w="579"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4"/>
              <w:snapToGrid w:val="0"/>
              <w:jc w:val="center"/>
              <w:rPr>
                <w:rFonts w:hAnsi="宋体" w:cs="宋体"/>
                <w:color w:val="auto"/>
                <w:szCs w:val="21"/>
                <w:highlight w:val="none"/>
              </w:rPr>
            </w:pPr>
            <w:r>
              <w:rPr>
                <w:rFonts w:hint="eastAsia" w:hAnsi="宋体" w:cs="宋体"/>
                <w:color w:val="auto"/>
                <w:szCs w:val="21"/>
                <w:highlight w:val="none"/>
              </w:rPr>
              <w:t>1</w:t>
            </w:r>
          </w:p>
        </w:tc>
        <w:tc>
          <w:tcPr>
            <w:tcW w:w="2127" w:type="dxa"/>
            <w:tcBorders>
              <w:top w:val="single" w:color="auto" w:sz="2" w:space="0"/>
              <w:left w:val="single" w:color="auto" w:sz="2" w:space="0"/>
              <w:bottom w:val="single" w:color="auto" w:sz="6" w:space="0"/>
              <w:right w:val="single" w:color="auto" w:sz="4" w:space="0"/>
            </w:tcBorders>
            <w:vAlign w:val="center"/>
          </w:tcPr>
          <w:p>
            <w:pPr>
              <w:pStyle w:val="14"/>
              <w:snapToGrid w:val="0"/>
              <w:jc w:val="center"/>
              <w:rPr>
                <w:rFonts w:hAnsi="宋体" w:cs="宋体"/>
                <w:color w:val="auto"/>
                <w:szCs w:val="21"/>
                <w:highlight w:val="none"/>
              </w:rPr>
            </w:pPr>
          </w:p>
        </w:tc>
        <w:tc>
          <w:tcPr>
            <w:tcW w:w="2249" w:type="dxa"/>
            <w:tcBorders>
              <w:top w:val="single" w:color="auto" w:sz="2" w:space="0"/>
              <w:left w:val="single" w:color="auto" w:sz="4" w:space="0"/>
              <w:bottom w:val="single" w:color="auto" w:sz="6" w:space="0"/>
              <w:right w:val="single" w:color="auto" w:sz="6" w:space="0"/>
            </w:tcBorders>
            <w:vAlign w:val="center"/>
          </w:tcPr>
          <w:p>
            <w:pPr>
              <w:pStyle w:val="14"/>
              <w:snapToGrid w:val="0"/>
              <w:jc w:val="center"/>
              <w:rPr>
                <w:rFonts w:hAnsi="宋体" w:cs="宋体"/>
                <w:color w:val="auto"/>
                <w:szCs w:val="21"/>
                <w:highlight w:val="none"/>
              </w:rPr>
            </w:pPr>
          </w:p>
        </w:tc>
        <w:tc>
          <w:tcPr>
            <w:tcW w:w="1765" w:type="dxa"/>
            <w:tcBorders>
              <w:top w:val="single" w:color="auto" w:sz="2" w:space="0"/>
              <w:left w:val="single" w:color="auto" w:sz="6" w:space="0"/>
              <w:bottom w:val="single" w:color="auto" w:sz="6" w:space="0"/>
              <w:right w:val="single" w:color="auto" w:sz="2" w:space="0"/>
            </w:tcBorders>
            <w:vAlign w:val="center"/>
          </w:tcPr>
          <w:p>
            <w:pPr>
              <w:pStyle w:val="14"/>
              <w:snapToGrid w:val="0"/>
              <w:jc w:val="center"/>
              <w:rPr>
                <w:rFonts w:hAnsi="宋体" w:cs="宋体"/>
                <w:color w:val="auto"/>
                <w:szCs w:val="24"/>
                <w:highlight w:val="none"/>
                <w:u w:val="single"/>
              </w:rPr>
            </w:pPr>
          </w:p>
        </w:tc>
        <w:tc>
          <w:tcPr>
            <w:tcW w:w="2017" w:type="dxa"/>
            <w:tcBorders>
              <w:top w:val="single" w:color="auto" w:sz="2" w:space="0"/>
              <w:left w:val="single" w:color="auto" w:sz="6" w:space="0"/>
              <w:bottom w:val="single" w:color="auto" w:sz="6" w:space="0"/>
              <w:right w:val="single" w:color="auto" w:sz="2" w:space="0"/>
            </w:tcBorders>
            <w:vAlign w:val="center"/>
          </w:tcPr>
          <w:p>
            <w:pPr>
              <w:pStyle w:val="14"/>
              <w:snapToGrid w:val="0"/>
              <w:jc w:val="center"/>
              <w:rPr>
                <w:rFonts w:hAnsi="宋体" w:cs="宋体"/>
                <w:color w:val="auto"/>
                <w:szCs w:val="24"/>
                <w:highlight w:val="none"/>
              </w:rPr>
            </w:pPr>
            <w:r>
              <w:rPr>
                <w:rFonts w:hint="eastAsia" w:hAnsi="宋体" w:cs="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0" w:hRule="atLeast"/>
        </w:trPr>
        <w:tc>
          <w:tcPr>
            <w:tcW w:w="579"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4"/>
              <w:snapToGrid w:val="0"/>
              <w:jc w:val="center"/>
              <w:rPr>
                <w:rFonts w:hAnsi="宋体" w:cs="宋体"/>
                <w:color w:val="auto"/>
                <w:szCs w:val="21"/>
                <w:highlight w:val="none"/>
              </w:rPr>
            </w:pPr>
            <w:r>
              <w:rPr>
                <w:rFonts w:hint="eastAsia" w:hAnsi="宋体" w:cs="宋体"/>
                <w:color w:val="auto"/>
                <w:szCs w:val="21"/>
                <w:highlight w:val="none"/>
              </w:rPr>
              <w:t>2</w:t>
            </w:r>
          </w:p>
        </w:tc>
        <w:tc>
          <w:tcPr>
            <w:tcW w:w="2127" w:type="dxa"/>
            <w:tcBorders>
              <w:top w:val="single" w:color="auto" w:sz="6" w:space="0"/>
              <w:left w:val="single" w:color="auto" w:sz="2" w:space="0"/>
              <w:bottom w:val="single" w:color="auto" w:sz="6" w:space="0"/>
              <w:right w:val="single" w:color="auto" w:sz="4" w:space="0"/>
            </w:tcBorders>
            <w:vAlign w:val="center"/>
          </w:tcPr>
          <w:p>
            <w:pPr>
              <w:pStyle w:val="14"/>
              <w:snapToGrid w:val="0"/>
              <w:jc w:val="center"/>
              <w:rPr>
                <w:rFonts w:hAnsi="宋体" w:cs="宋体"/>
                <w:color w:val="auto"/>
                <w:szCs w:val="21"/>
                <w:highlight w:val="none"/>
              </w:rPr>
            </w:pPr>
          </w:p>
        </w:tc>
        <w:tc>
          <w:tcPr>
            <w:tcW w:w="2249" w:type="dxa"/>
            <w:tcBorders>
              <w:top w:val="single" w:color="auto" w:sz="6" w:space="0"/>
              <w:left w:val="single" w:color="auto" w:sz="4" w:space="0"/>
              <w:bottom w:val="single" w:color="auto" w:sz="6" w:space="0"/>
              <w:right w:val="single" w:color="auto" w:sz="6" w:space="0"/>
            </w:tcBorders>
            <w:vAlign w:val="center"/>
          </w:tcPr>
          <w:p>
            <w:pPr>
              <w:pStyle w:val="14"/>
              <w:snapToGrid w:val="0"/>
              <w:jc w:val="center"/>
              <w:rPr>
                <w:rFonts w:hAnsi="宋体" w:cs="宋体"/>
                <w:color w:val="auto"/>
                <w:szCs w:val="21"/>
                <w:highlight w:val="none"/>
              </w:rPr>
            </w:pPr>
          </w:p>
        </w:tc>
        <w:tc>
          <w:tcPr>
            <w:tcW w:w="1765" w:type="dxa"/>
            <w:tcBorders>
              <w:top w:val="single" w:color="auto" w:sz="6" w:space="0"/>
              <w:left w:val="single" w:color="auto" w:sz="6" w:space="0"/>
              <w:bottom w:val="single" w:color="auto" w:sz="6" w:space="0"/>
              <w:right w:val="single" w:color="auto" w:sz="2" w:space="0"/>
            </w:tcBorders>
            <w:vAlign w:val="center"/>
          </w:tcPr>
          <w:p>
            <w:pPr>
              <w:pStyle w:val="14"/>
              <w:snapToGrid w:val="0"/>
              <w:jc w:val="center"/>
              <w:rPr>
                <w:rFonts w:hAnsi="宋体" w:cs="宋体"/>
                <w:color w:val="auto"/>
                <w:szCs w:val="24"/>
                <w:highlight w:val="none"/>
                <w:u w:val="single"/>
              </w:rPr>
            </w:pPr>
          </w:p>
        </w:tc>
        <w:tc>
          <w:tcPr>
            <w:tcW w:w="2017" w:type="dxa"/>
            <w:tcBorders>
              <w:top w:val="single" w:color="auto" w:sz="6" w:space="0"/>
              <w:left w:val="single" w:color="auto" w:sz="6" w:space="0"/>
              <w:bottom w:val="single" w:color="auto" w:sz="6" w:space="0"/>
              <w:right w:val="single" w:color="auto" w:sz="2" w:space="0"/>
            </w:tcBorders>
            <w:vAlign w:val="center"/>
          </w:tcPr>
          <w:p>
            <w:pPr>
              <w:pStyle w:val="14"/>
              <w:snapToGrid w:val="0"/>
              <w:jc w:val="center"/>
              <w:rPr>
                <w:rFonts w:hAnsi="宋体" w:cs="宋体"/>
                <w:color w:val="auto"/>
                <w:szCs w:val="24"/>
                <w:highlight w:val="none"/>
              </w:rPr>
            </w:pPr>
            <w:r>
              <w:rPr>
                <w:rFonts w:hint="eastAsia" w:hAnsi="宋体" w:cs="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0" w:hRule="atLeast"/>
        </w:trPr>
        <w:tc>
          <w:tcPr>
            <w:tcW w:w="579"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4"/>
              <w:snapToGrid w:val="0"/>
              <w:jc w:val="center"/>
              <w:rPr>
                <w:rFonts w:hAnsi="宋体" w:cs="宋体"/>
                <w:color w:val="auto"/>
                <w:szCs w:val="21"/>
                <w:highlight w:val="none"/>
              </w:rPr>
            </w:pPr>
            <w:r>
              <w:rPr>
                <w:rFonts w:hint="eastAsia" w:hAnsi="宋体" w:cs="宋体"/>
                <w:color w:val="auto"/>
                <w:szCs w:val="21"/>
                <w:highlight w:val="none"/>
              </w:rPr>
              <w:t>3</w:t>
            </w:r>
          </w:p>
        </w:tc>
        <w:tc>
          <w:tcPr>
            <w:tcW w:w="2127" w:type="dxa"/>
            <w:tcBorders>
              <w:top w:val="single" w:color="auto" w:sz="6" w:space="0"/>
              <w:left w:val="single" w:color="auto" w:sz="2" w:space="0"/>
              <w:bottom w:val="single" w:color="auto" w:sz="6" w:space="0"/>
              <w:right w:val="single" w:color="auto" w:sz="4" w:space="0"/>
            </w:tcBorders>
            <w:vAlign w:val="center"/>
          </w:tcPr>
          <w:p>
            <w:pPr>
              <w:pStyle w:val="14"/>
              <w:snapToGrid w:val="0"/>
              <w:jc w:val="center"/>
              <w:rPr>
                <w:rFonts w:hAnsi="宋体" w:cs="宋体"/>
                <w:color w:val="auto"/>
                <w:szCs w:val="21"/>
                <w:highlight w:val="none"/>
              </w:rPr>
            </w:pPr>
          </w:p>
        </w:tc>
        <w:tc>
          <w:tcPr>
            <w:tcW w:w="2249" w:type="dxa"/>
            <w:tcBorders>
              <w:top w:val="single" w:color="auto" w:sz="6" w:space="0"/>
              <w:left w:val="single" w:color="auto" w:sz="4" w:space="0"/>
              <w:bottom w:val="single" w:color="auto" w:sz="6" w:space="0"/>
              <w:right w:val="single" w:color="auto" w:sz="6" w:space="0"/>
            </w:tcBorders>
            <w:vAlign w:val="center"/>
          </w:tcPr>
          <w:p>
            <w:pPr>
              <w:pStyle w:val="14"/>
              <w:snapToGrid w:val="0"/>
              <w:jc w:val="center"/>
              <w:rPr>
                <w:rFonts w:hAnsi="宋体" w:cs="宋体"/>
                <w:color w:val="auto"/>
                <w:szCs w:val="21"/>
                <w:highlight w:val="none"/>
              </w:rPr>
            </w:pPr>
          </w:p>
        </w:tc>
        <w:tc>
          <w:tcPr>
            <w:tcW w:w="1765" w:type="dxa"/>
            <w:tcBorders>
              <w:top w:val="single" w:color="auto" w:sz="6" w:space="0"/>
              <w:left w:val="single" w:color="auto" w:sz="6" w:space="0"/>
              <w:bottom w:val="single" w:color="auto" w:sz="6" w:space="0"/>
              <w:right w:val="single" w:color="auto" w:sz="2" w:space="0"/>
            </w:tcBorders>
            <w:vAlign w:val="center"/>
          </w:tcPr>
          <w:p>
            <w:pPr>
              <w:pStyle w:val="14"/>
              <w:snapToGrid w:val="0"/>
              <w:jc w:val="center"/>
              <w:rPr>
                <w:rFonts w:hAnsi="宋体" w:cs="宋体"/>
                <w:color w:val="auto"/>
                <w:szCs w:val="24"/>
                <w:highlight w:val="none"/>
                <w:u w:val="single"/>
              </w:rPr>
            </w:pPr>
          </w:p>
        </w:tc>
        <w:tc>
          <w:tcPr>
            <w:tcW w:w="2017" w:type="dxa"/>
            <w:tcBorders>
              <w:top w:val="single" w:color="auto" w:sz="6" w:space="0"/>
              <w:left w:val="single" w:color="auto" w:sz="6" w:space="0"/>
              <w:bottom w:val="single" w:color="auto" w:sz="6" w:space="0"/>
              <w:right w:val="single" w:color="auto" w:sz="2" w:space="0"/>
            </w:tcBorders>
            <w:vAlign w:val="center"/>
          </w:tcPr>
          <w:p>
            <w:pPr>
              <w:pStyle w:val="14"/>
              <w:snapToGrid w:val="0"/>
              <w:jc w:val="center"/>
              <w:rPr>
                <w:rFonts w:hAnsi="宋体" w:cs="宋体"/>
                <w:color w:val="auto"/>
                <w:szCs w:val="24"/>
                <w:highlight w:val="none"/>
              </w:rPr>
            </w:pPr>
            <w:r>
              <w:rPr>
                <w:rFonts w:hint="eastAsia" w:hAnsi="宋体" w:cs="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0" w:hRule="atLeast"/>
        </w:trPr>
        <w:tc>
          <w:tcPr>
            <w:tcW w:w="579"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4"/>
              <w:snapToGrid w:val="0"/>
              <w:jc w:val="center"/>
              <w:rPr>
                <w:rFonts w:hAnsi="宋体" w:cs="宋体"/>
                <w:color w:val="auto"/>
                <w:szCs w:val="21"/>
                <w:highlight w:val="none"/>
              </w:rPr>
            </w:pPr>
            <w:r>
              <w:rPr>
                <w:rFonts w:hint="eastAsia" w:hAnsi="宋体" w:cs="宋体"/>
                <w:color w:val="auto"/>
                <w:szCs w:val="21"/>
                <w:highlight w:val="none"/>
              </w:rPr>
              <w:t>4</w:t>
            </w:r>
          </w:p>
        </w:tc>
        <w:tc>
          <w:tcPr>
            <w:tcW w:w="2127" w:type="dxa"/>
            <w:tcBorders>
              <w:top w:val="single" w:color="auto" w:sz="6" w:space="0"/>
              <w:left w:val="single" w:color="auto" w:sz="2" w:space="0"/>
              <w:bottom w:val="single" w:color="auto" w:sz="6" w:space="0"/>
              <w:right w:val="single" w:color="auto" w:sz="4" w:space="0"/>
            </w:tcBorders>
            <w:vAlign w:val="center"/>
          </w:tcPr>
          <w:p>
            <w:pPr>
              <w:pStyle w:val="14"/>
              <w:snapToGrid w:val="0"/>
              <w:jc w:val="center"/>
              <w:rPr>
                <w:rFonts w:hAnsi="宋体" w:cs="宋体"/>
                <w:color w:val="auto"/>
                <w:szCs w:val="21"/>
                <w:highlight w:val="none"/>
              </w:rPr>
            </w:pPr>
          </w:p>
        </w:tc>
        <w:tc>
          <w:tcPr>
            <w:tcW w:w="2249" w:type="dxa"/>
            <w:tcBorders>
              <w:top w:val="single" w:color="auto" w:sz="6" w:space="0"/>
              <w:left w:val="single" w:color="auto" w:sz="4" w:space="0"/>
              <w:bottom w:val="single" w:color="auto" w:sz="6" w:space="0"/>
              <w:right w:val="single" w:color="auto" w:sz="6" w:space="0"/>
            </w:tcBorders>
            <w:vAlign w:val="center"/>
          </w:tcPr>
          <w:p>
            <w:pPr>
              <w:pStyle w:val="14"/>
              <w:snapToGrid w:val="0"/>
              <w:jc w:val="center"/>
              <w:rPr>
                <w:rFonts w:hAnsi="宋体" w:cs="宋体"/>
                <w:color w:val="auto"/>
                <w:szCs w:val="21"/>
                <w:highlight w:val="none"/>
              </w:rPr>
            </w:pPr>
          </w:p>
        </w:tc>
        <w:tc>
          <w:tcPr>
            <w:tcW w:w="1765" w:type="dxa"/>
            <w:tcBorders>
              <w:top w:val="single" w:color="auto" w:sz="6" w:space="0"/>
              <w:left w:val="single" w:color="auto" w:sz="6" w:space="0"/>
              <w:bottom w:val="single" w:color="auto" w:sz="6" w:space="0"/>
              <w:right w:val="single" w:color="auto" w:sz="2" w:space="0"/>
            </w:tcBorders>
            <w:vAlign w:val="center"/>
          </w:tcPr>
          <w:p>
            <w:pPr>
              <w:pStyle w:val="14"/>
              <w:snapToGrid w:val="0"/>
              <w:jc w:val="center"/>
              <w:rPr>
                <w:rFonts w:hAnsi="宋体" w:cs="宋体"/>
                <w:color w:val="auto"/>
                <w:szCs w:val="24"/>
                <w:highlight w:val="none"/>
                <w:u w:val="single"/>
              </w:rPr>
            </w:pPr>
          </w:p>
        </w:tc>
        <w:tc>
          <w:tcPr>
            <w:tcW w:w="2017" w:type="dxa"/>
            <w:tcBorders>
              <w:top w:val="single" w:color="auto" w:sz="6" w:space="0"/>
              <w:left w:val="single" w:color="auto" w:sz="6" w:space="0"/>
              <w:bottom w:val="single" w:color="auto" w:sz="6" w:space="0"/>
              <w:right w:val="single" w:color="auto" w:sz="2" w:space="0"/>
            </w:tcBorders>
            <w:vAlign w:val="center"/>
          </w:tcPr>
          <w:p>
            <w:pPr>
              <w:pStyle w:val="14"/>
              <w:snapToGrid w:val="0"/>
              <w:jc w:val="center"/>
              <w:rPr>
                <w:rFonts w:hAnsi="宋体" w:cs="宋体"/>
                <w:color w:val="auto"/>
                <w:szCs w:val="24"/>
                <w:highlight w:val="none"/>
              </w:rPr>
            </w:pPr>
            <w:r>
              <w:rPr>
                <w:rFonts w:hint="eastAsia" w:hAnsi="宋体" w:cs="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0" w:hRule="atLeast"/>
        </w:trPr>
        <w:tc>
          <w:tcPr>
            <w:tcW w:w="579"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4"/>
              <w:snapToGrid w:val="0"/>
              <w:jc w:val="center"/>
              <w:rPr>
                <w:rFonts w:hAnsi="宋体" w:cs="宋体"/>
                <w:color w:val="auto"/>
                <w:szCs w:val="21"/>
                <w:highlight w:val="none"/>
              </w:rPr>
            </w:pPr>
            <w:r>
              <w:rPr>
                <w:rFonts w:hint="eastAsia" w:hAnsi="宋体" w:cs="宋体"/>
                <w:color w:val="auto"/>
                <w:szCs w:val="21"/>
                <w:highlight w:val="none"/>
              </w:rPr>
              <w:t>5</w:t>
            </w:r>
          </w:p>
        </w:tc>
        <w:tc>
          <w:tcPr>
            <w:tcW w:w="2127" w:type="dxa"/>
            <w:tcBorders>
              <w:top w:val="single" w:color="auto" w:sz="6" w:space="0"/>
              <w:left w:val="single" w:color="auto" w:sz="2" w:space="0"/>
              <w:bottom w:val="single" w:color="auto" w:sz="6" w:space="0"/>
              <w:right w:val="single" w:color="auto" w:sz="4" w:space="0"/>
            </w:tcBorders>
            <w:vAlign w:val="center"/>
          </w:tcPr>
          <w:p>
            <w:pPr>
              <w:pStyle w:val="14"/>
              <w:snapToGrid w:val="0"/>
              <w:jc w:val="center"/>
              <w:rPr>
                <w:rFonts w:hAnsi="宋体" w:cs="宋体"/>
                <w:color w:val="auto"/>
                <w:szCs w:val="21"/>
                <w:highlight w:val="none"/>
              </w:rPr>
            </w:pPr>
          </w:p>
        </w:tc>
        <w:tc>
          <w:tcPr>
            <w:tcW w:w="2249" w:type="dxa"/>
            <w:tcBorders>
              <w:top w:val="single" w:color="auto" w:sz="6" w:space="0"/>
              <w:left w:val="single" w:color="auto" w:sz="4" w:space="0"/>
              <w:bottom w:val="single" w:color="auto" w:sz="6" w:space="0"/>
              <w:right w:val="single" w:color="auto" w:sz="6" w:space="0"/>
            </w:tcBorders>
            <w:vAlign w:val="center"/>
          </w:tcPr>
          <w:p>
            <w:pPr>
              <w:pStyle w:val="14"/>
              <w:snapToGrid w:val="0"/>
              <w:jc w:val="center"/>
              <w:rPr>
                <w:rFonts w:hAnsi="宋体" w:cs="宋体"/>
                <w:color w:val="auto"/>
                <w:szCs w:val="21"/>
                <w:highlight w:val="none"/>
              </w:rPr>
            </w:pPr>
          </w:p>
        </w:tc>
        <w:tc>
          <w:tcPr>
            <w:tcW w:w="1765" w:type="dxa"/>
            <w:tcBorders>
              <w:top w:val="single" w:color="auto" w:sz="6" w:space="0"/>
              <w:left w:val="single" w:color="auto" w:sz="6" w:space="0"/>
              <w:bottom w:val="single" w:color="auto" w:sz="6" w:space="0"/>
              <w:right w:val="single" w:color="auto" w:sz="2" w:space="0"/>
            </w:tcBorders>
            <w:vAlign w:val="center"/>
          </w:tcPr>
          <w:p>
            <w:pPr>
              <w:pStyle w:val="14"/>
              <w:snapToGrid w:val="0"/>
              <w:jc w:val="center"/>
              <w:rPr>
                <w:rFonts w:hAnsi="宋体" w:cs="宋体"/>
                <w:color w:val="auto"/>
                <w:szCs w:val="24"/>
                <w:highlight w:val="none"/>
                <w:u w:val="single"/>
              </w:rPr>
            </w:pPr>
          </w:p>
        </w:tc>
        <w:tc>
          <w:tcPr>
            <w:tcW w:w="2017" w:type="dxa"/>
            <w:tcBorders>
              <w:top w:val="single" w:color="auto" w:sz="6" w:space="0"/>
              <w:left w:val="single" w:color="auto" w:sz="6" w:space="0"/>
              <w:bottom w:val="single" w:color="auto" w:sz="6" w:space="0"/>
              <w:right w:val="single" w:color="auto" w:sz="2" w:space="0"/>
            </w:tcBorders>
            <w:vAlign w:val="center"/>
          </w:tcPr>
          <w:p>
            <w:pPr>
              <w:pStyle w:val="14"/>
              <w:snapToGrid w:val="0"/>
              <w:jc w:val="center"/>
              <w:rPr>
                <w:rFonts w:hAnsi="宋体" w:cs="宋体"/>
                <w:color w:val="auto"/>
                <w:szCs w:val="24"/>
                <w:highlight w:val="none"/>
              </w:rPr>
            </w:pPr>
            <w:r>
              <w:rPr>
                <w:rFonts w:hint="eastAsia" w:hAnsi="宋体" w:cs="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0" w:hRule="atLeast"/>
        </w:trPr>
        <w:tc>
          <w:tcPr>
            <w:tcW w:w="579"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4"/>
              <w:snapToGrid w:val="0"/>
              <w:jc w:val="center"/>
              <w:rPr>
                <w:rFonts w:hAnsi="宋体" w:cs="宋体"/>
                <w:color w:val="auto"/>
                <w:szCs w:val="21"/>
                <w:highlight w:val="none"/>
              </w:rPr>
            </w:pPr>
          </w:p>
        </w:tc>
        <w:tc>
          <w:tcPr>
            <w:tcW w:w="2127" w:type="dxa"/>
            <w:tcBorders>
              <w:top w:val="single" w:color="auto" w:sz="6" w:space="0"/>
              <w:left w:val="single" w:color="auto" w:sz="2" w:space="0"/>
              <w:bottom w:val="single" w:color="auto" w:sz="6" w:space="0"/>
              <w:right w:val="single" w:color="auto" w:sz="4" w:space="0"/>
            </w:tcBorders>
            <w:vAlign w:val="center"/>
          </w:tcPr>
          <w:p>
            <w:pPr>
              <w:pStyle w:val="14"/>
              <w:snapToGrid w:val="0"/>
              <w:jc w:val="center"/>
              <w:rPr>
                <w:rFonts w:hAnsi="宋体" w:cs="宋体"/>
                <w:color w:val="auto"/>
                <w:szCs w:val="21"/>
                <w:highlight w:val="none"/>
              </w:rPr>
            </w:pPr>
            <w:r>
              <w:rPr>
                <w:rFonts w:hint="eastAsia" w:hAnsi="宋体" w:cs="宋体"/>
                <w:color w:val="auto"/>
                <w:szCs w:val="21"/>
                <w:highlight w:val="none"/>
              </w:rPr>
              <w:t>……</w:t>
            </w:r>
          </w:p>
        </w:tc>
        <w:tc>
          <w:tcPr>
            <w:tcW w:w="2249" w:type="dxa"/>
            <w:tcBorders>
              <w:top w:val="single" w:color="auto" w:sz="6" w:space="0"/>
              <w:left w:val="single" w:color="auto" w:sz="4" w:space="0"/>
              <w:bottom w:val="single" w:color="auto" w:sz="6" w:space="0"/>
              <w:right w:val="single" w:color="auto" w:sz="6" w:space="0"/>
            </w:tcBorders>
            <w:vAlign w:val="center"/>
          </w:tcPr>
          <w:p>
            <w:pPr>
              <w:pStyle w:val="14"/>
              <w:snapToGrid w:val="0"/>
              <w:jc w:val="center"/>
              <w:rPr>
                <w:rFonts w:hAnsi="宋体" w:cs="宋体"/>
                <w:color w:val="auto"/>
                <w:szCs w:val="21"/>
                <w:highlight w:val="none"/>
              </w:rPr>
            </w:pPr>
          </w:p>
        </w:tc>
        <w:tc>
          <w:tcPr>
            <w:tcW w:w="1765" w:type="dxa"/>
            <w:tcBorders>
              <w:top w:val="single" w:color="auto" w:sz="6" w:space="0"/>
              <w:left w:val="single" w:color="auto" w:sz="6" w:space="0"/>
              <w:bottom w:val="single" w:color="auto" w:sz="6" w:space="0"/>
              <w:right w:val="single" w:color="auto" w:sz="2" w:space="0"/>
            </w:tcBorders>
            <w:vAlign w:val="center"/>
          </w:tcPr>
          <w:p>
            <w:pPr>
              <w:pStyle w:val="14"/>
              <w:snapToGrid w:val="0"/>
              <w:jc w:val="center"/>
              <w:rPr>
                <w:rFonts w:hAnsi="宋体" w:cs="宋体"/>
                <w:color w:val="auto"/>
                <w:szCs w:val="24"/>
                <w:highlight w:val="none"/>
                <w:u w:val="single"/>
              </w:rPr>
            </w:pPr>
          </w:p>
        </w:tc>
        <w:tc>
          <w:tcPr>
            <w:tcW w:w="2017" w:type="dxa"/>
            <w:tcBorders>
              <w:top w:val="single" w:color="auto" w:sz="6" w:space="0"/>
              <w:left w:val="single" w:color="auto" w:sz="6" w:space="0"/>
              <w:bottom w:val="single" w:color="auto" w:sz="6" w:space="0"/>
              <w:right w:val="single" w:color="auto" w:sz="2" w:space="0"/>
            </w:tcBorders>
            <w:vAlign w:val="center"/>
          </w:tcPr>
          <w:p>
            <w:pPr>
              <w:pStyle w:val="14"/>
              <w:snapToGrid w:val="0"/>
              <w:jc w:val="center"/>
              <w:rPr>
                <w:rFonts w:hAnsi="宋体" w:cs="宋体"/>
                <w:color w:val="auto"/>
                <w:szCs w:val="24"/>
                <w:highlight w:val="none"/>
              </w:rPr>
            </w:pPr>
            <w:r>
              <w:rPr>
                <w:rFonts w:hint="eastAsia" w:hAnsi="宋体" w:cs="宋体"/>
                <w:color w:val="auto"/>
                <w:szCs w:val="24"/>
                <w:highlight w:val="none"/>
              </w:rPr>
              <w:t>%</w:t>
            </w:r>
          </w:p>
        </w:tc>
      </w:tr>
    </w:tbl>
    <w:p>
      <w:pPr>
        <w:snapToGrid w:val="0"/>
        <w:spacing w:before="50" w:after="50"/>
        <w:rPr>
          <w:rFonts w:ascii="宋体" w:hAnsi="宋体" w:cs="宋体"/>
          <w:color w:val="auto"/>
          <w:spacing w:val="20"/>
          <w:sz w:val="24"/>
          <w:highlight w:val="none"/>
        </w:rPr>
      </w:pPr>
      <w:r>
        <w:rPr>
          <w:rFonts w:hint="eastAsia" w:ascii="宋体" w:hAnsi="宋体" w:cs="宋体"/>
          <w:color w:val="auto"/>
          <w:spacing w:val="20"/>
          <w:sz w:val="24"/>
          <w:highlight w:val="none"/>
        </w:rPr>
        <w:t>注：如有优惠应填写相应内容，无优惠则填写“无”。</w:t>
      </w:r>
    </w:p>
    <w:p>
      <w:pPr>
        <w:snapToGrid w:val="0"/>
        <w:spacing w:before="50" w:after="50"/>
        <w:rPr>
          <w:rFonts w:ascii="宋体" w:hAnsi="宋体" w:cs="宋体"/>
          <w:color w:val="auto"/>
          <w:sz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rPr>
          <w:rFonts w:ascii="宋体" w:hAnsi="宋体" w:cs="宋体"/>
          <w:b/>
          <w:color w:val="auto"/>
          <w:spacing w:val="-6"/>
          <w:sz w:val="24"/>
          <w:highlight w:val="none"/>
        </w:rPr>
      </w:pPr>
      <w:r>
        <w:rPr>
          <w:rFonts w:hint="eastAsia" w:ascii="宋体" w:hAnsi="宋体" w:cs="宋体"/>
          <w:color w:val="auto"/>
          <w:highlight w:val="none"/>
        </w:rPr>
        <w:br w:type="page"/>
      </w:r>
      <w:r>
        <w:rPr>
          <w:rFonts w:hint="eastAsia" w:ascii="宋体" w:hAnsi="宋体" w:cs="宋体"/>
          <w:b/>
          <w:color w:val="auto"/>
          <w:sz w:val="24"/>
          <w:szCs w:val="24"/>
          <w:highlight w:val="none"/>
        </w:rPr>
        <w:t>附件15</w:t>
      </w:r>
    </w:p>
    <w:p>
      <w:pPr>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投标产品技术支持材料</w:t>
      </w:r>
    </w:p>
    <w:p>
      <w:pPr>
        <w:spacing w:line="400" w:lineRule="exact"/>
        <w:rPr>
          <w:rFonts w:ascii="宋体" w:hAnsi="宋体" w:cs="宋体"/>
          <w:b/>
          <w:color w:val="auto"/>
          <w:spacing w:val="-6"/>
          <w:sz w:val="24"/>
          <w:highlight w:val="none"/>
        </w:rPr>
      </w:pPr>
    </w:p>
    <w:p>
      <w:pPr>
        <w:spacing w:line="400" w:lineRule="exact"/>
        <w:rPr>
          <w:rFonts w:ascii="宋体" w:hAnsi="宋体" w:cs="宋体"/>
          <w:b/>
          <w:color w:val="auto"/>
          <w:spacing w:val="-6"/>
          <w:sz w:val="24"/>
          <w:highlight w:val="none"/>
        </w:rPr>
      </w:pP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w:t>
      </w: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1.投标人提供技术支持资料以证明其对技术指标的应答；</w:t>
      </w: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2.技术支持资料应是制造商公开发布的印刷资料（彩页、Datasheet）或由有关政府部门或检测机构合法出具的文件或报告；</w:t>
      </w: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3.不符合上述要求的资料，可被视为是无效的技术支持资料；</w:t>
      </w: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4.如上述资料之间存在不一致的，以有关政府部门或检测机构合法出具的文件或报告为准；</w:t>
      </w: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5.若对技术指标的应答无技术支持资料证明，评标委员会可不予承认，并可认为该应答不符合招标文件要求，将作出不利于投标人的技术评审，其后果将由投标人自行承担；</w:t>
      </w: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6.投标人可提供同等于或优于招标文件要求的产品和服务；</w:t>
      </w: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7.投标人在商务和技术文件中说明本次投标产品的技术参数是否与官网上公开的技术参数一致，如不一致，明确哪些参数不一致，不一致的原因以及使用何种技术可以达到投标产品参数。</w:t>
      </w:r>
    </w:p>
    <w:p>
      <w:pPr>
        <w:pStyle w:val="2"/>
        <w:rPr>
          <w:rFonts w:ascii="宋体" w:hAnsi="宋体" w:cs="宋体"/>
          <w:color w:val="auto"/>
          <w:sz w:val="32"/>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spacing w:line="400" w:lineRule="exact"/>
        <w:jc w:val="center"/>
        <w:rPr>
          <w:rFonts w:ascii="宋体" w:hAnsi="宋体" w:cs="宋体"/>
          <w:b/>
          <w:color w:val="auto"/>
          <w:sz w:val="32"/>
          <w:highlight w:val="none"/>
        </w:rPr>
      </w:pPr>
    </w:p>
    <w:p>
      <w:pPr>
        <w:spacing w:line="400" w:lineRule="exact"/>
        <w:jc w:val="center"/>
        <w:rPr>
          <w:rFonts w:ascii="宋体" w:hAnsi="宋体" w:cs="宋体"/>
          <w:b/>
          <w:color w:val="auto"/>
          <w:sz w:val="32"/>
          <w:highlight w:val="none"/>
        </w:rPr>
      </w:pPr>
    </w:p>
    <w:p>
      <w:pPr>
        <w:spacing w:line="400" w:lineRule="exact"/>
        <w:jc w:val="center"/>
        <w:rPr>
          <w:rFonts w:ascii="宋体" w:hAnsi="宋体" w:cs="宋体"/>
          <w:b/>
          <w:color w:val="auto"/>
          <w:sz w:val="32"/>
          <w:highlight w:val="none"/>
        </w:rPr>
      </w:pPr>
    </w:p>
    <w:p>
      <w:pPr>
        <w:spacing w:line="400" w:lineRule="exact"/>
        <w:jc w:val="center"/>
        <w:rPr>
          <w:rFonts w:ascii="宋体" w:hAnsi="宋体" w:cs="宋体"/>
          <w:b/>
          <w:color w:val="auto"/>
          <w:sz w:val="32"/>
          <w:highlight w:val="none"/>
        </w:rPr>
      </w:pPr>
    </w:p>
    <w:p>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第五部分 采购需求</w:t>
      </w:r>
    </w:p>
    <w:p>
      <w:pPr>
        <w:pStyle w:val="14"/>
        <w:snapToGrid w:val="0"/>
        <w:spacing w:line="360" w:lineRule="exact"/>
        <w:outlineLvl w:val="0"/>
        <w:rPr>
          <w:rFonts w:hAnsi="宋体" w:cs="宋体"/>
          <w:b/>
          <w:bCs/>
          <w:color w:val="auto"/>
          <w:sz w:val="22"/>
          <w:highlight w:val="none"/>
        </w:rPr>
      </w:pPr>
      <w:r>
        <w:rPr>
          <w:rFonts w:hint="eastAsia" w:hAnsi="宋体" w:cs="宋体"/>
          <w:b/>
          <w:bCs/>
          <w:color w:val="auto"/>
          <w:sz w:val="22"/>
          <w:highlight w:val="none"/>
        </w:rPr>
        <w:t>一.采购内容及数量</w:t>
      </w:r>
    </w:p>
    <w:tbl>
      <w:tblPr>
        <w:tblStyle w:val="26"/>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434"/>
        <w:gridCol w:w="1454"/>
        <w:gridCol w:w="1961"/>
        <w:gridCol w:w="1512"/>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spacing w:line="34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序号</w:t>
            </w:r>
          </w:p>
        </w:tc>
        <w:tc>
          <w:tcPr>
            <w:tcW w:w="2434" w:type="dxa"/>
            <w:vAlign w:val="center"/>
          </w:tcPr>
          <w:p>
            <w:pPr>
              <w:spacing w:line="34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项目名称</w:t>
            </w:r>
          </w:p>
        </w:tc>
        <w:tc>
          <w:tcPr>
            <w:tcW w:w="1454" w:type="dxa"/>
            <w:vAlign w:val="center"/>
          </w:tcPr>
          <w:p>
            <w:pPr>
              <w:spacing w:line="34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数量</w:t>
            </w:r>
          </w:p>
        </w:tc>
        <w:tc>
          <w:tcPr>
            <w:tcW w:w="1961" w:type="dxa"/>
            <w:vAlign w:val="center"/>
          </w:tcPr>
          <w:p>
            <w:pPr>
              <w:spacing w:line="34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预算金额(元）</w:t>
            </w:r>
          </w:p>
        </w:tc>
        <w:tc>
          <w:tcPr>
            <w:tcW w:w="1512" w:type="dxa"/>
            <w:vAlign w:val="center"/>
          </w:tcPr>
          <w:p>
            <w:pPr>
              <w:spacing w:line="34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是否允许进口</w:t>
            </w:r>
          </w:p>
        </w:tc>
        <w:tc>
          <w:tcPr>
            <w:tcW w:w="884" w:type="dxa"/>
            <w:vAlign w:val="center"/>
          </w:tcPr>
          <w:p>
            <w:pPr>
              <w:spacing w:line="340" w:lineRule="exact"/>
              <w:jc w:val="center"/>
              <w:rPr>
                <w:rFonts w:ascii="宋体" w:hAnsi="宋体" w:cs="宋体"/>
                <w:b/>
                <w:bCs/>
                <w:color w:val="auto"/>
                <w:spacing w:val="-6"/>
                <w:sz w:val="22"/>
                <w:highlight w:val="none"/>
              </w:rPr>
            </w:pPr>
            <w:r>
              <w:rPr>
                <w:rFonts w:hint="eastAsia" w:ascii="宋体" w:hAnsi="宋体" w:cs="宋体"/>
                <w:b/>
                <w:bCs/>
                <w:color w:val="auto"/>
                <w:spacing w:val="-6"/>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spacing w:line="340" w:lineRule="exact"/>
              <w:jc w:val="center"/>
              <w:rPr>
                <w:rFonts w:ascii="宋体" w:hAnsi="宋体" w:cs="宋体"/>
                <w:b/>
                <w:color w:val="auto"/>
                <w:spacing w:val="-6"/>
                <w:sz w:val="22"/>
                <w:highlight w:val="none"/>
              </w:rPr>
            </w:pPr>
            <w:r>
              <w:rPr>
                <w:rFonts w:hint="eastAsia" w:ascii="宋体" w:hAnsi="宋体" w:cs="宋体"/>
                <w:bCs/>
                <w:color w:val="auto"/>
                <w:spacing w:val="-6"/>
                <w:sz w:val="22"/>
                <w:highlight w:val="none"/>
              </w:rPr>
              <w:t>1</w:t>
            </w:r>
          </w:p>
        </w:tc>
        <w:tc>
          <w:tcPr>
            <w:tcW w:w="2434" w:type="dxa"/>
            <w:vAlign w:val="center"/>
          </w:tcPr>
          <w:p>
            <w:pPr>
              <w:spacing w:line="34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智慧校园建设设备</w:t>
            </w:r>
          </w:p>
        </w:tc>
        <w:tc>
          <w:tcPr>
            <w:tcW w:w="1454" w:type="dxa"/>
            <w:vAlign w:val="center"/>
          </w:tcPr>
          <w:p>
            <w:pPr>
              <w:spacing w:line="34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1批</w:t>
            </w:r>
          </w:p>
        </w:tc>
        <w:tc>
          <w:tcPr>
            <w:tcW w:w="1961" w:type="dxa"/>
            <w:vAlign w:val="center"/>
          </w:tcPr>
          <w:p>
            <w:pPr>
              <w:spacing w:line="34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8628205</w:t>
            </w:r>
          </w:p>
        </w:tc>
        <w:tc>
          <w:tcPr>
            <w:tcW w:w="1512" w:type="dxa"/>
            <w:vAlign w:val="center"/>
          </w:tcPr>
          <w:p>
            <w:pPr>
              <w:spacing w:line="34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否</w:t>
            </w:r>
          </w:p>
        </w:tc>
        <w:tc>
          <w:tcPr>
            <w:tcW w:w="884" w:type="dxa"/>
            <w:vAlign w:val="center"/>
          </w:tcPr>
          <w:p>
            <w:pPr>
              <w:spacing w:line="340" w:lineRule="exact"/>
              <w:jc w:val="center"/>
              <w:rPr>
                <w:rFonts w:ascii="宋体" w:hAnsi="宋体" w:cs="宋体"/>
                <w:bCs/>
                <w:color w:val="auto"/>
                <w:spacing w:val="-6"/>
                <w:sz w:val="22"/>
                <w:highlight w:val="none"/>
              </w:rPr>
            </w:pPr>
          </w:p>
        </w:tc>
      </w:tr>
    </w:tbl>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二.为落实政府采购政策需满足的要求：</w:t>
      </w:r>
    </w:p>
    <w:tbl>
      <w:tblPr>
        <w:tblStyle w:val="2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88"/>
        <w:gridCol w:w="5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988"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政策名称</w:t>
            </w:r>
          </w:p>
        </w:tc>
        <w:tc>
          <w:tcPr>
            <w:tcW w:w="5232"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2988"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政府采购促进中小企业发展</w:t>
            </w:r>
          </w:p>
        </w:tc>
        <w:tc>
          <w:tcPr>
            <w:tcW w:w="5232" w:type="dxa"/>
            <w:vAlign w:val="center"/>
          </w:tcPr>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2988"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政府采购支持监狱企业发展</w:t>
            </w:r>
          </w:p>
        </w:tc>
        <w:tc>
          <w:tcPr>
            <w:tcW w:w="5232" w:type="dxa"/>
            <w:vAlign w:val="center"/>
          </w:tcPr>
          <w:p>
            <w:pPr>
              <w:spacing w:line="360" w:lineRule="exact"/>
              <w:jc w:val="left"/>
              <w:rPr>
                <w:rFonts w:ascii="宋体" w:hAnsi="宋体" w:cs="宋体"/>
                <w:color w:val="auto"/>
                <w:sz w:val="22"/>
                <w:highlight w:val="none"/>
              </w:rPr>
            </w:pPr>
            <w:r>
              <w:rPr>
                <w:rFonts w:hint="eastAsia" w:ascii="宋体" w:hAnsi="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2988"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政府采购促进残疾人就业</w:t>
            </w:r>
          </w:p>
        </w:tc>
        <w:tc>
          <w:tcPr>
            <w:tcW w:w="5232" w:type="dxa"/>
            <w:vAlign w:val="center"/>
          </w:tcPr>
          <w:p>
            <w:pPr>
              <w:spacing w:line="360" w:lineRule="exact"/>
              <w:rPr>
                <w:rFonts w:ascii="宋体" w:hAnsi="宋体" w:cs="宋体"/>
                <w:color w:val="auto"/>
                <w:sz w:val="22"/>
                <w:highlight w:val="none"/>
              </w:rPr>
            </w:pPr>
            <w:r>
              <w:rPr>
                <w:rFonts w:hint="eastAsia" w:ascii="宋体" w:hAnsi="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2988"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政府采购节能环保产品</w:t>
            </w:r>
          </w:p>
        </w:tc>
        <w:tc>
          <w:tcPr>
            <w:tcW w:w="5232" w:type="dxa"/>
            <w:vAlign w:val="center"/>
          </w:tcPr>
          <w:p>
            <w:pPr>
              <w:spacing w:line="360" w:lineRule="exact"/>
              <w:rPr>
                <w:rFonts w:ascii="宋体" w:hAnsi="宋体" w:cs="宋体"/>
                <w:color w:val="auto"/>
                <w:sz w:val="22"/>
                <w:highlight w:val="none"/>
              </w:rPr>
            </w:pPr>
            <w:r>
              <w:rPr>
                <w:rFonts w:hint="eastAsia" w:ascii="宋体" w:hAnsi="宋体" w:cs="宋体"/>
                <w:color w:val="auto"/>
                <w:sz w:val="22"/>
                <w:highlight w:val="none"/>
              </w:rPr>
              <w:t>1、《根据财政部 发展改革委 生态环境部 市场监管总局关于调整优化节能产品、环境标志产品政府采购执行机制的通知》财库〔2019〕9号文件要求，供应商所投产品如属于节能产品政府采购品目清单或环境标志产品政府采购品目清单内的，按照招标文件第四部分附件要求提供“投标产品经国家确定的认证机构出具的处于有效期之内的节能产品、环境标志产品认证证书”或“投标产品在‘中国政府采购网’上节能产品或环境标志产品查询截图”。</w:t>
            </w:r>
          </w:p>
          <w:p>
            <w:pPr>
              <w:spacing w:line="360" w:lineRule="exact"/>
              <w:rPr>
                <w:rFonts w:ascii="宋体" w:hAnsi="宋体" w:cs="宋体"/>
                <w:color w:val="auto"/>
                <w:sz w:val="22"/>
                <w:highlight w:val="none"/>
              </w:rPr>
            </w:pPr>
            <w:r>
              <w:rPr>
                <w:rFonts w:hint="eastAsia" w:ascii="宋体" w:hAnsi="宋体" w:cs="宋体"/>
                <w:color w:val="auto"/>
                <w:sz w:val="22"/>
                <w:highlight w:val="none"/>
                <w:u w:val="single"/>
              </w:rPr>
              <w:t>▲2、采购需求中要求提供的产品属于节能产品政府采购品目清单中强制采购的，供应商须提供该清单内产品，并按上款要求提供节能产品认证证书或规定网站证书查询截图，否则其投标无效。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Align w:val="center"/>
          </w:tcPr>
          <w:p>
            <w:pPr>
              <w:spacing w:line="360" w:lineRule="exact"/>
              <w:jc w:val="center"/>
              <w:rPr>
                <w:rFonts w:ascii="宋体" w:hAnsi="宋体" w:cs="宋体"/>
                <w:color w:val="auto"/>
                <w:sz w:val="22"/>
                <w:highlight w:val="none"/>
              </w:rPr>
            </w:pPr>
            <w:r>
              <w:rPr>
                <w:rFonts w:ascii="宋体" w:hAnsi="宋体" w:cs="宋体"/>
                <w:color w:val="auto"/>
                <w:sz w:val="22"/>
                <w:highlight w:val="none"/>
              </w:rPr>
              <w:t>5</w:t>
            </w:r>
          </w:p>
        </w:tc>
        <w:tc>
          <w:tcPr>
            <w:tcW w:w="2988"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政府采购进口产品</w:t>
            </w:r>
          </w:p>
        </w:tc>
        <w:tc>
          <w:tcPr>
            <w:tcW w:w="5232" w:type="dxa"/>
            <w:vAlign w:val="center"/>
          </w:tcPr>
          <w:p>
            <w:pPr>
              <w:spacing w:line="360" w:lineRule="exact"/>
              <w:jc w:val="left"/>
              <w:rPr>
                <w:rFonts w:ascii="宋体" w:hAnsi="宋体" w:cs="宋体"/>
                <w:color w:val="auto"/>
                <w:sz w:val="22"/>
                <w:highlight w:val="none"/>
              </w:rPr>
            </w:pPr>
            <w:r>
              <w:rPr>
                <w:rFonts w:hint="eastAsia" w:ascii="宋体" w:hAnsi="宋体" w:cs="宋体"/>
                <w:color w:val="auto"/>
                <w:sz w:val="22"/>
                <w:highlight w:val="none"/>
              </w:rPr>
              <w:t>不允许</w:t>
            </w:r>
          </w:p>
        </w:tc>
      </w:tr>
    </w:tbl>
    <w:p>
      <w:pPr>
        <w:snapToGrid w:val="0"/>
        <w:spacing w:line="360" w:lineRule="exact"/>
        <w:outlineLvl w:val="0"/>
        <w:rPr>
          <w:rFonts w:ascii="宋体" w:hAnsi="宋体" w:cs="宋体"/>
          <w:b/>
          <w:bCs/>
          <w:color w:val="auto"/>
          <w:spacing w:val="-6"/>
          <w:sz w:val="22"/>
          <w:highlight w:val="none"/>
        </w:rPr>
      </w:pPr>
      <w:r>
        <w:rPr>
          <w:rFonts w:hint="eastAsia" w:ascii="宋体" w:hAnsi="宋体" w:cs="宋体"/>
          <w:b/>
          <w:bCs/>
          <w:color w:val="auto"/>
          <w:kern w:val="0"/>
          <w:sz w:val="22"/>
          <w:highlight w:val="none"/>
        </w:rPr>
        <w:t>三.</w:t>
      </w:r>
      <w:r>
        <w:rPr>
          <w:rFonts w:hint="eastAsia" w:ascii="宋体" w:hAnsi="宋体" w:cs="宋体"/>
          <w:b/>
          <w:bCs/>
          <w:color w:val="auto"/>
          <w:spacing w:val="-6"/>
          <w:sz w:val="22"/>
          <w:highlight w:val="none"/>
        </w:rPr>
        <w:t>商务部分（技术部分里另有注明的以技术部分为准）</w:t>
      </w:r>
    </w:p>
    <w:tbl>
      <w:tblPr>
        <w:tblStyle w:val="26"/>
        <w:tblW w:w="89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2"/>
        <w:gridCol w:w="74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支付方式</w:t>
            </w:r>
          </w:p>
        </w:tc>
        <w:tc>
          <w:tcPr>
            <w:tcW w:w="745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b/>
                <w:bCs/>
                <w:color w:val="auto"/>
                <w:sz w:val="22"/>
                <w:highlight w:val="none"/>
                <w:u w:val="single"/>
              </w:rPr>
            </w:pPr>
            <w:r>
              <w:rPr>
                <w:rFonts w:hint="eastAsia" w:ascii="宋体" w:hAnsi="宋体" w:cs="宋体"/>
                <w:color w:val="auto"/>
                <w:sz w:val="22"/>
                <w:highlight w:val="none"/>
                <w:u w:val="single"/>
              </w:rPr>
              <w:t>▲国产设备：</w:t>
            </w:r>
            <w:r>
              <w:rPr>
                <w:rFonts w:hint="eastAsia" w:ascii="宋体" w:hAnsi="宋体" w:cs="宋体"/>
                <w:b/>
                <w:bCs/>
                <w:color w:val="auto"/>
                <w:sz w:val="22"/>
                <w:highlight w:val="none"/>
                <w:u w:val="single"/>
              </w:rPr>
              <w:t>以下付款方式选其一即可</w:t>
            </w:r>
          </w:p>
          <w:p>
            <w:pPr>
              <w:spacing w:line="360" w:lineRule="exact"/>
              <w:jc w:val="left"/>
              <w:rPr>
                <w:rFonts w:ascii="宋体" w:hAnsi="宋体" w:cs="宋体"/>
                <w:color w:val="auto"/>
                <w:sz w:val="22"/>
                <w:highlight w:val="none"/>
                <w:u w:val="single"/>
                <w:lang w:val="zh-CN"/>
              </w:rPr>
            </w:pPr>
            <w:r>
              <w:rPr>
                <w:rFonts w:hint="eastAsia" w:ascii="宋体" w:hAnsi="宋体" w:cs="宋体"/>
                <w:color w:val="auto"/>
                <w:sz w:val="22"/>
                <w:highlight w:val="none"/>
                <w:u w:val="single"/>
              </w:rPr>
              <w:t>中标人在合同签订后，5个工作日内支付合同金额的5%作为履约保证金，履约保证金自项目验收合格之日起1年后无质量问题按程序在7个工作日内无息退还。付款：</w:t>
            </w:r>
            <w:r>
              <w:rPr>
                <w:rFonts w:hint="eastAsia" w:ascii="宋体" w:hAnsi="宋体" w:cs="宋体"/>
                <w:color w:val="auto"/>
                <w:sz w:val="22"/>
                <w:highlight w:val="none"/>
                <w:u w:val="single"/>
                <w:lang w:val="zh-CN"/>
              </w:rPr>
              <w:t>卖方完成全部供货及安装、调试并通过买方验收且卖方对买方的培训完成后，买方入库报销后15个工作日内，买方向卖方支付合同价全款。</w:t>
            </w:r>
          </w:p>
          <w:p>
            <w:pPr>
              <w:spacing w:line="360" w:lineRule="exact"/>
              <w:jc w:val="left"/>
              <w:rPr>
                <w:rFonts w:ascii="宋体" w:hAnsi="宋体" w:cs="宋体"/>
                <w:b/>
                <w:bCs/>
                <w:color w:val="auto"/>
                <w:sz w:val="22"/>
                <w:highlight w:val="none"/>
                <w:u w:val="single"/>
                <w:lang w:val="zh-CN"/>
              </w:rPr>
            </w:pPr>
            <w:r>
              <w:rPr>
                <w:rFonts w:hint="eastAsia" w:ascii="宋体" w:hAnsi="宋体" w:cs="宋体"/>
                <w:b/>
                <w:bCs/>
                <w:color w:val="auto"/>
                <w:sz w:val="22"/>
                <w:highlight w:val="none"/>
                <w:u w:val="single"/>
                <w:lang w:val="zh-CN"/>
              </w:rPr>
              <w:t>或</w:t>
            </w:r>
          </w:p>
          <w:p>
            <w:pPr>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中标人在合同签订后，5个工作日内支付合同金额的5%作为履约保证金，履约保证金自项目验收合格之日起1年后无质量问题按程序在7个工作日内无息退还。</w:t>
            </w:r>
            <w:r>
              <w:rPr>
                <w:rFonts w:hint="eastAsia" w:ascii="宋体" w:hAnsi="宋体" w:cs="宋体"/>
                <w:color w:val="auto"/>
                <w:sz w:val="22"/>
                <w:highlight w:val="none"/>
                <w:u w:val="single"/>
                <w:lang w:val="zh-CN"/>
              </w:rPr>
              <w:t>买方在合同生效、具备实施条件以及卖方向买方提交合同金额30%的银行保函后，15日内完成预付款（合同金额30%），货到安装验收合格后，买方向卖方支付合同余款（合同金额70%），同时退还银行保函。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质保期</w:t>
            </w:r>
          </w:p>
        </w:tc>
        <w:tc>
          <w:tcPr>
            <w:tcW w:w="7455" w:type="dxa"/>
            <w:tcBorders>
              <w:top w:val="single" w:color="auto" w:sz="4" w:space="0"/>
              <w:left w:val="single" w:color="auto" w:sz="4" w:space="0"/>
              <w:bottom w:val="single" w:color="auto" w:sz="4" w:space="0"/>
              <w:right w:val="single" w:color="auto" w:sz="4" w:space="0"/>
            </w:tcBorders>
            <w:vAlign w:val="center"/>
          </w:tcPr>
          <w:p>
            <w:pPr>
              <w:pStyle w:val="8"/>
              <w:spacing w:line="360" w:lineRule="exact"/>
              <w:rPr>
                <w:rFonts w:ascii="宋体" w:hAnsi="宋体" w:cs="宋体"/>
                <w:color w:val="auto"/>
                <w:sz w:val="22"/>
                <w:highlight w:val="none"/>
              </w:rPr>
            </w:pPr>
            <w:r>
              <w:rPr>
                <w:rFonts w:hint="eastAsia" w:ascii="宋体" w:hAnsi="宋体" w:cs="宋体"/>
                <w:color w:val="auto"/>
                <w:sz w:val="22"/>
                <w:highlight w:val="none"/>
              </w:rPr>
              <w:t>自项目整体通过验收合格之日起3年。质保期内，承诺提供免费技术支撑与维护，且提供软件免费升级。</w:t>
            </w:r>
          </w:p>
          <w:p>
            <w:pPr>
              <w:spacing w:line="360" w:lineRule="exact"/>
              <w:jc w:val="left"/>
              <w:rPr>
                <w:rFonts w:ascii="宋体" w:hAnsi="宋体" w:cs="宋体"/>
                <w:color w:val="auto"/>
                <w:sz w:val="22"/>
                <w:highlight w:val="none"/>
              </w:rPr>
            </w:pPr>
            <w:r>
              <w:rPr>
                <w:rFonts w:hint="eastAsia" w:ascii="宋体" w:hAnsi="宋体" w:cs="宋体"/>
                <w:b/>
                <w:bCs/>
                <w:color w:val="auto"/>
                <w:sz w:val="22"/>
                <w:highlight w:val="none"/>
              </w:rPr>
              <w:t>注：以上质保期有特别说明的货物除外。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交付时间</w:t>
            </w:r>
          </w:p>
        </w:tc>
        <w:tc>
          <w:tcPr>
            <w:tcW w:w="7455" w:type="dxa"/>
            <w:tcBorders>
              <w:top w:val="single" w:color="auto" w:sz="4" w:space="0"/>
              <w:left w:val="single" w:color="auto" w:sz="4" w:space="0"/>
              <w:bottom w:val="single" w:color="auto" w:sz="4" w:space="0"/>
              <w:right w:val="single" w:color="auto" w:sz="4" w:space="0"/>
            </w:tcBorders>
            <w:vAlign w:val="center"/>
          </w:tcPr>
          <w:p>
            <w:pPr>
              <w:pStyle w:val="8"/>
              <w:spacing w:line="360" w:lineRule="exact"/>
              <w:rPr>
                <w:rFonts w:ascii="宋体" w:hAnsi="宋体" w:cs="宋体"/>
                <w:color w:val="auto"/>
                <w:sz w:val="22"/>
                <w:highlight w:val="none"/>
              </w:rPr>
            </w:pPr>
            <w:r>
              <w:rPr>
                <w:rFonts w:hint="eastAsia" w:ascii="宋体" w:hAnsi="宋体" w:cs="宋体"/>
                <w:color w:val="auto"/>
                <w:sz w:val="22"/>
                <w:highlight w:val="none"/>
              </w:rPr>
              <w:t>合同签订起4个月内完成交付使用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交付地点</w:t>
            </w:r>
          </w:p>
        </w:tc>
        <w:tc>
          <w:tcPr>
            <w:tcW w:w="7455" w:type="dxa"/>
            <w:tcBorders>
              <w:top w:val="single" w:color="auto" w:sz="4" w:space="0"/>
              <w:left w:val="single" w:color="auto" w:sz="4" w:space="0"/>
              <w:bottom w:val="single" w:color="auto" w:sz="4" w:space="0"/>
              <w:right w:val="single" w:color="auto" w:sz="4" w:space="0"/>
            </w:tcBorders>
            <w:vAlign w:val="center"/>
          </w:tcPr>
          <w:p>
            <w:pPr>
              <w:pStyle w:val="8"/>
              <w:spacing w:line="360" w:lineRule="exact"/>
              <w:rPr>
                <w:rFonts w:ascii="宋体" w:hAnsi="宋体" w:cs="宋体"/>
                <w:color w:val="auto"/>
                <w:sz w:val="22"/>
                <w:highlight w:val="none"/>
              </w:rPr>
            </w:pPr>
            <w:r>
              <w:rPr>
                <w:rFonts w:hint="eastAsia" w:ascii="宋体" w:hAnsi="宋体" w:cs="宋体"/>
                <w:color w:val="auto"/>
                <w:sz w:val="22"/>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服务标准</w:t>
            </w:r>
          </w:p>
        </w:tc>
        <w:tc>
          <w:tcPr>
            <w:tcW w:w="7455" w:type="dxa"/>
            <w:tcBorders>
              <w:top w:val="single" w:color="auto" w:sz="4" w:space="0"/>
              <w:left w:val="single" w:color="auto" w:sz="4" w:space="0"/>
              <w:bottom w:val="single" w:color="auto" w:sz="4" w:space="0"/>
              <w:right w:val="single" w:color="auto" w:sz="4" w:space="0"/>
            </w:tcBorders>
            <w:vAlign w:val="center"/>
          </w:tcPr>
          <w:p>
            <w:pPr>
              <w:numPr>
                <w:ilvl w:val="0"/>
                <w:numId w:val="9"/>
              </w:numPr>
              <w:spacing w:line="360" w:lineRule="exact"/>
              <w:rPr>
                <w:rFonts w:ascii="宋体" w:hAnsi="宋体" w:cs="宋体"/>
                <w:color w:val="auto"/>
                <w:sz w:val="22"/>
                <w:highlight w:val="none"/>
              </w:rPr>
            </w:pPr>
            <w:r>
              <w:rPr>
                <w:rFonts w:hint="eastAsia" w:ascii="宋体" w:hAnsi="宋体" w:cs="宋体"/>
                <w:color w:val="auto"/>
                <w:sz w:val="22"/>
                <w:highlight w:val="none"/>
              </w:rPr>
              <w:t>质保期内因不能排除的故障而影响工作的情况每发生一次，其质保期相应延长60天，质保期内因设备本身缺陷造成各种故障应由投标人免费予以技术服务和维修（如有必要可进行更换），否则将扣除履约保证金作为对采购人的补偿。</w:t>
            </w:r>
          </w:p>
          <w:p>
            <w:pPr>
              <w:spacing w:line="360" w:lineRule="exact"/>
              <w:rPr>
                <w:rFonts w:ascii="宋体" w:hAnsi="宋体" w:cs="宋体"/>
                <w:color w:val="auto"/>
                <w:sz w:val="22"/>
                <w:highlight w:val="none"/>
              </w:rPr>
            </w:pPr>
            <w:r>
              <w:rPr>
                <w:rFonts w:hint="eastAsia" w:ascii="宋体" w:hAnsi="宋体" w:cs="宋体"/>
                <w:color w:val="auto"/>
                <w:sz w:val="22"/>
                <w:highlight w:val="none"/>
              </w:rPr>
              <w:t>2.在设备整个质保期内，中标人应确保设备的正常使用，零配件在该设备停产后仍需保证2年的供应，维修过程中所需零配件中标人在接到通知后应当天及时提供，并最长不超过12小时（特殊设备另行说明）送达用户指定地点。</w:t>
            </w:r>
          </w:p>
          <w:p>
            <w:pPr>
              <w:spacing w:line="360" w:lineRule="exact"/>
              <w:rPr>
                <w:rFonts w:ascii="宋体" w:hAnsi="宋体" w:cs="宋体"/>
                <w:color w:val="auto"/>
                <w:sz w:val="22"/>
                <w:highlight w:val="none"/>
              </w:rPr>
            </w:pPr>
            <w:r>
              <w:rPr>
                <w:rFonts w:hint="eastAsia" w:ascii="宋体" w:hAnsi="宋体" w:cs="宋体"/>
                <w:color w:val="auto"/>
                <w:sz w:val="22"/>
                <w:highlight w:val="none"/>
              </w:rPr>
              <w:t>3</w:t>
            </w:r>
            <w:r>
              <w:rPr>
                <w:rFonts w:ascii="宋体" w:hAnsi="宋体" w:cs="宋体"/>
                <w:color w:val="auto"/>
                <w:sz w:val="22"/>
                <w:highlight w:val="none"/>
              </w:rPr>
              <w:t>.</w:t>
            </w:r>
            <w:r>
              <w:rPr>
                <w:rFonts w:hint="eastAsia" w:ascii="宋体" w:hAnsi="宋体" w:cs="宋体"/>
                <w:color w:val="auto"/>
                <w:sz w:val="22"/>
                <w:highlight w:val="none"/>
              </w:rPr>
              <w:t>在质保期内，所有服务及备件全部免费。质保期满后，仅收取设备维修的材料和零配件成本费用，免人工费、差旅费，所涉及软件终身免费升级。并在中国设有保税库，能更及时地为采购人提供备品备件。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服务效率</w:t>
            </w:r>
          </w:p>
        </w:tc>
        <w:tc>
          <w:tcPr>
            <w:tcW w:w="74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rPr>
            </w:pPr>
            <w:r>
              <w:rPr>
                <w:rFonts w:hint="eastAsia" w:ascii="宋体" w:hAnsi="宋体" w:cs="宋体"/>
                <w:color w:val="auto"/>
                <w:sz w:val="22"/>
                <w:highlight w:val="none"/>
              </w:rPr>
              <w:t>投标人提供7*24小时服务响应，接到采购人报修电话后，2小时内响应，如电话不能解决的，在</w:t>
            </w:r>
            <w:r>
              <w:rPr>
                <w:rFonts w:ascii="宋体" w:hAnsi="宋体" w:cs="宋体"/>
                <w:color w:val="auto"/>
                <w:sz w:val="22"/>
                <w:highlight w:val="none"/>
              </w:rPr>
              <w:t xml:space="preserve"> 72</w:t>
            </w:r>
            <w:r>
              <w:rPr>
                <w:rFonts w:hint="eastAsia" w:ascii="宋体" w:hAnsi="宋体" w:cs="宋体"/>
                <w:color w:val="auto"/>
                <w:sz w:val="22"/>
                <w:highlight w:val="none"/>
              </w:rPr>
              <w:t>小时内到场支持，保证仪器的正常操作。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pacing w:val="-6"/>
                <w:sz w:val="22"/>
                <w:highlight w:val="none"/>
              </w:rPr>
              <w:t>验收标准</w:t>
            </w:r>
          </w:p>
        </w:tc>
        <w:tc>
          <w:tcPr>
            <w:tcW w:w="74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rPr>
            </w:pPr>
            <w:r>
              <w:rPr>
                <w:rFonts w:hint="eastAsia" w:ascii="宋体" w:hAnsi="宋体" w:cs="宋体"/>
                <w:color w:val="auto"/>
                <w:sz w:val="22"/>
                <w:highlight w:val="none"/>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spacing w:line="360" w:lineRule="exact"/>
              <w:rPr>
                <w:rFonts w:ascii="宋体" w:hAnsi="宋体" w:cs="宋体"/>
                <w:color w:val="auto"/>
                <w:sz w:val="22"/>
                <w:highlight w:val="none"/>
              </w:rPr>
            </w:pPr>
            <w:r>
              <w:rPr>
                <w:rFonts w:hint="eastAsia" w:ascii="宋体" w:hAnsi="宋体" w:cs="宋体"/>
                <w:color w:val="auto"/>
                <w:sz w:val="22"/>
                <w:highlight w:val="none"/>
              </w:rPr>
              <w:t>2.投标人应于投标文件中提供合同货物的验收标准和检测办法，并在验收中提供采购人认可的相应检测手段，验收标准应符合中国有关的国家、地方、行业的标准，如若成交，经采购人确认后作为验收的依据。</w:t>
            </w:r>
          </w:p>
          <w:p>
            <w:pPr>
              <w:spacing w:line="360" w:lineRule="exact"/>
              <w:rPr>
                <w:rFonts w:ascii="宋体" w:hAnsi="宋体" w:cs="宋体"/>
                <w:color w:val="auto"/>
                <w:sz w:val="22"/>
                <w:highlight w:val="none"/>
              </w:rPr>
            </w:pPr>
            <w:r>
              <w:rPr>
                <w:rFonts w:hint="eastAsia" w:ascii="宋体" w:hAnsi="宋体" w:cs="宋体"/>
                <w:color w:val="auto"/>
                <w:sz w:val="22"/>
                <w:highlight w:val="none"/>
              </w:rPr>
              <w:t>3.如中标人委托国内代理（或其他机构）负责安装或配合安装，应在签约时指明，但中标人仍要对合同货物及其安装质量负全部责任。</w:t>
            </w:r>
          </w:p>
          <w:p>
            <w:pPr>
              <w:spacing w:line="360" w:lineRule="exact"/>
              <w:rPr>
                <w:rFonts w:ascii="宋体" w:hAnsi="宋体" w:cs="宋体"/>
                <w:color w:val="auto"/>
                <w:sz w:val="22"/>
                <w:highlight w:val="none"/>
              </w:rPr>
            </w:pPr>
            <w:r>
              <w:rPr>
                <w:rFonts w:hint="eastAsia" w:ascii="宋体" w:hAnsi="宋体" w:cs="宋体"/>
                <w:color w:val="auto"/>
                <w:sz w:val="22"/>
                <w:highlight w:val="none"/>
              </w:rPr>
              <w:t>4.验收费用由中标人承担。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其他技术、服务要求</w:t>
            </w:r>
          </w:p>
        </w:tc>
        <w:tc>
          <w:tcPr>
            <w:tcW w:w="74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rPr>
            </w:pPr>
            <w:r>
              <w:rPr>
                <w:rFonts w:hint="eastAsia" w:ascii="宋体" w:hAnsi="宋体" w:cs="宋体"/>
                <w:color w:val="auto"/>
                <w:sz w:val="22"/>
                <w:highlight w:val="none"/>
              </w:rPr>
              <w:t>1.技术支持：</w:t>
            </w:r>
          </w:p>
          <w:p>
            <w:pPr>
              <w:spacing w:line="360" w:lineRule="exact"/>
              <w:rPr>
                <w:rFonts w:ascii="宋体" w:hAnsi="宋体" w:cs="宋体"/>
                <w:color w:val="auto"/>
                <w:sz w:val="22"/>
                <w:highlight w:val="none"/>
              </w:rPr>
            </w:pPr>
            <w:r>
              <w:rPr>
                <w:rFonts w:hint="eastAsia" w:ascii="宋体" w:hAnsi="宋体" w:cs="宋体"/>
                <w:color w:val="auto"/>
                <w:sz w:val="22"/>
                <w:highlight w:val="none"/>
              </w:rPr>
              <w:t>中标人应及时免费提供合同货物软件的升级，免费提供合同货物新功能和应用的资料。</w:t>
            </w:r>
          </w:p>
          <w:p>
            <w:pPr>
              <w:spacing w:line="360" w:lineRule="exact"/>
              <w:rPr>
                <w:rFonts w:ascii="宋体" w:hAnsi="宋体" w:cs="宋体"/>
                <w:color w:val="auto"/>
                <w:sz w:val="22"/>
                <w:highlight w:val="none"/>
              </w:rPr>
            </w:pPr>
            <w:r>
              <w:rPr>
                <w:rFonts w:hint="eastAsia" w:ascii="宋体" w:hAnsi="宋体" w:cs="宋体"/>
                <w:color w:val="auto"/>
                <w:sz w:val="22"/>
                <w:highlight w:val="none"/>
              </w:rPr>
              <w:t>2.安装调试（若需要安装调试）：</w:t>
            </w:r>
          </w:p>
          <w:p>
            <w:pPr>
              <w:spacing w:line="360" w:lineRule="exact"/>
              <w:rPr>
                <w:rFonts w:ascii="宋体" w:hAnsi="宋体" w:cs="宋体"/>
                <w:color w:val="auto"/>
                <w:sz w:val="22"/>
                <w:highlight w:val="none"/>
              </w:rPr>
            </w:pPr>
            <w:r>
              <w:rPr>
                <w:rFonts w:hint="eastAsia" w:ascii="宋体" w:hAnsi="宋体" w:cs="宋体"/>
                <w:color w:val="auto"/>
                <w:sz w:val="22"/>
                <w:highlight w:val="none"/>
              </w:rPr>
              <w:t>2.1 安装地点：采购人指定地点。</w:t>
            </w:r>
          </w:p>
          <w:p>
            <w:pPr>
              <w:spacing w:line="360" w:lineRule="exact"/>
              <w:rPr>
                <w:rFonts w:ascii="宋体" w:hAnsi="宋体" w:cs="宋体"/>
                <w:color w:val="auto"/>
                <w:sz w:val="22"/>
                <w:highlight w:val="none"/>
              </w:rPr>
            </w:pPr>
            <w:r>
              <w:rPr>
                <w:rFonts w:hint="eastAsia" w:ascii="宋体" w:hAnsi="宋体" w:cs="宋体"/>
                <w:color w:val="auto"/>
                <w:sz w:val="22"/>
                <w:highlight w:val="none"/>
              </w:rPr>
              <w:t>2.2供应商提供仪器的免费现场安装调试，并同时在现场对用户进行操作及维护培训。</w:t>
            </w:r>
          </w:p>
          <w:p>
            <w:pPr>
              <w:spacing w:line="360" w:lineRule="exact"/>
              <w:rPr>
                <w:rFonts w:ascii="宋体" w:hAnsi="宋体" w:cs="宋体"/>
                <w:color w:val="auto"/>
                <w:sz w:val="22"/>
                <w:highlight w:val="none"/>
              </w:rPr>
            </w:pPr>
            <w:r>
              <w:rPr>
                <w:rFonts w:hint="eastAsia" w:ascii="宋体" w:hAnsi="宋体" w:cs="宋体"/>
                <w:color w:val="auto"/>
                <w:sz w:val="22"/>
                <w:highlight w:val="none"/>
              </w:rPr>
              <w:t>2.3 安装标准：符合我国国家有关技术规范要求和技术标准，所有的货物必须保证安装到位。</w:t>
            </w:r>
          </w:p>
          <w:p>
            <w:pPr>
              <w:spacing w:line="360" w:lineRule="exact"/>
              <w:rPr>
                <w:rFonts w:ascii="宋体" w:hAnsi="宋体" w:cs="宋体"/>
                <w:color w:val="auto"/>
                <w:sz w:val="22"/>
                <w:highlight w:val="none"/>
              </w:rPr>
            </w:pPr>
            <w:r>
              <w:rPr>
                <w:rFonts w:hint="eastAsia" w:ascii="宋体" w:hAnsi="宋体" w:cs="宋体"/>
                <w:color w:val="auto"/>
                <w:sz w:val="22"/>
                <w:highlight w:val="none"/>
              </w:rPr>
              <w:t>2.4 中标人免费提供合同货物的安装服务。</w:t>
            </w:r>
          </w:p>
          <w:p>
            <w:pPr>
              <w:spacing w:line="360" w:lineRule="exact"/>
              <w:rPr>
                <w:rFonts w:ascii="宋体" w:hAnsi="宋体" w:cs="宋体"/>
                <w:color w:val="auto"/>
                <w:sz w:val="22"/>
                <w:highlight w:val="none"/>
              </w:rPr>
            </w:pPr>
            <w:r>
              <w:rPr>
                <w:rFonts w:hint="eastAsia" w:ascii="宋体" w:hAnsi="宋体" w:cs="宋体"/>
                <w:color w:val="auto"/>
                <w:sz w:val="22"/>
                <w:highlight w:val="none"/>
              </w:rPr>
              <w:t>2.5 中标人在投标文件中应提供安装调试计划、对安装场地和环境的要求。</w:t>
            </w:r>
          </w:p>
        </w:tc>
      </w:tr>
    </w:tbl>
    <w:p>
      <w:pPr>
        <w:numPr>
          <w:ilvl w:val="0"/>
          <w:numId w:val="10"/>
        </w:numPr>
        <w:snapToGrid w:val="0"/>
        <w:spacing w:line="360" w:lineRule="exact"/>
        <w:rPr>
          <w:rFonts w:ascii="宋体" w:hAnsi="宋体" w:cs="宋体"/>
          <w:color w:val="auto"/>
          <w:sz w:val="22"/>
          <w:highlight w:val="none"/>
        </w:rPr>
      </w:pPr>
      <w:r>
        <w:rPr>
          <w:rFonts w:hint="eastAsia" w:ascii="宋体" w:hAnsi="宋体" w:cs="宋体"/>
          <w:b/>
          <w:bCs/>
          <w:color w:val="auto"/>
          <w:spacing w:val="-6"/>
          <w:sz w:val="22"/>
          <w:highlight w:val="none"/>
        </w:rPr>
        <w:t>技术部分</w:t>
      </w:r>
    </w:p>
    <w:p>
      <w:pPr>
        <w:pStyle w:val="2"/>
        <w:spacing w:before="0"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（一）校园网络</w:t>
      </w:r>
    </w:p>
    <w:tbl>
      <w:tblPr>
        <w:tblStyle w:val="26"/>
        <w:tblW w:w="9289" w:type="dxa"/>
        <w:tblInd w:w="0" w:type="dxa"/>
        <w:tblLayout w:type="fixed"/>
        <w:tblCellMar>
          <w:top w:w="0" w:type="dxa"/>
          <w:left w:w="0" w:type="dxa"/>
          <w:bottom w:w="0" w:type="dxa"/>
          <w:right w:w="0" w:type="dxa"/>
        </w:tblCellMar>
      </w:tblPr>
      <w:tblGrid>
        <w:gridCol w:w="646"/>
        <w:gridCol w:w="1397"/>
        <w:gridCol w:w="5942"/>
        <w:gridCol w:w="715"/>
        <w:gridCol w:w="589"/>
      </w:tblGrid>
      <w:tr>
        <w:tblPrEx>
          <w:tblCellMar>
            <w:top w:w="0" w:type="dxa"/>
            <w:left w:w="0" w:type="dxa"/>
            <w:bottom w:w="0" w:type="dxa"/>
            <w:right w:w="0" w:type="dxa"/>
          </w:tblCellMar>
        </w:tblPrEx>
        <w:trPr>
          <w:trHeight w:val="454" w:hRule="atLeast"/>
        </w:trPr>
        <w:tc>
          <w:tcPr>
            <w:tcW w:w="6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序号</w:t>
            </w:r>
          </w:p>
        </w:tc>
        <w:tc>
          <w:tcPr>
            <w:tcW w:w="13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项目名称</w:t>
            </w:r>
          </w:p>
        </w:tc>
        <w:tc>
          <w:tcPr>
            <w:tcW w:w="59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参数要求</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数量</w:t>
            </w:r>
          </w:p>
        </w:tc>
        <w:tc>
          <w:tcPr>
            <w:tcW w:w="5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单位</w:t>
            </w:r>
          </w:p>
        </w:tc>
      </w:tr>
      <w:tr>
        <w:tblPrEx>
          <w:tblCellMar>
            <w:top w:w="0" w:type="dxa"/>
            <w:left w:w="0" w:type="dxa"/>
            <w:bottom w:w="0" w:type="dxa"/>
            <w:right w:w="0" w:type="dxa"/>
          </w:tblCellMar>
        </w:tblPrEx>
        <w:trPr>
          <w:trHeight w:val="454" w:hRule="atLeast"/>
        </w:trPr>
        <w:tc>
          <w:tcPr>
            <w:tcW w:w="9289"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left"/>
              <w:textAlignment w:val="center"/>
              <w:rPr>
                <w:rFonts w:ascii="宋体" w:hAnsi="宋体" w:cs="宋体"/>
                <w:b/>
                <w:color w:val="auto"/>
                <w:sz w:val="22"/>
                <w:highlight w:val="none"/>
              </w:rPr>
            </w:pPr>
            <w:r>
              <w:rPr>
                <w:rFonts w:hint="eastAsia" w:ascii="宋体" w:hAnsi="宋体" w:cs="宋体"/>
                <w:b/>
                <w:color w:val="auto"/>
                <w:kern w:val="0"/>
                <w:sz w:val="22"/>
                <w:highlight w:val="none"/>
                <w:lang w:bidi="ar"/>
              </w:rPr>
              <w:t>一、骨干网SDN系统</w:t>
            </w:r>
          </w:p>
        </w:tc>
      </w:tr>
      <w:tr>
        <w:tblPrEx>
          <w:tblCellMar>
            <w:top w:w="0" w:type="dxa"/>
            <w:left w:w="0" w:type="dxa"/>
            <w:bottom w:w="0" w:type="dxa"/>
            <w:right w:w="0" w:type="dxa"/>
          </w:tblCellMar>
        </w:tblPrEx>
        <w:trPr>
          <w:trHeight w:val="454" w:hRule="atLeast"/>
        </w:trPr>
        <w:tc>
          <w:tcPr>
            <w:tcW w:w="6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3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数据中心核心交换机</w:t>
            </w:r>
          </w:p>
        </w:tc>
        <w:tc>
          <w:tcPr>
            <w:tcW w:w="5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★产品架构：CLOS架构（正交），业务板卡与交换网板采用完全正交设计，跨线卡业务流量通过正交连接器直接上交换网板，背板走线降低为零，极大规避信号衰减，具备平滑演进能力。</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性能指标：交换容量≥750Tbps，包转发率≥115000Mpps（如果存在双指标，以较小指标为准）。</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硬件规格：主控引擎模块≥2，满足1+1冗余；业务插槽数≥10；采用5交换平面设计，并支持网板4+1冗余。</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★接口要求：以太网支持千兆电口，千兆光口，万兆光口、万兆电口、40G端口、100G端口；单槽位万兆电端口密度≥24；单槽位40G端口密度≥32。</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关键部件热插拔：主控交换卡、电源、接口模块、风扇、网板等关键部件可热插拔。</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链路聚合：聚合组数≥1020组，每组成员≥32个；支持DRNI跨设备链路聚合；支持对广播、组播、单播报文的均匀分担；支持链路聚合+ECMP情况也可以对报文均匀分担。</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可靠性：支持INQA功能，通过直接对业务报文进行标记的方法，实现对网络级和设备级的丢包统计。</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支持NSF/GR for OSFP/BGP/IS-IS，支持热补丁功能，可在线进行补丁升级；支持IPv4/IPv6 BFD功能，支持BFD与OSPFv2联动、BFD与VRRP联动、BFD与OSPFv3联动、BFD与BGP4+联动，支持BFD 3ms最小探测间隔测试，平均收敛性能≤10ms。</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IPv6：支持RIPng、OSPFv3、BGP4+、IS-ISv6协议，支持IPv6策略路由；支持DHCPv6功能、IPv6 portal功能、IPv6管理功能；支持基于IPv4\IPv6的VRRP功能。</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★虚拟化：多虚一技术(N:1)，支持4框虚拟化技术，支持一虚多技术（1:N）；支持多虚一技术和一虚多技术的配合使用。</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QOS：每端口支持8个优先级队列，3个丢弃优先级，支持SP、WRR、SP+WRR三种队列调度算法、支持精细化的流量监管，粒度可达8K、支持流量整形Shapping、支持WRED拥塞避免、支持802.1p、TOS、DSCP、EXP优先级映射。</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★多业务融合：支持多业务融合板卡，与设备紧耦合无需外部连线，支持部署Windows Server及SDN控制器，实现方案与设备一体化部署。</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网络安全一体化：支持安全业务插卡FW、IPS、负载均衡、流量分析、应用控制。</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有线无线一体化：支持融合 AC 功能，无需额外配置单独硬件，在交换机上实现对AP 的接入控制和管理，有线无线用户的统一认证管理。</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VxLAN：支持VxLAN 网关，支持基于IPv4/IPv6的VxLAN二三层互通。</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流量可视：支持telemetry流量可视化功能。</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FCoE：支持FCF模式转发，VSAN的创建及配置，支持FC地址的分配及WWN地址和FC地址的绑定等功能。</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SDN/OPENFLOW：支持OPENFLOW 1.3，支持普通模式和Openflow模式切换、支持多控制器（EQUAL模式、主备模式）、支持多表流水线、支持Group table、支持Meter。</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智能网管功能：内置智能管理功能，支持通过图形化界面设备配置及命令一键下发和版本智能升级。</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安全特性：支持IPv4 uRPF、支持DHCP Snooping、支持ARP防攻击、支持IP Source Guard、支持CoPP、支持广播风暴抑制、支持EAD、支持IEEE 802.1ae介质访问控制安全技术、支持端口隔离、支持IP+MAC+VLAN+PORT的绑定、支持报文过滤功能，黑洞路由、黑洞MAC。</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跨三层互联技术：支持主流的MAC in IP技术，如EVI/EVN/OTV等，实现跨三层网络的二层互联。</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NAS：支持 IPv4 Portal、IPv6 Portal 及 Portal 双协议栈功能，最大 Portal认证用户数量可达 256K。</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支持802.1x认证，认证用户数量可达48K；支持mac认证，认证用户数量可达48K。</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管理特性：支持Console/AUX/Telnet/SSH2.0、支持风扇管理、支持电源管理、支持在线诊断、支持SNMPv1/v2、支持 SNMPv3、支持RMON(RFC2819)、支持端口镜像、支持VLAN镜像、支持RSPAN、支持流镜像。</w:t>
            </w:r>
          </w:p>
          <w:p>
            <w:pPr>
              <w:widowControl/>
              <w:numPr>
                <w:ilvl w:val="0"/>
                <w:numId w:val="1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配置要求：单台实际配置双主控引擎，根据网板槽位数满配（至少支持独立交换网板≥3块），冗余交流电源模块≥4块；配置≥128端口万兆光口，≥48端口千兆电口，≥4端口40G光口（所配置业务板卡均需支持VXLAN）；≥1根3m 40G虚拟化电缆；配置100个万兆单模（原厂原装）光模块。</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5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台</w:t>
            </w:r>
          </w:p>
        </w:tc>
      </w:tr>
      <w:tr>
        <w:tblPrEx>
          <w:tblCellMar>
            <w:top w:w="0" w:type="dxa"/>
            <w:left w:w="0" w:type="dxa"/>
            <w:bottom w:w="0" w:type="dxa"/>
            <w:right w:w="0" w:type="dxa"/>
          </w:tblCellMar>
        </w:tblPrEx>
        <w:trPr>
          <w:trHeight w:val="454" w:hRule="atLeast"/>
        </w:trPr>
        <w:tc>
          <w:tcPr>
            <w:tcW w:w="6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13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业务汇聚交换机</w:t>
            </w:r>
          </w:p>
        </w:tc>
        <w:tc>
          <w:tcPr>
            <w:tcW w:w="5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1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性能指标：交换容量≥23Tbps，包转发率≥1600Mpps；48个1/10GE SFP+光接口，2个QSFP+光接口；模块化热插拔双电源双风扇，前/后通，风道可调；</w:t>
            </w:r>
          </w:p>
          <w:p>
            <w:pPr>
              <w:widowControl/>
              <w:numPr>
                <w:ilvl w:val="0"/>
                <w:numId w:val="1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扩展性能：扩展插槽≥2，可扩展万兆光口、40G光口；</w:t>
            </w:r>
          </w:p>
          <w:p>
            <w:pPr>
              <w:widowControl/>
              <w:numPr>
                <w:ilvl w:val="0"/>
                <w:numId w:val="1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性能指标：MAC地址表≥128K，路由表容量≥64K，ARP≥64K；</w:t>
            </w:r>
          </w:p>
          <w:p>
            <w:pPr>
              <w:widowControl/>
              <w:numPr>
                <w:ilvl w:val="0"/>
                <w:numId w:val="1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路由支持：支持静态路由、RIP，OSPF， ISISv4，BGP4、IPv6静态路由、RIPng、OSPF v3、BGP4+、等价路由、MSTP、VRRP等协议；支持IPv4和IPv6环境下的策略路由；支持IPv6手动隧道、6to4隧道和ISATAP隧道；</w:t>
            </w:r>
          </w:p>
          <w:p>
            <w:pPr>
              <w:widowControl/>
              <w:numPr>
                <w:ilvl w:val="0"/>
                <w:numId w:val="1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VxLAN：支持创新的VxLAN技术，可以同时支持VxLAN二三层网关、EVPN等技术；</w:t>
            </w:r>
          </w:p>
          <w:p>
            <w:pPr>
              <w:widowControl/>
              <w:numPr>
                <w:ilvl w:val="0"/>
                <w:numId w:val="1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横向虚拟化：将最多9台设备虚拟化为一台逻辑设备；支持跨设备链路聚合，单一IP管理，分布式弹性路由，支持远程堆叠；支持通过标准以太端口进行堆叠（万兆或40G均支持）；支持完善的堆叠分裂检测机制，堆叠分裂后能自动完成MAC和IP地址的重配置，无需手动干预；支持10G、40G端口聚合；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丰富业务特性：支持零配置上线、ERPS协议、Sflow协议、CPU防护协议等技术；</w:t>
            </w:r>
          </w:p>
          <w:p>
            <w:pPr>
              <w:widowControl/>
              <w:numPr>
                <w:ilvl w:val="0"/>
                <w:numId w:val="1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可靠性：支持VRRPv2/v3（虚拟路由冗余协议)；支持RRPP（快速环网保护协议），环网故障恢复时间不超过200ms；</w:t>
            </w:r>
          </w:p>
          <w:p>
            <w:pPr>
              <w:widowControl/>
              <w:numPr>
                <w:ilvl w:val="0"/>
                <w:numId w:val="1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SDN/OPENFLOW：支持OPENFLOW 1.3标准支持普通模式和Openflow模式切换；支持SDN软件定义网络，通过将网络的控制层和数据转发层进行分离，大幅简化了网络的管理及维护难度，实现网络流量的灵活控制； </w:t>
            </w:r>
          </w:p>
          <w:p>
            <w:pPr>
              <w:widowControl/>
              <w:numPr>
                <w:ilvl w:val="0"/>
                <w:numId w:val="1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智能运维：为简化设备配置，实现网络管理可视化，避免投资浪费，要求设备内置智能网络管理模块：支持设备自动上线、全网拓扑自动生成功能、配置文件备份与下发、配置文件备份与下发； </w:t>
            </w:r>
          </w:p>
          <w:p>
            <w:pPr>
              <w:widowControl/>
              <w:numPr>
                <w:ilvl w:val="0"/>
                <w:numId w:val="1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绿色节能：为满足节能环保要求，要求产品支持端口休眠，关闭没有应用的端口，节省能源、智能风扇调速等；</w:t>
            </w:r>
          </w:p>
          <w:p>
            <w:pPr>
              <w:widowControl/>
              <w:numPr>
                <w:ilvl w:val="0"/>
                <w:numId w:val="1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★兼容性要求：为保证基础网络架构可靠性、可用性，要求与采购人现有数据中心核心交换机</w:t>
            </w:r>
            <w:r>
              <w:rPr>
                <w:rFonts w:hint="eastAsia" w:ascii="宋体" w:hAnsi="宋体" w:cs="宋体"/>
                <w:color w:val="auto"/>
                <w:sz w:val="22"/>
                <w:highlight w:val="none"/>
              </w:rPr>
              <w:t>完全无缝兼容</w:t>
            </w:r>
            <w:r>
              <w:rPr>
                <w:rFonts w:hint="eastAsia" w:ascii="宋体" w:hAnsi="宋体" w:cs="宋体"/>
                <w:color w:val="auto"/>
                <w:kern w:val="0"/>
                <w:sz w:val="22"/>
                <w:highlight w:val="none"/>
                <w:lang w:bidi="ar"/>
              </w:rPr>
              <w:t>。</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5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台</w:t>
            </w:r>
          </w:p>
        </w:tc>
      </w:tr>
      <w:tr>
        <w:tblPrEx>
          <w:tblCellMar>
            <w:top w:w="0" w:type="dxa"/>
            <w:left w:w="0" w:type="dxa"/>
            <w:bottom w:w="0" w:type="dxa"/>
            <w:right w:w="0" w:type="dxa"/>
          </w:tblCellMar>
        </w:tblPrEx>
        <w:trPr>
          <w:trHeight w:val="454" w:hRule="atLeast"/>
        </w:trPr>
        <w:tc>
          <w:tcPr>
            <w:tcW w:w="9289"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lang w:bidi="ar"/>
              </w:rPr>
              <w:t>二、无线网络系统</w:t>
            </w:r>
          </w:p>
        </w:tc>
      </w:tr>
      <w:tr>
        <w:tblPrEx>
          <w:tblCellMar>
            <w:top w:w="0" w:type="dxa"/>
            <w:left w:w="0" w:type="dxa"/>
            <w:bottom w:w="0" w:type="dxa"/>
            <w:right w:w="0" w:type="dxa"/>
          </w:tblCellMar>
        </w:tblPrEx>
        <w:trPr>
          <w:trHeight w:val="454" w:hRule="atLeast"/>
        </w:trPr>
        <w:tc>
          <w:tcPr>
            <w:tcW w:w="6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3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24口POE交换机</w:t>
            </w:r>
          </w:p>
        </w:tc>
        <w:tc>
          <w:tcPr>
            <w:tcW w:w="5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1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设备性能：交换容量≥336Gbps，转发性能≥100Mpps，（以官网低指标为准，官网参数若标注为交换容量“A/B”，以A/B中更小值为准。</w:t>
            </w:r>
            <w:r>
              <w:rPr>
                <w:rFonts w:hint="eastAsia" w:ascii="宋体" w:hAnsi="宋体" w:cs="宋体"/>
                <w:b/>
                <w:bCs/>
                <w:color w:val="auto"/>
                <w:kern w:val="0"/>
                <w:sz w:val="22"/>
                <w:highlight w:val="none"/>
                <w:lang w:bidi="ar"/>
              </w:rPr>
              <w:t>投标时提供官网清晰截图并加盖投标人公章</w:t>
            </w:r>
            <w:r>
              <w:rPr>
                <w:rFonts w:hint="eastAsia" w:ascii="宋体" w:hAnsi="宋体" w:cs="宋体"/>
                <w:color w:val="auto"/>
                <w:kern w:val="0"/>
                <w:sz w:val="22"/>
                <w:highlight w:val="none"/>
                <w:lang w:bidi="ar"/>
              </w:rPr>
              <w:t>）；</w:t>
            </w:r>
          </w:p>
          <w:p>
            <w:pPr>
              <w:widowControl/>
              <w:numPr>
                <w:ilvl w:val="0"/>
                <w:numId w:val="1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接口要求：≥24个10/100/1000Base-T自适应以太网端口，≥4个万兆SFP口；</w:t>
            </w:r>
          </w:p>
          <w:p>
            <w:pPr>
              <w:widowControl/>
              <w:numPr>
                <w:ilvl w:val="0"/>
                <w:numId w:val="1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POE支持：整机提供最大POE供电功率≥375W；</w:t>
            </w:r>
          </w:p>
          <w:p>
            <w:pPr>
              <w:widowControl/>
              <w:numPr>
                <w:ilvl w:val="0"/>
                <w:numId w:val="1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VLAN特性：最大VLAN数(不是VLAN ID)&gt;=4094；</w:t>
            </w:r>
          </w:p>
          <w:p>
            <w:pPr>
              <w:widowControl/>
              <w:numPr>
                <w:ilvl w:val="0"/>
                <w:numId w:val="1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路由协议：支持IPv4静态路由、RIP V1/V2、OSPF，支持IPv6静态路由、RIPng；</w:t>
            </w:r>
          </w:p>
          <w:p>
            <w:pPr>
              <w:widowControl/>
              <w:numPr>
                <w:ilvl w:val="0"/>
                <w:numId w:val="1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CPU防护：实现CPU保护功能，能限制非法报文对CPU的攻击，保护交换机在各种环境下稳定工作； </w:t>
            </w:r>
          </w:p>
          <w:p>
            <w:pPr>
              <w:widowControl/>
              <w:numPr>
                <w:ilvl w:val="0"/>
                <w:numId w:val="1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堆叠：最大堆叠台数≥9；支持跨设备链路聚合，单一IP管理，分布式弹性路由；支持完善的堆叠分裂检测机制，堆叠分裂后能自动完成MAC和IP地址的重配置，无需手动干预；支持远程堆叠；</w:t>
            </w:r>
          </w:p>
          <w:p>
            <w:pPr>
              <w:widowControl/>
              <w:numPr>
                <w:ilvl w:val="0"/>
                <w:numId w:val="1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软件定义网络：通过将网络的控制层和数据转发层进行分离，大幅简化了网络的管理及维护难度，实现了网络流量的灵活控制，为核心网络及应用的创新提供了良好的网络平台；</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可靠性：支持RRPP（快速环网保护协议），环网故障恢复时间不超过200ms； </w:t>
            </w:r>
          </w:p>
          <w:p>
            <w:pPr>
              <w:widowControl/>
              <w:numPr>
                <w:ilvl w:val="0"/>
                <w:numId w:val="1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SDN/OPENFLOW：支持OPENFLOW 1.3标准支持普通模式和Openflow 模式切换；</w:t>
            </w:r>
          </w:p>
          <w:p>
            <w:pPr>
              <w:widowControl/>
              <w:numPr>
                <w:ilvl w:val="0"/>
                <w:numId w:val="1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绿色节能：符合IEEE 802.3az（EEE）节能标准；支持端口休眠，关闭没有应用的端口，节省能源；</w:t>
            </w:r>
          </w:p>
          <w:p>
            <w:pPr>
              <w:widowControl/>
              <w:numPr>
                <w:ilvl w:val="0"/>
                <w:numId w:val="1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配置要求：单台配置万兆单模光模块≥2；</w:t>
            </w:r>
          </w:p>
          <w:p>
            <w:pPr>
              <w:widowControl/>
              <w:numPr>
                <w:ilvl w:val="0"/>
                <w:numId w:val="1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★兼容性要求：为保证基础网络架构可靠性、可用性，要求与采购人现有数据中心核心交换机</w:t>
            </w:r>
            <w:r>
              <w:rPr>
                <w:rFonts w:hint="eastAsia" w:ascii="宋体" w:hAnsi="宋体" w:cs="宋体"/>
                <w:color w:val="auto"/>
                <w:sz w:val="22"/>
                <w:highlight w:val="none"/>
              </w:rPr>
              <w:t>无缝兼容</w:t>
            </w:r>
            <w:r>
              <w:rPr>
                <w:rFonts w:hint="eastAsia" w:ascii="宋体" w:hAnsi="宋体" w:cs="宋体"/>
                <w:color w:val="auto"/>
                <w:kern w:val="0"/>
                <w:sz w:val="22"/>
                <w:highlight w:val="none"/>
                <w:lang w:bidi="ar"/>
              </w:rPr>
              <w:t>。</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c>
          <w:tcPr>
            <w:tcW w:w="5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台</w:t>
            </w:r>
          </w:p>
        </w:tc>
      </w:tr>
      <w:tr>
        <w:tblPrEx>
          <w:tblCellMar>
            <w:top w:w="0" w:type="dxa"/>
            <w:left w:w="0" w:type="dxa"/>
            <w:bottom w:w="0" w:type="dxa"/>
            <w:right w:w="0" w:type="dxa"/>
          </w:tblCellMar>
        </w:tblPrEx>
        <w:trPr>
          <w:trHeight w:val="454" w:hRule="atLeast"/>
        </w:trPr>
        <w:tc>
          <w:tcPr>
            <w:tcW w:w="6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13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12口POE交换机</w:t>
            </w:r>
          </w:p>
        </w:tc>
        <w:tc>
          <w:tcPr>
            <w:tcW w:w="5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1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设备性能：交换容量≥336Gbps，转发性能≥60Mpps，（以官网低指标为准，官网参数若标注为交换容量“A/B”，以A/B中更小值为准。</w:t>
            </w:r>
            <w:r>
              <w:rPr>
                <w:rFonts w:hint="eastAsia" w:ascii="宋体" w:hAnsi="宋体" w:cs="宋体"/>
                <w:b/>
                <w:bCs/>
                <w:color w:val="auto"/>
                <w:kern w:val="0"/>
                <w:sz w:val="22"/>
                <w:highlight w:val="none"/>
                <w:lang w:bidi="ar"/>
              </w:rPr>
              <w:t>投标时提供官网清晰截图并加盖投标人公章</w:t>
            </w:r>
            <w:r>
              <w:rPr>
                <w:rFonts w:hint="eastAsia" w:ascii="宋体" w:hAnsi="宋体" w:cs="宋体"/>
                <w:color w:val="auto"/>
                <w:kern w:val="0"/>
                <w:sz w:val="22"/>
                <w:highlight w:val="none"/>
                <w:lang w:bidi="ar"/>
              </w:rPr>
              <w:t>）；</w:t>
            </w:r>
          </w:p>
          <w:p>
            <w:pPr>
              <w:widowControl/>
              <w:numPr>
                <w:ilvl w:val="0"/>
                <w:numId w:val="1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接口要求：≥12个10/100/1000Base-T自适应以太网端口，≥2个万兆SFP口； </w:t>
            </w:r>
          </w:p>
          <w:p>
            <w:pPr>
              <w:widowControl/>
              <w:numPr>
                <w:ilvl w:val="0"/>
                <w:numId w:val="1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POE支持：整机提供最大POE供电功率≥120W；</w:t>
            </w:r>
          </w:p>
          <w:p>
            <w:pPr>
              <w:widowControl/>
              <w:numPr>
                <w:ilvl w:val="0"/>
                <w:numId w:val="1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VLAN特性：最大VLAN数(不是VLAN ID)&gt;=4094；</w:t>
            </w:r>
          </w:p>
          <w:p>
            <w:pPr>
              <w:widowControl/>
              <w:numPr>
                <w:ilvl w:val="0"/>
                <w:numId w:val="1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路由协议：支持IPv4静态路由、RIP V1/V2、OSPF，支持IPv6静态路由、RIPng；</w:t>
            </w:r>
          </w:p>
          <w:p>
            <w:pPr>
              <w:widowControl/>
              <w:numPr>
                <w:ilvl w:val="0"/>
                <w:numId w:val="1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CPU防护：实现CPU保护功能，能限制非法报文对CPU的攻击，保护交换机在各种环境下稳定工作； </w:t>
            </w:r>
          </w:p>
          <w:p>
            <w:pPr>
              <w:widowControl/>
              <w:numPr>
                <w:ilvl w:val="0"/>
                <w:numId w:val="1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堆叠：最大堆叠台数≥9；支持跨设备链路聚合，单一IP管理，分布式弹性路由；支持完善的堆叠分裂检测机制，堆叠分裂后能自动完成MAC和IP地址的重配置，无需手动干预；支持远程堆叠；</w:t>
            </w:r>
          </w:p>
          <w:p>
            <w:pPr>
              <w:widowControl/>
              <w:numPr>
                <w:ilvl w:val="0"/>
                <w:numId w:val="1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软件定义网络：通过将网络的控制层和数据转发层进行分离，大幅简化了网络的管理及维护难度，实现了网络流量的灵活控制，为核心网络及应用的创新提供了良好的网络平台；</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可靠性：支持RRPP（快速环网保护协议），环网故障恢复时间不超过200ms； </w:t>
            </w:r>
          </w:p>
          <w:p>
            <w:pPr>
              <w:widowControl/>
              <w:numPr>
                <w:ilvl w:val="0"/>
                <w:numId w:val="1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SDN/OPENFLOW：支持OPENFLOW 1.3标准支持普通模式和Openflow 模式切换；</w:t>
            </w:r>
          </w:p>
          <w:p>
            <w:pPr>
              <w:widowControl/>
              <w:numPr>
                <w:ilvl w:val="0"/>
                <w:numId w:val="1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绿色节能：符合IEEE 802.3az（EEE）节能标准；支持端口休眠，关闭没有应用的端口，节省能源；</w:t>
            </w:r>
          </w:p>
          <w:p>
            <w:pPr>
              <w:widowControl/>
              <w:numPr>
                <w:ilvl w:val="0"/>
                <w:numId w:val="1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配置要求：单台配置万兆单模光模块≥2；</w:t>
            </w:r>
          </w:p>
          <w:p>
            <w:pPr>
              <w:widowControl/>
              <w:numPr>
                <w:ilvl w:val="0"/>
                <w:numId w:val="1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★兼容性要求：为保证基础网络架构可靠性、可用性，要求与采购人现有数据中心核心交换机</w:t>
            </w:r>
            <w:r>
              <w:rPr>
                <w:rFonts w:hint="eastAsia" w:ascii="宋体" w:hAnsi="宋体" w:cs="宋体"/>
                <w:color w:val="auto"/>
                <w:sz w:val="22"/>
                <w:highlight w:val="none"/>
              </w:rPr>
              <w:t>完全无缝兼容</w:t>
            </w:r>
            <w:r>
              <w:rPr>
                <w:rFonts w:hint="eastAsia" w:ascii="宋体" w:hAnsi="宋体" w:cs="宋体"/>
                <w:color w:val="auto"/>
                <w:kern w:val="0"/>
                <w:sz w:val="22"/>
                <w:highlight w:val="none"/>
                <w:lang w:bidi="ar"/>
              </w:rPr>
              <w:t>。</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4</w:t>
            </w:r>
          </w:p>
        </w:tc>
        <w:tc>
          <w:tcPr>
            <w:tcW w:w="5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台</w:t>
            </w:r>
          </w:p>
        </w:tc>
      </w:tr>
      <w:tr>
        <w:tblPrEx>
          <w:tblCellMar>
            <w:top w:w="0" w:type="dxa"/>
            <w:left w:w="0" w:type="dxa"/>
            <w:bottom w:w="0" w:type="dxa"/>
            <w:right w:w="0" w:type="dxa"/>
          </w:tblCellMar>
        </w:tblPrEx>
        <w:trPr>
          <w:trHeight w:val="454" w:hRule="atLeast"/>
        </w:trPr>
        <w:tc>
          <w:tcPr>
            <w:tcW w:w="6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3</w:t>
            </w:r>
          </w:p>
        </w:tc>
        <w:tc>
          <w:tcPr>
            <w:tcW w:w="13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无线汇聚交换机</w:t>
            </w:r>
          </w:p>
        </w:tc>
        <w:tc>
          <w:tcPr>
            <w:tcW w:w="5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1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性能指标：交换容量≥23Tbps，包转发率≥1200Mpps；24个1/10GE SFP+光接口，2个QSFP+光接口；模块化热插拔双电源双风扇，前/后通，风道可调；</w:t>
            </w:r>
          </w:p>
          <w:p>
            <w:pPr>
              <w:widowControl/>
              <w:numPr>
                <w:ilvl w:val="0"/>
                <w:numId w:val="1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扩展性能：扩展插槽≥2，可扩展万兆光口、40G光口；</w:t>
            </w:r>
          </w:p>
          <w:p>
            <w:pPr>
              <w:widowControl/>
              <w:numPr>
                <w:ilvl w:val="0"/>
                <w:numId w:val="1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性能指标：MAC地址表≥128K，路由表容量≥64K，ARP≥64K；</w:t>
            </w:r>
          </w:p>
          <w:p>
            <w:pPr>
              <w:widowControl/>
              <w:numPr>
                <w:ilvl w:val="0"/>
                <w:numId w:val="1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路由支持：支持静态路由、RIP，OSPF， ISISv4，BGP4、IPv6静态路由、RIPng、OSPF v3、BGP4+、等价路由、MSTP、VRRP等协议；支持IPv4和IPv6环境下的策略路由；支持IPv6手动隧道、6to4隧道和ISATAP隧道；</w:t>
            </w:r>
          </w:p>
          <w:p>
            <w:pPr>
              <w:widowControl/>
              <w:numPr>
                <w:ilvl w:val="0"/>
                <w:numId w:val="1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VxLAN：支持创新的VxLAN技术，可以同时支持VxLAN二三层网关、EVPN等技术；</w:t>
            </w:r>
          </w:p>
          <w:p>
            <w:pPr>
              <w:widowControl/>
              <w:numPr>
                <w:ilvl w:val="0"/>
                <w:numId w:val="1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横向虚拟化：将最多9台设备虚拟化为一台逻辑设备；支持跨设备链路聚合，单一IP管理，分布式弹性路由，支持远程堆叠；支持通过标准以太端口进行堆叠（万兆或40G均支持）；支持完善的堆叠分裂检测机制，堆叠分裂后能自动完成MAC和IP地址的重配置，无需手动干预；支持10G、40G端口聚合；</w:t>
            </w:r>
          </w:p>
          <w:p>
            <w:pPr>
              <w:widowControl/>
              <w:numPr>
                <w:ilvl w:val="0"/>
                <w:numId w:val="1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丰富业务特性：支持零配置上线、ERPS协议、Sflow协议、CPU防护协议等技术； </w:t>
            </w:r>
          </w:p>
          <w:p>
            <w:pPr>
              <w:widowControl/>
              <w:numPr>
                <w:ilvl w:val="0"/>
                <w:numId w:val="1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可靠性：支持VRRPv2/v3（虚拟路由冗余协议)；支持RRPP（快速环网保护协议），环网故障恢复时间不超过200ms；</w:t>
            </w:r>
          </w:p>
          <w:p>
            <w:pPr>
              <w:widowControl/>
              <w:numPr>
                <w:ilvl w:val="0"/>
                <w:numId w:val="1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SDN/OPENFLOW：支持OPENFLOW 1.3标准支持普通模式和Openflow模式切换；支持SDN软件定义网络，通过将网络的控制层和数据转发层进行分离，大幅简化了网络的管理及维护难度，实现网络流量的灵活控制； </w:t>
            </w:r>
          </w:p>
          <w:p>
            <w:pPr>
              <w:widowControl/>
              <w:numPr>
                <w:ilvl w:val="0"/>
                <w:numId w:val="1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智能运维：为简化设备配置，实现网络管理可视化，避免投资浪费，要求设备内置智能网络管理模块：支持设备自动上线、全网拓扑自动生成功能、配置文件备份与下发、配置文件备份与下发； </w:t>
            </w:r>
          </w:p>
          <w:p>
            <w:pPr>
              <w:widowControl/>
              <w:numPr>
                <w:ilvl w:val="0"/>
                <w:numId w:val="1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绿色节能：为满足节能环保要求，要求产品支持端口休眠，关闭没有应用的端口，节省能源、智能风扇调速等；</w:t>
            </w:r>
          </w:p>
          <w:p>
            <w:pPr>
              <w:widowControl/>
              <w:numPr>
                <w:ilvl w:val="0"/>
                <w:numId w:val="1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★兼容性要求：为保证基础网络架构可靠性、可用性，要求与采购人现有数据中心核心交换机</w:t>
            </w:r>
            <w:r>
              <w:rPr>
                <w:rFonts w:hint="eastAsia" w:ascii="宋体" w:hAnsi="宋体" w:cs="宋体"/>
                <w:color w:val="auto"/>
                <w:sz w:val="22"/>
                <w:highlight w:val="none"/>
              </w:rPr>
              <w:t>完全无缝兼容</w:t>
            </w:r>
            <w:r>
              <w:rPr>
                <w:rFonts w:hint="eastAsia" w:ascii="宋体" w:hAnsi="宋体" w:cs="宋体"/>
                <w:color w:val="auto"/>
                <w:kern w:val="0"/>
                <w:sz w:val="22"/>
                <w:highlight w:val="none"/>
                <w:lang w:bidi="ar"/>
              </w:rPr>
              <w:t>。</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5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台</w:t>
            </w:r>
          </w:p>
        </w:tc>
      </w:tr>
      <w:tr>
        <w:tblPrEx>
          <w:tblCellMar>
            <w:top w:w="0" w:type="dxa"/>
            <w:left w:w="0" w:type="dxa"/>
            <w:bottom w:w="0" w:type="dxa"/>
            <w:right w:w="0" w:type="dxa"/>
          </w:tblCellMar>
        </w:tblPrEx>
        <w:trPr>
          <w:trHeight w:val="454" w:hRule="atLeast"/>
        </w:trPr>
        <w:tc>
          <w:tcPr>
            <w:tcW w:w="6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4</w:t>
            </w:r>
          </w:p>
        </w:tc>
        <w:tc>
          <w:tcPr>
            <w:tcW w:w="13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无线控制器</w:t>
            </w:r>
          </w:p>
        </w:tc>
        <w:tc>
          <w:tcPr>
            <w:tcW w:w="5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1、★固化千兆电口数≥8，固化千兆光口数≥8个，10G万兆接口数≥4个。采用单台盒式设备（如果无法提供满足要求的单台盒式设备，可以用多台盒式设备，也可用单台框式设备扩展无线控制器板卡实现，但该项计为负偏离）</w:t>
            </w:r>
            <w:r>
              <w:rPr>
                <w:rFonts w:hint="eastAsia" w:ascii="宋体" w:hAnsi="宋体" w:cs="宋体"/>
                <w:color w:val="auto"/>
                <w:kern w:val="0"/>
                <w:sz w:val="22"/>
                <w:highlight w:val="none"/>
                <w:lang w:eastAsia="zh-CN" w:bidi="ar"/>
              </w:rPr>
              <w:t>。</w:t>
            </w:r>
          </w:p>
          <w:p>
            <w:pPr>
              <w:widowControl/>
              <w:spacing w:line="360" w:lineRule="exact"/>
              <w:jc w:val="left"/>
              <w:textAlignment w:val="center"/>
              <w:rPr>
                <w:rFonts w:hint="eastAsia" w:ascii="宋体" w:hAnsi="宋体" w:cs="宋体"/>
                <w:color w:val="auto"/>
                <w:kern w:val="0"/>
                <w:sz w:val="22"/>
                <w:highlight w:val="none"/>
                <w:lang w:eastAsia="zh-CN" w:bidi="ar"/>
              </w:rPr>
            </w:pPr>
            <w:r>
              <w:rPr>
                <w:rFonts w:hint="eastAsia" w:ascii="宋体" w:hAnsi="宋体" w:cs="宋体"/>
                <w:color w:val="auto"/>
                <w:kern w:val="0"/>
                <w:sz w:val="22"/>
                <w:highlight w:val="none"/>
                <w:lang w:bidi="ar"/>
              </w:rPr>
              <w:t>2、★默认可管理AP数≥128个，最大可支持管理1152个AP ，</w:t>
            </w:r>
            <w:r>
              <w:rPr>
                <w:rFonts w:hint="eastAsia" w:ascii="宋体" w:hAnsi="宋体" w:cs="宋体"/>
                <w:b/>
                <w:bCs/>
                <w:color w:val="auto"/>
                <w:kern w:val="0"/>
                <w:sz w:val="22"/>
                <w:highlight w:val="none"/>
                <w:lang w:bidi="ar"/>
              </w:rPr>
              <w:t>投标时提供官网查询链接及截图并加盖投标人公章作为证明</w:t>
            </w:r>
            <w:r>
              <w:rPr>
                <w:rFonts w:hint="eastAsia" w:ascii="宋体" w:hAnsi="宋体" w:cs="宋体"/>
                <w:color w:val="auto"/>
                <w:kern w:val="0"/>
                <w:sz w:val="22"/>
                <w:highlight w:val="none"/>
                <w:lang w:bidi="ar"/>
              </w:rPr>
              <w:t>。采用单台盒式设备（如果无法提供满足要求的单台盒式设备，可以用多台盒式设备，也可用单台框式设备扩展无线控制器板卡实现，但该项计为负偏离）</w:t>
            </w:r>
            <w:r>
              <w:rPr>
                <w:rFonts w:hint="eastAsia" w:ascii="宋体" w:hAnsi="宋体" w:cs="宋体"/>
                <w:color w:val="auto"/>
                <w:kern w:val="0"/>
                <w:sz w:val="22"/>
                <w:highlight w:val="none"/>
                <w:lang w:eastAsia="zh-CN" w:bidi="ar"/>
              </w:rPr>
              <w:t>。</w:t>
            </w:r>
          </w:p>
          <w:p>
            <w:pPr>
              <w:widowControl/>
              <w:spacing w:line="360" w:lineRule="exact"/>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3、802.11转发性能≥48G ，</w:t>
            </w:r>
            <w:r>
              <w:rPr>
                <w:rFonts w:hint="eastAsia" w:ascii="宋体" w:hAnsi="宋体" w:cs="宋体"/>
                <w:b/>
                <w:bCs/>
                <w:color w:val="auto"/>
                <w:kern w:val="0"/>
                <w:sz w:val="22"/>
                <w:highlight w:val="none"/>
                <w:lang w:bidi="ar"/>
              </w:rPr>
              <w:t>投标时提供官网查询链接及截图并加盖投标人公章作为证明</w:t>
            </w:r>
            <w:r>
              <w:rPr>
                <w:rFonts w:hint="eastAsia" w:ascii="宋体" w:hAnsi="宋体" w:cs="宋体"/>
                <w:color w:val="auto"/>
                <w:kern w:val="0"/>
                <w:sz w:val="22"/>
                <w:highlight w:val="none"/>
                <w:lang w:eastAsia="zh-CN" w:bidi="ar"/>
              </w:rPr>
              <w:t>。</w:t>
            </w:r>
          </w:p>
          <w:p>
            <w:pPr>
              <w:widowControl/>
              <w:spacing w:line="360" w:lineRule="exact"/>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4、2个全尺寸USB3.0接口</w:t>
            </w:r>
            <w:r>
              <w:rPr>
                <w:rFonts w:hint="eastAsia" w:ascii="宋体" w:hAnsi="宋体" w:cs="宋体"/>
                <w:color w:val="auto"/>
                <w:kern w:val="0"/>
                <w:sz w:val="22"/>
                <w:highlight w:val="none"/>
                <w:lang w:eastAsia="zh-CN" w:bidi="ar"/>
              </w:rPr>
              <w:t>。</w:t>
            </w:r>
          </w:p>
          <w:p>
            <w:pPr>
              <w:widowControl/>
              <w:spacing w:line="360" w:lineRule="exact"/>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5、★最大支持选配2块扩展硬盘</w:t>
            </w:r>
            <w:r>
              <w:rPr>
                <w:rFonts w:hint="eastAsia" w:ascii="宋体" w:hAnsi="宋体" w:cs="宋体"/>
                <w:color w:val="auto"/>
                <w:kern w:val="0"/>
                <w:sz w:val="22"/>
                <w:highlight w:val="none"/>
                <w:lang w:eastAsia="zh-CN" w:bidi="ar"/>
              </w:rPr>
              <w:t>。</w:t>
            </w:r>
          </w:p>
          <w:p>
            <w:pPr>
              <w:widowControl/>
              <w:spacing w:line="360" w:lineRule="exact"/>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6、★为保障无线网络的可靠性，单台设备最大可配置AP数目≥4096，实现AP动态冗余，</w:t>
            </w:r>
            <w:r>
              <w:rPr>
                <w:rFonts w:hint="eastAsia" w:ascii="宋体" w:hAnsi="宋体" w:cs="宋体"/>
                <w:b/>
                <w:bCs/>
                <w:color w:val="auto"/>
                <w:kern w:val="0"/>
                <w:sz w:val="22"/>
                <w:highlight w:val="none"/>
                <w:lang w:bidi="ar"/>
              </w:rPr>
              <w:t>投标时提供具备国家认可的相应资质的检测机构出具的测试报告并加盖投标人公章</w:t>
            </w:r>
            <w:r>
              <w:rPr>
                <w:rFonts w:hint="eastAsia" w:ascii="宋体" w:hAnsi="宋体" w:cs="宋体"/>
                <w:color w:val="auto"/>
                <w:kern w:val="0"/>
                <w:sz w:val="22"/>
                <w:highlight w:val="none"/>
                <w:lang w:eastAsia="zh-CN" w:bidi="ar"/>
              </w:rPr>
              <w:t>。</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7、★无线控制器具备虚拟化功能，多台无线控制器可以被虚拟化成一台控制器，实现虚拟控制器对所有成员AC的统一管理、在成员AC间共享License、统一将AP 接入虚拟AC中。</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支持AC分级功能，中心AC可对分支AC起到备份作用，中心AC可以统一监控各个分支AC的运行状态、AP和用户信息；中心AC可以统一对分支AC进行软件升级，分支AC可以共享中心AC的AP容量License；中心AC支持虚拟化，提高整网的稳定性。</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9、为快速建立高度隔离的安全网络，设备应支持实现AP虚拟化功能，实现一台AP虚拟为多台AP，分别受不同AC设备独立管理，互不影响。不同虚拟 AP之间数据隔离，虚拟AP在AC上不占用AP License。</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10、支持应用识别功能，实现无线应用的流量统计，支持超过2500种应用。</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11、★支持SAVI的防私设网关策略。</w:t>
            </w:r>
          </w:p>
          <w:p>
            <w:pPr>
              <w:widowControl/>
              <w:spacing w:line="360" w:lineRule="exact"/>
              <w:jc w:val="left"/>
              <w:textAlignment w:val="center"/>
              <w:rPr>
                <w:rFonts w:hint="eastAsia" w:ascii="宋体" w:hAnsi="宋体" w:eastAsia="宋体" w:cs="宋体"/>
                <w:color w:val="auto"/>
                <w:sz w:val="22"/>
                <w:highlight w:val="none"/>
                <w:lang w:eastAsia="zh-CN"/>
              </w:rPr>
            </w:pPr>
            <w:r>
              <w:rPr>
                <w:rFonts w:hint="eastAsia" w:ascii="宋体" w:hAnsi="宋体" w:cs="宋体"/>
                <w:color w:val="auto"/>
                <w:kern w:val="0"/>
                <w:sz w:val="22"/>
                <w:highlight w:val="none"/>
                <w:lang w:bidi="ar"/>
              </w:rPr>
              <w:t>12、支持实时频谱防护</w:t>
            </w:r>
            <w:r>
              <w:rPr>
                <w:rFonts w:hint="eastAsia" w:ascii="宋体" w:hAnsi="宋体" w:cs="宋体"/>
                <w:color w:val="auto"/>
                <w:kern w:val="0"/>
                <w:sz w:val="22"/>
                <w:highlight w:val="none"/>
                <w:lang w:eastAsia="zh-CN" w:bidi="ar"/>
              </w:rPr>
              <w:t>，</w:t>
            </w:r>
            <w:r>
              <w:rPr>
                <w:rFonts w:hint="eastAsia" w:ascii="宋体" w:hAnsi="宋体" w:cs="宋体"/>
                <w:color w:val="auto"/>
                <w:kern w:val="0"/>
                <w:sz w:val="22"/>
                <w:highlight w:val="none"/>
                <w:lang w:bidi="ar"/>
              </w:rPr>
              <w:t>可视化射频干扰源对无线局域网的性能的影响</w:t>
            </w:r>
            <w:r>
              <w:rPr>
                <w:rFonts w:hint="eastAsia" w:ascii="宋体" w:hAnsi="宋体" w:cs="宋体"/>
                <w:b/>
                <w:bCs/>
                <w:color w:val="auto"/>
                <w:kern w:val="0"/>
                <w:sz w:val="22"/>
                <w:highlight w:val="none"/>
                <w:lang w:eastAsia="zh-CN" w:bidi="ar"/>
              </w:rPr>
              <w:t>。</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5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台</w:t>
            </w:r>
          </w:p>
        </w:tc>
      </w:tr>
      <w:tr>
        <w:tblPrEx>
          <w:tblCellMar>
            <w:top w:w="0" w:type="dxa"/>
            <w:left w:w="0" w:type="dxa"/>
            <w:bottom w:w="0" w:type="dxa"/>
            <w:right w:w="0" w:type="dxa"/>
          </w:tblCellMar>
        </w:tblPrEx>
        <w:trPr>
          <w:trHeight w:val="454" w:hRule="atLeast"/>
        </w:trPr>
        <w:tc>
          <w:tcPr>
            <w:tcW w:w="6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c>
          <w:tcPr>
            <w:tcW w:w="13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面板AP</w:t>
            </w:r>
          </w:p>
        </w:tc>
        <w:tc>
          <w:tcPr>
            <w:tcW w:w="5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1、★支持802.11ax标准，采用双路双频设计，整机4条空间流。</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2、面板型AP，支持嵌入86面板安装方式</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3、★整机最大接入速率≥1.775Gbps，</w:t>
            </w:r>
            <w:r>
              <w:rPr>
                <w:rFonts w:hint="eastAsia" w:ascii="宋体" w:hAnsi="宋体" w:cs="宋体"/>
                <w:b/>
                <w:bCs/>
                <w:color w:val="auto"/>
                <w:kern w:val="0"/>
                <w:sz w:val="22"/>
                <w:highlight w:val="none"/>
                <w:lang w:bidi="ar"/>
              </w:rPr>
              <w:t>投标时提供官网查询链接及截图并加盖投标人公章作为证明</w:t>
            </w:r>
            <w:r>
              <w:rPr>
                <w:rFonts w:hint="eastAsia" w:ascii="宋体" w:hAnsi="宋体" w:cs="宋体"/>
                <w:color w:val="auto"/>
                <w:kern w:val="0"/>
                <w:sz w:val="22"/>
                <w:highlight w:val="none"/>
                <w:lang w:bidi="ar"/>
              </w:rPr>
              <w:t>。</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4、5GHz单射频支持2*2 MIMO，且单射频最大接入速率≥1.2Gbps。</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5、2.4GHz单射频支持2*2 MIMO，且单射频最大接入速率≥0.574Gbps。</w:t>
            </w:r>
          </w:p>
          <w:p>
            <w:pPr>
              <w:widowControl/>
              <w:spacing w:line="360" w:lineRule="exact"/>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6、1个1G以太网口上联，4个1G以太网口下联</w:t>
            </w:r>
            <w:r>
              <w:rPr>
                <w:rFonts w:hint="eastAsia" w:ascii="宋体" w:hAnsi="宋体" w:cs="宋体"/>
                <w:color w:val="auto"/>
                <w:kern w:val="0"/>
                <w:sz w:val="22"/>
                <w:highlight w:val="none"/>
                <w:lang w:eastAsia="zh-CN" w:bidi="ar"/>
              </w:rPr>
              <w:t>。</w:t>
            </w:r>
          </w:p>
          <w:p>
            <w:pPr>
              <w:widowControl/>
              <w:spacing w:line="360" w:lineRule="exact"/>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 xml:space="preserve">7、★整机功耗小于10W </w:t>
            </w:r>
            <w:r>
              <w:rPr>
                <w:rFonts w:hint="eastAsia" w:ascii="宋体" w:hAnsi="宋体" w:cs="宋体"/>
                <w:color w:val="auto"/>
                <w:kern w:val="0"/>
                <w:sz w:val="22"/>
                <w:highlight w:val="none"/>
                <w:lang w:eastAsia="zh-CN" w:bidi="ar"/>
              </w:rPr>
              <w:t>。</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8、为快速建立高度隔离的安全网络，设备应支持实现AP虚拟化功能，实现一台AP虚拟为多台AP，分别受不同AC设备独立管理，互不影响。不同虚拟 AP之间数据隔离，虚拟AP在AC上不占用AP License。</w:t>
            </w:r>
          </w:p>
          <w:p>
            <w:pPr>
              <w:widowControl/>
              <w:spacing w:line="360" w:lineRule="exact"/>
              <w:jc w:val="left"/>
              <w:textAlignment w:val="center"/>
              <w:rPr>
                <w:rFonts w:hint="eastAsia" w:ascii="宋体" w:hAnsi="宋体" w:cs="宋体"/>
                <w:color w:val="auto"/>
                <w:kern w:val="0"/>
                <w:sz w:val="22"/>
                <w:highlight w:val="none"/>
                <w:lang w:eastAsia="zh-CN" w:bidi="ar"/>
              </w:rPr>
            </w:pPr>
            <w:r>
              <w:rPr>
                <w:rFonts w:hint="eastAsia" w:ascii="宋体" w:hAnsi="宋体" w:cs="宋体"/>
                <w:color w:val="auto"/>
                <w:kern w:val="0"/>
                <w:sz w:val="22"/>
                <w:highlight w:val="none"/>
                <w:lang w:bidi="ar"/>
              </w:rPr>
              <w:t>9、为保证无线网络运行稳定，需要提供网优工具分析网络运行情况，网优工具支持设备健康状态、网络覆盖情况、网络关联成功、上网体验情况、网络活跃度、网络饱和度查询功能，</w:t>
            </w:r>
            <w:r>
              <w:rPr>
                <w:rFonts w:hint="eastAsia" w:ascii="宋体" w:hAnsi="宋体" w:cs="宋体"/>
                <w:b/>
                <w:bCs/>
                <w:color w:val="auto"/>
                <w:kern w:val="0"/>
                <w:sz w:val="22"/>
                <w:highlight w:val="none"/>
                <w:lang w:bidi="ar"/>
              </w:rPr>
              <w:t>投标时提供</w:t>
            </w:r>
            <w:r>
              <w:rPr>
                <w:rFonts w:hint="eastAsia" w:ascii="宋体" w:hAnsi="宋体" w:cs="宋体"/>
                <w:b/>
                <w:bCs/>
                <w:color w:val="auto"/>
                <w:kern w:val="0"/>
                <w:sz w:val="22"/>
                <w:highlight w:val="none"/>
                <w:lang w:eastAsia="zh-CN" w:bidi="ar"/>
              </w:rPr>
              <w:t>功能</w:t>
            </w:r>
            <w:r>
              <w:rPr>
                <w:rFonts w:hint="eastAsia" w:ascii="宋体" w:hAnsi="宋体" w:cs="宋体"/>
                <w:b/>
                <w:bCs/>
                <w:color w:val="auto"/>
                <w:kern w:val="0"/>
                <w:sz w:val="22"/>
                <w:highlight w:val="none"/>
                <w:lang w:bidi="ar"/>
              </w:rPr>
              <w:t>截图并加盖投标人公章作为证明</w:t>
            </w:r>
            <w:r>
              <w:rPr>
                <w:rFonts w:hint="eastAsia" w:ascii="宋体" w:hAnsi="宋体" w:cs="宋体"/>
                <w:color w:val="auto"/>
                <w:kern w:val="0"/>
                <w:sz w:val="22"/>
                <w:highlight w:val="none"/>
                <w:lang w:bidi="ar"/>
              </w:rPr>
              <w:t>；为方便现场无线排障，需配套Wi-Fi检测APP并且账号与移动运维APP保持一致，为方便运维人员使用，Wi-Fi检测APP能够从APP市场直接下载，支持对网络进行信号强度、关联成功率、关联耗时、远端关联频次、网页打开速度、网速、网络arp攻击、钓鱼wifi进行一键检测，并能协助输出环境同频邻频干扰情况，能够显示被测AP的名称和IP方便问题修复，</w:t>
            </w:r>
            <w:r>
              <w:rPr>
                <w:rFonts w:hint="eastAsia" w:ascii="宋体" w:hAnsi="宋体" w:cs="宋体"/>
                <w:b/>
                <w:bCs/>
                <w:color w:val="auto"/>
                <w:kern w:val="0"/>
                <w:sz w:val="22"/>
                <w:highlight w:val="none"/>
                <w:lang w:bidi="ar"/>
              </w:rPr>
              <w:t>投标时提供APP市场版本截图、功能截图并加盖投标人公章作为证明</w:t>
            </w:r>
            <w:r>
              <w:rPr>
                <w:rFonts w:hint="eastAsia" w:ascii="宋体" w:hAnsi="宋体" w:cs="宋体"/>
                <w:color w:val="auto"/>
                <w:kern w:val="0"/>
                <w:sz w:val="22"/>
                <w:highlight w:val="none"/>
                <w:lang w:bidi="ar"/>
              </w:rPr>
              <w:t>；为确保Wi-Fi检测工具的成熟度，APP装机量大于30万，日活跃大于3000，</w:t>
            </w:r>
            <w:r>
              <w:rPr>
                <w:rFonts w:hint="eastAsia" w:ascii="宋体" w:hAnsi="宋体" w:cs="宋体"/>
                <w:b/>
                <w:bCs/>
                <w:color w:val="auto"/>
                <w:kern w:val="0"/>
                <w:sz w:val="22"/>
                <w:highlight w:val="none"/>
                <w:lang w:bidi="ar"/>
              </w:rPr>
              <w:t>投标时提供第三方监控平台的截图加盖投标人公章作为证明</w:t>
            </w:r>
            <w:r>
              <w:rPr>
                <w:rFonts w:hint="eastAsia" w:ascii="宋体" w:hAnsi="宋体" w:cs="宋体"/>
                <w:color w:val="auto"/>
                <w:kern w:val="0"/>
                <w:sz w:val="22"/>
                <w:highlight w:val="none"/>
                <w:lang w:eastAsia="zh-CN" w:bidi="ar"/>
              </w:rPr>
              <w:t>。</w:t>
            </w:r>
          </w:p>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val="en-US" w:eastAsia="zh-CN" w:bidi="ar"/>
              </w:rPr>
              <w:t>10、</w:t>
            </w:r>
            <w:r>
              <w:rPr>
                <w:rFonts w:hint="eastAsia" w:ascii="宋体" w:hAnsi="宋体" w:cs="宋体"/>
                <w:color w:val="auto"/>
                <w:kern w:val="0"/>
                <w:sz w:val="22"/>
                <w:highlight w:val="none"/>
                <w:lang w:eastAsia="zh-CN" w:bidi="ar"/>
              </w:rPr>
              <w:t>承诺中标后</w:t>
            </w:r>
            <w:r>
              <w:rPr>
                <w:rFonts w:hint="eastAsia" w:ascii="宋体" w:hAnsi="宋体" w:cs="宋体"/>
                <w:color w:val="auto"/>
                <w:kern w:val="0"/>
                <w:sz w:val="22"/>
                <w:highlight w:val="none"/>
                <w:lang w:val="en-US" w:eastAsia="zh-CN" w:bidi="ar"/>
              </w:rPr>
              <w:t>5个工作日内</w:t>
            </w:r>
            <w:r>
              <w:rPr>
                <w:rFonts w:hint="eastAsia" w:ascii="宋体" w:hAnsi="宋体" w:cs="宋体"/>
                <w:color w:val="auto"/>
                <w:kern w:val="0"/>
                <w:sz w:val="22"/>
                <w:highlight w:val="none"/>
                <w:lang w:bidi="ar"/>
              </w:rPr>
              <w:t>提供原厂针对本项目的授权函及</w:t>
            </w:r>
            <w:r>
              <w:rPr>
                <w:rFonts w:hint="eastAsia" w:ascii="宋体" w:hAnsi="宋体" w:cs="宋体"/>
                <w:color w:val="auto"/>
                <w:kern w:val="0"/>
                <w:sz w:val="22"/>
                <w:highlight w:val="none"/>
                <w:lang w:eastAsia="zh-CN" w:bidi="ar"/>
              </w:rPr>
              <w:t>至少</w:t>
            </w:r>
            <w:r>
              <w:rPr>
                <w:rFonts w:hint="eastAsia" w:ascii="宋体" w:hAnsi="宋体" w:cs="宋体"/>
                <w:color w:val="auto"/>
                <w:kern w:val="0"/>
                <w:sz w:val="22"/>
                <w:highlight w:val="none"/>
                <w:lang w:bidi="ar"/>
              </w:rPr>
              <w:t>3年服务承诺函原件。</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52</w:t>
            </w:r>
          </w:p>
        </w:tc>
        <w:tc>
          <w:tcPr>
            <w:tcW w:w="5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台</w:t>
            </w:r>
          </w:p>
        </w:tc>
      </w:tr>
      <w:tr>
        <w:tblPrEx>
          <w:tblCellMar>
            <w:top w:w="0" w:type="dxa"/>
            <w:left w:w="0" w:type="dxa"/>
            <w:bottom w:w="0" w:type="dxa"/>
            <w:right w:w="0" w:type="dxa"/>
          </w:tblCellMar>
        </w:tblPrEx>
        <w:trPr>
          <w:trHeight w:val="454" w:hRule="atLeast"/>
        </w:trPr>
        <w:tc>
          <w:tcPr>
            <w:tcW w:w="6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6</w:t>
            </w:r>
          </w:p>
        </w:tc>
        <w:tc>
          <w:tcPr>
            <w:tcW w:w="13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高密AP</w:t>
            </w:r>
          </w:p>
        </w:tc>
        <w:tc>
          <w:tcPr>
            <w:tcW w:w="5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1、★支持802.11ax标准，采用三路双频设计，整机最大接入速率6.817Gbps。</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2、支持两张射频卡同时工作在5G频段，</w:t>
            </w:r>
            <w:r>
              <w:rPr>
                <w:rFonts w:hint="eastAsia" w:ascii="宋体" w:hAnsi="宋体" w:cs="宋体"/>
                <w:b/>
                <w:bCs/>
                <w:color w:val="auto"/>
                <w:kern w:val="0"/>
                <w:sz w:val="22"/>
                <w:highlight w:val="none"/>
                <w:lang w:bidi="ar"/>
              </w:rPr>
              <w:t>投标时提供官网查询链接及截图并加盖投标人公章作为证明</w:t>
            </w:r>
            <w:r>
              <w:rPr>
                <w:rFonts w:hint="eastAsia" w:ascii="宋体" w:hAnsi="宋体" w:cs="宋体"/>
                <w:color w:val="auto"/>
                <w:kern w:val="0"/>
                <w:sz w:val="22"/>
                <w:highlight w:val="none"/>
                <w:lang w:bidi="ar"/>
              </w:rPr>
              <w:t>。</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3、整机支持10条流，2.4G频段最高支持4条空间流、5G频段最高支持6条空间流。</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4、★3个以太网1个10/100/1000M端口，其中1个支持PD受电，支持链路聚合，支持扩展物联网模块。</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5、所投AP整机最大终端接入数不小于1536个。</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6、支持工作温度：-10°C～50°C，具备防护等级IP41，整机功耗小于25.5W。</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7、为快速建立高度隔离的安全网络，设备应支持实现AP虚拟化功能，实现一台AP虚拟为多台AP，分别受不同AC设备独立管理，互不影响。不同虚拟 AP之间数据隔离，虚拟AP在AC上不占用AP License。</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8、为保证无线网络运行稳定，需要提供网优工具分析网络运行情况，网优工具支持设备健康状态、网络覆盖情况、网络关联成功、上网体验情况、网络活跃度、网络饱和度查询功能，</w:t>
            </w:r>
            <w:r>
              <w:rPr>
                <w:rFonts w:hint="eastAsia" w:ascii="宋体" w:hAnsi="宋体" w:cs="宋体"/>
                <w:b/>
                <w:bCs/>
                <w:color w:val="auto"/>
                <w:kern w:val="0"/>
                <w:sz w:val="22"/>
                <w:highlight w:val="none"/>
                <w:lang w:bidi="ar"/>
              </w:rPr>
              <w:t>投标时提供</w:t>
            </w:r>
            <w:r>
              <w:rPr>
                <w:rFonts w:hint="eastAsia" w:ascii="宋体" w:hAnsi="宋体" w:cs="宋体"/>
                <w:b/>
                <w:bCs/>
                <w:color w:val="auto"/>
                <w:kern w:val="0"/>
                <w:sz w:val="22"/>
                <w:highlight w:val="none"/>
                <w:lang w:eastAsia="zh-CN" w:bidi="ar"/>
              </w:rPr>
              <w:t>功能</w:t>
            </w:r>
            <w:r>
              <w:rPr>
                <w:rFonts w:hint="eastAsia" w:ascii="宋体" w:hAnsi="宋体" w:cs="宋体"/>
                <w:b/>
                <w:bCs/>
                <w:color w:val="auto"/>
                <w:kern w:val="0"/>
                <w:sz w:val="22"/>
                <w:highlight w:val="none"/>
                <w:lang w:bidi="ar"/>
              </w:rPr>
              <w:t>截图并加盖投标人公章作为证明</w:t>
            </w:r>
            <w:r>
              <w:rPr>
                <w:rFonts w:hint="eastAsia" w:ascii="宋体" w:hAnsi="宋体" w:cs="宋体"/>
                <w:color w:val="auto"/>
                <w:kern w:val="0"/>
                <w:sz w:val="22"/>
                <w:highlight w:val="none"/>
                <w:lang w:bidi="ar"/>
              </w:rPr>
              <w:t>；为方便现场无线排障，需配套Wi-Fi检测APP并且账号与移动运维APP保持一致，为方便运维人员使用，Wi-Fi检测APP能够从APP市场直接下载，支持对网络进行信号强度、关联成功率、关联耗时、远端关联频次、网页打开速度、网速、网络arp攻击、钓鱼wifi进行一键检测，并能协助输出环境同频邻频干扰情况，能够显示被测AP的名称和IP方便问题修复，</w:t>
            </w:r>
            <w:r>
              <w:rPr>
                <w:rFonts w:hint="eastAsia" w:ascii="宋体" w:hAnsi="宋体" w:cs="宋体"/>
                <w:b/>
                <w:bCs/>
                <w:color w:val="auto"/>
                <w:kern w:val="0"/>
                <w:sz w:val="22"/>
                <w:highlight w:val="none"/>
                <w:lang w:bidi="ar"/>
              </w:rPr>
              <w:t>投标时提供APP市场版本截图、功能截图并加盖投标人公章作为证明</w:t>
            </w:r>
            <w:r>
              <w:rPr>
                <w:rFonts w:hint="eastAsia" w:ascii="宋体" w:hAnsi="宋体" w:cs="宋体"/>
                <w:color w:val="auto"/>
                <w:kern w:val="0"/>
                <w:sz w:val="22"/>
                <w:highlight w:val="none"/>
                <w:lang w:bidi="ar"/>
              </w:rPr>
              <w:t>；为确保Wi-Fi检测工具的成熟度，APP装机量大于30万，日活跃大于3000，</w:t>
            </w:r>
            <w:r>
              <w:rPr>
                <w:rFonts w:hint="eastAsia" w:ascii="宋体" w:hAnsi="宋体" w:cs="宋体"/>
                <w:b/>
                <w:bCs/>
                <w:color w:val="auto"/>
                <w:kern w:val="0"/>
                <w:sz w:val="22"/>
                <w:highlight w:val="none"/>
                <w:lang w:bidi="ar"/>
              </w:rPr>
              <w:t>投标时提供第三方监控平台的截图加盖投标人公章作为证明</w:t>
            </w:r>
            <w:r>
              <w:rPr>
                <w:rFonts w:hint="eastAsia" w:ascii="宋体" w:hAnsi="宋体" w:cs="宋体"/>
                <w:color w:val="auto"/>
                <w:kern w:val="0"/>
                <w:sz w:val="22"/>
                <w:highlight w:val="none"/>
                <w:lang w:bidi="ar"/>
              </w:rPr>
              <w:t>；</w:t>
            </w:r>
          </w:p>
          <w:p>
            <w:pPr>
              <w:widowControl/>
              <w:spacing w:line="360" w:lineRule="exact"/>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9、</w:t>
            </w:r>
            <w:r>
              <w:rPr>
                <w:rFonts w:hint="eastAsia" w:ascii="宋体" w:hAnsi="宋体" w:cs="宋体"/>
                <w:b/>
                <w:bCs/>
                <w:color w:val="auto"/>
                <w:kern w:val="0"/>
                <w:sz w:val="22"/>
                <w:highlight w:val="none"/>
                <w:lang w:bidi="ar"/>
              </w:rPr>
              <w:t>投标时</w:t>
            </w:r>
            <w:r>
              <w:rPr>
                <w:rFonts w:hint="eastAsia" w:ascii="宋体" w:hAnsi="宋体" w:cs="宋体"/>
                <w:color w:val="auto"/>
                <w:kern w:val="0"/>
                <w:sz w:val="22"/>
                <w:highlight w:val="none"/>
                <w:lang w:bidi="ar"/>
              </w:rPr>
              <w:t>提供有效的无线电发射设备型号核准证</w:t>
            </w:r>
            <w:r>
              <w:rPr>
                <w:rFonts w:hint="eastAsia" w:ascii="宋体" w:hAnsi="宋体" w:cs="宋体"/>
                <w:b/>
                <w:bCs/>
                <w:color w:val="auto"/>
                <w:kern w:val="0"/>
                <w:sz w:val="22"/>
                <w:highlight w:val="none"/>
                <w:lang w:bidi="ar"/>
              </w:rPr>
              <w:t>加盖投标人公章</w:t>
            </w:r>
            <w:r>
              <w:rPr>
                <w:rFonts w:hint="eastAsia" w:ascii="宋体" w:hAnsi="宋体" w:cs="宋体"/>
                <w:b/>
                <w:bCs/>
                <w:color w:val="auto"/>
                <w:kern w:val="0"/>
                <w:sz w:val="22"/>
                <w:highlight w:val="none"/>
                <w:lang w:eastAsia="zh-CN" w:bidi="ar"/>
              </w:rPr>
              <w:t>；</w:t>
            </w:r>
          </w:p>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10、★</w:t>
            </w:r>
            <w:r>
              <w:rPr>
                <w:rFonts w:hint="eastAsia" w:ascii="宋体" w:hAnsi="宋体" w:cs="宋体"/>
                <w:color w:val="auto"/>
                <w:kern w:val="0"/>
                <w:sz w:val="22"/>
                <w:highlight w:val="none"/>
                <w:lang w:eastAsia="zh-CN" w:bidi="ar"/>
              </w:rPr>
              <w:t>承诺中标后</w:t>
            </w:r>
            <w:r>
              <w:rPr>
                <w:rFonts w:hint="eastAsia" w:ascii="宋体" w:hAnsi="宋体" w:cs="宋体"/>
                <w:color w:val="auto"/>
                <w:kern w:val="0"/>
                <w:sz w:val="22"/>
                <w:highlight w:val="none"/>
                <w:lang w:val="en-US" w:eastAsia="zh-CN" w:bidi="ar"/>
              </w:rPr>
              <w:t>5个工作日内</w:t>
            </w:r>
            <w:r>
              <w:rPr>
                <w:rFonts w:hint="eastAsia" w:ascii="宋体" w:hAnsi="宋体" w:cs="宋体"/>
                <w:color w:val="auto"/>
                <w:kern w:val="0"/>
                <w:sz w:val="22"/>
                <w:highlight w:val="none"/>
                <w:lang w:bidi="ar"/>
              </w:rPr>
              <w:t>提供原厂针对本项目的授权函及</w:t>
            </w:r>
            <w:r>
              <w:rPr>
                <w:rFonts w:hint="eastAsia" w:ascii="宋体" w:hAnsi="宋体" w:cs="宋体"/>
                <w:color w:val="auto"/>
                <w:kern w:val="0"/>
                <w:sz w:val="22"/>
                <w:highlight w:val="none"/>
                <w:lang w:eastAsia="zh-CN" w:bidi="ar"/>
              </w:rPr>
              <w:t>至少</w:t>
            </w:r>
            <w:r>
              <w:rPr>
                <w:rFonts w:hint="eastAsia" w:ascii="宋体" w:hAnsi="宋体" w:cs="宋体"/>
                <w:color w:val="auto"/>
                <w:kern w:val="0"/>
                <w:sz w:val="22"/>
                <w:highlight w:val="none"/>
                <w:lang w:bidi="ar"/>
              </w:rPr>
              <w:t>3年服务承诺函原件。</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c>
          <w:tcPr>
            <w:tcW w:w="5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台</w:t>
            </w:r>
          </w:p>
        </w:tc>
      </w:tr>
      <w:tr>
        <w:tblPrEx>
          <w:tblCellMar>
            <w:top w:w="0" w:type="dxa"/>
            <w:left w:w="0" w:type="dxa"/>
            <w:bottom w:w="0" w:type="dxa"/>
            <w:right w:w="0" w:type="dxa"/>
          </w:tblCellMar>
        </w:tblPrEx>
        <w:trPr>
          <w:trHeight w:val="454" w:hRule="atLeast"/>
        </w:trPr>
        <w:tc>
          <w:tcPr>
            <w:tcW w:w="6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7</w:t>
            </w:r>
          </w:p>
        </w:tc>
        <w:tc>
          <w:tcPr>
            <w:tcW w:w="13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普通AP</w:t>
            </w:r>
          </w:p>
        </w:tc>
        <w:tc>
          <w:tcPr>
            <w:tcW w:w="5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1、★支持标准的802.11ax协议</w:t>
            </w:r>
            <w:r>
              <w:rPr>
                <w:rFonts w:hint="eastAsia" w:ascii="宋体" w:hAnsi="宋体" w:cs="宋体"/>
                <w:color w:val="auto"/>
                <w:kern w:val="0"/>
                <w:sz w:val="22"/>
                <w:highlight w:val="none"/>
                <w:lang w:eastAsia="zh-CN" w:bidi="ar"/>
              </w:rPr>
              <w:t>，</w:t>
            </w:r>
            <w:r>
              <w:rPr>
                <w:rFonts w:hint="eastAsia" w:ascii="宋体" w:hAnsi="宋体" w:cs="宋体"/>
                <w:color w:val="auto"/>
                <w:kern w:val="0"/>
                <w:sz w:val="22"/>
                <w:highlight w:val="none"/>
                <w:lang w:bidi="ar"/>
              </w:rPr>
              <w:t>采用双路双频设计，可同时工作在802.11ax和802.11a/b/g/n/ac模式</w:t>
            </w:r>
            <w:r>
              <w:rPr>
                <w:rFonts w:hint="eastAsia" w:ascii="宋体" w:hAnsi="宋体" w:cs="宋体"/>
                <w:color w:val="auto"/>
                <w:kern w:val="0"/>
                <w:sz w:val="22"/>
                <w:highlight w:val="none"/>
                <w:lang w:eastAsia="zh-CN" w:bidi="ar"/>
              </w:rPr>
              <w:t>，</w:t>
            </w:r>
            <w:r>
              <w:rPr>
                <w:rFonts w:hint="eastAsia" w:ascii="宋体" w:hAnsi="宋体" w:cs="宋体"/>
                <w:color w:val="auto"/>
                <w:kern w:val="0"/>
                <w:sz w:val="22"/>
                <w:highlight w:val="none"/>
                <w:lang w:bidi="ar"/>
              </w:rPr>
              <w:t>单频接入速率≥1.2Gbps，整机接入速率≥1.775Gbps；</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2、固化10/100/1000Base-T电口≥1个、支持PoE供、支持802.3af/本地电源DC48V两种供电模式，整机功耗小于12.95w；</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3、无线接入点支持PPPoE Client功能，支持LCP、PAP、Chap、CBCP等协议，支持PPP DNS IP地址协商；</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4、★支持实现AP虚拟化功能，实现一台AP虚拟为多台AP，分别受不同AC设备独立管理，互不影响。不同虚拟 AP之间数据隔离，虚拟AP在AC上不占用AP License，保留中标后测试权力；</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5、为保证无线网络运行稳定，需要提供网优工具分析网络运行情况，网优工具支持设备健康状态、网络覆盖情况、网络关联成功、上网体验情况、网络活跃度、网络饱和度查询功能，</w:t>
            </w:r>
            <w:r>
              <w:rPr>
                <w:rFonts w:hint="eastAsia" w:ascii="宋体" w:hAnsi="宋体" w:cs="宋体"/>
                <w:b/>
                <w:bCs/>
                <w:color w:val="auto"/>
                <w:kern w:val="0"/>
                <w:sz w:val="22"/>
                <w:highlight w:val="none"/>
                <w:lang w:bidi="ar"/>
              </w:rPr>
              <w:t>投标时提供</w:t>
            </w:r>
            <w:r>
              <w:rPr>
                <w:rFonts w:hint="eastAsia" w:ascii="宋体" w:hAnsi="宋体" w:cs="宋体"/>
                <w:b/>
                <w:bCs/>
                <w:color w:val="auto"/>
                <w:kern w:val="0"/>
                <w:sz w:val="22"/>
                <w:highlight w:val="none"/>
                <w:lang w:eastAsia="zh-CN" w:bidi="ar"/>
              </w:rPr>
              <w:t>功能</w:t>
            </w:r>
            <w:r>
              <w:rPr>
                <w:rFonts w:hint="eastAsia" w:ascii="宋体" w:hAnsi="宋体" w:cs="宋体"/>
                <w:b/>
                <w:bCs/>
                <w:color w:val="auto"/>
                <w:kern w:val="0"/>
                <w:sz w:val="22"/>
                <w:highlight w:val="none"/>
                <w:lang w:bidi="ar"/>
              </w:rPr>
              <w:t>截图并加盖投标人公章作为证明</w:t>
            </w:r>
            <w:r>
              <w:rPr>
                <w:rFonts w:hint="eastAsia" w:ascii="宋体" w:hAnsi="宋体" w:cs="宋体"/>
                <w:color w:val="auto"/>
                <w:kern w:val="0"/>
                <w:sz w:val="22"/>
                <w:highlight w:val="none"/>
                <w:lang w:bidi="ar"/>
              </w:rPr>
              <w:t>；为方便现场无线排障，需配套Wi-Fi检测APP并且账号与移动运维APP保持一致，为方便运维人员使用，Wi-Fi检测APP能够从APP市场直接下载，支持对网络进行信号强度、关联成功率、关联耗时、远端关联频次、网页打开速度、网速、网络arp攻击、钓鱼wifi进行一键检测，并能协助输出环境同频邻频干扰情况，能够显示被测AP的名称和IP方便问题修复，</w:t>
            </w:r>
            <w:r>
              <w:rPr>
                <w:rFonts w:hint="eastAsia" w:ascii="宋体" w:hAnsi="宋体" w:cs="宋体"/>
                <w:b/>
                <w:bCs/>
                <w:color w:val="auto"/>
                <w:kern w:val="0"/>
                <w:sz w:val="22"/>
                <w:highlight w:val="none"/>
                <w:lang w:bidi="ar"/>
              </w:rPr>
              <w:t>投标时提供APP市场版本截图、功能截图并加盖投标人公章作为证明</w:t>
            </w:r>
            <w:r>
              <w:rPr>
                <w:rFonts w:hint="eastAsia" w:ascii="宋体" w:hAnsi="宋体" w:cs="宋体"/>
                <w:color w:val="auto"/>
                <w:kern w:val="0"/>
                <w:sz w:val="22"/>
                <w:highlight w:val="none"/>
                <w:lang w:bidi="ar"/>
              </w:rPr>
              <w:t>；</w:t>
            </w:r>
          </w:p>
          <w:p>
            <w:pPr>
              <w:widowControl/>
              <w:spacing w:line="360" w:lineRule="exact"/>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6、产品资质</w:t>
            </w:r>
            <w:r>
              <w:rPr>
                <w:rFonts w:hint="eastAsia" w:ascii="宋体" w:hAnsi="宋体" w:cs="宋体"/>
                <w:color w:val="auto"/>
                <w:kern w:val="0"/>
                <w:sz w:val="22"/>
                <w:highlight w:val="none"/>
                <w:lang w:eastAsia="zh-CN" w:bidi="ar"/>
              </w:rPr>
              <w:t>：</w:t>
            </w:r>
            <w:r>
              <w:rPr>
                <w:rFonts w:hint="eastAsia" w:ascii="宋体" w:hAnsi="宋体" w:cs="宋体"/>
                <w:b/>
                <w:bCs/>
                <w:color w:val="auto"/>
                <w:kern w:val="0"/>
                <w:sz w:val="22"/>
                <w:highlight w:val="none"/>
                <w:lang w:bidi="ar"/>
              </w:rPr>
              <w:t>投标时</w:t>
            </w:r>
            <w:r>
              <w:rPr>
                <w:rFonts w:hint="eastAsia" w:ascii="宋体" w:hAnsi="宋体" w:cs="宋体"/>
                <w:color w:val="auto"/>
                <w:kern w:val="0"/>
                <w:sz w:val="22"/>
                <w:highlight w:val="none"/>
                <w:lang w:bidi="ar"/>
              </w:rPr>
              <w:t>提供有效的无线电发射设备型号核准证</w:t>
            </w:r>
            <w:r>
              <w:rPr>
                <w:rFonts w:hint="eastAsia" w:ascii="宋体" w:hAnsi="宋体" w:cs="宋体"/>
                <w:b/>
                <w:bCs/>
                <w:color w:val="auto"/>
                <w:kern w:val="0"/>
                <w:sz w:val="22"/>
                <w:highlight w:val="none"/>
                <w:lang w:bidi="ar"/>
              </w:rPr>
              <w:t>加盖投标人公章</w:t>
            </w:r>
            <w:r>
              <w:rPr>
                <w:rFonts w:hint="eastAsia" w:ascii="宋体" w:hAnsi="宋体" w:cs="宋体"/>
                <w:b/>
                <w:bCs/>
                <w:color w:val="auto"/>
                <w:kern w:val="0"/>
                <w:sz w:val="22"/>
                <w:highlight w:val="none"/>
                <w:lang w:eastAsia="zh-CN" w:bidi="ar"/>
              </w:rPr>
              <w:t>；</w:t>
            </w:r>
          </w:p>
          <w:p>
            <w:pPr>
              <w:widowControl/>
              <w:spacing w:line="360" w:lineRule="exact"/>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r>
              <w:rPr>
                <w:rFonts w:hint="eastAsia" w:ascii="宋体" w:hAnsi="宋体" w:cs="宋体"/>
                <w:color w:val="auto"/>
                <w:kern w:val="0"/>
                <w:sz w:val="22"/>
                <w:highlight w:val="none"/>
                <w:lang w:eastAsia="zh-CN" w:bidi="ar"/>
              </w:rPr>
              <w:t>承诺中标后</w:t>
            </w:r>
            <w:r>
              <w:rPr>
                <w:rFonts w:hint="eastAsia" w:ascii="宋体" w:hAnsi="宋体" w:cs="宋体"/>
                <w:color w:val="auto"/>
                <w:kern w:val="0"/>
                <w:sz w:val="22"/>
                <w:highlight w:val="none"/>
                <w:lang w:val="en-US" w:eastAsia="zh-CN" w:bidi="ar"/>
              </w:rPr>
              <w:t>5个工作日内</w:t>
            </w:r>
            <w:r>
              <w:rPr>
                <w:rFonts w:hint="eastAsia" w:ascii="宋体" w:hAnsi="宋体" w:cs="宋体"/>
                <w:color w:val="auto"/>
                <w:kern w:val="0"/>
                <w:sz w:val="22"/>
                <w:highlight w:val="none"/>
                <w:lang w:bidi="ar"/>
              </w:rPr>
              <w:t>提供原厂针对本项目的授权函及</w:t>
            </w:r>
            <w:r>
              <w:rPr>
                <w:rFonts w:hint="eastAsia" w:ascii="宋体" w:hAnsi="宋体" w:cs="宋体"/>
                <w:color w:val="auto"/>
                <w:kern w:val="0"/>
                <w:sz w:val="22"/>
                <w:highlight w:val="none"/>
                <w:lang w:eastAsia="zh-CN" w:bidi="ar"/>
              </w:rPr>
              <w:t>至少</w:t>
            </w:r>
            <w:r>
              <w:rPr>
                <w:rFonts w:hint="eastAsia" w:ascii="宋体" w:hAnsi="宋体" w:cs="宋体"/>
                <w:color w:val="auto"/>
                <w:kern w:val="0"/>
                <w:sz w:val="22"/>
                <w:highlight w:val="none"/>
                <w:lang w:bidi="ar"/>
              </w:rPr>
              <w:t>3年服务承诺函原件。</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75</w:t>
            </w:r>
          </w:p>
        </w:tc>
        <w:tc>
          <w:tcPr>
            <w:tcW w:w="5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台</w:t>
            </w:r>
          </w:p>
        </w:tc>
      </w:tr>
    </w:tbl>
    <w:p>
      <w:pPr>
        <w:pStyle w:val="2"/>
        <w:spacing w:before="0"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（二）数据中心</w:t>
      </w:r>
    </w:p>
    <w:tbl>
      <w:tblPr>
        <w:tblStyle w:val="26"/>
        <w:tblW w:w="9244" w:type="dxa"/>
        <w:jc w:val="center"/>
        <w:tblLayout w:type="fixed"/>
        <w:tblCellMar>
          <w:top w:w="0" w:type="dxa"/>
          <w:left w:w="0" w:type="dxa"/>
          <w:bottom w:w="0" w:type="dxa"/>
          <w:right w:w="0" w:type="dxa"/>
        </w:tblCellMar>
      </w:tblPr>
      <w:tblGrid>
        <w:gridCol w:w="856"/>
        <w:gridCol w:w="1118"/>
        <w:gridCol w:w="6123"/>
        <w:gridCol w:w="611"/>
        <w:gridCol w:w="536"/>
      </w:tblGrid>
      <w:tr>
        <w:tblPrEx>
          <w:tblCellMar>
            <w:top w:w="0" w:type="dxa"/>
            <w:left w:w="0" w:type="dxa"/>
            <w:bottom w:w="0" w:type="dxa"/>
            <w:right w:w="0" w:type="dxa"/>
          </w:tblCellMar>
        </w:tblPrEx>
        <w:trPr>
          <w:trHeight w:val="454" w:hRule="atLeast"/>
          <w:jc w:val="center"/>
        </w:trPr>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序号</w:t>
            </w:r>
          </w:p>
        </w:tc>
        <w:tc>
          <w:tcPr>
            <w:tcW w:w="1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项目名称</w:t>
            </w:r>
          </w:p>
        </w:tc>
        <w:tc>
          <w:tcPr>
            <w:tcW w:w="61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参数要求</w:t>
            </w:r>
          </w:p>
        </w:tc>
        <w:tc>
          <w:tcPr>
            <w:tcW w:w="6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数量</w:t>
            </w: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单位</w:t>
            </w:r>
          </w:p>
        </w:tc>
      </w:tr>
      <w:tr>
        <w:tblPrEx>
          <w:tblCellMar>
            <w:top w:w="0" w:type="dxa"/>
            <w:left w:w="0" w:type="dxa"/>
            <w:bottom w:w="0" w:type="dxa"/>
            <w:right w:w="0" w:type="dxa"/>
          </w:tblCellMar>
        </w:tblPrEx>
        <w:trPr>
          <w:trHeight w:val="454" w:hRule="atLeast"/>
          <w:jc w:val="center"/>
        </w:trPr>
        <w:tc>
          <w:tcPr>
            <w:tcW w:w="924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lang w:bidi="ar"/>
              </w:rPr>
              <w:t>一、超融合系统</w:t>
            </w:r>
          </w:p>
        </w:tc>
      </w:tr>
      <w:tr>
        <w:tblPrEx>
          <w:tblCellMar>
            <w:top w:w="0" w:type="dxa"/>
            <w:left w:w="0" w:type="dxa"/>
            <w:bottom w:w="0" w:type="dxa"/>
            <w:right w:w="0" w:type="dxa"/>
          </w:tblCellMar>
        </w:tblPrEx>
        <w:trPr>
          <w:trHeight w:val="454" w:hRule="atLeast"/>
          <w:jc w:val="center"/>
        </w:trPr>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超融合万兆业务交换机</w:t>
            </w:r>
          </w:p>
        </w:tc>
        <w:tc>
          <w:tcPr>
            <w:tcW w:w="61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1.性能指标：交换容量≥23Tbps，包转发率≥1600Mpps；48个1/10GE SFP+光接口，2个QSFP+光接口；模块化热插拔双电源双风扇，前/后通，风道可调；</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2.扩展性能：扩展插槽≥2，可扩展万兆光口、40G光口；</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3.性能指标：MAC地址表≥128K，路由表容量≥64K，ARP≥64K；</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4.路由支持：支持静态路由、RIP，OSPF， ISISv4，BGP4、IPv6静态路由、RIPng、OSPF v3、BGP4+、等价路由、MSTP、VRRP等协议；支持IPv4和IPv6环境下的策略路由；支持IPv6手动隧道、6to4隧道和ISATAP隧道；</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5.VxLAN：支持创新的VxLAN技术，可以同时支持VxLAN二三层网关、EVPN等技术；</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6.★开放多业务架构：集成包括FW，IPS、负载均衡等高性能OAP模块插卡；</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7.横向虚拟化：将最多9台设备虚拟化为一台逻辑设备；支持跨设备链路聚合，单一IP管理，分布式弹性路由，支持远程堆叠；支持通过标准以太端口进行堆叠（万兆或40G均支持）；支持完善的堆叠分裂检测机制，堆叠分裂后能自动完成MAC和IP地址的重配置，无需手动干预；支持10G、40G端口聚合；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8.丰富业务特性：支持零配置上线、ERPS协议、Sflow协议、CPU防护协议等技术；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9.可靠性：支持VRRPv2/v3（虚拟路由冗余协议)；支持RRPP（快速环网保护协议），环网故障恢复时间不超过200ms；</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10.SDN/OPENFLOW：支持OPENFLOW 1.3标准支持普通模式和Openflow模式切换；支持SDN软件定义网络，通过将网络的控制层和数据转发层进行分离，大幅简化了网络的管理及维护难度，实现网络流量的灵活控制，</w:t>
            </w:r>
            <w:r>
              <w:rPr>
                <w:rFonts w:hint="eastAsia" w:ascii="宋体" w:hAnsi="宋体" w:cs="宋体"/>
                <w:b/>
                <w:bCs/>
                <w:color w:val="auto"/>
                <w:kern w:val="0"/>
                <w:sz w:val="22"/>
                <w:highlight w:val="none"/>
                <w:lang w:bidi="ar"/>
              </w:rPr>
              <w:t>投标时提供官网清晰截图并加盖投标人公章</w:t>
            </w:r>
            <w:r>
              <w:rPr>
                <w:rFonts w:hint="eastAsia" w:ascii="宋体" w:hAnsi="宋体" w:cs="宋体"/>
                <w:color w:val="auto"/>
                <w:kern w:val="0"/>
                <w:sz w:val="22"/>
                <w:highlight w:val="none"/>
                <w:lang w:bidi="ar"/>
              </w:rPr>
              <w:t>；</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11.智能运维：为简化设备配置，实现网络管理可视化，避免投资浪费，要求设备内置智能网络管理模块：支持设备自动上线、全网拓扑自动生成功能、配置文件备份与下发、配置文件备份与下发；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12.绿色节能：为满足节能环保要求，要求产品支持端口休眠，关闭没有应用的端口，节省能源、智能风扇调速等；</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13.配置要求：单台配置40G虚拟化堆叠线缆（3m）≥1，冗余电源，冗余风扇，配置≥16个万兆多模光模块。</w:t>
            </w:r>
          </w:p>
        </w:tc>
        <w:tc>
          <w:tcPr>
            <w:tcW w:w="6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台</w:t>
            </w:r>
          </w:p>
        </w:tc>
      </w:tr>
      <w:tr>
        <w:tblPrEx>
          <w:tblCellMar>
            <w:top w:w="0" w:type="dxa"/>
            <w:left w:w="0" w:type="dxa"/>
            <w:bottom w:w="0" w:type="dxa"/>
            <w:right w:w="0" w:type="dxa"/>
          </w:tblCellMar>
        </w:tblPrEx>
        <w:trPr>
          <w:trHeight w:val="454" w:hRule="atLeast"/>
          <w:jc w:val="center"/>
        </w:trPr>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11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数据中心防火墙</w:t>
            </w:r>
          </w:p>
        </w:tc>
        <w:tc>
          <w:tcPr>
            <w:tcW w:w="61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1.★基本要求</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系统结构：产品由专用的硬件平台、安全操作系统及功能软件构成。设备采用正版授权的安全稳定的操作系统，采用多核多平台并行处理特性；</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为使保证安全产品做到安全自主可控，要求为国产品牌。为保证系统软件设计全面性、保密性、完整性，要求招标产品系统遵从行业标准和政府法规，产品符合 CNITSEC-SP-01 测评准则。</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操作系统：安全操作系统采用冗余设计，出于安全性考虑，多系统需在设备启动过程中进行选择不得在WEB维护界面中设置系统切换选项。</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为保障产品运行的安全及稳定性，承诺产品设计、开发、生产及售后服务符合TL9000-H-S-V相关标准要求。</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2.★系统配置</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配置要求：2U机箱，配置为2个10/100/1000BASE-T接口，8个SFP+插槽，4个以上可扩展插槽，标配模块化冗余电源，默认包含应用识别功能，三年入侵防御规则库升级许可；</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防火墙吞吐率：80Gbps；并发连接数：2000万；每秒新建连接数：100万；</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承诺支持防火墙芯片硬件加速技术，实现硬件资源充分利用，保障设备处理效率。</w:t>
            </w:r>
          </w:p>
          <w:p>
            <w:pPr>
              <w:widowControl/>
              <w:spacing w:line="360" w:lineRule="exact"/>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3.网络接入</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工作模式：支持路由、交换、虚拟线、Listening、混合工作模式；</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路由交换：支持静态路由、ISP路由及动态路由协议，支持802.1q、QinQ模式；</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支持基于源/目的地址、源/目的端口的策略路由，保证关键业务流量通过优质链路转发；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★接入功能：支持IPSEC VPN功能，支持AES、DES、3DES、MD5、SHA-1等VPN加密、认证算法，支持对隧道内网络流量进行监控展示；可提供国密算法；</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支持使用L2TP、PPTP、GRE、IPSEC、SSL等VPN技术管理防火墙设备；产品符合《防火墙产品密码检测准则》；</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链路聚合：为提高链路可靠性，需支持手工链路聚合及LACP链路聚合；</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提供不少于11种的负载均衡算法，灵活实现对聚合组内业务流量的负载分担；</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IP/MAC绑定：支持手动添加绑定，基于IP、接口的动态探测绑定，支持跨三层IP/MAC绑定，IP/MAC绑定表可导入导出；</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地址转换：支持一对一SNAT、多对一SNAT、一对一DNAT、双向NAT等多种转换方式；支持Sticky NAT开关，使相同源IP的数据包经过地址转换后为其转换的源 IP 地址相同；</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支持MAP66功能，将从内部发往Internet的数据包的源IPv6地址修改为全球单播源IPv6地址，实现IPv6网络间的地址转换；</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智能DNS：支持智能DNS及DNS Docting功能，能够将来自内部网络的域名解析请求定向到真实内网资源，提高访问效率，同时支持通过配置多条 DNS Doctoring，实现内网资源服务器的负载均衡</w:t>
            </w:r>
            <w:r>
              <w:rPr>
                <w:rFonts w:hint="eastAsia" w:ascii="宋体" w:hAnsi="宋体" w:cs="宋体"/>
                <w:color w:val="auto"/>
                <w:kern w:val="0"/>
                <w:sz w:val="22"/>
                <w:highlight w:val="none"/>
                <w:lang w:eastAsia="zh-CN" w:bidi="ar"/>
              </w:rPr>
              <w:t>；</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★媒体业务接入：要求支持H.323、SIP等媒体协议，符合GB/T 28181-2016《安全防范视频监控联网系统信息传输、交换、控制技术要求》及TC/OP(XZ)2B-185-2017相关技术要求；</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访问控制：支持一体化安全策略配置，可以通过一条策略实现五元组信息源MAC、域名、地理区域、应用、服务、时间、长连接、并发会话、WEB认证、IPS、AV、URL过滤、WAF、邮件安全、数据过滤、文件过滤、审计、防代理、APT等功能配置，简化用户管理；</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为提升运维效率，降低运维成本，要求提供策略分析功能，支持策略命中分析、策略冗余分析、策略冲突检查、策略包含分析，可在WEB界面显示检测结果；支持策略加速技术；</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提供策略查询功能，支持五元组快速查询以及针对策略名、源/目的区域、源/目的地址、服务、对象、未命中时间等条件进行细粒度查询</w:t>
            </w:r>
            <w:r>
              <w:rPr>
                <w:rFonts w:hint="eastAsia" w:ascii="宋体" w:hAnsi="宋体" w:cs="宋体"/>
                <w:color w:val="auto"/>
                <w:kern w:val="0"/>
                <w:sz w:val="22"/>
                <w:highlight w:val="none"/>
                <w:lang w:eastAsia="zh-CN" w:bidi="ar"/>
              </w:rPr>
              <w:t>。</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4.IPv6</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双栈模式：为适应IPv6发展趋势，要求防火墙系统支持IPv4/IPv6双栈工作模式，支持NAT64，支持静态转换和前缀转换方式；支持 NAT66地址转换，支持源地址转换；</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访问控制：支持IPv6安全控制策略设置，能针对IPv6的目的/源地址、目的/源服务端口、区域、服务等条件进行安全访问规则的设置。</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安全防护：支持基于IPv6的应用层检测（FTP\TFTP）、病毒过滤、URL过滤等防护。</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5.虚拟系统</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资源虚拟化：承诺支持在一台物理设备上划分出最大120个相互独立的虚拟系统，可根据连接配额及连接新建速率为每个虚拟系统分配资源；</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功能虚拟化：支持配置文件、系统服务等系统功能虚拟化，支持路由、链路聚合等网络功能虚拟化，支持安全策略、NAT策略、带宽管理、认证策略、IPV6功能、URL过滤、异常行为分析、病毒过滤、内容过滤、审计、报表等安全功能虚拟化。</w:t>
            </w:r>
          </w:p>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6.用户管控</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认证方式：内置强大的用户身份管理系统，支持本地认证、证书认证及免认证等方式，同时支持RADIUS、LDAP、TACACS等多种第三方外部认证设置；</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用户管控：综合运用身份认证与访问控制技术，通过内置智能过滤引擎实现基于用户身份的安全防护策略部署与可视化监控；支持手动创建用户、批量导入导出用户，同时支持设备扫描方式创建用户；（</w:t>
            </w:r>
            <w:r>
              <w:rPr>
                <w:rFonts w:hint="eastAsia" w:ascii="宋体" w:hAnsi="宋体" w:cs="宋体"/>
                <w:b/>
                <w:bCs/>
                <w:color w:val="auto"/>
                <w:kern w:val="0"/>
                <w:sz w:val="22"/>
                <w:highlight w:val="none"/>
                <w:lang w:bidi="ar"/>
              </w:rPr>
              <w:t>投标时提供功能截图并加盖投标人公章</w:t>
            </w:r>
            <w:r>
              <w:rPr>
                <w:rFonts w:hint="eastAsia" w:ascii="宋体" w:hAnsi="宋体" w:cs="宋体"/>
                <w:color w:val="auto"/>
                <w:kern w:val="0"/>
                <w:sz w:val="22"/>
                <w:highlight w:val="none"/>
                <w:lang w:bidi="ar"/>
              </w:rPr>
              <w:t>）</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支持设置密码有效性，如首次登陆修改密码、密码定期修改、密码有效时间等设置，用户忘记密码时，支持密码找回；</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支持本地CA和第三方CA，支持作为CA认证中心为其他人签发证书，也可采用第三方CA为其他人签发证书；支持标准CRL列表，支持CRL手工更新，同时支持CRL自动下载，通过HTTP或者LDAP方式定时自动下载更新CRL文件。</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7.应用管控</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应用识别：内置强大应用识别引擎，综合运用端口识别、行为识别、特征识别、关联识别等技术手段，准确识别传统应用如P2P、web应用、移动应用等。</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内置独立应用识别特征库，总数2100种以上，支持应用特征库在线或本地更新，支持应用特征自定义；</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★内置P2P应用（</w:t>
            </w:r>
            <w:r>
              <w:rPr>
                <w:rFonts w:hint="eastAsia" w:ascii="宋体" w:hAnsi="宋体" w:cs="宋体"/>
                <w:b/>
                <w:bCs/>
                <w:color w:val="auto"/>
                <w:kern w:val="0"/>
                <w:sz w:val="22"/>
                <w:highlight w:val="none"/>
                <w:lang w:bidi="ar"/>
              </w:rPr>
              <w:t>提供</w:t>
            </w:r>
            <w:r>
              <w:rPr>
                <w:rFonts w:hint="eastAsia" w:ascii="宋体" w:hAnsi="宋体" w:cs="宋体"/>
                <w:b/>
                <w:bCs/>
                <w:color w:val="auto"/>
                <w:kern w:val="0"/>
                <w:sz w:val="22"/>
                <w:highlight w:val="none"/>
              </w:rPr>
              <w:t>国家认可的相应资质的检测机构出具的检测报告加盖投标人公章作为证明具备</w:t>
            </w:r>
            <w:r>
              <w:rPr>
                <w:rFonts w:hint="eastAsia" w:ascii="宋体" w:hAnsi="宋体" w:cs="宋体"/>
                <w:b/>
                <w:bCs/>
                <w:color w:val="auto"/>
                <w:kern w:val="0"/>
                <w:sz w:val="22"/>
                <w:highlight w:val="none"/>
                <w:lang w:bidi="ar"/>
              </w:rPr>
              <w:t>P2P流量识别技术</w:t>
            </w:r>
            <w:r>
              <w:rPr>
                <w:rFonts w:hint="eastAsia" w:ascii="宋体" w:hAnsi="宋体" w:cs="宋体"/>
                <w:color w:val="auto"/>
                <w:kern w:val="0"/>
                <w:sz w:val="22"/>
                <w:highlight w:val="none"/>
                <w:lang w:bidi="ar"/>
              </w:rPr>
              <w:t>）、网页应用、加密应用（</w:t>
            </w:r>
            <w:r>
              <w:rPr>
                <w:rFonts w:hint="eastAsia" w:ascii="宋体" w:hAnsi="宋体" w:cs="宋体"/>
                <w:b/>
                <w:bCs/>
                <w:color w:val="auto"/>
                <w:kern w:val="0"/>
                <w:sz w:val="22"/>
                <w:highlight w:val="none"/>
                <w:lang w:bidi="ar"/>
              </w:rPr>
              <w:t>提供</w:t>
            </w:r>
            <w:r>
              <w:rPr>
                <w:rFonts w:hint="eastAsia" w:ascii="宋体" w:hAnsi="宋体" w:cs="宋体"/>
                <w:b/>
                <w:bCs/>
                <w:color w:val="auto"/>
                <w:kern w:val="0"/>
                <w:sz w:val="22"/>
                <w:highlight w:val="none"/>
              </w:rPr>
              <w:t>国家认可的相应资质的检测机构出具的检测报告加盖投标人公章作为证明具备</w:t>
            </w:r>
            <w:r>
              <w:rPr>
                <w:rFonts w:hint="eastAsia" w:ascii="宋体" w:hAnsi="宋体" w:cs="宋体"/>
                <w:b/>
                <w:bCs/>
                <w:color w:val="auto"/>
                <w:kern w:val="0"/>
                <w:sz w:val="22"/>
                <w:highlight w:val="none"/>
                <w:lang w:bidi="ar"/>
              </w:rPr>
              <w:t>加密流量识别技术</w:t>
            </w:r>
            <w:r>
              <w:rPr>
                <w:rFonts w:hint="eastAsia" w:ascii="宋体" w:hAnsi="宋体" w:cs="宋体"/>
                <w:color w:val="auto"/>
                <w:kern w:val="0"/>
                <w:sz w:val="22"/>
                <w:highlight w:val="none"/>
                <w:lang w:bidi="ar"/>
              </w:rPr>
              <w:t>）、数据库应用、工控物联网协议等应用特征库，</w:t>
            </w:r>
            <w:r>
              <w:rPr>
                <w:rFonts w:hint="eastAsia" w:ascii="宋体" w:hAnsi="宋体" w:cs="宋体"/>
                <w:b/>
                <w:bCs/>
                <w:color w:val="auto"/>
                <w:kern w:val="0"/>
                <w:sz w:val="22"/>
                <w:highlight w:val="none"/>
                <w:lang w:bidi="ar"/>
              </w:rPr>
              <w:t>投标时提供产品功能界面截图并加盖投标人公章</w:t>
            </w:r>
            <w:r>
              <w:rPr>
                <w:rFonts w:hint="eastAsia" w:ascii="宋体" w:hAnsi="宋体" w:cs="宋体"/>
                <w:color w:val="auto"/>
                <w:kern w:val="0"/>
                <w:sz w:val="22"/>
                <w:highlight w:val="none"/>
                <w:lang w:bidi="ar"/>
              </w:rPr>
              <w:t>；</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带宽管理：支持基于IP/IP组、用户/用户组、服务/服务组、应用/应用组和时间等配置带宽策略，支持带宽策略优先级，实现对流量进行细分管理，保证带宽的利用率；</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连接控制：支持对单条访问控制策略进行最大并发连接数限制；</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为保护内部网络资源以及合理分配设备系统资源，需支持对指定的源/目的IP地址、MAC地址、应用制定相应的连接限制策略；</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支持监控功能，显示最近被拦截的IP、地址对象及应用的节点信息；同时支持对连接数限制策略匹配信息进行分类统计，方便管理员根据统计分析结果进行相应的防护控制；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8.访问控制</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一体化访问控制：内置高度集成的一体化智能过滤引擎技术，实现在同一条访问控制策略中配置传统的五元组信息、用户、域名、应用、服务、时间、安全引擎（如：入侵防御、URL过滤、病毒过滤、数据防泄漏、内容过滤、文件过滤等）的识别与控制；</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访问控制策略执行动作支持允许、禁止及认证，对符合条件的流量进行Web认证，在策略中可设置用户 Web 认证的门户地址；</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支持黑名单功能，可设置多个对象条件，如：五元组信息、地址范围、应用、用户等。</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9.安全防护</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入侵防御：支持独立的入侵防护规则特征库，特征总数在5000条以上，能对常见漏洞进行安全防护，兼容国家信息安全漏洞库；</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规则库支持根据攻击类型、风险等级、流行程度、操作系统等进行分类，防护动作包括告警、阻断、记录攻击报文；</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支持针对地址、应用设置入侵防御白名单，支持攻击规则搜索以及自定义，可对自定义规则导入导出；</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厂商需具备强大的漏洞和攻防研究能力（</w:t>
            </w:r>
            <w:r>
              <w:rPr>
                <w:rFonts w:hint="eastAsia" w:ascii="宋体" w:hAnsi="宋体" w:cs="宋体"/>
                <w:b/>
                <w:bCs/>
                <w:color w:val="auto"/>
                <w:kern w:val="0"/>
                <w:sz w:val="22"/>
                <w:highlight w:val="none"/>
                <w:lang w:bidi="ar"/>
              </w:rPr>
              <w:t>投标时提供证明材料并加盖投标人公章</w:t>
            </w:r>
            <w:r>
              <w:rPr>
                <w:rFonts w:hint="eastAsia" w:ascii="宋体" w:hAnsi="宋体" w:cs="宋体"/>
                <w:color w:val="auto"/>
                <w:kern w:val="0"/>
                <w:sz w:val="22"/>
                <w:highlight w:val="none"/>
                <w:lang w:bidi="ar"/>
              </w:rPr>
              <w:t>），能够确保每周至少更新1次攻击特征库；</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未知威胁防御：支持APT防御扩展，不依赖于攻击、恶意代码等特征库进行检测，通过沙箱技术对于未知漏洞攻击（0day/1day漏洞）、木马、病毒具有检测能力；可根据用户环境，将APT工作模式设置为深度模式或者智能模式；</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支持异常行为检测，内置统计智能学习算法，对特定地址对象建立监控策略，基于新建、并发、流量等数据与上一周期记录值进行比较判定是否异常，如果存在异常则报警；</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邮件安全：内置邮件安全防护功能，可进行匿名发件人、收发件人同名、非标客户端、收/发件人频率、收/发件IP频率、邮件长度、附件名称、附件数量检测，支持黑、白名单检测；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DDOS防御：内置流量检测清洗引擎，支持基于IP、ICMP、TCP、UDP、DNS、HTTP、NTP等众多协议类型的防护策略；提供丰富的策略模板，且支持策略模板自定义；支持基于IP协议的检测清洗，包括但不限于：IP Flood、IP Frag Flood、端口扫描、IP 地址扫描；</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支持基于TCP协议的检测清洗，支持SYN源认证技术，认证模式可设置为基本模式或者高级模式，以防止虚假源攻击；</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支持基于UDP协议的检测清洗，包括对源、目的限速，对UDP最大及最小报文限制；同时支持UDP关联认证，要求所有去往服务器的UDP报文，必须首先与该服务器的TCP端口建立TCP连接，对源地址进行合法性认证；</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支持基于DNS协议的检测清洗，包括但不限于：DNS QUERY FLOOD、DNS REPLY FLOOD、DNS投毒攻击、DNS格式检查、DNS NX异常比率检测等；支持DNS QUERY源认证、DNS REPLY源认证；</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支持基于HTTP协议的检测清洗，支持对HTTP slow-header和HTTP slow-post设置最大传输时间以及异常会话数阈值，有效防御慢速攻击；</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根据DOS/DDOS攻击行为自动添加动态黑/白名单功能，可自定义动态黑/白名单超时时间；文件过滤：内置文件过滤引擎，支持对即时通讯、社交网络、网络硬盘、网页邮箱、IM文件传输等应用类型以及HTTP/FTP/SMTP/POP3等标准协议进行检测，识别可执行文件、office文件、视频文件、图片文件、帮助文件、压缩文件、数据文件等超过40种文档类型的文件过滤；内容过滤：支持基于http、ftp、telnet、smtp、pop3等协议的内容过滤策略，支持过滤FTP信令：上传文件、下载文件、删除文件、重命名文件、创建目录、删除目录、列出目录等，邮件过滤支持对发件人、收件人、主题、内容、附件等进行过滤；10.数据中心；</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报表：内置多种类预定义报表模板，支持根据通信流量、上网行为、威胁统计等来源数据库自定义报表模板；支持一次性报表及周期性报表，可自定义统计时间；</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支持报表按照PDF、WORD及EXCEL格式导出；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审计：支持独立配置审计策略，同时也可将指定的 IP 地址、 URL、应用加入白名单，不进行数据审计；</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支持网站访问审计：审计指定类别的 URL 地址、审计命中指定关键字的网页标题和网页内容；</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支持邮件内容审计：对接收/发送邮件行为及邮件内容进行审计；FTP审计：对FTP上传/下载行为及文件内容进行审计；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提供完善的审计数据查询功能，方便管理员对用户的上网行为进行审查和分析。支持对用户上网行为进行完整的审计数据查询，包括访问网站、邮件收发、论坛微博、 FTP、 网盘、TELNET等；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日志：支持日志本地存储，可对不同类型日志设置存储空间；同时支持外发至SYSLOG服务器，可将多条日志合并成一条日志传送到日志服务器中，可选择对日志传输是否加密，设定8位的加密密钥；</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日志查看可划分为管理日志、系统日志、策略日志、应用行为日志等四大模块，可将日志按照CSV或XML格式导出。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11.显示监控</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资源监控：在WEB界面提供资源监控开关，可对cpu占用率、内存占用率、磁盘占用率设置阈值；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流量统计：支持根据应用对通过设备的数据报文流量进行统计，包括应用总流量排名和各个应用的协议名称、总流量、上行流量、下行流量、新建连接数、当前会话数以及流速；</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支持根据服务器对通过设备的数据报文流量进行统计，包括各个服务器的服务器 IP、总流量以及新建会话数；</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支持指定监控时间周期，包括：实时、最近1小时、最近1天、最近1周、最近1月等；</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威胁统计：支持根据按照病毒防御、入侵防御、APT防御、DDOS攻击进行威胁统计，可按照威胁类型/攻击者/受害者三种方式进行威胁排名。</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12.高可靠性</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负载均衡：支持用户服务器的负载均衡，保证用户关键服务的有效性；</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★防火墙在链路高数据量情况下，可以实现防火墙网络地址转换动态负载均衡；</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冗余备份：支持AS、AA、连接保护等多种设备高可用机制并支集群部署；</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为保证产品功能健壮性，</w:t>
            </w:r>
            <w:r>
              <w:rPr>
                <w:rFonts w:hint="eastAsia" w:ascii="宋体" w:hAnsi="宋体" w:cs="宋体"/>
                <w:b/>
                <w:bCs/>
                <w:color w:val="auto"/>
                <w:kern w:val="0"/>
                <w:sz w:val="22"/>
                <w:highlight w:val="none"/>
                <w:lang w:bidi="ar"/>
              </w:rPr>
              <w:t>投标时提供产品研发厂商通过软件成熟度CMMI3及以上认证证书并加盖投标人公章；</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操作系统：★可在发生系统故障时，实现系统自动修复。</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13.管理维护</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系统诊断：支持分别针对网络层、传输层和应用层提供诊断系统网络连通性的工具，包括 PING、 TRACEROUTE和 DNS；</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支持在WEB界面进入CLI模式，执行系统配置、网络诊断、过滤抓包等命令，提高管理员运维效率（</w:t>
            </w:r>
            <w:r>
              <w:rPr>
                <w:rFonts w:hint="eastAsia" w:ascii="宋体" w:hAnsi="宋体" w:cs="宋体"/>
                <w:b/>
                <w:bCs/>
                <w:color w:val="auto"/>
                <w:kern w:val="0"/>
                <w:sz w:val="22"/>
                <w:highlight w:val="none"/>
                <w:lang w:bidi="ar"/>
              </w:rPr>
              <w:t>投标时提供功能截图并加盖投标人公章</w:t>
            </w:r>
            <w:r>
              <w:rPr>
                <w:rFonts w:hint="eastAsia" w:ascii="宋体" w:hAnsi="宋体" w:cs="宋体"/>
                <w:color w:val="auto"/>
                <w:kern w:val="0"/>
                <w:sz w:val="22"/>
                <w:highlight w:val="none"/>
                <w:lang w:bidi="ar"/>
              </w:rPr>
              <w:t>）；</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管理员：支持系统管理员能够通过本地认证及外部认证方式进行登录管理，外部认证失败时可转本地认证；</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支持管理员分权管理，可自定义管理员权限模板，所有功能模块组合可由管理员自由组合配置。</w:t>
            </w:r>
          </w:p>
        </w:tc>
        <w:tc>
          <w:tcPr>
            <w:tcW w:w="6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套</w:t>
            </w:r>
          </w:p>
        </w:tc>
      </w:tr>
      <w:tr>
        <w:tblPrEx>
          <w:tblCellMar>
            <w:top w:w="0" w:type="dxa"/>
            <w:left w:w="0" w:type="dxa"/>
            <w:bottom w:w="0" w:type="dxa"/>
            <w:right w:w="0" w:type="dxa"/>
          </w:tblCellMar>
        </w:tblPrEx>
        <w:trPr>
          <w:trHeight w:val="454" w:hRule="atLeast"/>
          <w:jc w:val="center"/>
        </w:trPr>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3</w:t>
            </w:r>
          </w:p>
        </w:tc>
        <w:tc>
          <w:tcPr>
            <w:tcW w:w="11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全网行为管理</w:t>
            </w:r>
          </w:p>
        </w:tc>
        <w:tc>
          <w:tcPr>
            <w:tcW w:w="61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1.硬件配置</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性能配置：★本次需提供2台全网行为管理设备；</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吞吐量&gt;=10Gb，支持用户数&gt;=50000；包转发率：1Mpps，每秒新建连接数：80000，最大并发连接数：3200000。  硬件指标：2U，内存大小：24G，硬盘容量：SATA 1T+64G SSD，双电源。配置4个千兆电口+4个千兆光口+2个万兆光口。</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2.实时监控</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★Web访问质量检测：针对内网用户的web访问质量进行检测，对整体网络提供清晰的整体网络质量评级；支持以列表形式展示访问质量差的用户名单；支持对单用户进行定向web访问质量检测。</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3.用户管理</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二维码认证：支持二维码认证，担保人扫描访客的二维码后对其网络访问授权；支持访客填写信息、担保人填写信息、免填写信息三种模式（</w:t>
            </w:r>
            <w:r>
              <w:rPr>
                <w:rFonts w:hint="eastAsia" w:ascii="宋体" w:hAnsi="宋体" w:cs="宋体"/>
                <w:b/>
                <w:bCs/>
                <w:color w:val="auto"/>
                <w:kern w:val="0"/>
                <w:sz w:val="22"/>
                <w:highlight w:val="none"/>
                <w:lang w:bidi="ar"/>
              </w:rPr>
              <w:t>投标时提供产品界面截图并加盖投标人公章</w:t>
            </w:r>
            <w:r>
              <w:rPr>
                <w:rFonts w:hint="eastAsia" w:ascii="宋体" w:hAnsi="宋体" w:cs="宋体"/>
                <w:color w:val="auto"/>
                <w:kern w:val="0"/>
                <w:sz w:val="22"/>
                <w:highlight w:val="none"/>
                <w:lang w:bidi="ar"/>
              </w:rPr>
              <w:t>）；</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用户密码强度：可对用户密码强度进行限制，如设置用户密码不能等于用户名；新密码不能与旧密码相同；</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可设置密码最小长度；可设置密码必须包括数字或字母或特殊字符；</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4.应用管理</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应用识别规则库：支持根据标签选择应用，标签分类至少包含安全风险、高带宽消耗、发送电子邮件、降低工作效率、外发文件泄密风险、主流论坛和微博发帖6大类；</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应用细分控制：能够对新浪微博、腾讯微博、网易微博等进行细分控制，如：登录、浏览、发微博、上传附件等。</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能够对teamview、QQ远程桌面等远程控制应用做细分控制，如：接受对方远程控制；</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能够对Github、百度网盘、百度文库等网络应用的上传动作进行细分控制。</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5.外发文件控制</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外发文件类型过滤：支持HTTP上传/FTP/邮件附件等形式的外发文件行为，支持基于扩展名识别并拦截外发文件。</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6.邮件管理</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★SSL邮件管理：必须能基于关键字、发件人地址等识别和过滤使用邮件客户端外发SSL加密邮件的行为；</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7.流量控制</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P2P智能流控：支持通过抑制P2P的上行流量，来减缓P2P的下行流量，从而解决网络出口在做流控后仍然压力较大的问题；流控黑名单：基于“流量”、“流速”、“时长”设置配额，当配额耗尽后，将用户加入到指定的流控黑名单惩罚通道中8.上网行为审计；</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加密证书自动分发：审计SSL网页时，支持加密证书自动分发功能，用户点击网页上的工具即可一次性安装完成。解决管理员给每台PC单独安装证书的问题HTTP2.0协议解密审计：支持HTTP2.0解密审计；</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9.资产管理</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IP管理：支持IP管理功能，管理员可以查看每个IP的详细使用情况，帮助管理员减少人工维护IP表的工作量资产管理展示：对网络接入的终端进行可视化和管理，展示终端详细信息、异常状态等；</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支持查看终端类型，以及终端详细信息（厂商，系统，端口等）；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外设管控：开通相关模块后，支持阻断终端用户使用外设，防止终端用户从内网拷贝信息；</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开通模块后，支持控制用户通过USB接口产生外联行为，便于在内网进行强管控，减少上报外联行为几率；</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外联检查：开通相关模块后，支持终端安全-检查规则，新增外联检查规则；</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开通相关模块后，支持拨号行为、双网卡行为、有4G网卡、有无线网卡行为、连接非法wifi行为、使用非法网关行为、连接外网行为、自定义外联行为，8种外联方式的检查；开通相关模块后，检查到非法外联行为后，支持发送告警邮件、断网的违规处理配置；</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支持用户违规断网后，重启PC可恢复网络连接；</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★外联控制：开通相关模块后，支持终端安全-检查规则，支持外联控制规则；</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开通相关模块后，支持”只能访问以下地址”和“不能访问以下地址”的配置。</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10.业务行为审计</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业务审计内容：支持http业务系统审计；支持请求头，请求内容审计；支持返回头，返回内容审计；支持上传和下载的文件审计；</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支持业务系统的https审计，无需做中间人代理，通过终端解密技术，直接跳过非对称的握手计算过程，只进行对称加解密运算，提升系统吞吐率：</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运维审计：支持telnet协议，可对登陆的账号、执行的命令进行审计；</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支持SSH/RDP协议，可对连接开始时间，连接结束时间，传输的流量大小进行审计；</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文件外发审计：支持审计用户通过HTTP、FTP、Email当方式外发的文件内容；</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必须能对加密文件外发行为识别并记录。</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11.上网日志管理</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数据分析应用：数据中心可以对上网日志进行大数据分析，并支持多个大数据分析模型，包括泄密分析、离职倾向分析、上网态势分析、带宽分析、工作效率分析。（</w:t>
            </w:r>
            <w:r>
              <w:rPr>
                <w:rFonts w:hint="eastAsia" w:ascii="宋体" w:hAnsi="宋体" w:cs="宋体"/>
                <w:b/>
                <w:bCs/>
                <w:color w:val="auto"/>
                <w:kern w:val="0"/>
                <w:sz w:val="22"/>
                <w:highlight w:val="none"/>
                <w:lang w:bidi="ar"/>
              </w:rPr>
              <w:t>投标时提供产品界面截图并加盖投标人公章</w:t>
            </w:r>
            <w:r>
              <w:rPr>
                <w:rFonts w:hint="eastAsia" w:ascii="宋体" w:hAnsi="宋体" w:cs="宋体"/>
                <w:color w:val="auto"/>
                <w:kern w:val="0"/>
                <w:sz w:val="22"/>
                <w:highlight w:val="none"/>
                <w:lang w:bidi="ar"/>
              </w:rPr>
              <w:t>）</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关键字订阅：支持预置几组关键字，当审计日志中出现这些关键字时，将定期以邮件的方式发送报告给指定邮箱。内部网络风险：支持提供数据中心风险报表对内部网络风险进行评估。</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12.产品资质（</w:t>
            </w:r>
            <w:r>
              <w:rPr>
                <w:rFonts w:hint="eastAsia" w:ascii="宋体" w:hAnsi="宋体" w:cs="宋体"/>
                <w:b/>
                <w:bCs/>
                <w:color w:val="auto"/>
                <w:kern w:val="0"/>
                <w:sz w:val="22"/>
                <w:highlight w:val="none"/>
                <w:lang w:bidi="ar"/>
              </w:rPr>
              <w:t>投标时提供证明材料并加盖投标人公章</w:t>
            </w:r>
            <w:r>
              <w:rPr>
                <w:rFonts w:hint="eastAsia" w:ascii="宋体" w:hAnsi="宋体" w:cs="宋体"/>
                <w:color w:val="auto"/>
                <w:kern w:val="0"/>
                <w:sz w:val="22"/>
                <w:highlight w:val="none"/>
                <w:lang w:bidi="ar"/>
              </w:rPr>
              <w:t>）</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产品通过国家网络与信息系统安全产品质量监督检测中心颁发的《国家信息安全测评/信息技术产品安全测评证书（EAL3级），所投产品具备IPv6 Ready Phase-2认证。</w:t>
            </w:r>
          </w:p>
        </w:tc>
        <w:tc>
          <w:tcPr>
            <w:tcW w:w="6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台</w:t>
            </w:r>
          </w:p>
        </w:tc>
      </w:tr>
      <w:tr>
        <w:tblPrEx>
          <w:tblCellMar>
            <w:top w:w="0" w:type="dxa"/>
            <w:left w:w="0" w:type="dxa"/>
            <w:bottom w:w="0" w:type="dxa"/>
            <w:right w:w="0" w:type="dxa"/>
          </w:tblCellMar>
        </w:tblPrEx>
        <w:trPr>
          <w:trHeight w:val="454" w:hRule="atLeast"/>
          <w:jc w:val="center"/>
        </w:trPr>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4</w:t>
            </w:r>
          </w:p>
        </w:tc>
        <w:tc>
          <w:tcPr>
            <w:tcW w:w="1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负载均衡</w:t>
            </w:r>
          </w:p>
        </w:tc>
        <w:tc>
          <w:tcPr>
            <w:tcW w:w="61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硬件配置：★本次需提供2台负载均衡设备</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吞吐量≥ 25Gbps，并发连接数≥ 25000000，4层新建连接数CPS ≥600000，7层新建连接数RPS≥600000，默认内存≥16GB，硬盘≥480GB SSD，网络接口≥ 4个千兆电口，≥4个千兆光口。≥6万兆光口SFP+。尺寸要求 2U，电源 冗余电源。</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业务要求：必须独立专业负载设备，非插卡式负载均衡设备；</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支持路由、旁路、三角传输等方式。</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单一设备可同时支持包括链路负载均衡、全局负载均衡和服务器负载均衡的功能。三种功能同时处于激活可使用状态，无需额外购买相应授权。</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支持轮询、加权轮询、按主机加权轮询、加权最小连接、按主机加权最小连接、动态反馈、最快响应、最小流量、加权最小流量、按主机加权最小流量、带宽比例、哈希、主备、首个可用、优先级等算法。</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★支持基于URL的链路调度功能，内置不少于1000条的国外URL网址库，无需手动导入并支持自动更新，管理员可查看并进行编辑。可根据URL将访问国外网站的请求调度到指定线路。</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★支持基于应用协议的智能选路，能对网银、游戏、视频等流量进行调度。</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支持路由配置向导功能，引导管理员按照所期望的出口链路使用效果，完成链路负载策略的配置。</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在三明治架构下，支持跨设备（如防火墙、IPS、行为管理等）对后端的设备进行健康状态监控（透明监视），同时支持Ipv4和Ipv6。</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支持非对称式部署的TCP协议优化技术，提升远端用户访问应用服务的速度。无需安装任何插件和软件，不受操作系统类型、浏览器版本等兼容性因素限。</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对某种编程语言（如lua）实现自定义的流量编排，对TCP、SSL、HTTP和HTTPS等类型的流量进行分发、修改和统计等操作。（</w:t>
            </w:r>
            <w:r>
              <w:rPr>
                <w:rFonts w:hint="eastAsia" w:ascii="宋体" w:hAnsi="宋体" w:cs="宋体"/>
                <w:b/>
                <w:bCs/>
                <w:color w:val="auto"/>
                <w:kern w:val="0"/>
                <w:sz w:val="22"/>
                <w:highlight w:val="none"/>
                <w:lang w:bidi="ar"/>
              </w:rPr>
              <w:t>投标时提供设备操作界面截图并加盖投标人公章</w:t>
            </w:r>
            <w:r>
              <w:rPr>
                <w:rFonts w:hint="eastAsia" w:ascii="宋体" w:hAnsi="宋体" w:cs="宋体"/>
                <w:color w:val="auto"/>
                <w:kern w:val="0"/>
                <w:sz w:val="22"/>
                <w:highlight w:val="none"/>
                <w:lang w:bidi="ar"/>
              </w:rPr>
              <w:t>）</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功能要求：★支持链路负载投屏展示，能够分别基于链路监测、应用选路和ISP流量进行投屏展示分析。链路监测展示链路的健康状态、上下行带宽、总带宽、新建连接数、并发连接数和吞吐量；应用选路展示基于应用分类选择相应链路的示意图；ISP展示基于运营商分类选择链路的示意图。</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SLB能够通过健康检查来获取后端服务器状态，同时将服务可用性、设备CPU、新建并发吞吐等数据上报GSLB，设备之间的联动使得GSLB能根据链路和服务器两者的综合状态实现智能切换，为用户选择最优的数据中心和服务器分配方式。</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★支持静态IP和PPPOE两种线路接入方式。</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节点支持域名和IP两种形式，支持自定义DNS查询间隔。</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支持后端服务不可用时主动关闭连接，保证客户端访问的连续性。</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支持DNS内网记录，包含A、CNAME、MX和TXT等类型。</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支持多种链路检测方法，能够通过PING、TCP、HTTP等方式监控链路的连通性。</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支持基于管理员自定义的时间计划来进行出站访问的流量调度分发。</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支持常见的主动式健康检查功能，提供基于SNMP、ICMP、TCP/UDP、FTP、HTTP、DNS、等多种类型的探测判断机制。</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★支持用户自定义方式的健康检查，支持多种编程语言（如Python、Java等），用户可根据节点运行的实际业务流程来编写代码，检查业务处理逻辑是否正常。（</w:t>
            </w:r>
            <w:r>
              <w:rPr>
                <w:rFonts w:hint="eastAsia" w:ascii="宋体" w:hAnsi="宋体" w:cs="宋体"/>
                <w:b/>
                <w:bCs/>
                <w:color w:val="auto"/>
                <w:kern w:val="0"/>
                <w:sz w:val="22"/>
                <w:highlight w:val="none"/>
                <w:lang w:bidi="ar"/>
              </w:rPr>
              <w:t>投标时提供设备操作界面截图并加盖投标人公章</w:t>
            </w:r>
            <w:r>
              <w:rPr>
                <w:rFonts w:hint="eastAsia" w:ascii="宋体" w:hAnsi="宋体" w:cs="宋体"/>
                <w:color w:val="auto"/>
                <w:kern w:val="0"/>
                <w:sz w:val="22"/>
                <w:highlight w:val="none"/>
                <w:lang w:bidi="ar"/>
              </w:rPr>
              <w:t>）</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具备会话保持：支持源IP、Cookie（插入/被动/改写）、HTTP-Header、SSL Session等多种会话保持机制。</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支持图片优化技术，通过对图片格式的转换，减少传输流量，提升web页面加载速度。</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支持被动式健康检查，可根据对业务流量的观测采样；对常规HTTP应用可配置基于反映URL失效的HTTP响应状态码的观测判断机制，对于复杂应用可配置基于RST关闭连接和零窗口等异常TCP传输行为的观测判断机制。</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支持面向服务器健康度的弹性调控机制，可通过监控业务流中的TCP传输异常来衡量服务器节点的有效性，尝试对性能不足的服务器临时开启过载保护，动态调节服务器的负载。</w:t>
            </w:r>
          </w:p>
          <w:p>
            <w:pPr>
              <w:widowControl/>
              <w:numPr>
                <w:ilvl w:val="0"/>
                <w:numId w:val="16"/>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服务器负载状态支持投屏展示，能够显示设备的电源状态、风扇转速、磁盘温度、CPU和内存占用率、新建连接数、并发连接数、SSL新建和SSL吞吐数据、压缩优化和缓存优化数据；业务的健康状态、上下行流量、每秒请求数、健康状态。</w:t>
            </w:r>
          </w:p>
        </w:tc>
        <w:tc>
          <w:tcPr>
            <w:tcW w:w="6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台</w:t>
            </w:r>
          </w:p>
        </w:tc>
      </w:tr>
      <w:tr>
        <w:tblPrEx>
          <w:tblCellMar>
            <w:top w:w="0" w:type="dxa"/>
            <w:left w:w="0" w:type="dxa"/>
            <w:bottom w:w="0" w:type="dxa"/>
            <w:right w:w="0" w:type="dxa"/>
          </w:tblCellMar>
        </w:tblPrEx>
        <w:trPr>
          <w:trHeight w:val="454" w:hRule="atLeast"/>
          <w:jc w:val="center"/>
        </w:trPr>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c>
          <w:tcPr>
            <w:tcW w:w="1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SSLVPN</w:t>
            </w:r>
          </w:p>
        </w:tc>
        <w:tc>
          <w:tcPr>
            <w:tcW w:w="61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基本配置：SSL VPN加密速度≥500Mbps；</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SSL VPN最大可支持并发用户数8000；</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IPSecVPN加密速度≥300Mbps；</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最大并发会话数≥250万；</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6千兆电口+4千兆光口SFP+2万兆光口SFP+；</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硬件参数：规格：2U，内存大小：8G，硬盘容量：MSATA 64G SSD，电源：冗余电源；</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本次提供≥5000个SSL VPN并发授权；</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部署方式：支持网关模式、单臂模式、双机模式、集群模式的部署；</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基本特性：专业VPN设备，采用标准SSL、TLS 协议，同时支持IPSec VPN、SSLVPN两种VPN，非插卡或防火墙带VPN模块设备。同时支持软件化交付；</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支持对基于HTTP、HTTPS、FileShare、DNS、H.323、SMTP、POP3、Telnet、SSH等的所有B/S、C/S应用系统，支持基于TCP、UDP、ICMP等IP层以上的协议的应用，例如即时通讯、视频、语音、Ping等服务；</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支持PC终端使用包括Windows10、Windows8、Windows7、Windows Vista、Windows xp、Mac OS、Linux等主流操作系统来登录SSLVPN系统，并完整支持该操作系统下的各种IP层以上的B/S和C/S应用；</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支持Windows、IOS、Android、塞班、黑莓等操作系统的智能手机、PDA、平板电脑（PAD）等移动终端的SSL VPN接入，或通过PPTP、L2TP VPN方式接入；</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支持终端使用包括IE6、7、8、10、11或其他IE内核的浏览器，以及最新版本的非IE内核浏览器，如Windows EDGE，Google Chrome，Firefox，Safari，Opera最新版登录SSLVPN系统，登录后可完整支持各种IP层以上的B/S和C/S应用；</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支持Mac系统主流浏览器，如Chrome、Firefox等最新版，免安装浏览器插件登陆SSL VPN；</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支持Linux系统主流浏览器，如Firefox、Chrome等最新版，免安装浏览器插件登陆SSL VPN；</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产品应支持的密码算法包括：AES、DES、3DES、DH、RSA、RC4、MD5、SHA1；</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在windows系统上，能同时安装并运行多个VPN客户端，满足有多套VPN的客户同时登录VPN；</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易用性：可支持虚拟门户功能，在一台设备上配置不同的访问域名、IP地址，以及不同的使用界面，实现一台设备为多个不同用户群体服务的的使用效果；</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文档WEB化管理，用户可通过任意浏览器，对存储服务器的文件进行管理操作（包括：上传、下载、删除、重命名、剪切、复制、粘贴、新建文件目录），而不需要额外安装FTP、文档共享软件等应用程序客户端；</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支持用户登录界面、服务界面的完全自定义，上传单独的Web页面作为用户登录界面、服务界面；</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支持单点登录功能（SSO），支持移动用户登录VPN后再登录内部B/S、C/S应用系统时不需要二次重复认证。支持针对B/S单点登录用户名密码加密传输，保证安全；支持针对不同的访问资源设定不同的SSO用户名和密码，支持用户自行修改SSO账号；  </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支持断线重连自动技术，防止用户误操作关闭浏览器导致VPN隧道断开；防止用户在无线网络环境下网络正常切换时VPN隧道断开；</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支持客户端永久在线功能，对于无人值守的设备可以设定永久在线，如果网络断开，可提供无限次重连；</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智能递推技术，针对多外链的门户网站进行动态嗅探页面内的链接并完成资源自动授权，防止资源漏访；支持Web参数修正，可针对Flash、Java、Applet、或视频播放器对象所引用资源路径进行修正，避免无法播放的问题；</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★产品应提供环境检测、自动修复工具，支持对Windows的环境兼容性一键检测能力，以及对检测结果进行一键修复的能力，避免由于用户操作系统环境存在问题影响SSL VPN的使用，减轻运维工作； </w:t>
            </w:r>
          </w:p>
          <w:p>
            <w:pPr>
              <w:widowControl/>
              <w:numPr>
                <w:ilvl w:val="0"/>
                <w:numId w:val="17"/>
              </w:numPr>
              <w:spacing w:line="360" w:lineRule="exact"/>
              <w:jc w:val="left"/>
              <w:textAlignment w:val="center"/>
              <w:rPr>
                <w:rFonts w:ascii="宋体" w:hAnsi="宋体" w:cs="宋体"/>
                <w:b/>
                <w:bCs/>
                <w:color w:val="auto"/>
                <w:sz w:val="22"/>
                <w:highlight w:val="none"/>
              </w:rPr>
            </w:pPr>
            <w:r>
              <w:rPr>
                <w:rFonts w:hint="eastAsia" w:ascii="宋体" w:hAnsi="宋体" w:cs="宋体"/>
                <w:color w:val="auto"/>
                <w:kern w:val="0"/>
                <w:sz w:val="22"/>
                <w:highlight w:val="none"/>
                <w:lang w:bidi="ar"/>
              </w:rPr>
              <w:t>终端安全：★产品必须支持防中间人攻击，产品可在用户登录SSLVPN时智能判断存在中间人攻击行为，断开被攻击的连接，并可提示异常现象；</w:t>
            </w:r>
            <w:r>
              <w:rPr>
                <w:rFonts w:hint="eastAsia" w:ascii="宋体" w:hAnsi="宋体" w:cs="宋体"/>
                <w:b/>
                <w:bCs/>
                <w:color w:val="auto"/>
                <w:kern w:val="0"/>
                <w:sz w:val="22"/>
                <w:highlight w:val="none"/>
                <w:lang w:bidi="ar"/>
              </w:rPr>
              <w:t>投标时提供相关截图并加盖投标人公章</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支持用户终端登录前、登陆后的安全性检测，检测范围包括：用户接入IP、接入时间、接入线路IP、进程、文件、注册表、操作系统、使用终端，可以检测出客户端是否安装指定的防火墙或杀毒软件；</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支持客户端注销后自动清除所有缓存、Cookies、浏览器历史记录、保存的表单信息，实现零痕迹访问；</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支持VPN专线功能，可配置用户在接入SSL VPN的同时，断开与Internet其他连接； </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产品应提供HTTPS驱动病毒查杀工具，支持对Windows环境下的针对HTTPS拦截监听的驱动病毒进行扫描查杀，避免因为HTTPS驱动病毒导致无法正常接入和使用SSL VPN；</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权限、服务器安全：产品应具有用户/用户组细粒度的权限分配功能：可以针对被访问资源的IP地址、端口、提供的服务、URL地址等进行权限控制；针对同一B/S资源，可对不同用户做到细致到URL级别的授权；</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产品应具有角色授权机制，支持在用户组的基础上，根据角色的不同，组合关联不同的资源权限；</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支持主从认证账号绑定，必须实现SSL VPN账号与应用系统账号的唯一绑定，VPN资源中的系统只能以指定账号登陆，加强身份认证，防止登录SSL VPN后冒名登录应用系统；</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支持关键文件保护功能，可针对特定应用关键文件进行锁定，防止用户进行篡改进行越权；</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针对服务器地址保护方面，可支持SSLVPN资源列表界面上的用户授权资源隐藏；针对B/S应用，可进行URL地址伪装，防止服务器真实IP地址泄露；</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身份认证：产品必须支持Local DB 、USB KEY、短信认证、硬件特征码、动态令牌、数字证书认证、LDAP、RADIUS、等认证方式；可针对用户/用户组设置认证方式的与、或组合，可进行用户名/密码、LDAP、USB KEY、硬件特征码、短信认证或动态令牌的五因素捆绑认证；</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支持有驱USB KEY、无驱USB KEY认证，无驱KEY无需在客户端安装驱动，方便用户；支持配置第三方KEY，可与其他业务系统无缝结合；支持满足中国国家标准的《智能IC卡及智能密码钥匙密码应用接口规范》的智能TF/SD卡；</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支持结合阿里钉钉、口袋助理等移动APP，实现动态口令认证，增加认证的多样性；</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支持随机验证码短信认证，可自定义所发送短信信息格式，支持用户端短信重发功能；</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支持三大运营商移动、联通、电信运营商的标准的外置短信设备或API接口；</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支持GSM、CDMA制式短信猫；支持webservice方式短信认证，支持webservice嘉迅版；</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支持和企业级微信绑定，实现安全接入的统一认证；</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设备内部必须支持自建CA中心，便于数字证书认证平台搭建；</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支持与基于PKI体系的第三方CA进行结合认证 ，可根据CA某字段将通过CA认证的用户自动映射到指定用户组，方便进行权限授权配置；支持CRL证书撤销列表；</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单台VPN设备可扩展同时支持5套以上CA根证书；</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高速性：必须支持至少4条以上的外网多线路配置；并在设备单臂部署模式下，多线路接入前置网关，仅依靠SSLVPN设备同样可实现SSLVPN接入用户的多线路自动优选功能；</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支持启用多线路时，自动检测故障线路，并自动踢出故障线路；一旦线路恢复，可在一定时间内自动恢复。支持启用多线路时，自定义用户访问选路策略，包括按上/下行带宽，轮询，按优先级等方式；</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利用网页进行动态寻址的方法，客户端无需安装插件、不依靠IP地址库、不依赖于第三方动态IP寻址、直接根据速度探测实现用户端接入线路的自动优选，用户通过访问寻址代理页面（简称Webagent页面），通过Webagent页面自动寻找VPN设备IP(非DDNS），该方法不必单独注册域名或占用IP地址，大大降低了系统部署难度；</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仅通过SSLVPN设备可实现资源负载均衡功能，用户接入同一资源根据权值可动态负载到多台承载服务器上；负载均衡可基于服务器性能指标、权值轮询、轮询等不同方式；</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★支持非对称式部署的传输协议优化技术（单边加速），不用在用户终端上安装任何插件和软件，即可提升用户访问应用服务的速度；(</w:t>
            </w:r>
            <w:r>
              <w:rPr>
                <w:rFonts w:hint="eastAsia" w:ascii="宋体" w:hAnsi="宋体" w:cs="宋体"/>
                <w:b/>
                <w:bCs/>
                <w:color w:val="auto"/>
                <w:kern w:val="0"/>
                <w:sz w:val="22"/>
                <w:highlight w:val="none"/>
                <w:lang w:bidi="ar"/>
              </w:rPr>
              <w:t>投标时提供配置界面截图并加盖投标人公章</w:t>
            </w:r>
            <w:r>
              <w:rPr>
                <w:rFonts w:hint="eastAsia" w:ascii="宋体" w:hAnsi="宋体" w:cs="宋体"/>
                <w:color w:val="auto"/>
                <w:kern w:val="0"/>
                <w:sz w:val="22"/>
                <w:highlight w:val="none"/>
                <w:lang w:bidi="ar"/>
              </w:rPr>
              <w:t>)</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支持HTP快速传输协议，大幅优化无线环境（CDMA、GPRS、WIFI、3G）、高丢包、高延等恶劣网络环境下传输速度及效率；支持根据网络境自动选择并切换至最优的传输协议；</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支持针对不同的web页面进行数据优化，支持动态压缩技术，基于数据流进行压缩，减少不必要的数据传输；</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针对B/S资源支持WebCache技术，动态缓存页面元素，提高Web页面响应速度。支持流缓存技术，实现网关与网关、网关与移动客户端之间进行多磁盘、双向、基于分片数据包的字节流缓存加速，削减冗余数据，降低带宽压力的同时提高访问速度；支持共享流缓存功能，实现多分支网关在总部共享流缓存数据，提高流缓存效果；</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高管理要求：支持15级以上的管理员分级分权限管理，从Admin派生树形结构下级管理员；上级管理员可分配下级管理员享有设备配置模块权限，可管理的用户、资源、角色权限，并可限制下级管理员是否允许创建下级管理员、创建资源、创建角色；上级管理员可限制下级管理员对权限内配置享有查看或配置权限； </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支持设置对控制台管理员密码复杂度的要求，提升设备的安全性；</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支持15级以上用户组树形结构分级管理，下级组可继承上级组的角色，资源及认证方式等属性；</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支持系统实时监控，图形化显示一段时间内的运行状况，可查看CPU占用率、各条线路网络吞吐量、各条线路的IP地址及发送接收流速、并发会话数、SSL并发用户数；可查看历史最高并发用户数并显示时间记录；可实时查看SSL接入用户的用户名、发送流速、接收流速、发送流量、接收流量、接入时间、并发会话数、接入IP、虚拟IP、认证方式等信息，并可在线中断指定用户； </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独立日志中心进行SSLVPN实时日志记录，可详细记录用户访问资源记录（用户、主机IP、资源、时间）、管理员日志（管理员、主机IP、时间、管理行为、对象）、系统日志、告警日志；可根据用户名、主机IP等信息进行用户行为查询；可提供用户组/用户流量排行及查询、资源流量排行及查询、资源活跃程度、用户活跃程度等记录；提供暴破登录记录；可提供用户登陆SSLVPN采用非绑定账号访问应用系统的记录；</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支持Syslog（系统日志）服务器，可将管理员日志，系统日志、用户日志输出到syslog服务器中；</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支持密码找回功能，当用户的密码忘记或者丢失时，可自行找回密码，减轻管理员维护压力；</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支持整体网关配置的本地及远程备份、恢复功能；支持SSLVPN配置的单独备份、恢复功能，并支持历史配置的回滚；</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稳定性、可扩展性：支持基于自组域简化部署VPN网络的方法，即当有多台设备处于VPN网络中时，通过连接任意节点的VPN设备，即相当于连入整个VPN网络，该方法解决了传统VPN部署是，需要部署多台； </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253台不同型号设备间进行集群（A/A），支持路由模式、单臂模式下多线路部署的集群；支持集群设备间Session同步，一台设备宕机后其上用户无需重新登录SSLVPN可继续使用；可扩展分布式集群功能，无需专门的全局负载设备即可实现异地SSLVPN设备间的接入用户负载分担、速度优选接入，异地设备间互为备份，分布式集群中用户可通过唯一的一个地址访问到所有加入到分布式集群的SSLVPN设备；</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在负载均衡集群部署模式下，支持授权漂移，即当集群中一台设备宕机，该宕机设备中的并发授权自动迁移到其他正常的设备中，而无需额外购买授权；</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防火墙：产品应具备基于状态监测技术的防火墙功能，能够抵抗常见的网络攻击，能够进行包过滤或WAN、LAN、DMZ口之间访问控制；为了避免人为配置错误，产品必须支持对防火墙的过滤规则能够进行在线虚拟测试；</w:t>
            </w:r>
          </w:p>
          <w:p>
            <w:pPr>
              <w:widowControl/>
              <w:numPr>
                <w:ilvl w:val="0"/>
                <w:numId w:val="1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产品资质：</w:t>
            </w:r>
            <w:r>
              <w:rPr>
                <w:rFonts w:hint="eastAsia" w:ascii="宋体" w:hAnsi="宋体" w:cs="宋体"/>
                <w:b/>
                <w:bCs/>
                <w:color w:val="auto"/>
                <w:kern w:val="0"/>
                <w:sz w:val="22"/>
                <w:highlight w:val="none"/>
                <w:lang w:bidi="ar"/>
              </w:rPr>
              <w:t>投标时提供公安部信息安全产品检测中心颁发的《GA/T 686-2007信息安全技术 虚拟专用网安全技术要求》三级或三级以上检测报告（三级以上为四级、五级）。</w:t>
            </w:r>
          </w:p>
        </w:tc>
        <w:tc>
          <w:tcPr>
            <w:tcW w:w="6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台</w:t>
            </w:r>
          </w:p>
        </w:tc>
      </w:tr>
      <w:tr>
        <w:tblPrEx>
          <w:tblCellMar>
            <w:top w:w="0" w:type="dxa"/>
            <w:left w:w="0" w:type="dxa"/>
            <w:bottom w:w="0" w:type="dxa"/>
            <w:right w:w="0" w:type="dxa"/>
          </w:tblCellMar>
        </w:tblPrEx>
        <w:trPr>
          <w:trHeight w:val="454" w:hRule="atLeast"/>
          <w:jc w:val="center"/>
        </w:trPr>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6</w:t>
            </w:r>
          </w:p>
        </w:tc>
        <w:tc>
          <w:tcPr>
            <w:tcW w:w="1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EDR</w:t>
            </w:r>
          </w:p>
        </w:tc>
        <w:tc>
          <w:tcPr>
            <w:tcW w:w="61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产品形态：产品可以纯软件交付，包含管理控制中心软件及终端客户端软件，提供50点终端防护授权；</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管理控制中心要求：硬件环境：CPU≥4核，内存≥8G，硬盘≥1TB；</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Windows PC客户端支持：Windows XP/Windows Vista/Windows 7/Windows 8/Windows 8.1/Windows 10；</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Windows服务器 客户端支持：Windows Server 2003/Windows Server 2008/Windows Server 2008 R2/Windows Server 2012/Windows Server 2016；</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Linux服务器 客户端支持：CentOS/UbuntuDebian/RHEL/SUSE/Red Flag Asianux Server/Oracle Linux；</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终端安全可视：采用B/S架构的管理控制中心，具备终端安全可视，终端统一管理，统一威胁处置，统一漏洞修复，威胁响应处置，日志记录与查询等功能；</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支持显示当前未处理的勒索病毒数量、暴力破解数量、僵尸网络、WebShell后门数量、高危漏洞及其各自影响的终端数量；</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提供勒索病毒整体防护体系入口，直观展示最近七天勒索病毒防护效果，包括已处置的勒索病毒数量、已阻止的勒索病毒行为次数、已阻止的未知进程操作次数、已阻止的暴力破解攻击次数；</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终端管理：支持安全策略一体化配置，通过一条策略即可实现不同安全功能的配置，包括：终端病毒查杀的文件扫描配置、文件实时监控的参数配置、WebShell检测和威胁处置方式、暴力破解的威胁处置方式和Windows白名单信任目录；</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终端威胁视角：★支持跳转链接至云端安全威胁响应系统，针对已发生的病毒的基本信息，影响分析（客户情况、影响行业、区域分布）、威胁分析和处理建议等；</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网端联动可视：★支持展示跟下一代防火墙、上网行为管理的联动状态；</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文件实时监控：文件实时监控的驱动技术需通过微软WHQL徽标认证（Microsoft Windows Hardware Quality Lab），以保证系统稳定性及兼容性；</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WebShell事件处理：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勒索病毒专防：支持监控诱饵文件，诱饵文件可被实时监控，当勒索病毒对该文件进行修改或加密操作时进行拦截；</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暴力破解检测：统计单个攻击源及分布式攻击源的暴力破解检测，支持按照RDP、SMB和SSH类型进行封堵并自定义爆破阈值，可对封停时间进行自设置；</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威胁同步处置：构建全网文件信誉库，当一台终端发现某一病毒文件，全网可进行感知并进行针对性查杀，支持处置病毒时选择是否在其它终端上同步处置；</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微隔离流量可视：支持微隔离功能主界面图形化显示业务系统、服务器及流量详情；</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流量线详情支持展示该流量线对应的微隔离策略；图形化显示服务器间流量关系，包括访问详情、流量趋势等；</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下一代防火墙的联动响应：★支持与下一代防火墙联动，对僵尸网络进行举证、溯源和联动查杀；</w:t>
            </w:r>
          </w:p>
          <w:p>
            <w:pPr>
              <w:widowControl/>
              <w:numPr>
                <w:ilvl w:val="0"/>
                <w:numId w:val="1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上网行为管理的联动响应：支持管理员在本次的上网行为管理管理界面下发一键隔离指令，对终端恶意文件进行隔离，防止病毒进一步扩散。</w:t>
            </w:r>
          </w:p>
        </w:tc>
        <w:tc>
          <w:tcPr>
            <w:tcW w:w="6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套</w:t>
            </w:r>
          </w:p>
        </w:tc>
      </w:tr>
      <w:tr>
        <w:tblPrEx>
          <w:tblCellMar>
            <w:top w:w="0" w:type="dxa"/>
            <w:left w:w="0" w:type="dxa"/>
            <w:bottom w:w="0" w:type="dxa"/>
            <w:right w:w="0" w:type="dxa"/>
          </w:tblCellMar>
        </w:tblPrEx>
        <w:trPr>
          <w:trHeight w:val="454" w:hRule="atLeast"/>
          <w:jc w:val="center"/>
        </w:trPr>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7</w:t>
            </w:r>
          </w:p>
        </w:tc>
        <w:tc>
          <w:tcPr>
            <w:tcW w:w="1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日志审计</w:t>
            </w:r>
          </w:p>
        </w:tc>
        <w:tc>
          <w:tcPr>
            <w:tcW w:w="61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19"/>
              </w:numPr>
              <w:spacing w:line="360" w:lineRule="exact"/>
              <w:jc w:val="left"/>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资质要求：投标时提供产品获得公安部计算机信息系统安全产品销售许可证以及公安部信息安全产品检测中心出具完整的产品检验报告。所提供的产品检验报告须符合《信息安全技术 日志分析产品安全技术要求 GA/T 911-2010》(行标二级及以上)；提供以上证明材料并加盖投标人公章。</w:t>
            </w:r>
          </w:p>
          <w:p>
            <w:pPr>
              <w:widowControl/>
              <w:numPr>
                <w:ilvl w:val="0"/>
                <w:numId w:val="19"/>
              </w:numPr>
              <w:spacing w:line="360" w:lineRule="exact"/>
              <w:jc w:val="left"/>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 xml:space="preserve"> 产品获得中国信息安全认证中心颁发的《IT产品信息安全认证证书》，需符合《日志采集与分析产品安全技术要求》，投标时提供完整的检测报告并加盖投标人公章；</w:t>
            </w:r>
          </w:p>
          <w:p>
            <w:pPr>
              <w:widowControl/>
              <w:numPr>
                <w:ilvl w:val="0"/>
                <w:numId w:val="19"/>
              </w:numPr>
              <w:spacing w:line="360" w:lineRule="exact"/>
              <w:jc w:val="left"/>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产品取得软件著作权登记证书，投标时提供证书并加盖投标人公章；</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工作模式：独立完成审计日志采集，不依赖于设备或系统自身的日志系统；</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审计工作不影响被审计对象的性能、稳定性或日常管理流程；</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审计结果存储于独立存储空间；</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自身用户管理与设备或主机的管理、使用、权限无关联；</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提供全中文WEB管理界面，无需安装任意客户端软件或插件；</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硬件规格：1管理口+1HA口+4审计口，1个Console口；</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内存：8GB，磁盘：1T*1；双电源；</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启动：默认硬盘启动；板载CF卡槽位，也可支持CF卡启动；</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处理性能：平均处理能力（每秒日志解析能力EPS）：4000 EPS；</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峰值处理能力（每秒日志解析能力EPS）：5000 EPS。</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功能扩展：★采用解决方案包上传对产品进行功能扩展，无需要代码开发；</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★支持kafka日志接收转发、大数据安全域同步、APT沙箱报告转发等大数据联调功能；</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★支持手动或按周期自动备份系统配置，可随时对系统资产等配置进行还原操作，且自动备份周期与备份包个数可配；支持系统配置备份自动备份至远程服务器；</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日志收集：支持Syslog、SNMP Trap、OPSec、FTP协议日志收集；</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支持使用代理(Agent)方式提取日志并收集；</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持目前主流的网络安全设备、交换设备、路由设备、操作系统、应用系统等；</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设备厂家包括但不限于：Cisco(思科)、Juniper、联想网御/网御神州、F5、华为、H3C、微软、绿盟、飞塔(Fortinet)、Foundry、天融信、启明星辰、天网、趋势、东软、Nokia、CheckPoint、Hillstone(山石)、安恒信息、珠海伟思、BEA、中国电信、安氏、帕拉迪、APC、Arbor、Clam、戴尔（Dell）、Digium、东方电子、EMC、中国电力科学研究院、Eudora、Google、冠群金辰、Linksys、McAFee、Netapp、NAS（美国国家安全局）、永达、Sonicwall、Vigor、天存、西岭、Symantec（赛门铁克）、Hardened-PHP、Foundertech(方正)、三零盛安、Allot、蓝盾、IBM、金诺网安、网威、Nortel(北电)、Citrix(思杰)、Watchguard、中兴、阿帕奇、Windows系统日志、Linux/UNIX syslog、IIS、Apache等；</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支持常见的虚拟机环境日志收集，包括Xen、VMWare、Hyper-V等；</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日志分析：可以基于日志等级进行过滤；</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可以通过自定义配置过滤掉用户不关心的日志；</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支持对收集到的重复日志进行自动聚合归并，减少日志量；</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支持可由用户定义和修改的日志聚合归并逻辑规则；</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支持将收集到的日志转发，当原始日志设备无法设置多个日志服务器时，可以通过本系统的日志转发功能将日志转发到其他日志存储设备；</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支持对收集到的日志进行解析（标准化、归一化），解析规则可以根据客户要求定制扩展；</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地理信息（公网情况）；</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内置非法访问、可疑入侵、病毒爆发、设备异常、弱点针对等5大类50子类的安全分析场景；支持基于内存的实时关联分析，跨设备的多事件关联分析；</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支持自定义条件的事件进行聚合；</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进行关联分析的规则可定制；</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★三维关联分析；承诺支持通过资产、安全知识库、弱点库三个维度分析事件是否存在威胁，并形成关联事件。</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日志备份：可设置日志存储备份策略，包括系统日志保存期（天）、磁盘使用率百分比；</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支持日志备份自动传送到远程服务器；</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日志查询：支持B/S模式管理，支持SSL加密模式访问；</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支持按日期、时间、设备类型、日志类型、日志来源、威胁值、源地址、目的地址、事件类型、时间范围、操作对象、技术方式、技术动作、技术效果、攻击类型、地理城市等参数进行过滤查询；</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支持用任意关键字对所有事件进行高性能全文检索；</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支持可指定多个查询条件进行组合查询；</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支持将查询的条件存储为查询模版，方便再次使用；</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支持亿级的日志里根据做任意的关键字及其它的检索条件，在秒级里返回查询结果；</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应用性能监控（APM）：支持监控设备自身CPU、内存、磁盘等工作运行状况；</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★通过在目标主机上安装Agent程序，支持监测目标主机的CPU利用率、内存使用率、磁盘使用率、磁盘使用情况、流量等信息；</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支持以下对象的性能监控：</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操作系统 - Windows、Linux、Aix、FeeBSD、HP-UX/Tru64、Max OS、Sun Solaris；</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数据库 - MySQL、Oracle；应用服务器 - Weblogic、Tomcat；</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Web服务器 - Apache；支持应用性能历史详情回溯查看；</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支持监控Windows操作系统以下参数：CPU使用率、内存使用率、磁盘使用率、网络发送流量、网络接收流量、网络发送接收总流量、交换区使用率、磁盘总使用率、进程数、线程数；</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监控Linux操作系统以下参数：一分钟系统负载、5分钟系统负载、15分钟系统负载、CPU使用率、内存使用率、磁盘使用率、网络发送流量、网络接收流量、网络发送接收总流量、交换区使用率、磁盘总使用率、进程数、线程数；</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支持监控MySQL以下参数：查询缓存命中率、键缓存命中率、立即获得锁数、连接数、线程数、每秒SQL查询数、每秒发送字节、每秒接收字节；</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支持监控Oracle以下参数：库缓存命中率、内存排序比率、词典缓存命中率、SGA数据缓存命中率、重做日志缓存命中率；</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监控Apache以下参数：总访问数、写日志次数、每秒发送字节数、长连接数、关闭连接数、空闲活动数、查询DNS数、正在发送数、请求完成数、负载、等待连接数、总数据量、读操作数、工作线程数、空闲线程数、CPU占用率；</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支持监控应用服务器（Tomcat、Weblogic）以下参数：活动线程数、堆内存（已用）、守护线程数；</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脆弱性管理：支持从IBM Rational AppScan导入资产弱点漏洞信息；</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支持从Web应用监测工具导入网站弱点漏洞信息；</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支持从数据库弱点扫描器导入数据库弱点漏洞信息；</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支持从NetSparker Web应用扫描器导入网站弱点漏洞信息；</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支持从Nessus网络扫描器导入网络弱点漏洞信息；</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支持从OpenVAS扫描器导入弱点漏洞信息；</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内置73000+条CVE漏洞数据知识库；</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内置数十项符合OWASP的Web漏洞数据知识库；</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地理安全系统：内置GeoSec地理安全子系统，内置世界以及中国安全GIS地图；</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支持用地理地图展示来源威胁的趋势；支持用地理地图展示目的威胁的趋势；</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支持在地理地图上标注威胁事件的发生分布；内置IP地址到经纬度的转换库；</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支持以地理信息类进行统计的数据报表；支持切换Google地图（需要连通互联网）。</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告警功能：可预设置安全告警策略；支持数据阀值设置，超过阀值将产生告警；</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可以通过邮件、短信和屏幕显示进行告警；自动防止在短时间内大量发送报警信息(告警抑制)；</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具备报警合并和在一个时间段内抑制报警次数的能力；</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承诺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综合查询及报表管理：内置合规性报表1000+种；内置SOX、ISO27001、WEB安全等解决方案包；</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内置完善的等级保护合规报表；内置综合性自动化审计报告；</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支持用户自定义报表；自定义的报表支持多个统计维度的数据集合；</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支持报表导出为PDF和Word格式文件；</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用户管理：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系统自带自身管理日志；</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★承诺用户支持双因子认证登录，双因子认证令牌支持绑定至具体用户；</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提供一键式故障排除功能；提供自助式的升级接口，支持对产品升级、规则升级；</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★为了统一维护，统一管理，此设备和运维审计与风险控制系统要统一品牌</w:t>
            </w:r>
            <w:r>
              <w:rPr>
                <w:rFonts w:hint="eastAsia" w:ascii="宋体" w:hAnsi="宋体" w:cs="宋体"/>
                <w:color w:val="auto"/>
                <w:sz w:val="22"/>
                <w:highlight w:val="none"/>
              </w:rPr>
              <w:t>或完全兼容；</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资产管理：注册用户资产时，提供自动发现识别能力；</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★承诺资产拓扑支持按照实际的用户环境进行编辑发布并可以和资产进行绑定，拓扑可以显示资产采集的事件数量被采集资产的状态等信息。</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部署方式：★支持分布式部署，支持页面一键添加子节点资产，自动进行绑定添加；</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支持集中式管理和升级模式；</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支持分级管理模式；采用B/S架构操作方式，无需客户端安装；</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售后服务支持：提供3年免费升级维护；提供CISP培训一次，为了保证培训质量，原厂商应为CISP授权服务机构，并提供相关证明材料；提供安装调试后1天本地操作培训；提供24小时支持热线；本地应急响应时间&lt;=2小时；</w:t>
            </w:r>
          </w:p>
          <w:p>
            <w:pPr>
              <w:widowControl/>
              <w:numPr>
                <w:ilvl w:val="0"/>
                <w:numId w:val="1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提供原厂不少于1个经中国信息安全测评中心认证的注册信息安全专业人员-大数据安全分析师（CISP-BDSA）（投标文件中提供证书及社保证明，社保证明不得少于一年）。</w:t>
            </w:r>
          </w:p>
        </w:tc>
        <w:tc>
          <w:tcPr>
            <w:tcW w:w="6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台</w:t>
            </w:r>
          </w:p>
        </w:tc>
      </w:tr>
      <w:tr>
        <w:tblPrEx>
          <w:tblCellMar>
            <w:top w:w="0" w:type="dxa"/>
            <w:left w:w="0" w:type="dxa"/>
            <w:bottom w:w="0" w:type="dxa"/>
            <w:right w:w="0" w:type="dxa"/>
          </w:tblCellMar>
        </w:tblPrEx>
        <w:trPr>
          <w:trHeight w:val="454" w:hRule="atLeast"/>
          <w:jc w:val="center"/>
        </w:trPr>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8</w:t>
            </w:r>
          </w:p>
        </w:tc>
        <w:tc>
          <w:tcPr>
            <w:tcW w:w="11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运维审计与风险控制系统</w:t>
            </w:r>
          </w:p>
        </w:tc>
        <w:tc>
          <w:tcPr>
            <w:tcW w:w="61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硬件架构：软硬件一体化产品，2U、硬盘1T*2、硬盘须配置RAID1、至少配备6个100/1000M自适应电口、4个1000M光口（含2个SFP多模模块），1+1冗余电源；</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可管理设备数量：可管理设备数量≥500个，运维用户无限制；</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并发性能：★单台堡垒机字符类并发会话≥500、图形类并发会话≥100；</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设备部署：设备采用旁路部署，不得影响业务环境；须支持HA主备模式，管理口和心跳口须支持多链路端口绑定功能，防止单网卡或单线故障；</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支持多台堡垒机异地备份部署，每台设备都能提供运维和审计服务，配置数据自动同步；</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★支持集群部署模式，中心采用HA，节点可以横向扩展，实现统一登录入口、统一配置同步、审计日志集中查询、实时会话集中监控，以满足业务增长需求；</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用户管理要求：用户角色：支持用户多角色划分功能，如系统管理员、部门管理员、运维员、审计管理员、密码管理员等，对各类角色需要进行细粒度的权限管理；</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用户管理和用户策略：支持用户的批量导入/导出，按用户类型等分组方式；支持用户安全策略功能，如密码锁定次数、密码有效期、密码复杂度、用户有效期、用户登录时间限制、用户登录IP范围等；</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部门层级管理：★支持按部门组织架构（至少5个层级的部门）管理用户数据、资产数据、授权数据、审计数据； </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部门用户管理：★每个部门可以管理本部门及下级部门的用户角色：部门管理员、运维管理员、审计管理员、运维员；</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部门资源管理：每个部门的部门管理员可以管理本部门及下级部门的主机、授权关系、策略；</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部门审计管理：★每个部门的审计管理员可以管理本部门及下级部门的运维会话日志</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身份认证要求：内置VPN：★产品内置VPN模块，无需与其他VPN设备联动，实现运维入口安全接入；</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与第三方认证对接：支持与AD、LDAP、RADIUS、吉大正元、北京CA认证系统联动登录堡垒机，支持自动同步AD/LDAP用户；</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短信口令认证对接：★支持与get、post、soap发送方式的http短信网关平台进行联动，实现短信动态口令双因素认证机制，如与阿里云短信服务、SendCloud联动；</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手机APP动态口令认证：★支持手机APP动态口令认证方式登录堡垒机，且新用户首次登录后需强制绑定APP动态口令。（</w:t>
            </w:r>
            <w:r>
              <w:rPr>
                <w:rFonts w:hint="eastAsia" w:ascii="宋体" w:hAnsi="宋体" w:cs="宋体"/>
                <w:b/>
                <w:bCs/>
                <w:color w:val="auto"/>
                <w:kern w:val="0"/>
                <w:sz w:val="22"/>
                <w:highlight w:val="none"/>
                <w:lang w:bidi="ar"/>
              </w:rPr>
              <w:t>投标时提供证明截图并加盖投标人公章</w:t>
            </w:r>
            <w:r>
              <w:rPr>
                <w:rFonts w:hint="eastAsia" w:ascii="宋体" w:hAnsi="宋体" w:cs="宋体"/>
                <w:color w:val="auto"/>
                <w:kern w:val="0"/>
                <w:sz w:val="22"/>
                <w:highlight w:val="none"/>
                <w:lang w:bidi="ar"/>
              </w:rPr>
              <w:t>）</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双因子认证：堡垒机须内嵌动态令牌和usbkey认证引擎，可同时使用动态令牌和USBkey；</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国密认证：★支持基于国密算法的动态令牌进行双因子认证，</w:t>
            </w:r>
            <w:r>
              <w:rPr>
                <w:rFonts w:hint="eastAsia" w:ascii="宋体" w:hAnsi="宋体" w:cs="宋体"/>
                <w:b/>
                <w:bCs/>
                <w:color w:val="auto"/>
                <w:kern w:val="0"/>
                <w:sz w:val="22"/>
                <w:highlight w:val="none"/>
                <w:lang w:bidi="ar"/>
              </w:rPr>
              <w:t>并提供国家密码局颁发的《商用密码产品型号证书》加盖投标人公章</w:t>
            </w:r>
            <w:r>
              <w:rPr>
                <w:rFonts w:hint="eastAsia" w:ascii="宋体" w:hAnsi="宋体" w:cs="宋体"/>
                <w:color w:val="auto"/>
                <w:kern w:val="0"/>
                <w:sz w:val="22"/>
                <w:highlight w:val="none"/>
                <w:lang w:bidi="ar"/>
              </w:rPr>
              <w:t>；</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密码存储：★支持采用国密加密算法进行核心敏感数据加密存储；</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多种双因子认证同时使用；</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★基于不同的用户设置不同的双因子认证模式，如user1用动态令牌、user2用USBkey、user3手机APP动态口令认证；</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多种认证组合使用：支持域认证与双因子认证结合使用，如同时使用AD/LDAP用户名+AD/LDAP密码+手机APP动态口令登录堡垒机、同时使用AD/LDAP用户名+AD/LDAP密码+短信口令登录堡垒机；</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用户锁定：可设置用户密码错误达到一定次数后的锁定时长及登录失败次数的重置时间；</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用户密码策略设置；</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★可以设置用户密码的长度、复杂度、相关度，其中相关度可以设置密码与用户名的关系，可以选择是否检查历史密码，并可支持密码过期前告警；</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认证窗口全局设置：支持认证窗口的全局设置：可以选择启用哪种或者哪几种认证登录窗口；</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备管理要求：支持的协议和应用：支持常用的运维协议：SSH、TELNET、RDP、VNC、FTP、SFTP、rlogin；可通过应用发布的方式进行协议扩展，如数据库Oracle、MSSQL、MySQL、VMware vSphere Client、浏览器等客户端工具；</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主流数据库运维管理：★支持DB2、oracle、mysql、sqlserver主流数据库协议代理运维，可直接调用本地windows系统的数据库客户端工具，支持自动登录、无需应用发布前置机；</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IE代填：★IE/Chrom代填应用发布：HTTP/HTTPS协议的web设备，且可以直接代填账号和密码；</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混合云管理：★可以通过socks5/http/ssh等代理协议连接管理异地云资源区中私有网络的云主机；</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分组管理：支持对设备进行按设备类型分组、按部门分组，支持设备批量导入/导出；</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为了统一维护，统一管理，此设备和日志审计要统一品牌</w:t>
            </w:r>
            <w:r>
              <w:rPr>
                <w:rFonts w:hint="eastAsia" w:ascii="宋体" w:hAnsi="宋体" w:cs="宋体"/>
                <w:color w:val="auto"/>
                <w:sz w:val="22"/>
                <w:highlight w:val="none"/>
              </w:rPr>
              <w:t>或完全兼容</w:t>
            </w:r>
            <w:r>
              <w:rPr>
                <w:rFonts w:hint="eastAsia" w:ascii="宋体" w:hAnsi="宋体" w:cs="宋体"/>
                <w:color w:val="auto"/>
                <w:kern w:val="0"/>
                <w:sz w:val="22"/>
                <w:highlight w:val="none"/>
                <w:lang w:bidi="ar"/>
              </w:rPr>
              <w:t>；</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登录模式：支持设备帐户和密码的自动登录、手工登录、二次自动登录模式；</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共享账户：★支持设置共享账户，用于不同主机拥有相同账户名及密码的场景；</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自动收集和自动授权：支持自动收集设备IP、运维协议、端口号、账号、密码、与用户的权限关系，甚至可自动完成授权；</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设备密码管理：导出的设备信息文件加密存储，解密时须由2个管理员同时解密才能查看到设备信息文件内容；</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工单流程要求：申请工单：运维人员可以向管理员申请需要访问的设备，申请时可以选择：设备IP、设备账户、运维有效期、备注事由等，并且运维工单以邮件方式通知管理员；审批工单：管理员对运维工单进行审核之后以邮件方式通知给运维人员；如果允许，则运维人员才可访问；否则就无法访问；</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自动改密要求：自动改密：支持定期自动修改windows服务器、网络设备、linux/unix等目标设备密码功能；</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改密脚本：可以通过编写改密脚本的方式进行改密操作；</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改密保护机制：★支持完善的自动改密安全保护机制，包括：改密前备份、备份失败不改密、改密后备份、密码文件加密；</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支持发送方式，包括邮件、FTP、SFTP等；</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密码容错机制：★支持自动密码恢复、手工验证密码、密码强度控制等；</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运维方式要求：多种浏览器登录；</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Web访问方式：至少支持使用IE、谷歌、火狐三种浏览器打开堡垒机的Web页面直接调用mstsc、VNC、Xshell、SecureCRT、Putty、winscp、flashFXP、FileZilla、SecureFX等运维客户端工具；</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H5运维方式：支持ssh、telnet、rlogin、rdp、vnc协议的H5运维，无需本地运维客户端工具；</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连通性检测：★支持对主机联通性、账号有效性进行周期性检测。并可设置是否开启检测连通性、有效性功能；</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数据库运维：★支持通过堡垒机页面直接调用本地Windows系统里的plsql、sqlplus、toad、sqlwb、ssms、mysql.exe等数据库客户端工具。</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客户端工具登录：客户端访问方式：支持使用本地的mstsc/Xshell/SecureCRT/Putty等客户端工具登录堡垒机访问图形或字符设备，视图界面一致性、搜索能力；</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SFTP/FTP的客户端登录：★支持使用本地的winscp/flashFXP/SecureFX等客户端工具登录堡垒机访问SFTP/FTP设备；</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SSH网关代理直连：★支持使用本地的SecurCRT/Xshell/OpenSSH工具通过SSH网关代理方式直接登录字符设备；</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SSH-agent-forwarding：可以使用SSH-agent-forwarding登录到ssh服务器，用于登录堡垒机和登录ssh主机使用相同私钥的场景；</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SSH登录方式：可以使用密码或公钥的方式登录到SSH资产，并且可以发送运维用户信息、运维来源IP等环境变量到资产上；</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数据库代理直连：★支持在mac电脑里使用navicat工具通过堡垒机登录mysql、oracle等数据库服务器；</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批量自动登录字符主机：★支持批量登录字符设备功能：能自动生成SecurCRT/Xshell工具的批量登录文件，实现在工具中批量自动登录多台设备；</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批量登录：可一键批量登录不同协议的主机资产；</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快速运维：可记录最近运维的主机，用于快速对主机进行运维；</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域用户自动登录主机：AD/LDAP环境，支持直接使用登录堡垒机的AD/LDAP用户及密码可以直接自动登录到服务器里；</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会话数量限制：可进行用户会话数量限制，允许自定义每个用户最多可以同时开启多少个会话；</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设备筛选：支持通过多个维度筛选待运维资产，可包括主机IP/主机名、操作系统、主机编码、主机组等。其中涉及到需要手动输入进行筛选的选项，需支持选择模糊搜索或精准搜索；</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审计日志要求：运维审计日志支持对运维操作会话的在线监控、实时阻断、日志回放、起止时间、来源用户、来源IP、目标设备、协议/应用类型、命令记录、操作内容（如对文件的上传、下载、删除、修改等操作等）的详细行为日志；</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Zmodem传输审计：★支持保存SSH的sz/rz命令（zmodem）传输的原始文件；</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SFTP/FTP传输审计；支持保存SFTP/FTP传输的原始文件；</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RDP粘贴板审计：支持保存RDP粘贴板（桌面之间复制-粘贴）传输的原始文件；</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RDP磁盘映射审计：支持保存RDP磁盘映射传输的原始文件；</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RDP文字记录：支持对RDP屏幕文字内容、标题窗口、键盘输入的记录和搜索定位；</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SQL记录：★支持审计主流数据库（如DB2、oracle、mysql、sql server）运维中的SQL语句，可进行关键信息定位查询；</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全文检索：★支持全局搜索审计日志，无需区分图形/字符/文件/应用类型，只需通过关键信息直接搜索定位；</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 xml:space="preserve">审计规则：可针对审计操作进行规则设置，自定义用户与资产的审计关系，即可选择用户有权限审计指定设备的操作行为； </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日志数据归档：★审计数据支持通过SFTP/FTP方式自动归档，并在页面中可以查询哪些数据是否归档。归档过程时，可以设置自动执行归档的时间以及归档传输的速度限制并可设置归档成功之后自动删除数据，归档后的数据可以用专用播放器离线查看；</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安全策略要求：运维规则策略：支持通过基于时间、IP/IP段、用户/用户组、设备/设备组、设备账号、命令关键字、控制动作、黑白名单等组合访问控制策略，授权用户可访问的目标设备；</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二次审批：对重要设备启用登录审核功能，运维人员须向管理员申请登录，管理员允许之后才可登录；否则无法登录；</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命令审批：支持对重要命令进行审核：运维人员执行命令后，须等到管理员审批通过后才可执行成功；</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审批规则：对于审批操作，可以设置审批人及该审批人有权限审批的资产；</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自动运维任务：支持自动推送命令任务，如可自动备份交换机/路由器的配置信息、可自动执行周期任务；并将结果以邮件/FTP/SFTP的方式发送给相关管理员；</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运维空闲时间限制：★支持运维空闲会话时间全局设置限制功能；</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报表统计要求：运维报表格式：内置丰富的报表统计模板，可点击柱状图、或曲线图进行数据钻取分析，且支持PDF、doc、html格式导出；</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运维报表内容：内置根据运维人员和组生成各种维度的分析报表，维度包含总为运维次数、时长、活动时长、会话起止时间、会话大小、命令数、上传下载文件数，分别从全局及平均值、最大值、最小值、单次运维、单个会话等角度提供非常有价值有意义的报表；</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自动发送报表：支持运维报表自动定期发送，提供一键导出符合等级保护、SOX法案要求的综合分析报告；</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网络配置：DNS配置：★支持配置DNS服务器，且可配置首选、备选DNS；</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协议端口配置：★支持自定义堡垒机代理协议的端口；</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静态路由：支持配置静态路由；</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来源IP限制：支持对登录堡垒机的来源IP进行限制。可采用黑白名单两种模式；</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系统管理要求：系统自审：支持自身审计，包括但不限于：系统状态检测、登录日志、用户配置日志、设备配置日志、授权配置日志、策略配置日志、运维访问日志、系统配置日志等；</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系统日志报表：支持系统日志报表统计功能，包括但不限于登录日志统计、配置日志统计、运维访问日志统计等，可以导出报表；</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系统语言：支持中文、英文、繁体中文，并可配置是否允许用户进行语言切换；LOGO设置：支持自定义WEB管理界面的LOGO；</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告警输出：支持邮件/syslog方式输出告警日志；</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SNMP输出：支持SNMP方式输出系统信息；</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排错功能：提供排错工具：ping、TCP端口检测、UDP端口检测、路由跟踪等；</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API接口：★需提供用户、资产、授权的增删改查等API接口，允许第三方平台调用堡垒机的API接口，实现用户、资产、权限自动同步到堡垒机，简化堡垒机配置工作量；</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与同品牌SOC联动：★支持和同品牌的SOC系统进行联动，对绕过堡垒机而登录主机的行为，SOC进行实时告警，并且与SOC进行日志关联性分析；</w:t>
            </w:r>
          </w:p>
          <w:p>
            <w:pPr>
              <w:widowControl/>
              <w:numPr>
                <w:ilvl w:val="0"/>
                <w:numId w:val="2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售后服务：提供原厂商不少于1个CISP-CSE工程师（投标文件中提供证书及社保证明，社保至少一年）。</w:t>
            </w:r>
          </w:p>
        </w:tc>
        <w:tc>
          <w:tcPr>
            <w:tcW w:w="6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台</w:t>
            </w:r>
          </w:p>
        </w:tc>
      </w:tr>
      <w:tr>
        <w:tblPrEx>
          <w:tblCellMar>
            <w:top w:w="0" w:type="dxa"/>
            <w:left w:w="0" w:type="dxa"/>
            <w:bottom w:w="0" w:type="dxa"/>
            <w:right w:w="0" w:type="dxa"/>
          </w:tblCellMar>
        </w:tblPrEx>
        <w:trPr>
          <w:trHeight w:val="454" w:hRule="atLeast"/>
          <w:jc w:val="center"/>
        </w:trPr>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9</w:t>
            </w:r>
          </w:p>
        </w:tc>
        <w:tc>
          <w:tcPr>
            <w:tcW w:w="11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网络出口防火墙</w:t>
            </w:r>
          </w:p>
        </w:tc>
        <w:tc>
          <w:tcPr>
            <w:tcW w:w="61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21"/>
              </w:numPr>
              <w:spacing w:line="360" w:lineRule="exact"/>
              <w:ind w:left="0"/>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基本要求：</w:t>
            </w:r>
          </w:p>
          <w:p>
            <w:pPr>
              <w:widowControl/>
              <w:spacing w:line="360" w:lineRule="exact"/>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1.硬件平台：★本次需提供2台防火墙设备。</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产品采用多核并行处理架构，</w:t>
            </w:r>
            <w:r>
              <w:rPr>
                <w:rFonts w:hint="eastAsia" w:ascii="宋体" w:hAnsi="宋体" w:cs="宋体"/>
                <w:b/>
                <w:bCs/>
                <w:color w:val="auto"/>
                <w:kern w:val="0"/>
                <w:sz w:val="22"/>
                <w:highlight w:val="none"/>
                <w:lang w:bidi="ar"/>
              </w:rPr>
              <w:t>投标时提供具备国家认可的相应资质的检测机构出具的测试报告并加盖投标人公章</w:t>
            </w:r>
            <w:r>
              <w:rPr>
                <w:rFonts w:hint="eastAsia" w:ascii="宋体" w:hAnsi="宋体" w:cs="宋体"/>
                <w:color w:val="auto"/>
                <w:kern w:val="0"/>
                <w:sz w:val="22"/>
                <w:highlight w:val="none"/>
                <w:lang w:bidi="ar"/>
              </w:rPr>
              <w:t>。</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硬件规格：规格：2U，内存大小≥24G，硬盘容量≥64GB SSD+500GB SATA，电源：冗余电源。万兆光口≥2口。</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2.性能要求</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性能要求：网络层吞吐量≥60Gbps，并发连接数≥900万，每秒新建连接数≥35万。IPSec VPN最大接入数：1000，IPSec VPN加密速度：1.6G。</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3.基础网络特性</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部署方式：支持路由、透明、虚拟网线、旁路镜像、混合等多种部署方式，适应复杂使用环境的接入要求；</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链路聚合：具备链路聚合功能，将2个或者更多物理链路组合成一个更高带宽的逻辑链路接口，提高链路带宽和链路可靠性；</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路由功能：具备静态路由和多播路由，支持RIP、OSPF、BGP等动态路由协议；</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支持基于IP地址、端口、地域、协议、应用等维度配置策略路由策略，支持多种负载均衡算法，包括加权、带宽比例、轮询、线路排序等；</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网络服务：具备ARP代理功能，对指定地址的ARP请求使用指定接口的MAC地址应答，实现保护内网主机；</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具备标准DHCP服务功能，可为终端统一分配IP地址；</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具备DNS透明代理功能，避免单运营商DNS解析出现单一链路流量过载，平衡多条运营商线路的带宽利用率；</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地址转换：支持IPv4／IPv6下NAT地址转换，包括支持源地址转换SNAT，目的地址转换DNAT和双向地址转换双向NAT， 支持一对一、一对多、多对一等多种转换方式；</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支持NAT64、NAT46 地址转换；</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支持NAT ALG功能，包括支持FTP、、RTSP、SQLNET、PPTP、TFTP、H.323、SIP应用协议的NAT穿越；</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IPv6：支持IPv4/IPv6双栈工作模式；</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支持IPv6环境的应用控制策略设置，能针对IPv6的IP地址、服务端口、区域、服务/应用、时间等条件进行应用访问规则的设置；</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支持IPv6环境的安全策略设置，实现入侵防御、防病毒、Web应用防护等等安全功能。</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4.访问控制</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应用控制策略：支持基于区域、IP地址、域名、端口、用户、应用、服务、时间等多个维度设置应用控制策略。</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地域访问控制：支持基于对象、区域和地域维度设置安全访问控制策略，允许或拒绝特定国家或者地区的对象访问内部网络，保障业务重大时期安全可靠性。</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5.应用控制</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应用识别：产品内置应用特征识别库，支持不少于5000种应用规则，支持对游戏、P2P下载工具、聊天工具、网上银行、视频软件、股票软件、木马控制软件等类型应用进行检测与控制。</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流量控制：★具备基于国家/地区的流量管理功能。</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6.安全防护</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DDoS防御：支持SYN Flood、ICMP Flood、UDP Flood、DNS Flood、ARP Flood等泛洪类攻击防护，支持IP地址扫描和端口扫描攻击防护；</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支持TearDrop 攻击、IP数据块分片传输、Land攻击、Smurf攻击、WinNuke攻击、超大ICMP数据攻击等异常报文攻击防护，支持IP协议异常报文和TCP协议异常报文攻击防护；支持ARP欺骗类攻击防护；</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SSL解密：支持对HTTPS协议加密会话进行解密分析，支持基于区域、对象、业务类型、服务器IP/端口设置解密策略；</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勒索病毒防御：★具备勒索软件通信防护功能（</w:t>
            </w:r>
            <w:r>
              <w:rPr>
                <w:rFonts w:hint="eastAsia" w:ascii="宋体" w:hAnsi="宋体" w:cs="宋体"/>
                <w:b/>
                <w:bCs/>
                <w:color w:val="auto"/>
                <w:kern w:val="0"/>
                <w:sz w:val="22"/>
                <w:highlight w:val="none"/>
                <w:lang w:bidi="ar"/>
              </w:rPr>
              <w:t>投标时提供产品功能截图并加盖投标人公章</w:t>
            </w:r>
            <w:r>
              <w:rPr>
                <w:rFonts w:hint="eastAsia" w:ascii="宋体" w:hAnsi="宋体" w:cs="宋体"/>
                <w:color w:val="auto"/>
                <w:kern w:val="0"/>
                <w:sz w:val="22"/>
                <w:highlight w:val="none"/>
                <w:lang w:bidi="ar"/>
              </w:rPr>
              <w:t>）。</w:t>
            </w:r>
          </w:p>
          <w:p>
            <w:pPr>
              <w:widowControl/>
              <w:spacing w:line="360" w:lineRule="exact"/>
              <w:jc w:val="left"/>
              <w:textAlignment w:val="center"/>
              <w:rPr>
                <w:rFonts w:ascii="宋体" w:hAnsi="宋体" w:cs="宋体"/>
                <w:color w:val="auto"/>
                <w:sz w:val="22"/>
                <w:highlight w:val="none"/>
                <w:lang w:bidi="ar"/>
              </w:rPr>
            </w:pPr>
            <w:r>
              <w:rPr>
                <w:rFonts w:hint="eastAsia" w:ascii="宋体" w:hAnsi="宋体" w:cs="宋体"/>
                <w:color w:val="auto"/>
                <w:kern w:val="0"/>
                <w:sz w:val="22"/>
                <w:highlight w:val="none"/>
                <w:lang w:bidi="ar"/>
              </w:rPr>
              <w:t>入侵防御：产品内置IPS检测引擎，支持口令暴力破解、僵尸网络、恶意软件、服务器与终端漏洞攻击等检测和防护，支持5000种特征规则；</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具备僵尸网络检测功能，可基于僵尸网络检测引擎发现主机的异常外联行为，并提供威胁等级和非法外联次数作为举证；</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Web应用防御：产品内置Web应用攻击检测引擎，支持文件包含攻击、抵御注入式攻击（包含SQL注入、系统命令注入）、信息泄露攻击、跨站脚本（XSS）、网站扫描、WEBSHELL后面攻击、跨站请求伪造、目录遍历攻击、WEB整站系统漏洞等应用层攻击行为，支持3000种Web服务器漏洞特征规则；</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★支持蜜罐功能，定位内网感染僵尸网络病毒的真实主机IP地址。（</w:t>
            </w:r>
            <w:r>
              <w:rPr>
                <w:rFonts w:hint="eastAsia" w:ascii="宋体" w:hAnsi="宋体" w:cs="宋体"/>
                <w:b/>
                <w:bCs/>
                <w:color w:val="auto"/>
                <w:kern w:val="0"/>
                <w:sz w:val="22"/>
                <w:highlight w:val="none"/>
                <w:lang w:bidi="ar"/>
              </w:rPr>
              <w:t>需提供相关功能截图证明并加盖投标人公章</w:t>
            </w:r>
            <w:r>
              <w:rPr>
                <w:rFonts w:hint="eastAsia" w:ascii="宋体" w:hAnsi="宋体" w:cs="宋体"/>
                <w:color w:val="auto"/>
                <w:kern w:val="0"/>
                <w:sz w:val="22"/>
                <w:highlight w:val="none"/>
                <w:lang w:bidi="ar"/>
              </w:rPr>
              <w:t>）</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7.产品联动</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网端云联动：具备网端云协同联动功能。</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8.安全策略管理</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策略快速部署：支持在单条安全策略中可同时启用入侵防御、防病毒、URL过滤、文件过滤、Web应用防护等安全功能。</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策略有效性检测：支持应用控制策略有效性检测，保障策略持续优化。</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策略生命周期管理：支持应用控制策略生命周期管理，包含安全策略的变更时间、变更类型和策略变更用户，并对变更内容记录日志，方便策略的管理和运维。</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策略优化：支持对当前应用控制策略异常分析，包括策略风险访问、策略冗余、策略冲突、策略重合、端口放通过大等问题，并提供相关解决方案便于用户快速调优。</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9.安全运维管理</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资产识别：支持Web服务器自动侦测功能，根据Web服务器在线状态、端口使用状态、Web服务器之间的互访关系生成业务资产列表，同时展示内网资产访问的风险等级。</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云端联动：★支持将防火墙安全数据上报云端分析，提供云端独立平台用于安全人员进行安全分析和管理，云端平台需要包含但不限于资产安全、策略下发、安全事件自动处置等功能。</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攻击事件风险分析：支持针对业务攻击事件汇总，展示攻击事件类型TOP5及当前业务命中的全网实时热点事件，支持通过地图区域颜色深浅展示攻击者的分布与数量。</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安全运维：支持实时检测当前网络的整体安全状况，显示当前安全风险问题，并提供建议方案便于快速开展日常安全运维。</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微信通告：★支持通过微信方式，实现周期性发送安全报告，包括日报、周报、月报，报告包含但不限于业务态势得分，脆弱性概况、攻击防御、主机风险等。</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应急处置：★支持发生紧急安全事件时，可通过微信的方式，实时通告给安全管理人员，安全人员可以在微信上一键下发策略至本地防火墙设备进行处置。</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用户管理权限：支持三权分立功能，根据用户权限分为安全管理员、审计员、系统管理员三种角色。</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双因素认证：支持管理员双因素认证，包含用户名/密码和Key等不同方式。</w:t>
            </w:r>
          </w:p>
        </w:tc>
        <w:tc>
          <w:tcPr>
            <w:tcW w:w="6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台</w:t>
            </w:r>
          </w:p>
        </w:tc>
      </w:tr>
    </w:tbl>
    <w:p>
      <w:pPr>
        <w:spacing w:line="360" w:lineRule="exact"/>
        <w:rPr>
          <w:rFonts w:ascii="宋体" w:hAnsi="宋体" w:cs="宋体"/>
          <w:color w:val="auto"/>
          <w:sz w:val="22"/>
          <w:highlight w:val="none"/>
        </w:rPr>
      </w:pPr>
    </w:p>
    <w:p>
      <w:pPr>
        <w:pStyle w:val="2"/>
        <w:spacing w:before="0"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（三）信息发布系统</w:t>
      </w:r>
    </w:p>
    <w:tbl>
      <w:tblPr>
        <w:tblStyle w:val="26"/>
        <w:tblW w:w="9214" w:type="dxa"/>
        <w:jc w:val="center"/>
        <w:tblLayout w:type="fixed"/>
        <w:tblCellMar>
          <w:top w:w="0" w:type="dxa"/>
          <w:left w:w="0" w:type="dxa"/>
          <w:bottom w:w="0" w:type="dxa"/>
          <w:right w:w="0" w:type="dxa"/>
        </w:tblCellMar>
      </w:tblPr>
      <w:tblGrid>
        <w:gridCol w:w="600"/>
        <w:gridCol w:w="1684"/>
        <w:gridCol w:w="5797"/>
        <w:gridCol w:w="655"/>
        <w:gridCol w:w="478"/>
      </w:tblGrid>
      <w:tr>
        <w:tblPrEx>
          <w:tblCellMar>
            <w:top w:w="0" w:type="dxa"/>
            <w:left w:w="0" w:type="dxa"/>
            <w:bottom w:w="0" w:type="dxa"/>
            <w:right w:w="0" w:type="dxa"/>
          </w:tblCellMar>
        </w:tblPrEx>
        <w:trPr>
          <w:trHeight w:val="283" w:hRule="atLeast"/>
          <w:jc w:val="center"/>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b/>
                <w:color w:val="auto"/>
                <w:kern w:val="0"/>
                <w:sz w:val="22"/>
                <w:highlight w:val="none"/>
              </w:rPr>
            </w:pPr>
            <w:r>
              <w:rPr>
                <w:rFonts w:hint="eastAsia" w:ascii="宋体" w:hAnsi="宋体" w:cs="宋体"/>
                <w:b/>
                <w:color w:val="auto"/>
                <w:kern w:val="0"/>
                <w:sz w:val="22"/>
                <w:highlight w:val="none"/>
              </w:rPr>
              <w:t>序号</w:t>
            </w:r>
          </w:p>
        </w:tc>
        <w:tc>
          <w:tcPr>
            <w:tcW w:w="1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b/>
                <w:color w:val="auto"/>
                <w:kern w:val="0"/>
                <w:sz w:val="22"/>
                <w:highlight w:val="none"/>
              </w:rPr>
            </w:pPr>
            <w:r>
              <w:rPr>
                <w:rFonts w:hint="eastAsia" w:ascii="宋体" w:hAnsi="宋体" w:cs="宋体"/>
                <w:b/>
                <w:color w:val="auto"/>
                <w:kern w:val="0"/>
                <w:sz w:val="22"/>
                <w:highlight w:val="none"/>
              </w:rPr>
              <w:t>设备及软件名称</w:t>
            </w:r>
          </w:p>
        </w:tc>
        <w:tc>
          <w:tcPr>
            <w:tcW w:w="5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b/>
                <w:color w:val="auto"/>
                <w:kern w:val="0"/>
                <w:sz w:val="22"/>
                <w:highlight w:val="none"/>
              </w:rPr>
            </w:pPr>
            <w:r>
              <w:rPr>
                <w:rFonts w:hint="eastAsia" w:ascii="宋体" w:hAnsi="宋体" w:cs="宋体"/>
                <w:b/>
                <w:color w:val="auto"/>
                <w:kern w:val="0"/>
                <w:sz w:val="22"/>
                <w:highlight w:val="none"/>
              </w:rPr>
              <w:t>主要性能指标</w:t>
            </w:r>
          </w:p>
        </w:tc>
        <w:tc>
          <w:tcPr>
            <w:tcW w:w="655" w:type="dxa"/>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b/>
                <w:color w:val="auto"/>
                <w:kern w:val="0"/>
                <w:sz w:val="22"/>
                <w:highlight w:val="none"/>
              </w:rPr>
            </w:pPr>
            <w:r>
              <w:rPr>
                <w:rFonts w:hint="eastAsia" w:ascii="宋体" w:hAnsi="宋体" w:cs="宋体"/>
                <w:b/>
                <w:color w:val="auto"/>
                <w:kern w:val="0"/>
                <w:sz w:val="22"/>
                <w:highlight w:val="none"/>
              </w:rPr>
              <w:t>单位</w:t>
            </w:r>
          </w:p>
        </w:tc>
        <w:tc>
          <w:tcPr>
            <w:tcW w:w="47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60" w:lineRule="exact"/>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rPr>
              <w:t>数量</w:t>
            </w:r>
          </w:p>
        </w:tc>
      </w:tr>
      <w:tr>
        <w:tblPrEx>
          <w:tblCellMar>
            <w:top w:w="0" w:type="dxa"/>
            <w:left w:w="0" w:type="dxa"/>
            <w:bottom w:w="0" w:type="dxa"/>
            <w:right w:w="0" w:type="dxa"/>
          </w:tblCellMar>
        </w:tblPrEx>
        <w:trPr>
          <w:trHeight w:val="283"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信息发布管理平台</w:t>
            </w:r>
          </w:p>
        </w:tc>
        <w:tc>
          <w:tcPr>
            <w:tcW w:w="5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22"/>
              </w:numPr>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 xml:space="preserve">展示功能：节目存储于当前设备，可指定播放本设备所存储的多媒体节目，充分利用系统资源。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2、资源轮询监控：系统自动会删除过期节目，以免点播列表过于冗长以及设备硬盘被无效节目占用过多。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3、支持多媒体格式：视频支持格式：MPEG-1，MPEG-2 MP@HL，MPEG-4 ASP@L5，WMV9 MP@ML、avi、mp4、wmv，RMVB，音频支持格式： MP3，AAC-LC，WMA，图片支持格式：jpg、png、bmp，gif，支持高清视频流直播。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4、紧急插播：能够插播节目及紧急信息到指定互动智能视窗上</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5、互动智能视窗专用操作界面显示：高安全主界面由多媒体发布区，多业务呈现栏、多业务开始键，浮动返回键、滚动通知栏背景、管理员隐藏设置区几个部分组成；背景、滚动通知栏的内容由视窗管理平台远程更新。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6、远程多媒体发布区：分时播放与插播：实现按日、周、月自动按节目单播放，并可随时插播节目。支持的多媒体文件类型：主流的音、视频文件（支持高清）、文字、主流各类图片；相关内容由视窗管理平台远程更新。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7、多媒体互动系统：内置多媒体互动系统，访客可通过触摸互动，选择图片册、音视频册、选择自己想要浏览的图片（可放大缩小）与视频（可拖动时间条）。</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8、多屏联动：自带多屏联动组件；多台数字视窗可组成屏联动域，在联动域内，每台视窗的图片展示呈 3D 翻转效果，并与周边视窗进行时间校正联系，从而实现多张图片在多个视窗中按时序连续滚动翻转的炫酷视觉效果。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9、高清直播：可接受高清编码器音视频直播信号，实现音视频直播。</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10、视窗实时控制和监控模块：可远程实时的控制视窗的重启， 可设置各类视窗的定时开关机时间、可远程实时监控屏幕播放内容、可实时查询和监控视窗的各类配置参数和运行状态参数、可远程发起文件传输命令。                                 11、设备信息上报：可随视窗后台要求，主动上报设备信息（IP、MAC、CPU 硬盘利用率、进程等），下载进度，设备运行异常、非正常关机等告警信息。</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12、网络通信：支持 DHCP 与静态 IP，支持 MAC 与 IP 的绑定。</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13、注册机制：终端设备注册后才能接入系统，获取系统控制命令，防止随意增加终端设备。</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14、分组管理：终端设备分组管理，终端设备组与用户组对应。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15、状态即时查看：可实时查看/截图任一终端设备正在播放的节目内容。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16、任务管理：可从视窗管理平台查看终端正在执行的任务，发现异常及时处理，远程终止或者启动某个任务。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17、终端设备记录查询：支持后台查询终端设备播放历史记录、支持后台查询终端设备故障告警历史信息、支持后台查询终端设备日志、实时控制终端设备下载状态与进度、硬盘容量、CPU 利用率、内存利用率、显示设备故障报警、设备下载错误报警、远程更改终端设备远程配置。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18、安全机制：基于 TCP/IP 的通信机制，并通过专有协议保持通信和传输命令、侦测接入终端进程情况，自动异常报警显示。</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19、审批管理：根据用户分组和权限，进行节目和素材审批  能够预览需要审批的节目和素材（视频文件可在线查看）、支持审批信息查看，用户可以查看自己审批的信息，也可以查看被审批信息。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20、上传素材：用户可以自行上传素材，包括视频，图片，文字， HTML 地址，业务软件等。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21、素材查看：用户查看本用户组的所有素材。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22、直接拷贝：支持后台直接拷贝功能。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23、压缩与编码：后台支持对数字资源、如视频与图片等重新编码压缩，视频编码为 MP4，图片重新编码统一为 JPG 格式，提高推送与播放效率。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24、资源展示管理：可任意日期时间段定时播放，按天循环播放、可按天设置循环播放、可任意调整播放窗口内容，包括播放时长， 播放顺序、可查询单个视窗的播放日程表、完成节目安排设置后可以立即预览节目、可随时删除当前节目，插播在线视频，文字， 图片（需有对应权限）、提供不同的分区模版给用户，自由填充播放素材、可自适用终端设备横屏或竖屏的布局模式，对视频、文字、图片等自动翻转输出、远程更改音量（信息发布时）。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25、进程管理：可实时查看互动式视窗进程，并在后台进行排序 管理。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26、软件运行控制：后台可对任意一台视窗强制运行或关闭已安装在这个视窗中的某个软件或 WEB 页面。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27、信号调度与分配矩阵编辑：实现多路输入直播信号与多个数字视窗展示平台的调度分配。</w:t>
            </w:r>
          </w:p>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28、跨平台性：考虑整个系统的兼容性及后期项目的扩展，要求软件实现对LED 大屏和多媒体终端一体机进行统一的信息发布及设备控制及管理，同时后续可扩展其它发布设备接入。</w:t>
            </w:r>
          </w:p>
        </w:tc>
        <w:tc>
          <w:tcPr>
            <w:tcW w:w="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套</w:t>
            </w:r>
          </w:p>
        </w:tc>
        <w:tc>
          <w:tcPr>
            <w:tcW w:w="4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 </w:t>
            </w:r>
          </w:p>
        </w:tc>
      </w:tr>
      <w:tr>
        <w:tblPrEx>
          <w:tblCellMar>
            <w:top w:w="0" w:type="dxa"/>
            <w:left w:w="0" w:type="dxa"/>
            <w:bottom w:w="0" w:type="dxa"/>
            <w:right w:w="0" w:type="dxa"/>
          </w:tblCellMar>
        </w:tblPrEx>
        <w:trPr>
          <w:trHeight w:val="283"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信息发布终端</w:t>
            </w:r>
          </w:p>
        </w:tc>
        <w:tc>
          <w:tcPr>
            <w:tcW w:w="5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55寸，显示类型：LED显示屏，内置信息发布控制板卡，同步视频板卡，视频网络安全网关，亮度：≥800cd/m2以上分辨率：1920x1080RGB显示区域：680.4x1209.6mm分辨率：1920x1080色彩：16.7M，8bits亮度：≥800cd/m2以上，D-LED背光亮度控制：自动亮控（配置光度传感器）；随着环境光线的强弱，自动调节亮度保护措施：防雷排插、漏电保护开关、接地装置可视角：89º/89º(L/R)89º/89º(U/D)响应时间：≤10ms接口：VGA、HDMI工作电压：AC100～240V60/50Hz机箱种类：镀锌冷轧钢板制作而成；IP65防水标准。</w:t>
            </w:r>
          </w:p>
        </w:tc>
        <w:tc>
          <w:tcPr>
            <w:tcW w:w="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台</w:t>
            </w:r>
          </w:p>
        </w:tc>
        <w:tc>
          <w:tcPr>
            <w:tcW w:w="4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w:t>
            </w:r>
          </w:p>
        </w:tc>
      </w:tr>
      <w:tr>
        <w:tblPrEx>
          <w:tblCellMar>
            <w:top w:w="0" w:type="dxa"/>
            <w:left w:w="0" w:type="dxa"/>
            <w:bottom w:w="0" w:type="dxa"/>
            <w:right w:w="0" w:type="dxa"/>
          </w:tblCellMar>
        </w:tblPrEx>
        <w:trPr>
          <w:trHeight w:val="283"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sz w:val="22"/>
                <w:highlight w:val="none"/>
              </w:rPr>
              <w:t>3</w:t>
            </w:r>
          </w:p>
        </w:tc>
        <w:tc>
          <w:tcPr>
            <w:tcW w:w="1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管线</w:t>
            </w:r>
          </w:p>
        </w:tc>
        <w:tc>
          <w:tcPr>
            <w:tcW w:w="5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包含信息发布终端施工所需的高清线，网线，电源线，管材，辅材，人工等所有材料费用（报价含到其他分项中，不对此进行单独报价。）</w:t>
            </w:r>
          </w:p>
        </w:tc>
        <w:tc>
          <w:tcPr>
            <w:tcW w:w="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项</w:t>
            </w:r>
          </w:p>
        </w:tc>
        <w:tc>
          <w:tcPr>
            <w:tcW w:w="4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15</w:t>
            </w:r>
          </w:p>
        </w:tc>
      </w:tr>
    </w:tbl>
    <w:p>
      <w:pPr>
        <w:pStyle w:val="2"/>
        <w:spacing w:before="0"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（四）校园监控系统</w:t>
      </w:r>
    </w:p>
    <w:tbl>
      <w:tblPr>
        <w:tblStyle w:val="26"/>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978"/>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vAlign w:val="center"/>
          </w:tcPr>
          <w:p>
            <w:pPr>
              <w:widowControl/>
              <w:spacing w:line="36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1418" w:type="dxa"/>
            <w:tcBorders>
              <w:tl2br w:val="nil"/>
              <w:tr2bl w:val="nil"/>
            </w:tcBorders>
            <w:vAlign w:val="center"/>
          </w:tcPr>
          <w:p>
            <w:pPr>
              <w:widowControl/>
              <w:spacing w:line="36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设备名称</w:t>
            </w:r>
          </w:p>
        </w:tc>
        <w:tc>
          <w:tcPr>
            <w:tcW w:w="5978" w:type="dxa"/>
            <w:tcBorders>
              <w:tl2br w:val="nil"/>
              <w:tr2bl w:val="nil"/>
            </w:tcBorders>
            <w:vAlign w:val="center"/>
          </w:tcPr>
          <w:p>
            <w:pPr>
              <w:widowControl/>
              <w:spacing w:line="36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设备描述</w:t>
            </w:r>
          </w:p>
        </w:tc>
        <w:tc>
          <w:tcPr>
            <w:tcW w:w="904" w:type="dxa"/>
            <w:tcBorders>
              <w:tl2br w:val="nil"/>
              <w:tr2bl w:val="nil"/>
            </w:tcBorders>
            <w:vAlign w:val="center"/>
          </w:tcPr>
          <w:p>
            <w:pPr>
              <w:widowControl/>
              <w:spacing w:line="36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418"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微星光红外筒形网络摄像机</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1.1/2.8英寸逐行扫描200万像素CMOS图像传感器，最大分辨率1920×1080，4mm/6mm/8mm/12mm定焦镜头可选。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2.最低照度检验：彩色：≤0.0005 lx；黑白：≤0.0001 lx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3.照度适应范围：≥135dB，智能红外，补光距离30m。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4.支持场景变更、图像虚焦、遮挡检测、声音异常、停车检测、物品搬移、物品遗留。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5.支持运动检测、越界检测、区域入侵、徘徊检测、进入区域、离开区域。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6.★NAT穿越功能：在广域网环境下使用时，支持主动发包动作以实现NAT穿越。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7.★网关ARP绑定功能：设备可通过IE浏览器添加并绑定设备所在网段网关的MAC地址，当其它终端设备访问设备时，若使用正确的网关MAC地址即设备绑定的MAC地址可以正常访问设备；当使用错误的网关MAC地址即不是设备绑定的MAC地址则不能访问设备。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8.★IP地址访问控制功能：允许/禁止模式下，只有添加到允许/禁止列表中的IP地址才能访问设备，允许/禁止列表最多可添加32个IP地址。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9.★友好密码功能：启用友好密码功能策略时，与设备处于同一网段的地址可以使用设备出厂密码登录和访问设备，跨网段的地址只能使用复杂度为高的密码（至少8位，由大小写字母、数字和特殊字符组成）登录和访问设备。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10.1个10M/100M自适应以太网电口，1个DC端子</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 xml:space="preserve"> 5.5mm电源接口，支持POE功能    </w:t>
            </w:r>
          </w:p>
          <w:p>
            <w:pPr>
              <w:widowControl/>
              <w:numPr>
                <w:ilvl w:val="0"/>
                <w:numId w:val="12"/>
              </w:numPr>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DC12V±25%电源，工作环境：-30℃~60℃（-22°F~140°F），10%RH ~90%RH，防护等级IP66</w:t>
            </w:r>
          </w:p>
          <w:p>
            <w:pPr>
              <w:widowControl/>
              <w:numPr>
                <w:ilvl w:val="0"/>
                <w:numId w:val="12"/>
              </w:numPr>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★为保障视频监控系统的安全、可用，确保视频监控系统能够对恶劣承载网络的适应能力，对安全风险的抵御与防护能力，</w:t>
            </w:r>
            <w:r>
              <w:rPr>
                <w:rFonts w:hint="eastAsia" w:ascii="宋体" w:hAnsi="宋体" w:cs="宋体"/>
                <w:b/>
                <w:bCs/>
                <w:color w:val="auto"/>
                <w:kern w:val="0"/>
                <w:sz w:val="22"/>
                <w:highlight w:val="none"/>
              </w:rPr>
              <w:t>投标时需要提供关于视频监控系统网络及安全解决方案的安全测评报告证书并加盖投标人公章</w:t>
            </w:r>
            <w:r>
              <w:rPr>
                <w:rFonts w:hint="eastAsia" w:ascii="宋体" w:hAnsi="宋体" w:cs="宋体"/>
                <w:color w:val="auto"/>
                <w:sz w:val="22"/>
                <w:highlight w:val="none"/>
              </w:rPr>
              <w:t>。</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164台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418"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星光红外半球网络摄像机</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1.1/2.8英寸逐行扫描200万像素CMOS图像传感器，最大分辨率1920×1080。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2.最低照度检验：彩色：≤0.0005 lx；黑白：≤0.0001 lx。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3.照度适应范围：≥135dB，智能红外，补光距离30m。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4.支持场景变更、图像虚焦、遮挡检测、声音异常、停车检测、物品搬移、物品遗留。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5.支持运动检测、越界检测、区域入侵、徘徊检测、进入区域、离开区域。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6. ★ NAT穿越功能：在广域网环境下使用时，支持主动发包动作以实现NAT穿越。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7. ★网关ARP绑定功能：设备可通过IE浏览器添加并绑定设备所在网段网关的MAC地址，当其它终端设备访问设备时，若使用正确的网关MAC地址即设备绑定的MAC地址可以正常访问设备；当使用错误的网关MAC地址即不是设备绑定的MAC地址则不能访问设备。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8. ★ IP地址访问控制功能：允许/禁止模式下，只有添加到允许/禁止列表中的IP地址才能访问设备，允许/禁止列表最多可添加32个IP地址。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9. ★友好密码功能：启用友好密码功能策略时，与设备处于同一网段的地址可以使用设备出厂密码登录和访问设备，跨网段的地址只能使用复杂度为高的密码（至少8位，由大小写字母、数字和特殊字符组成）登录和访问设备。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10.1个10M/100M自适应以太网电口，1个DC端子</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 xml:space="preserve"> 5.5mm电源接口，支持POE功能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11.DC12V±25%电源，工作环境：-30℃~60℃（-22°F~140°F），10%RH ~90%RH，防护等级IP66</w:t>
            </w:r>
          </w:p>
          <w:p>
            <w:pPr>
              <w:pStyle w:val="10"/>
              <w:spacing w:after="0" w:line="360" w:lineRule="exact"/>
              <w:ind w:firstLine="221"/>
              <w:rPr>
                <w:rFonts w:ascii="宋体" w:hAnsi="宋体" w:cs="宋体"/>
                <w:color w:val="auto"/>
                <w:kern w:val="2"/>
                <w:sz w:val="22"/>
                <w:szCs w:val="22"/>
                <w:highlight w:val="none"/>
              </w:rPr>
            </w:pPr>
            <w:r>
              <w:rPr>
                <w:rFonts w:hint="eastAsia" w:ascii="宋体" w:hAnsi="宋体" w:cs="宋体"/>
                <w:color w:val="auto"/>
                <w:sz w:val="22"/>
                <w:szCs w:val="22"/>
                <w:highlight w:val="none"/>
              </w:rPr>
              <w:t>★为保障视频监控系统的安全、可用，确保视频监控系统能够对恶劣承载网络的适应能力，对安全风险的抵御与防护能力，投标时需要提供关于视频监控系统网络及安全解决方案的安全测评报告证书并加盖投标人公章。</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418"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高清筒型光口摄像机</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1.1/2.8 inch逐行扫描200万像素CMOS图像传感器，焦距范围：2.8~12mm，4倍光学变倍，自动对焦 。</w:t>
            </w:r>
          </w:p>
          <w:p>
            <w:pPr>
              <w:widowControl/>
              <w:numPr>
                <w:ilvl w:val="0"/>
                <w:numId w:val="23"/>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P-Iris，F1.4光圈，快门范围：1/6~1/8000s 。</w:t>
            </w:r>
          </w:p>
          <w:p>
            <w:pPr>
              <w:widowControl/>
              <w:numPr>
                <w:ilvl w:val="0"/>
                <w:numId w:val="23"/>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最低照度：彩色：≤0.001 lx 黑白≤0.0001lx 。</w:t>
            </w:r>
          </w:p>
          <w:p>
            <w:pPr>
              <w:widowControl/>
              <w:numPr>
                <w:ilvl w:val="0"/>
                <w:numId w:val="23"/>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信噪比&gt;52dB，宽动态120dB，自动红外滤片切换彩转黑。</w:t>
            </w:r>
          </w:p>
          <w:p>
            <w:pPr>
              <w:widowControl/>
              <w:numPr>
                <w:ilvl w:val="0"/>
                <w:numId w:val="23"/>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★NAT穿越功能：在广域网环境下使用时，支持主动发包动作以实现NAT穿越。</w:t>
            </w:r>
          </w:p>
          <w:p>
            <w:pPr>
              <w:widowControl/>
              <w:numPr>
                <w:ilvl w:val="0"/>
                <w:numId w:val="23"/>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★样机和客户端之间用300m网线连接，在客户端连续发送1000个数据包，重复测试3 次，丢包数应小于1个（</w:t>
            </w:r>
            <w:r>
              <w:rPr>
                <w:rFonts w:hint="eastAsia" w:ascii="宋体" w:hAnsi="宋体" w:cs="宋体"/>
                <w:b/>
                <w:bCs/>
                <w:color w:val="auto"/>
                <w:kern w:val="0"/>
                <w:sz w:val="22"/>
                <w:highlight w:val="none"/>
              </w:rPr>
              <w:t>提供具备国家认可的相应资质的检测机构出具的检测报告加盖投标人公章作为证明</w:t>
            </w:r>
            <w:r>
              <w:rPr>
                <w:rFonts w:hint="eastAsia" w:ascii="宋体" w:hAnsi="宋体" w:cs="宋体"/>
                <w:color w:val="auto"/>
                <w:kern w:val="0"/>
                <w:sz w:val="22"/>
                <w:highlight w:val="none"/>
              </w:rPr>
              <w:t xml:space="preserve">） </w:t>
            </w:r>
          </w:p>
          <w:p>
            <w:pPr>
              <w:widowControl/>
              <w:numPr>
                <w:ilvl w:val="0"/>
                <w:numId w:val="23"/>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★采用多人一次循环通过进行试验，试验环境照度不低于1001x，试验人员数量不小于 5人，通过速度不小于1m/s</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人员通过检测时间不大于Is，试验次数100人次，样机的客流量统计结果应不小于99次（</w:t>
            </w:r>
            <w:r>
              <w:rPr>
                <w:rFonts w:hint="eastAsia" w:ascii="宋体" w:hAnsi="宋体" w:cs="宋体"/>
                <w:b/>
                <w:bCs/>
                <w:color w:val="auto"/>
                <w:kern w:val="0"/>
                <w:sz w:val="22"/>
                <w:highlight w:val="none"/>
              </w:rPr>
              <w:t>提供具备国家认可的相应资质的检测机构出具的检测报告加盖投标人公章作为证明</w:t>
            </w:r>
            <w:r>
              <w:rPr>
                <w:rFonts w:hint="eastAsia" w:ascii="宋体" w:hAnsi="宋体" w:cs="宋体"/>
                <w:color w:val="auto"/>
                <w:kern w:val="0"/>
                <w:sz w:val="22"/>
                <w:highlight w:val="none"/>
              </w:rPr>
              <w:t xml:space="preserve">）         </w:t>
            </w:r>
          </w:p>
          <w:p>
            <w:pPr>
              <w:widowControl/>
              <w:numPr>
                <w:ilvl w:val="0"/>
                <w:numId w:val="24"/>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支持Micro SD存储，最高128GB；自带1路音频输入接口1路音频输出接口；2路告警输入，1路告警输出</w:t>
            </w:r>
          </w:p>
          <w:p>
            <w:pPr>
              <w:widowControl/>
              <w:numPr>
                <w:ilvl w:val="0"/>
                <w:numId w:val="24"/>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支持越界检测、区域入侵、声音异常、人脸检测、客流统计                                              </w:t>
            </w:r>
          </w:p>
          <w:p>
            <w:pPr>
              <w:widowControl/>
              <w:numPr>
                <w:ilvl w:val="0"/>
                <w:numId w:val="24"/>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自带1路RS485串口，100/1000M Base-FX自适应SFP单模光口+10M/100M/1000M Base-T自适应以太网电口，1路BNC接口，1路接线端子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11.★启用友好密码功能策略时，与样机处于同一网段的地址可以使用样机触发密码登陆和访问样机；跨网段的地址智能使用复杂度为高的密码（至少8位，由大小写字母、数字和特殊字符组成）登陆和访问样机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12.电源支持AC24V±25%、DC12V±25%；防护等级IP67</w:t>
            </w:r>
          </w:p>
          <w:p>
            <w:pPr>
              <w:pStyle w:val="10"/>
              <w:spacing w:after="0" w:line="360" w:lineRule="exact"/>
              <w:ind w:firstLine="221"/>
              <w:rPr>
                <w:rFonts w:ascii="宋体" w:hAnsi="宋体" w:cs="宋体"/>
                <w:color w:val="auto"/>
                <w:kern w:val="2"/>
                <w:sz w:val="22"/>
                <w:szCs w:val="22"/>
                <w:highlight w:val="none"/>
              </w:rPr>
            </w:pPr>
            <w:r>
              <w:rPr>
                <w:rFonts w:hint="eastAsia" w:ascii="宋体" w:hAnsi="宋体" w:cs="宋体"/>
                <w:color w:val="auto"/>
                <w:sz w:val="22"/>
                <w:szCs w:val="22"/>
                <w:highlight w:val="none"/>
              </w:rPr>
              <w:t>★为保障视频监控系统的安全、可用，确保视频监控系统能够对恶劣承载网络的适应能力，对安全风险的抵御与防护能力，投标时需要提供关于视频监控系统网络及安全解决方案的安全测评报告证书并加盖投标人公章。</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1418"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声光警戒筒型网络摄像机</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1.1/2.7inch逐行扫描200万像素CMOS图像传感器，4mm/6mm/8mm定焦镜头可选，自动红外滤片切换彩转黑；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2.信噪比&gt;52dB，120dB宽动态，补光距离50米；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3.支持越界检测、区域入侵、进入区域、离开区域、运动检测、声音检测、遮挡检测；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4.支持MicroSD，最高256GB；1路音频输入，1路音频输出；内置Mic，内置扬声器；1路告警输入，1路告警输出，告警联动可设置；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5.自带1个10M/100M自适应以太网电口，1个DC端子，5.5mm电源接口；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6.★内置GPU芯片，内置2颗红外灯和2颗白光灯；</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7.★声光告警功能检验：样机智能行为分析触发时可联动声音告警和白光闪烁告警，并可对闪烁时间和亮度进行设置；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8.★声音自定义功能检验：样机应支持自定义声音文件上传，最多可上传10条语音，播放次数可配置；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9.支持走廊模式：开启走廊模式之后，监控画面可90°旋转并自动调整宽高比；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10.★试音距离范围检验：样机可对距离样机20m出的声音进行采集，并可通过内置扬声器进行播放（</w:t>
            </w:r>
            <w:r>
              <w:rPr>
                <w:rFonts w:hint="eastAsia" w:ascii="宋体" w:hAnsi="宋体" w:cs="宋体"/>
                <w:b/>
                <w:bCs/>
                <w:color w:val="auto"/>
                <w:kern w:val="0"/>
                <w:sz w:val="22"/>
                <w:highlight w:val="none"/>
              </w:rPr>
              <w:t>提供具备国家认可的相应资质的检测机构出具的检测报告加盖投标人公章作为证明</w:t>
            </w:r>
            <w:r>
              <w:rPr>
                <w:rFonts w:hint="eastAsia" w:ascii="宋体" w:hAnsi="宋体" w:cs="宋体"/>
                <w:color w:val="auto"/>
                <w:kern w:val="0"/>
                <w:sz w:val="22"/>
                <w:highlight w:val="none"/>
              </w:rPr>
              <w:t xml:space="preserve">）；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11.网关ARP绑定功能：可通过IE浏览器添加并绑定样机所在网段网关的MAC地址，其它终端设备使用正确的网关MAC地址即样机绑定的MAC地址则可正常访问样机；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12.电源：DC12V（±25%）、支持PoE供电（IEEE802.3af）；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13.工作环境-35℃~60℃，≤95%RH（相对湿度，无冷凝）；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14.防护等级IP66</w:t>
            </w:r>
          </w:p>
          <w:p>
            <w:pPr>
              <w:pStyle w:val="10"/>
              <w:spacing w:after="0" w:line="360" w:lineRule="exact"/>
              <w:ind w:firstLine="221"/>
              <w:rPr>
                <w:rFonts w:ascii="宋体" w:hAnsi="宋体" w:cs="宋体"/>
                <w:color w:val="auto"/>
                <w:kern w:val="2"/>
                <w:sz w:val="22"/>
                <w:szCs w:val="22"/>
                <w:highlight w:val="none"/>
              </w:rPr>
            </w:pPr>
            <w:r>
              <w:rPr>
                <w:rFonts w:hint="eastAsia" w:ascii="宋体" w:hAnsi="宋体" w:cs="宋体"/>
                <w:color w:val="auto"/>
                <w:sz w:val="22"/>
                <w:szCs w:val="22"/>
                <w:highlight w:val="none"/>
              </w:rPr>
              <w:t>★为保障视频监控系统的安全、可用，确保视频监控系统能够对恶劣承载网络的适应能力，对安全风险的抵御与防护能力，投标时需要提供关于视频监控系统网络及安全解决方案的安全测评报告证书并加盖投标人公章。</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1418"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超星光人脸抓拍深度智能筒型网络摄像机</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1.1/1.8”逐行扫描400万像素CMOS图像传感器，8~32mm电动变焦镜头；</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2.★像元尺寸为（3.0±0.1）μm（H）×（3.0±0.1）μm（V），内置GPU芯片，内置1个8GB eMMC芯片；</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3.设备自带1个RJ45网口、2路报警输入、1路报警输出，1路音频输入、1个TF卡插槽，1路音频输出，1路RS485接口，1个DC-IRIS；</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4.最低照度：彩色≤0.0005lx，黑白≤0.0001lx；</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5.支持混行检测、人脸检测、人脸比对、深度周界、人数统计；支持对人脸属性、人体属性、机动车属性进行检测采集；支持人员聚集、停车检测、物品搬移、物品遗留、虚焦检测、场景变更、徘徊检测、快速移动检测；</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6.★样机可通过IE浏览器添加并绑定样机所在网段网关的MAC地址，当其它终端设备访问样机时，若使用正确的网关MAC地址即样机绑定的MAC地址则可以正常访问样机：当使用错误的网关MAC地址即不是样机绑定的MAC地址则不能访问样机；</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7.★可通过IE浏览器或客户端软件设置身份认证模式，选项包括无、Basic和Digest三种；</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8.支持前端人脸比对，人脸库个数：16，人脸库总库容：10000；</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9.★在设定的侦测区域内具有目标移动时，可在客户端给出报警提示，最多可设置18×22个区域移动侦测；</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10.支持DC12V（-10%，+25%），AC24V±25%，POE（IEEE802.3at兼容）；</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11.支持防反接、过压/过流保护，防护等级IP67</w:t>
            </w:r>
          </w:p>
          <w:p>
            <w:pPr>
              <w:pStyle w:val="10"/>
              <w:spacing w:after="0" w:line="360" w:lineRule="exact"/>
              <w:ind w:firstLine="221"/>
              <w:rPr>
                <w:rFonts w:ascii="宋体" w:hAnsi="宋体" w:cs="宋体"/>
                <w:color w:val="auto"/>
                <w:kern w:val="2"/>
                <w:sz w:val="22"/>
                <w:szCs w:val="22"/>
                <w:highlight w:val="none"/>
              </w:rPr>
            </w:pPr>
            <w:r>
              <w:rPr>
                <w:rFonts w:hint="eastAsia" w:ascii="宋体" w:hAnsi="宋体" w:cs="宋体"/>
                <w:color w:val="auto"/>
                <w:sz w:val="22"/>
                <w:szCs w:val="22"/>
                <w:highlight w:val="none"/>
              </w:rPr>
              <w:t>★为保障视频监控系统的安全、可用，确保视频监控系统能够对恶劣承载网络的适应能力，对安全风险的抵御与防护能力，投标时需要提供关于视频监控系统网络及安全解决方案的安全测评报告证书并加盖投标人公章。</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1418"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超星光深度智能人脸半球型网络摄像机</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1.1/1.8 inch逐行扫描400万像素CMOS图像传感器，2.8-12mm，电动变焦镜头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2.1个RJ45网口、1个SFP光口、2路报警输入、1路报警输出、2路音频输入、1路音频输出；AC24V、DC12V、POE供电；   </w:t>
            </w:r>
          </w:p>
          <w:p>
            <w:pPr>
              <w:widowControl/>
              <w:numPr>
                <w:ilvl w:val="0"/>
                <w:numId w:val="25"/>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★像元尺寸为3.0μm（H）×3.0μm（V），内置GPU芯片；</w:t>
            </w:r>
          </w:p>
          <w:p>
            <w:pPr>
              <w:widowControl/>
              <w:numPr>
                <w:ilvl w:val="0"/>
                <w:numId w:val="25"/>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最低照度：彩色0.001lx，黑白0.0005lx ； </w:t>
            </w:r>
          </w:p>
          <w:p>
            <w:pPr>
              <w:widowControl/>
              <w:numPr>
                <w:ilvl w:val="0"/>
                <w:numId w:val="25"/>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支持前端人脸比对，人脸库个数：16，人脸库总库容：10000；                                                6.支持越界检测、区域入侵、进入区域、离开区域、徘徊检测、快速移动、人员聚集、非法停车、遗留物检测、物品移除检测；                                                   7.支持人脸属性、人体属性、机动车属性的检测识别采集；</w:t>
            </w:r>
          </w:p>
          <w:p>
            <w:pPr>
              <w:widowControl/>
              <w:numPr>
                <w:ilvl w:val="0"/>
                <w:numId w:val="23"/>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★在设定的侦测区域内具有目标移动时，可在客户端给出报警提示，可同时支持18*22个区域移动侦测；</w:t>
            </w:r>
          </w:p>
          <w:p>
            <w:pPr>
              <w:widowControl/>
              <w:numPr>
                <w:ilvl w:val="0"/>
                <w:numId w:val="23"/>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★可检出两眼瞳距40像素点以上的人脸图片，支持同时检测40张人脸，能对同时出现在静态图片中均匀放置的40个人脸目标进行检测（</w:t>
            </w:r>
            <w:r>
              <w:rPr>
                <w:rFonts w:hint="eastAsia" w:ascii="宋体" w:hAnsi="宋体" w:cs="宋体"/>
                <w:b/>
                <w:bCs/>
                <w:color w:val="auto"/>
                <w:kern w:val="0"/>
                <w:sz w:val="22"/>
                <w:highlight w:val="none"/>
              </w:rPr>
              <w:t>提供具备国家认可的相应资质的检测机构出具的检测报告加盖投标人公章作为证明</w:t>
            </w:r>
            <w:r>
              <w:rPr>
                <w:rFonts w:hint="eastAsia" w:ascii="宋体" w:hAnsi="宋体" w:cs="宋体"/>
                <w:color w:val="auto"/>
                <w:kern w:val="0"/>
                <w:sz w:val="22"/>
                <w:highlight w:val="none"/>
              </w:rPr>
              <w:t>）；</w:t>
            </w:r>
          </w:p>
          <w:p>
            <w:pPr>
              <w:widowControl/>
              <w:numPr>
                <w:ilvl w:val="0"/>
                <w:numId w:val="23"/>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支持Micro SD，最高256GB；自带1路RS485串口；1路BNC接口；</w:t>
            </w:r>
          </w:p>
          <w:p>
            <w:pPr>
              <w:widowControl/>
              <w:numPr>
                <w:ilvl w:val="0"/>
                <w:numId w:val="23"/>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★可同时捕获人脸和人体，并在实况界面对人脸和人体进行关联显示； </w:t>
            </w:r>
          </w:p>
          <w:p>
            <w:pPr>
              <w:widowControl/>
              <w:numPr>
                <w:ilvl w:val="0"/>
                <w:numId w:val="23"/>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具有网关ARP绑定功能，可添加并绑定样机所在网段网关的MAC地址，当其它终端设备访问样机时，若使用正确的网关MAC地址即样机绑定的MAC地址则可以正常访问样机：当使用错误的网关MAC地址即不是样机绑定的MAC地址则不能访问样机；</w:t>
            </w:r>
          </w:p>
          <w:p>
            <w:pPr>
              <w:widowControl/>
              <w:numPr>
                <w:ilvl w:val="0"/>
                <w:numId w:val="23"/>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电源支持AC24V±25% ，DC12V±25%；防暴等级IK10</w:t>
            </w:r>
          </w:p>
          <w:p>
            <w:pPr>
              <w:pStyle w:val="10"/>
              <w:spacing w:after="0" w:line="360" w:lineRule="exact"/>
              <w:ind w:firstLine="221"/>
              <w:rPr>
                <w:rFonts w:ascii="宋体" w:hAnsi="宋体" w:cs="宋体"/>
                <w:color w:val="auto"/>
                <w:kern w:val="2"/>
                <w:sz w:val="22"/>
                <w:szCs w:val="22"/>
                <w:highlight w:val="none"/>
              </w:rPr>
            </w:pPr>
            <w:r>
              <w:rPr>
                <w:rFonts w:hint="eastAsia" w:ascii="宋体" w:hAnsi="宋体" w:cs="宋体"/>
                <w:color w:val="auto"/>
                <w:sz w:val="22"/>
                <w:szCs w:val="22"/>
                <w:highlight w:val="none"/>
              </w:rPr>
              <w:t>★为保障视频监控系统的安全、可用，确保视频监控系统能够对恶劣承载网络的适应能力，对安全风险的抵御与防护能力，投标时需要提供关于视频监控系统网络及安全解决方案的安全测评报告证书并加盖投标人公章。</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壁装支架</w:t>
            </w:r>
          </w:p>
        </w:tc>
        <w:tc>
          <w:tcPr>
            <w:tcW w:w="5978" w:type="dxa"/>
            <w:tcBorders>
              <w:tl2br w:val="nil"/>
              <w:tr2bl w:val="nil"/>
            </w:tcBorders>
            <w:vAlign w:val="center"/>
          </w:tcPr>
          <w:p>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壁装支架</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344个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电源</w:t>
            </w:r>
          </w:p>
        </w:tc>
        <w:tc>
          <w:tcPr>
            <w:tcW w:w="5978" w:type="dxa"/>
            <w:tcBorders>
              <w:tl2br w:val="nil"/>
              <w:tr2bl w:val="nil"/>
            </w:tcBorders>
            <w:vAlign w:val="center"/>
          </w:tcPr>
          <w:p>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12V2A</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577个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星光级四目球联动网络摄像机</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1.内置4个1/1.8英寸2MP Progressive Scan CMOS传感器、特写相机内置1/2.8英寸CMOS传感器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2.在红外灯关闭情况下：</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全景相机：彩色：≤0.002 lx（AGC ON</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 xml:space="preserve"> 应能分辨反射式视频矩阵测试卡中彩色色块），黑白：≤0.0002 lx（AGC ON，应能分辨反射式视频分辨率测试卡中圆形轮廓）</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特写相机：彩色：≤0.0001 lx（AGC ON</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 xml:space="preserve"> 应能分辨反射式视频矩阵测试卡中彩色色块），黑白：≤0.0001 lx（AGC ON，应能分辨反射式视频分辨率测试卡中圆形轮廓）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3.全景相机：不小于1900TVL（分辨率设置为4096x1800、帧率设置为 25fps 码率设置为8Mbps、RJ45输出）</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特写相机：不小于1100TVL（分辨率设置为1920 ×1080、帧率设置为 30fps 码率设置为2Mbps、RJ45输出）                     </w:t>
            </w:r>
          </w:p>
          <w:p>
            <w:pPr>
              <w:widowControl/>
              <w:numPr>
                <w:ilvl w:val="0"/>
                <w:numId w:val="26"/>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具有1个10M/100M/1000M自适应以太网RJ45接口；1个光纤接口；2路报警输入接口；1路报警输出接口；1路音频输入、1路音频输出接口；1个RS485接口；1个TF卡插槽（最大支持400G）                                                  5.★内置GPU芯片，内置8GB eMMC芯片，内置防抖陀螺仪                                                       6.IPC支持光口、电口同时使用，电口可以串接供给另外1台IPC正常使用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7.★通过Web点击或者框选全景相机画面任意位置，特写相机可自动联动至全景相机指定区域，并将该区域聚焦于画面中心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8.★具有宽动态自动设置选项。在环境亮度变化时，可自动在宽动态关闭和开启间进行切换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9.样机支持双路iSCSI直存方式存储，存储方式包括IPSAN、云存储                                                          10.支持最多同时检测40个目标，满足图像质量的情况下，机动车、非机动车、行人捕获率白天≥99%，夜晚≥99%，支持将捕获到的目标进行分类（机动车、非机动车、行人），分类准确率≥99%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11.支持人脸抓拍，满足图像质量情况下，人脸捕获率白天、夜晚≥99%；支持人体抓拍，满足图像质量情况下，人体捕获率白天、夜晚≥99%；支持实况界面人脸、人体抓拍关联，支持人脸优选，支持人脸图片筛选去重，支持人脸测光、大角度人脸检测、最大同时检测40张人脸、眼镜等遮挡人脸                                                            12.★支持GPS/北斗定位功能，并能够在监视画面叠加设备所在的经纬度信息</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13.★样机可支持内置数字证书，并支持采用数字证书对解码秘钥进行加密</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四目联动相机壁装支架</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四目联动相机壁装支架</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安防箱</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根据现场环境定制</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24口千兆交换机</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供电标准：IEEE 802.3af、IEEE 802.3at</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PoE端口：1~4</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端口最大供电功率：30W</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整机最大供电功率：60W</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接口数量：4个千兆PoE电口，1个千兆电口</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接口类型：RJ45电口，全双工，MDI/MDI-X自适应</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标准：IEEE802.3，IEEE802.3u，IEEE802.3x</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处理类型：存储转发</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MAC地址表：2K</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交换容量：10Gbps</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包转发率：7.44Mpps</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内部缓存：1Mbits</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外壳：金属材质</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尺寸：105×27.6×83.1±10mm</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操作温度：0℃-40℃</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存储温度：–40℃-85℃</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供电电源：48VDC，1.35A</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相对湿度：5%-95%（无凝露）                               内置2个千兆光模块</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非屏蔽六类双绞线</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六类非屏蔽双绞线</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50000米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室外8芯单模光缆</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规格：室外9/125中心束管式轻铠装单模光缆</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符合TIA/EIA-568-B.3标准，ITU G.651 、IEC793-2A1b技术要求；</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高强度中心松套管，管内充有阻水油膏；</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轻铠装结构；</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两根平行的钢丝用于加强硬度；</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特别设计的紧凑结构；</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直径小、重量轻、安装简便；</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外皮备有阻燃型和低烟无卤型，供不同场合使用；</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双面涂塑钢带(PSP)加强了光缆的允许压力、抗冲击力及防潮性能；</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传输距离长，适用于建筑群子系统的应用；</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4、6、8、12芯规格供选择；</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敷设方式：架空、管道、直埋。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光纤类别：9/125</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芯核直径(ìm)：9.3±0.4</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包层直径(ìm)：125±2</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包层不圆度 (%)：≤1%</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涂覆层直径(ìm)：245±10</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涂覆层不圆度 (%) ：≤6%</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芯核/包层同心度误差(ìm)： &lt;0.8</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包层/涂覆层同心度误差(ìm)：&lt;12.0</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数值孔径：0.275±0.015</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衰减：1310nm    ≤0.36dB/km</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      1550nm    ≤0.22dB/km</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色散系数：1285~1340nm   -3.5~3.5ps/(nm.km)</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          1550nm    ≤18ps/(nm.km)</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零色散波长范围：1302~1324nm</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零色散斜率：≤0.093ps/(nm2.km)</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截止波长：1150≤ëc≤1330nm</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模长直径 (MFD)：1310nm    9.3±0.4ìm</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光纤翘曲特性参数：R 4.0 m</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电源线</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ZRBV3*2.5</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50000米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16</w:t>
            </w:r>
          </w:p>
        </w:tc>
        <w:tc>
          <w:tcPr>
            <w:tcW w:w="1418" w:type="dxa"/>
            <w:tcBorders>
              <w:tl2br w:val="nil"/>
              <w:tr2bl w:val="nil"/>
            </w:tcBorders>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单机芯左边道</w:t>
            </w:r>
          </w:p>
        </w:tc>
        <w:tc>
          <w:tcPr>
            <w:tcW w:w="5978" w:type="dxa"/>
            <w:tcBorders>
              <w:tl2br w:val="nil"/>
              <w:tr2bl w:val="nil"/>
            </w:tcBorders>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尺寸：1400×200×980±10mm</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材质：304拉丝不锈钢，上盖国标1.5mm，机身国标1.2mm</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通道宽：600mm-850mm</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通行方式：单向/双向</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读写方式：IC卡/ID卡/磁卡/条码仪等</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电源：AC220V</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工作环境温度：-15℃—75℃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相对湿度：小于95%，不凝露</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输入接口：开关信号（COM口为地）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通信接口：RS485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驱动电机：无刷电机 30W/24V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翼门运行时间：约2s </w:t>
            </w:r>
          </w:p>
        </w:tc>
        <w:tc>
          <w:tcPr>
            <w:tcW w:w="904" w:type="dxa"/>
            <w:tcBorders>
              <w:tl2br w:val="nil"/>
              <w:tr2bl w:val="nil"/>
            </w:tcBorders>
            <w:vAlign w:val="center"/>
          </w:tcPr>
          <w:p>
            <w:pPr>
              <w:widowControl/>
              <w:spacing w:line="360" w:lineRule="exact"/>
              <w:jc w:val="righ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17</w:t>
            </w:r>
          </w:p>
        </w:tc>
        <w:tc>
          <w:tcPr>
            <w:tcW w:w="1418" w:type="dxa"/>
            <w:tcBorders>
              <w:tl2br w:val="nil"/>
              <w:tr2bl w:val="nil"/>
            </w:tcBorders>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单机芯右边道</w:t>
            </w:r>
          </w:p>
        </w:tc>
        <w:tc>
          <w:tcPr>
            <w:tcW w:w="5978" w:type="dxa"/>
            <w:tcBorders>
              <w:tl2br w:val="nil"/>
              <w:tr2bl w:val="nil"/>
            </w:tcBorders>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尺寸：1400×200×980±10mm</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材质：304拉丝不锈钢，上盖国标1.5mm，机身国标1.2mm</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通道宽：600mm-850mm</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通行方式：单向/双向</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读写方式：IC卡/ID卡/磁卡/条码仪等</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电源：AC220V</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工作环境温度：-15℃—75℃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相对湿度：小于95%，不凝露</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输入接口：开关信号（COM口为地）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通信接口：RS485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驱动电机：无刷电机 30W/24V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翼门运行时间:约2s </w:t>
            </w:r>
          </w:p>
        </w:tc>
        <w:tc>
          <w:tcPr>
            <w:tcW w:w="904" w:type="dxa"/>
            <w:tcBorders>
              <w:tl2br w:val="nil"/>
              <w:tr2bl w:val="nil"/>
            </w:tcBorders>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1418" w:type="dxa"/>
            <w:tcBorders>
              <w:tl2br w:val="nil"/>
              <w:tr2bl w:val="nil"/>
            </w:tcBorders>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双机芯中间道</w:t>
            </w:r>
          </w:p>
        </w:tc>
        <w:tc>
          <w:tcPr>
            <w:tcW w:w="5978" w:type="dxa"/>
            <w:tcBorders>
              <w:tl2br w:val="nil"/>
              <w:tr2bl w:val="nil"/>
            </w:tcBorders>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尺寸:1400×200×980±10mm</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材质：304拉丝不锈钢，上盖国标1.5mm，机身国标1.2mm</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通道宽：600mm-850mm</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通行方式:单向/双向</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读写方式:IC卡/ID卡/磁卡/条码仪等</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电源:AC220V</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工作环境温度：-15℃—75℃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相对湿度：小于95%，不凝露</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输入接口：开关信号（COM口为地）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通信接口：RS485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驱动电机：无刷电机 30W/24V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翼门运行时间:约2s </w:t>
            </w:r>
          </w:p>
        </w:tc>
        <w:tc>
          <w:tcPr>
            <w:tcW w:w="904" w:type="dxa"/>
            <w:tcBorders>
              <w:tl2br w:val="nil"/>
              <w:tr2bl w:val="nil"/>
            </w:tcBorders>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19</w:t>
            </w:r>
          </w:p>
        </w:tc>
        <w:tc>
          <w:tcPr>
            <w:tcW w:w="1418" w:type="dxa"/>
            <w:tcBorders>
              <w:tl2br w:val="nil"/>
              <w:tr2bl w:val="nil"/>
            </w:tcBorders>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Mifare读卡器套件</w:t>
            </w:r>
          </w:p>
        </w:tc>
        <w:tc>
          <w:tcPr>
            <w:tcW w:w="5978" w:type="dxa"/>
            <w:tcBorders>
              <w:tl2br w:val="nil"/>
              <w:tr2bl w:val="nil"/>
            </w:tcBorders>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采用高性能高速处理器；</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防静电、防错接等多重保护设计</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接线简单、方便、易维护</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抗金属屏蔽和读卡器相互干扰能力强</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高导热环氧树脂封装，易散热，防护性能好；</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蜂鸣器声音清脆响亮，不会受干扰变调，带LED呼吸灯显示</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卡片类型：MF、CPU、13.56Mhz/2.4G手机卡、NFC</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通讯方式：可选485、韦根</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读卡时间&lt;300ms</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感应距离：3-8cm</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外壳：黑色ABS/PC材料</w:t>
            </w:r>
          </w:p>
        </w:tc>
        <w:tc>
          <w:tcPr>
            <w:tcW w:w="904" w:type="dxa"/>
            <w:tcBorders>
              <w:tl2br w:val="nil"/>
              <w:tr2bl w:val="nil"/>
            </w:tcBorders>
            <w:vAlign w:val="center"/>
          </w:tcPr>
          <w:p>
            <w:pPr>
              <w:widowControl/>
              <w:spacing w:line="360" w:lineRule="exact"/>
              <w:jc w:val="righ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418" w:type="dxa"/>
            <w:tcBorders>
              <w:tl2br w:val="nil"/>
              <w:tr2bl w:val="nil"/>
            </w:tcBorders>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控制器</w:t>
            </w:r>
          </w:p>
        </w:tc>
        <w:tc>
          <w:tcPr>
            <w:tcW w:w="5978" w:type="dxa"/>
            <w:tcBorders>
              <w:tl2br w:val="nil"/>
              <w:tr2bl w:val="nil"/>
            </w:tcBorders>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采用32位ARM芯片和嵌入式操作系统；支持10M/100M自适应；可扩展CDMA、GPRS、WiFi无线通信；可设置7种假日类型，64个假日；四种时段组类型，每类型最多32组；</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多卡认证，最多8张卡；可选择显示刷卡人姓名，卡号，个人编号，帐号等；支持远程开门，远程继电器响应；可通过TCP/IP实现在线升级；USB接口，可传输参数和升级程序；支持同卡延时和开门延时。控制门数4门，</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连接韦根读卡器4个，连接485读卡器8个，门磁信号4个，出门按钮信号4个，开门继电器4个，报警继电器4个，防撬开关1个，卡片容量 10万张。</w:t>
            </w:r>
          </w:p>
        </w:tc>
        <w:tc>
          <w:tcPr>
            <w:tcW w:w="904" w:type="dxa"/>
            <w:tcBorders>
              <w:tl2br w:val="nil"/>
              <w:tr2bl w:val="nil"/>
            </w:tcBorders>
            <w:vAlign w:val="center"/>
          </w:tcPr>
          <w:p>
            <w:pPr>
              <w:widowControl/>
              <w:spacing w:line="360" w:lineRule="exact"/>
              <w:jc w:val="righ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21</w:t>
            </w:r>
          </w:p>
        </w:tc>
        <w:tc>
          <w:tcPr>
            <w:tcW w:w="1418" w:type="dxa"/>
            <w:tcBorders>
              <w:tl2br w:val="nil"/>
              <w:tr2bl w:val="nil"/>
            </w:tcBorders>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CPU智能识别组件（室外）</w:t>
            </w:r>
          </w:p>
        </w:tc>
        <w:tc>
          <w:tcPr>
            <w:tcW w:w="5978" w:type="dxa"/>
            <w:tcBorders>
              <w:tl2br w:val="nil"/>
              <w:tr2bl w:val="nil"/>
            </w:tcBorders>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 xml:space="preserve">CPU：1.8G双核+1.5G A53四核+GPU                                                                                                                                                                                 内存：2G DDR4标准 可扩展为4G DDR4                                                                                                                                                              FLASH：8G EMMC标准 可扩展为16G EMMC                                                                                                                                                    操作系统：安卓7.1                                                                                                                                                       显示方式：8英寸宽温IPS屏显示                                                                                                                                                                                   键盘类型：电容式触摸按键                                                                    支持人体测温功能                                                                         通讯接口：TCP/IP、WIFI、TCP/IP、RS-485、韦根、RS232                                                                                                                                                                                       升级方式：TCP/IP，串口，U盘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显示范围：分辨率800*1280                                                                                                                                                        支持卡类型：支持CPU卡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扫码头：分辨率640*480，最小解析度7mil，识读距离QR:1~10CM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 xml:space="preserve">读卡距离：≤5CM                                                                                                                                                                                支持PSAM卡加密：标准配置1个PSAM卡槽                                                                                                                                                                               </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允许室外使用</w:t>
            </w:r>
          </w:p>
        </w:tc>
        <w:tc>
          <w:tcPr>
            <w:tcW w:w="904" w:type="dxa"/>
            <w:tcBorders>
              <w:tl2br w:val="nil"/>
              <w:tr2bl w:val="nil"/>
            </w:tcBorders>
            <w:vAlign w:val="center"/>
          </w:tcPr>
          <w:p>
            <w:pPr>
              <w:widowControl/>
              <w:spacing w:line="360" w:lineRule="exact"/>
              <w:jc w:val="righ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22</w:t>
            </w:r>
          </w:p>
        </w:tc>
        <w:tc>
          <w:tcPr>
            <w:tcW w:w="1418" w:type="dxa"/>
            <w:tcBorders>
              <w:tl2br w:val="nil"/>
              <w:tr2bl w:val="nil"/>
            </w:tcBorders>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遥控器</w:t>
            </w:r>
          </w:p>
        </w:tc>
        <w:tc>
          <w:tcPr>
            <w:tcW w:w="5978" w:type="dxa"/>
            <w:tcBorders>
              <w:tl2br w:val="nil"/>
              <w:tr2bl w:val="nil"/>
            </w:tcBorders>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配合DS-K3B601系列人员通道使用</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支持开门、常开、取消常开；</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发射频率：433MHz。</w:t>
            </w:r>
          </w:p>
        </w:tc>
        <w:tc>
          <w:tcPr>
            <w:tcW w:w="904" w:type="dxa"/>
            <w:tcBorders>
              <w:tl2br w:val="nil"/>
              <w:tr2bl w:val="nil"/>
            </w:tcBorders>
            <w:vAlign w:val="center"/>
          </w:tcPr>
          <w:p>
            <w:pPr>
              <w:widowControl/>
              <w:spacing w:line="360" w:lineRule="exact"/>
              <w:jc w:val="right"/>
              <w:textAlignment w:val="center"/>
              <w:rPr>
                <w:rFonts w:ascii="宋体" w:hAnsi="宋体" w:cs="宋体"/>
                <w:color w:val="auto"/>
                <w:kern w:val="0"/>
                <w:sz w:val="22"/>
                <w:highlight w:val="none"/>
              </w:rPr>
            </w:pPr>
            <w:r>
              <w:rPr>
                <w:rFonts w:hint="eastAsia" w:ascii="宋体" w:hAnsi="宋体" w:cs="宋体"/>
                <w:color w:val="auto"/>
                <w:kern w:val="0"/>
                <w:sz w:val="22"/>
                <w:highlight w:val="none"/>
                <w:lang w:bidi="ar"/>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23</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48盘位云存储设备</w:t>
            </w:r>
          </w:p>
        </w:tc>
        <w:tc>
          <w:tcPr>
            <w:tcW w:w="5978" w:type="dxa"/>
            <w:tcBorders>
              <w:tl2br w:val="nil"/>
              <w:tr2bl w:val="nil"/>
            </w:tcBorders>
            <w:vAlign w:val="center"/>
          </w:tcPr>
          <w:p>
            <w:pPr>
              <w:widowControl/>
              <w:numPr>
                <w:ilvl w:val="0"/>
                <w:numId w:val="27"/>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Intel 64位多核处理器，内存：8GB，单控制器                                                                                                                                2.设备≤4U高度，≥48盘位，控制器架构，支持千兆GE口和万兆10GE口，支持端口链路聚合、负载均衡                                                    3.★元数据采用副本方式保存，最大可达50个副本；在元数据节点全部损坏的情况下，从已有的存储节点中恢复系统元数据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4.系统支持全对称架构和非对称架构两种自由切换，支持无缝扩展，及多租户空间部署；在全对称架构下，无元数据服务器，可由纯数据节点（存储节点）构成，最小系统组网配置可由一台数据节点独立工作，即单节点成云，并能最大扩展到4096台                                                                    5.系统应支持H.264\SVAC\H.265等视频编码格式和G.711、AAC等音频编码格式，支持接入4K前端，进行音视频的混合同步存取 </w:t>
            </w:r>
          </w:p>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6.★支持对云存储系统中的历史视频、图片中出现的行人进行属性分析，支持行人年龄段、性别、上衣颜色、上衣款式、下衣颜色、下衣款式、鞋子、身姿、携包、发型等属性识别，并将抓拍的小图以及场景大图存入云存储系统（</w:t>
            </w:r>
            <w:r>
              <w:rPr>
                <w:rFonts w:hint="eastAsia" w:ascii="宋体" w:hAnsi="宋体" w:cs="宋体"/>
                <w:b/>
                <w:bCs/>
                <w:color w:val="auto"/>
                <w:kern w:val="0"/>
                <w:sz w:val="22"/>
                <w:highlight w:val="none"/>
              </w:rPr>
              <w:t>提供相应截图证明加盖投标人公章作为证明</w:t>
            </w:r>
            <w:r>
              <w:rPr>
                <w:rFonts w:hint="eastAsia" w:ascii="宋体" w:hAnsi="宋体" w:cs="宋体"/>
                <w:color w:val="auto"/>
                <w:kern w:val="0"/>
                <w:sz w:val="22"/>
                <w:highlight w:val="none"/>
              </w:rPr>
              <w:t>）                                                                                      7.支持实时和离线结构化数据接入，实时性能不低于3万条/秒                                                                                      8.集群内节点读写实时任务数负载压力差距在1%以内                                                                                               9.★云存储设备支持系统盘关键数据备份到数据盘中，并生成8份副本，系统盘更换或重装后，云存储软件自动从备份数据盘检索最新数据，恢复数据库、配置文件及录像索引文件，将系统盘恢复到故障前状态（</w:t>
            </w:r>
            <w:r>
              <w:rPr>
                <w:rFonts w:hint="eastAsia" w:ascii="宋体" w:hAnsi="宋体" w:cs="宋体"/>
                <w:b/>
                <w:bCs/>
                <w:color w:val="auto"/>
                <w:kern w:val="0"/>
                <w:sz w:val="22"/>
                <w:highlight w:val="none"/>
              </w:rPr>
              <w:t>提供具备国家认可的相应资质的检测机构出具的检测报告加盖投标人公章作为证明</w:t>
            </w:r>
            <w:r>
              <w:rPr>
                <w:rFonts w:hint="eastAsia" w:ascii="宋体" w:hAnsi="宋体" w:cs="宋体"/>
                <w:color w:val="auto"/>
                <w:kern w:val="0"/>
                <w:sz w:val="22"/>
                <w:highlight w:val="none"/>
              </w:rPr>
              <w:t xml:space="preserve">）                                                                                                         10.★单节点图片写入性能19000张/s，单节点图片写入14000张/s，并发读取14000张/s，节点数量增加后，性能线性增加                                        11.支持1台存储节点批量并发下载录像，千兆网络下，客户端下载速度不低于900MByte/s，万兆网络下，客户端下载速度不低于2000MByte/s。                                             </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24</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电池模块</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云存储电池模块</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700W电源模块</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云存储700W电源模块</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26</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8T硬盘</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一体化SATA硬盘8TB</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27</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摄像机授权</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摄像机授权</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28</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视频综合管理平台</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1.支持视频巡逻路线功能，支持视频巡逻，选择地图上的摄像机添加到收藏夹，可以执行视频巡逻，巡逻过程中地图会自动聚焦到当前摄像机。                                         2.★支持对摄像机进行快捷回放；支持录像分段回放，把某监控点视频录像自动平均分成若干段，同时播放；支持录像分段下载，可实时显示下载进度，可暂停或取消下载；支持录像下载权限控制管理。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3.选择热点点位进行视频播放，可自动开启该热点周边的摄像机进行同步视频播放，切换热点可重新计算周边点位并进行视频播放；支持实时视频及录像回放的网格追踪。                                          4.8GB内存，1TB*2硬盘，GE*3网口，1个RS232口，1个RS232/RS485复用口，4个USB接口，1个HDMI视频输出接口，1个VGA视频输出接口。</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5.支持可视域管理及动态可视域，地图上标定摄像机后，摄像机的监控范围可在地图上展示，云台摄像机的摄像场景可随云台转动与地图上可视域的方向同步。                                                  6.支持按防区实现的视频实时预览，录像回放及下载，视频巡逻等业务。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7.★支持用户个人案件信息管理，支持案事件与视频、卡口图片数据、地图及各类格式附件的关联与融合，支持录入报案人、涉案人，建立案件档案；支持添加案件相关的信息：类型、性质，名称、发现方式、时间、地点、处理人等，可对报警人、涉案人、涉案车辆、涉案物品、涉案场景配置。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8.★抓拍地点、时间对人检索：10000亿的交通数据，可根据抓拍地点、时间等内容对行人进行检索，秒级（1秒以内）呈现出结果。(</w:t>
            </w:r>
            <w:r>
              <w:rPr>
                <w:rFonts w:hint="eastAsia" w:ascii="宋体" w:hAnsi="宋体" w:cs="宋体"/>
                <w:b/>
                <w:bCs/>
                <w:color w:val="auto"/>
                <w:kern w:val="0"/>
                <w:sz w:val="22"/>
                <w:highlight w:val="none"/>
              </w:rPr>
              <w:t>提供具备国家认可的相应资质的检测机构出具的检测报告加盖投标人公章作为证明</w:t>
            </w:r>
            <w:r>
              <w:rPr>
                <w:rFonts w:hint="eastAsia" w:ascii="宋体" w:hAnsi="宋体" w:cs="宋体"/>
                <w:color w:val="auto"/>
                <w:kern w:val="0"/>
                <w:sz w:val="22"/>
                <w:highlight w:val="none"/>
              </w:rPr>
              <w:t xml:space="preserve">)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9.★多条件组合检索：10000亿的交通数据，根据车牌号码（支持不完整车牌）、抓拍地点、车牌颜色、车身颜色、车道号、车速、行驶方向、车辆处理状态、车辆类型进行多条件组合查询，秒级（1秒以内）呈现出结果。(</w:t>
            </w:r>
            <w:r>
              <w:rPr>
                <w:rFonts w:hint="eastAsia" w:ascii="宋体" w:hAnsi="宋体" w:cs="宋体"/>
                <w:b/>
                <w:bCs/>
                <w:color w:val="auto"/>
                <w:kern w:val="0"/>
                <w:sz w:val="22"/>
                <w:highlight w:val="none"/>
              </w:rPr>
              <w:t>提供具备国家认可的相应资质的检测机构出具的检测报告加盖投标人公章作为证明</w:t>
            </w:r>
            <w:r>
              <w:rPr>
                <w:rFonts w:hint="eastAsia" w:ascii="宋体" w:hAnsi="宋体" w:cs="宋体"/>
                <w:color w:val="auto"/>
                <w:kern w:val="0"/>
                <w:sz w:val="22"/>
                <w:highlight w:val="none"/>
              </w:rPr>
              <w:t xml:space="preserve">)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10.支持查看告警信息、基本车辆信息、告警图片和告警视频，支持自定义告警视频的警前警后时间。                                              11.添加布控规则，可指定用户可见布控规则、布控告警查询（车辆管控，卡口告警，布控告警）。                                             12.系统对总报警数、监控点报警数、设备报警书进行统计的功能。                                                      13.★支持多地址转发，断网重传（网络不通时，保留数据，等待网络重新连接后自动上传）。                                                   14. 支持监控中心与各管理员之间文字、图片、报警信息、实况场景及录像链接的传输，支持本域及跨域用户间群聊，(</w:t>
            </w:r>
            <w:r>
              <w:rPr>
                <w:rFonts w:hint="eastAsia" w:ascii="宋体" w:hAnsi="宋体" w:cs="宋体"/>
                <w:b/>
                <w:bCs/>
                <w:color w:val="auto"/>
                <w:kern w:val="0"/>
                <w:sz w:val="22"/>
                <w:highlight w:val="none"/>
              </w:rPr>
              <w:t>提供具备国家认可的相应资质的检测机构出具的检测报告加盖投标人公章作为证明</w:t>
            </w:r>
            <w:r>
              <w:rPr>
                <w:rFonts w:hint="eastAsia" w:ascii="宋体" w:hAnsi="宋体" w:cs="宋体"/>
                <w:color w:val="auto"/>
                <w:kern w:val="0"/>
                <w:sz w:val="22"/>
                <w:highlight w:val="none"/>
              </w:rPr>
              <w:t>)。</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15.设备资源分层显示功能：可以在地图上根据不同的图层显示不同的设备，图层可按摄像机、门禁、对讲、报警设备等分类，可显示、隐藏各图层，</w:t>
            </w:r>
            <w:r>
              <w:rPr>
                <w:rFonts w:hint="eastAsia" w:ascii="宋体" w:hAnsi="宋体" w:cs="宋体"/>
                <w:b/>
                <w:bCs/>
                <w:color w:val="auto"/>
                <w:kern w:val="0"/>
                <w:sz w:val="22"/>
                <w:highlight w:val="none"/>
              </w:rPr>
              <w:t>提供具备国家认可的相应资质的检测机构出具的检测报告加盖投标人公章作为证明</w:t>
            </w:r>
            <w:r>
              <w:rPr>
                <w:rFonts w:hint="eastAsia" w:ascii="宋体" w:hAnsi="宋体" w:cs="宋体"/>
                <w:color w:val="auto"/>
                <w:kern w:val="0"/>
                <w:sz w:val="22"/>
                <w:highlight w:val="none"/>
              </w:rPr>
              <w:t>。</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16.报警记录功能：管理平台收到来自前端设备的报警后，应记录报警的详细信息，如报警源地址、报警源所属组织、报警级别、报警方式、报警类别、报警时间、处警时间、处警结果等，(</w:t>
            </w:r>
            <w:r>
              <w:rPr>
                <w:rFonts w:hint="eastAsia" w:ascii="宋体" w:hAnsi="宋体" w:cs="宋体"/>
                <w:b/>
                <w:bCs/>
                <w:color w:val="auto"/>
                <w:kern w:val="0"/>
                <w:sz w:val="22"/>
                <w:highlight w:val="none"/>
              </w:rPr>
              <w:t>提供具备国家认可的相应资质的检测机构出具的检测报告加盖投标人公章作为证明</w:t>
            </w:r>
            <w:r>
              <w:rPr>
                <w:rFonts w:hint="eastAsia" w:ascii="宋体" w:hAnsi="宋体" w:cs="宋体"/>
                <w:color w:val="auto"/>
                <w:kern w:val="0"/>
                <w:sz w:val="22"/>
                <w:highlight w:val="none"/>
              </w:rPr>
              <w:t>)。</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17. 支持交接班管理功能，支持在地图上快捷键查看实况、开关门、不撤防以及启动对讲、挂断操作。</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18. ★视频巡更功能：通过配置一组摄像机，能够让用户进行手动或者自动巡更，并且能够定时提醒用户开始巡更。用户在巡更过程中发现问题时，可对发生的异常情况手动记录，生成报警日志，后续能够根据日志查询当时的录像。可查询巡更统计信息，</w:t>
            </w:r>
            <w:r>
              <w:rPr>
                <w:rFonts w:hint="eastAsia" w:ascii="宋体" w:hAnsi="宋体" w:cs="宋体"/>
                <w:b/>
                <w:bCs/>
                <w:color w:val="auto"/>
                <w:kern w:val="0"/>
                <w:sz w:val="22"/>
                <w:highlight w:val="none"/>
              </w:rPr>
              <w:t>提供具备国家认可的相应资质的检测机构出具的检测报告加盖投标人公章作为证明</w:t>
            </w:r>
            <w:r>
              <w:rPr>
                <w:rFonts w:hint="eastAsia" w:ascii="宋体" w:hAnsi="宋体" w:cs="宋体"/>
                <w:color w:val="auto"/>
                <w:kern w:val="0"/>
                <w:sz w:val="22"/>
                <w:highlight w:val="none"/>
              </w:rPr>
              <w:t>。</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19. ★人数统计显示功能 ：支持人数统计功能，可对重要出入口统计人数，可按照出入口位置、时间段查询统计人员出入情况。支持按照分、时、天、周、月导出人员出入情况的图像化统计报表，</w:t>
            </w:r>
            <w:r>
              <w:rPr>
                <w:rFonts w:hint="eastAsia" w:ascii="宋体" w:hAnsi="宋体" w:cs="宋体"/>
                <w:b/>
                <w:bCs/>
                <w:color w:val="auto"/>
                <w:kern w:val="0"/>
                <w:sz w:val="22"/>
                <w:highlight w:val="none"/>
              </w:rPr>
              <w:t>提供具备国家认可的相应资质的检测机构出具的检测报告加盖投标人公章作为证明</w:t>
            </w:r>
            <w:r>
              <w:rPr>
                <w:rFonts w:hint="eastAsia" w:ascii="宋体" w:hAnsi="宋体" w:cs="宋体"/>
                <w:color w:val="auto"/>
                <w:kern w:val="0"/>
                <w:sz w:val="22"/>
                <w:highlight w:val="none"/>
              </w:rPr>
              <w:t>。</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20. ★卷宗管理功能：可通过时间编号、接警时间、事件名称、事件时间段、处理责任人、处理状态等条件查询卷宗信息，可将监控录像、离线录像、图片、WORD、EXCEL表等和卷宗信息绑定，</w:t>
            </w:r>
            <w:r>
              <w:rPr>
                <w:rFonts w:hint="eastAsia" w:ascii="宋体" w:hAnsi="宋体" w:cs="宋体"/>
                <w:b/>
                <w:bCs/>
                <w:color w:val="auto"/>
                <w:kern w:val="0"/>
                <w:sz w:val="22"/>
                <w:highlight w:val="none"/>
              </w:rPr>
              <w:t>提供具备国家认可的相应资质的检测机构出具的检测报告加盖投标人公章作为证明</w:t>
            </w:r>
            <w:r>
              <w:rPr>
                <w:rFonts w:hint="eastAsia" w:ascii="宋体" w:hAnsi="宋体" w:cs="宋体"/>
                <w:color w:val="auto"/>
                <w:kern w:val="0"/>
                <w:sz w:val="22"/>
                <w:highlight w:val="none"/>
              </w:rPr>
              <w:t>。</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21. 支持自定义报表功能，用户可根据需要将客户端中所有的数据表导出，数据表的数据项目可按客户需求任意定制</w:t>
            </w:r>
          </w:p>
          <w:p>
            <w:pPr>
              <w:widowControl/>
              <w:spacing w:line="360" w:lineRule="exact"/>
              <w:jc w:val="left"/>
              <w:rPr>
                <w:rFonts w:ascii="宋体" w:hAnsi="宋体" w:cs="宋体"/>
                <w:b/>
                <w:bCs/>
                <w:color w:val="auto"/>
                <w:kern w:val="0"/>
                <w:sz w:val="22"/>
                <w:highlight w:val="none"/>
              </w:rPr>
            </w:pPr>
            <w:r>
              <w:rPr>
                <w:rFonts w:hint="eastAsia" w:ascii="宋体" w:hAnsi="宋体" w:cs="宋体"/>
                <w:color w:val="auto"/>
                <w:kern w:val="0"/>
                <w:sz w:val="22"/>
                <w:highlight w:val="none"/>
              </w:rPr>
              <w:t>22. ★人员管理功能： 支持巡更记录关联卷宗记录，支持人脸识别自动抓拍，支持通过人脸识别进行人员点名，</w:t>
            </w:r>
            <w:r>
              <w:rPr>
                <w:rFonts w:hint="eastAsia" w:ascii="宋体" w:hAnsi="宋体" w:cs="宋体"/>
                <w:b/>
                <w:bCs/>
                <w:color w:val="auto"/>
                <w:kern w:val="0"/>
                <w:sz w:val="22"/>
                <w:highlight w:val="none"/>
              </w:rPr>
              <w:t>提供具备国家认可的相应资质的检测机构出具的检测报告加盖投标人公章作为证明。</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23. 支持根据报警设备、报警类型、报警级别、报警处理状态等条件来筛选查询报警信息。</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24. 支持对报警进行分组显示及统计报警数量，分组可定义，支持报警分级转发，支持在电子地图上对前端报警设备进行定位。</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29</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超融合智能分析平台一体机</w:t>
            </w:r>
          </w:p>
        </w:tc>
        <w:tc>
          <w:tcPr>
            <w:tcW w:w="5978" w:type="dxa"/>
            <w:tcBorders>
              <w:tl2br w:val="nil"/>
              <w:tr2bl w:val="nil"/>
            </w:tcBorders>
            <w:vAlign w:val="center"/>
          </w:tcPr>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1.支持人脸识别、视频结构化、行为分析等智能分析功能，含24盘位存储，不高于4U。</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★2.人脸抓拍功能：支持将前端人脸抓拍前端摄像机抓拍的大图和小图保存至云存储系统。</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3.人脸轨迹功能：支持将人脸图片与云检索系统中保存的多个摄像机的抓拍图片库进行比对，将相似的抓拍图片，从云存储系统中读取出来，显示到地图客户端，并画出人员轨迹，支持以时间、相似度为条件，进行人脸图片在历史信息中查询并在电子地图上展示运动轨迹功能。</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★4.支持车型识别：支持前端卡口摄像机过车图片保存到云存储系统，能从云存储系统将过车图片读取出来，分析车标、车系、年份、车身颜色、车型分类。</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★5.行为分析联动录像的保存；支持对各项行为分析进行检测并报警，将报警联动的录像存储到云存储系统中：如：物品遗留、物品拿取、密度检测、人员逆行、徘徊、流量统计、区域入侵等行为分析。</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6.以图搜图：支持对云存储系统中的智能信息，在检索区域搜索出与目标图片相似的图片、检索区域和相似度可调，支持颜色及物体形态的搜索。</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7.智能检索：支持对云存储系统中的智能信息、按照绊线、区域等智能视频分析规则，对智能信息进行分类检索。</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8.支持视频亮度异常检测、偏色检测、视频信号丢失检测、对比度异常检测、画面冻结检测、图像模糊检测、噪声检测，横纹检测。支持针对单个摄像机微调诊断标准。</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9.支持对云存储系统中的历史视频、图片中出现的行人进行属性分析，支持行人年龄段、性别、上衣颜色、上衣款式、下衣颜色、下衣款式、鞋子、身姿、携包、发型等属性识别，并将抓拍的小图以及场景大图存入云存储系统。</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10.支持160张/秒人脸图片识别分析</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11.支持12路视频流行为分析。</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12.支持12路视频结构化任务分析。</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13.支持实时和离线结构化数据接入，实时性能不低于3万条/秒。</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14.云存储系统结合大数据组件，在万亿大数据条件下，根据车辆类型、车牌号码、抓拍地点、车牌颜色、车身颜色、车道号、车速、行驶方向、车辆处理状态、违法类型、异常状态等内容对机动车过车、机动车违法、非机动车、行人进行检索，1秒以内返回结果；支持模糊检索。</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★15.可以将存储设备中剩余的CPU\内存资源或独立计算板卡中的CPU\内存资源做统一池化，形成计算资源池。可以按需分配计算资源用于安装其他服务软件。</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16.可以在存储设备中插入GPU模块，提供智能分析能力，且可以将云存储系统中所有GPU模块做统一池化，形成智能资源池。可以按需分配智能资源用于进行人脸比对，行为分析，车型分析，视频结构化分析等各类智能分析业务。且可在做完某项智能任务后回收智能资源用于其他智能任务。</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★17.超融合云存储支持对虚拟机进行热迁移，迁移过程中，业务不中断，数据不丢失，切换时间小于5s。支持跨主机、跨集群迁移。</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18.超融合云存储支持对虚拟机进行状态监测，当虚拟机在一定阈值时间内无响应时，可自动快速重启恢复业务。恢复时间小于5s。</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19.超融合云存储支持对虚拟机做虚拟化HA，无论集群中哪台物理机中的哪个虚拟机出现故障，都可在任意一台具备恢复能力的物理机上自动恢复业务，无需人工干预。恢复时间小于5s。</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20.超融合云存储支持配置虚拟机模板，配置好后可以按需快速启用相同业务的虚拟机，无需重复操作系统安装、软件安装等工作。</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★21. 超融合云存储支持CDP持续数据保护技术，可将虚拟机的数据恢复到故障发生前的任意时刻，且恢复时间小于5分钟。</w:t>
            </w:r>
          </w:p>
          <w:p>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22.配置清单：</w:t>
            </w:r>
          </w:p>
          <w:p>
            <w:pPr>
              <w:widowControl/>
              <w:numPr>
                <w:ilvl w:val="0"/>
                <w:numId w:val="28"/>
              </w:numPr>
              <w:spacing w:line="360" w:lineRule="exact"/>
              <w:jc w:val="left"/>
              <w:rPr>
                <w:rFonts w:ascii="宋体" w:hAnsi="宋体" w:cs="宋体"/>
                <w:color w:val="auto"/>
                <w:sz w:val="22"/>
                <w:highlight w:val="none"/>
              </w:rPr>
            </w:pPr>
            <w:r>
              <w:rPr>
                <w:rFonts w:hint="eastAsia" w:ascii="宋体" w:hAnsi="宋体" w:cs="宋体"/>
                <w:color w:val="auto"/>
                <w:sz w:val="22"/>
                <w:highlight w:val="none"/>
              </w:rPr>
              <w:t>系统盘 1台</w:t>
            </w:r>
          </w:p>
          <w:p>
            <w:pPr>
              <w:widowControl/>
              <w:numPr>
                <w:ilvl w:val="0"/>
                <w:numId w:val="28"/>
              </w:numPr>
              <w:spacing w:line="360" w:lineRule="exact"/>
              <w:jc w:val="left"/>
              <w:rPr>
                <w:rFonts w:ascii="宋体" w:hAnsi="宋体" w:cs="宋体"/>
                <w:color w:val="auto"/>
                <w:sz w:val="22"/>
                <w:highlight w:val="none"/>
              </w:rPr>
            </w:pPr>
            <w:r>
              <w:rPr>
                <w:rFonts w:hint="eastAsia" w:ascii="宋体" w:hAnsi="宋体" w:cs="宋体"/>
                <w:color w:val="auto"/>
                <w:sz w:val="22"/>
                <w:highlight w:val="none"/>
              </w:rPr>
              <w:t>智能卡(含2颗芯片) 4张</w:t>
            </w:r>
          </w:p>
          <w:p>
            <w:pPr>
              <w:widowControl/>
              <w:numPr>
                <w:ilvl w:val="0"/>
                <w:numId w:val="28"/>
              </w:numPr>
              <w:spacing w:line="360" w:lineRule="exact"/>
              <w:jc w:val="left"/>
              <w:rPr>
                <w:rFonts w:ascii="宋体" w:hAnsi="宋体" w:cs="宋体"/>
                <w:color w:val="auto"/>
                <w:sz w:val="22"/>
                <w:highlight w:val="none"/>
              </w:rPr>
            </w:pPr>
            <w:r>
              <w:rPr>
                <w:rFonts w:hint="eastAsia" w:ascii="宋体" w:hAnsi="宋体" w:cs="宋体"/>
                <w:color w:val="auto"/>
                <w:sz w:val="22"/>
                <w:highlight w:val="none"/>
              </w:rPr>
              <w:t>电池模块 2个</w:t>
            </w:r>
          </w:p>
          <w:p>
            <w:pPr>
              <w:widowControl/>
              <w:numPr>
                <w:ilvl w:val="0"/>
                <w:numId w:val="28"/>
              </w:numPr>
              <w:spacing w:line="360" w:lineRule="exact"/>
              <w:jc w:val="left"/>
              <w:rPr>
                <w:rFonts w:ascii="宋体" w:hAnsi="宋体" w:cs="宋体"/>
                <w:color w:val="auto"/>
                <w:sz w:val="22"/>
                <w:highlight w:val="none"/>
              </w:rPr>
            </w:pPr>
            <w:r>
              <w:rPr>
                <w:rFonts w:hint="eastAsia" w:ascii="宋体" w:hAnsi="宋体" w:cs="宋体"/>
                <w:color w:val="auto"/>
                <w:sz w:val="22"/>
                <w:highlight w:val="none"/>
              </w:rPr>
              <w:t>48盘位存储主机扩展GPU转接卡 1个</w:t>
            </w:r>
          </w:p>
          <w:p>
            <w:pPr>
              <w:widowControl/>
              <w:numPr>
                <w:ilvl w:val="0"/>
                <w:numId w:val="28"/>
              </w:numPr>
              <w:spacing w:line="360" w:lineRule="exact"/>
              <w:jc w:val="left"/>
              <w:rPr>
                <w:rFonts w:ascii="宋体" w:hAnsi="宋体" w:cs="宋体"/>
                <w:color w:val="auto"/>
                <w:sz w:val="22"/>
                <w:highlight w:val="none"/>
              </w:rPr>
            </w:pPr>
            <w:r>
              <w:rPr>
                <w:rFonts w:hint="eastAsia" w:ascii="宋体" w:hAnsi="宋体" w:cs="宋体"/>
                <w:color w:val="auto"/>
                <w:sz w:val="22"/>
                <w:highlight w:val="none"/>
              </w:rPr>
              <w:t>单颗GPU芯片视频结构化授权，并发分析4路1080P视频流 2套</w:t>
            </w:r>
          </w:p>
          <w:p>
            <w:pPr>
              <w:widowControl/>
              <w:numPr>
                <w:ilvl w:val="0"/>
                <w:numId w:val="28"/>
              </w:numPr>
              <w:spacing w:line="360" w:lineRule="exact"/>
              <w:jc w:val="left"/>
              <w:rPr>
                <w:rFonts w:ascii="宋体" w:hAnsi="宋体" w:cs="宋体"/>
                <w:color w:val="auto"/>
                <w:sz w:val="22"/>
                <w:highlight w:val="none"/>
              </w:rPr>
            </w:pPr>
            <w:r>
              <w:rPr>
                <w:rFonts w:hint="eastAsia" w:ascii="宋体" w:hAnsi="宋体" w:cs="宋体"/>
                <w:color w:val="auto"/>
                <w:kern w:val="0"/>
                <w:sz w:val="22"/>
                <w:highlight w:val="none"/>
                <w:lang w:bidi="ar"/>
              </w:rPr>
              <w:t xml:space="preserve">单颗GPU芯片行为分析授权，并发分析6路1080P视频流2套 </w:t>
            </w:r>
          </w:p>
          <w:p>
            <w:pPr>
              <w:widowControl/>
              <w:numPr>
                <w:ilvl w:val="0"/>
                <w:numId w:val="28"/>
              </w:numPr>
              <w:spacing w:line="360" w:lineRule="exact"/>
              <w:jc w:val="left"/>
              <w:rPr>
                <w:rFonts w:ascii="宋体" w:hAnsi="宋体" w:cs="宋体"/>
                <w:color w:val="auto"/>
                <w:sz w:val="22"/>
                <w:highlight w:val="none"/>
              </w:rPr>
            </w:pPr>
            <w:r>
              <w:rPr>
                <w:rFonts w:hint="eastAsia" w:ascii="宋体" w:hAnsi="宋体" w:cs="宋体"/>
                <w:color w:val="auto"/>
                <w:kern w:val="0"/>
                <w:sz w:val="22"/>
                <w:highlight w:val="none"/>
                <w:lang w:bidi="ar"/>
              </w:rPr>
              <w:t xml:space="preserve">单颗GPU芯片人脸业务授权，并发分析4路1080P视频流或并发分析32张/秒(人脸小图)，400W像素性能为2/3，600~900W像素性能为1/2 12块   </w:t>
            </w:r>
          </w:p>
          <w:p>
            <w:pPr>
              <w:widowControl/>
              <w:numPr>
                <w:ilvl w:val="0"/>
                <w:numId w:val="28"/>
              </w:numPr>
              <w:spacing w:line="360" w:lineRule="exact"/>
              <w:jc w:val="left"/>
              <w:rPr>
                <w:rFonts w:ascii="宋体" w:hAnsi="宋体" w:cs="宋体"/>
                <w:color w:val="auto"/>
                <w:sz w:val="22"/>
                <w:highlight w:val="none"/>
              </w:rPr>
            </w:pPr>
            <w:r>
              <w:rPr>
                <w:rFonts w:hint="eastAsia" w:ascii="宋体" w:hAnsi="宋体" w:cs="宋体"/>
                <w:color w:val="auto"/>
                <w:kern w:val="0"/>
                <w:sz w:val="22"/>
                <w:highlight w:val="none"/>
                <w:lang w:bidi="ar"/>
              </w:rPr>
              <w:t>48盘位双控存储</w:t>
            </w:r>
            <w:r>
              <w:rPr>
                <w:rFonts w:hint="eastAsia" w:ascii="宋体" w:hAnsi="宋体" w:cs="宋体"/>
                <w:color w:val="auto"/>
                <w:kern w:val="0"/>
                <w:sz w:val="22"/>
                <w:highlight w:val="none"/>
                <w:lang w:eastAsia="zh-CN" w:bidi="ar"/>
              </w:rPr>
              <w:t>，</w:t>
            </w:r>
            <w:r>
              <w:rPr>
                <w:rFonts w:hint="eastAsia" w:ascii="宋体" w:hAnsi="宋体" w:cs="宋体"/>
                <w:color w:val="auto"/>
                <w:kern w:val="0"/>
                <w:sz w:val="22"/>
                <w:highlight w:val="none"/>
                <w:lang w:bidi="ar"/>
              </w:rPr>
              <w:t>一体化监控级SATA硬盘 4套</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30</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GIS实景应用引擎</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模型加载：支持地理信息数据加载，数据源包括：地形数据（DEM）、地表数据（遥感影像）、点线面数据、名称标注（点线面的名称）、用户专业数据以及行业数据（专题数据）、实景模型的加载（倾斜模型）、人工模型加载（3D-MAX模型）（</w:t>
            </w:r>
            <w:r>
              <w:rPr>
                <w:rFonts w:hint="eastAsia" w:ascii="宋体" w:hAnsi="宋体" w:cs="宋体"/>
                <w:b/>
                <w:bCs/>
                <w:color w:val="auto"/>
                <w:kern w:val="0"/>
                <w:sz w:val="22"/>
                <w:highlight w:val="none"/>
              </w:rPr>
              <w:t>提供具备国家认可的相应资质的检测机构出具的检测报告加盖投标人公章作为证明</w:t>
            </w:r>
            <w:r>
              <w:rPr>
                <w:rFonts w:hint="eastAsia" w:ascii="宋体" w:hAnsi="宋体" w:cs="宋体"/>
                <w:color w:val="auto"/>
                <w:kern w:val="0"/>
                <w:sz w:val="22"/>
                <w:highlight w:val="none"/>
              </w:rPr>
              <w:t>）。</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图层管理：具有数据图层列表控件，支持数据图层对的显示和隐藏；图层显示控制，控制某类图层或某个图层对象的显示和隐藏；支持输入关键字查询某个对象；支持选中某个对象，点击可快速定位至该对象所在位置（</w:t>
            </w:r>
            <w:r>
              <w:rPr>
                <w:rFonts w:hint="eastAsia" w:ascii="宋体" w:hAnsi="宋体" w:cs="宋体"/>
                <w:b/>
                <w:bCs/>
                <w:color w:val="auto"/>
                <w:kern w:val="0"/>
                <w:sz w:val="22"/>
                <w:highlight w:val="none"/>
              </w:rPr>
              <w:t>提供具备国家认可的相应资质的检测机构出具的检测报告加盖投标人公章作为证明</w:t>
            </w:r>
            <w:r>
              <w:rPr>
                <w:rFonts w:hint="eastAsia" w:ascii="宋体" w:hAnsi="宋体" w:cs="宋体"/>
                <w:color w:val="auto"/>
                <w:kern w:val="0"/>
                <w:sz w:val="22"/>
                <w:highlight w:val="none"/>
              </w:rPr>
              <w:t>）。</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3.场景展示：支持综合场景展示，加载特定的模型数据，并定位到特定的角度、高度查看实景地图，用于场景定位和设备定位等功能；支持设定多个展示场景，每个场景设定场景加载的模型和不同的专题数据图层，场景的展示参数包括定义位置、方位、视角等设定</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4.漫游：支持按照设定的位置和旋转速度，相对某个区域进行环视漫游。</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5.标签：支持摄像头、传感器等目标的标签设定，并可加载到场景中；支持显示摄像头的名称，点选选择标签，显示标签目标的相关属性信息。</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6.实时视频：支持选择视频标签或视频列表的方式，加载实时视频信息；支持视频云台控制、录像回放功能。</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7.网格追踪：选定某个摄像机，在显示该摄像机视频的同时，根据最近距离、可视关系等条件查询并显示与之相关的多个摄像机的视频数据并将关联的摄像机在地图上显示。</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8.视频可视域：支持在场景中显示摄像机的可视域，可根据要求显示一个、多个或者特定摄像机的可视域。</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9.结构化数据查询：支持查询各个卡口、人脸的实时过车和人脸结构化数据。</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10.视频融合：支持在特定场景中与其相对应的摄像机画面融合。</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11.单体化信息查询：查询某个建筑的信息，包括位置信息和属性信息，可以为单个建筑、某一层或某一户的查询。</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12.人车轨迹查询：支持通过人员、车辆卡口的结构化数据和路网的算法分析，在地图上显示人车轨迹（</w:t>
            </w:r>
            <w:r>
              <w:rPr>
                <w:rFonts w:hint="eastAsia" w:ascii="宋体" w:hAnsi="宋体" w:cs="宋体"/>
                <w:b/>
                <w:bCs/>
                <w:color w:val="auto"/>
                <w:kern w:val="0"/>
                <w:sz w:val="22"/>
                <w:highlight w:val="none"/>
              </w:rPr>
              <w:t>提供具备国家认可的相应资质的检测机构出具的检测报告加盖投标人公章作为证明</w:t>
            </w:r>
            <w:r>
              <w:rPr>
                <w:rFonts w:hint="eastAsia" w:ascii="宋体" w:hAnsi="宋体" w:cs="宋体"/>
                <w:color w:val="auto"/>
                <w:kern w:val="0"/>
                <w:sz w:val="22"/>
                <w:highlight w:val="none"/>
              </w:rPr>
              <w:t>）。</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13.告警查询：支持在系统中查询人车黑名单告警以及设备状态告警。</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31</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2D地图构建服务</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依据CAD图纸或建筑图纸等构建2D地图</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32</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视频安全准入网关</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1.标准1U机架，具有4个1000M光电复用接口、10个1000M RJ45网络接口、1个Console口、1个USB接口，采用AC220V供电。</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2.支持Bypass功能：支持（旁路）断电功能。当设备断电或重启时，系统业务不中断。</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3.支持在线模式、旁路模式。</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4.★支持接入200路码率为4Mbps的视频码流并进行转发。</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5.★支持检测并显示接入前端网络的终端设备；支持将检测到的终端设备上报至后端监控平台，并对该设备状态进行更新和显示；可根据接入网络的设备状态的变化，生成设备接入记录和离开记录。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6.★支持根据IP地址、协议和端口的终端接入控制情况，对接入的终端进行管理和控制；在接入白名单中的终端可正常通信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7.可允许或拒绝指定IP地址的设备访问；支持对指定IP地址的设备进行访问权限控制。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8.★对在白名单中的设备发出的数据报文进行转发，拒绝非白名单中的设备发出的数据报文的转发。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9.当监控平台通过标准协议向前端设备发起媒体流请求后，对应的媒体流可正常进行通信，其余媒体流的通信应被拒绝。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10.★当前端设备在监控平台上线后，该设备能被自动加入到合法设备名单中；当前端设备在监控平台下线后，该设备能自动从合法设备名单中删除。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11.当未授权设备接入指定网络并进行通信时，可拦截报文，并将拦截告警传至监控平台。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12.支持进行旁路镜像组网，在旁路镜像组网下，可阻断未授权数据流的通信。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13.需要与监控系统同一品牌或完全兼容。</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33</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万兆核心交换机</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1．具有2个万兆接入口，4对千兆Combo口（光电复用）、10个千兆电口、1个Console口、1个USB接口。</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2．视频传输能力：≥200路4Mbps并发码流。</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3．能实时发现接入前端网络的网络设备。</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4．能将发现的网络设备上报后端监控平台，并动态更新该设备状态。</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5．能根据网络中设备状态的变化，生成设备接入/离开记录。</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6．能允许或拒绝指定MAC地址的设备进行访问。</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7．能对指定MAC地址的设备进行访问权限控制。</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8．能允许或拒绝指定IP地址的设备对系统进行访问。</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4"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34</w:t>
            </w:r>
          </w:p>
        </w:tc>
        <w:tc>
          <w:tcPr>
            <w:tcW w:w="1418"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辅材</w:t>
            </w:r>
          </w:p>
        </w:tc>
        <w:tc>
          <w:tcPr>
            <w:tcW w:w="5978" w:type="dxa"/>
            <w:tcBorders>
              <w:tl2br w:val="nil"/>
              <w:tr2bl w:val="nil"/>
            </w:tcBorders>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本项目所需的一切辅助材料（报价含到其他分项中，不对此进行单独报价。）</w:t>
            </w:r>
          </w:p>
        </w:tc>
        <w:tc>
          <w:tcPr>
            <w:tcW w:w="904" w:type="dxa"/>
            <w:tcBorders>
              <w:tl2br w:val="nil"/>
              <w:tr2bl w:val="nil"/>
            </w:tcBorders>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1项</w:t>
            </w:r>
          </w:p>
        </w:tc>
      </w:tr>
    </w:tbl>
    <w:p>
      <w:pPr>
        <w:pStyle w:val="2"/>
        <w:spacing w:before="0"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（五）综合布线系统</w:t>
      </w:r>
    </w:p>
    <w:tbl>
      <w:tblPr>
        <w:tblStyle w:val="26"/>
        <w:tblW w:w="8858" w:type="dxa"/>
        <w:jc w:val="center"/>
        <w:tblLayout w:type="fixed"/>
        <w:tblCellMar>
          <w:top w:w="0" w:type="dxa"/>
          <w:left w:w="0" w:type="dxa"/>
          <w:bottom w:w="0" w:type="dxa"/>
          <w:right w:w="0" w:type="dxa"/>
        </w:tblCellMar>
      </w:tblPr>
      <w:tblGrid>
        <w:gridCol w:w="519"/>
        <w:gridCol w:w="923"/>
        <w:gridCol w:w="6246"/>
        <w:gridCol w:w="525"/>
        <w:gridCol w:w="645"/>
      </w:tblGrid>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rPr>
              <w:t>序号</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rPr>
              <w:t>材料名称</w:t>
            </w:r>
          </w:p>
        </w:tc>
        <w:tc>
          <w:tcPr>
            <w:tcW w:w="6246"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pPr>
              <w:widowControl/>
              <w:spacing w:line="360" w:lineRule="exact"/>
              <w:jc w:val="center"/>
              <w:textAlignment w:val="center"/>
              <w:rPr>
                <w:rFonts w:ascii="宋体" w:hAnsi="宋体" w:cs="宋体"/>
                <w:b/>
                <w:color w:val="auto"/>
                <w:kern w:val="0"/>
                <w:sz w:val="22"/>
                <w:highlight w:val="none"/>
              </w:rPr>
            </w:pPr>
            <w:r>
              <w:rPr>
                <w:rFonts w:hint="eastAsia" w:ascii="宋体" w:hAnsi="宋体" w:cs="宋体"/>
                <w:b/>
                <w:color w:val="auto"/>
                <w:kern w:val="0"/>
                <w:sz w:val="22"/>
                <w:highlight w:val="none"/>
              </w:rPr>
              <w:t>主要性能指标</w:t>
            </w:r>
          </w:p>
        </w:tc>
        <w:tc>
          <w:tcPr>
            <w:tcW w:w="525" w:type="dxa"/>
            <w:tcBorders>
              <w:top w:val="single" w:color="auto" w:sz="4" w:space="0"/>
              <w:left w:val="single" w:color="auto" w:sz="4" w:space="0"/>
              <w:bottom w:val="single" w:color="auto" w:sz="4" w:space="0"/>
              <w:right w:val="single" w:color="auto"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b/>
                <w:color w:val="auto"/>
                <w:kern w:val="0"/>
                <w:sz w:val="22"/>
                <w:highlight w:val="none"/>
              </w:rPr>
            </w:pPr>
            <w:r>
              <w:rPr>
                <w:rFonts w:hint="eastAsia" w:ascii="宋体" w:hAnsi="宋体" w:cs="宋体"/>
                <w:b/>
                <w:color w:val="auto"/>
                <w:kern w:val="0"/>
                <w:sz w:val="22"/>
                <w:highlight w:val="none"/>
              </w:rPr>
              <w:t>单位</w:t>
            </w:r>
          </w:p>
        </w:tc>
        <w:tc>
          <w:tcPr>
            <w:tcW w:w="645" w:type="dxa"/>
            <w:tcBorders>
              <w:top w:val="single" w:color="auto" w:sz="4" w:space="0"/>
              <w:left w:val="single" w:color="auto" w:sz="4" w:space="0"/>
              <w:bottom w:val="single" w:color="auto" w:sz="4" w:space="0"/>
              <w:right w:val="single" w:color="auto"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b/>
                <w:color w:val="auto"/>
                <w:kern w:val="0"/>
                <w:sz w:val="22"/>
                <w:highlight w:val="none"/>
              </w:rPr>
            </w:pPr>
            <w:r>
              <w:rPr>
                <w:rFonts w:hint="eastAsia" w:ascii="宋体" w:hAnsi="宋体" w:cs="宋体"/>
                <w:b/>
                <w:color w:val="auto"/>
                <w:kern w:val="0"/>
                <w:sz w:val="22"/>
                <w:highlight w:val="none"/>
              </w:rPr>
              <w:t>数量</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六类</w:t>
            </w:r>
          </w:p>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水晶头</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六类水晶头</w:t>
            </w:r>
          </w:p>
        </w:tc>
        <w:tc>
          <w:tcPr>
            <w:tcW w:w="525" w:type="dxa"/>
            <w:tcBorders>
              <w:top w:val="single" w:color="auto"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批</w:t>
            </w:r>
          </w:p>
        </w:tc>
        <w:tc>
          <w:tcPr>
            <w:tcW w:w="645" w:type="dxa"/>
            <w:tcBorders>
              <w:top w:val="single" w:color="auto"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2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六类4对非屏蔽跳线 3米，灰色</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numPr>
                <w:ilvl w:val="0"/>
                <w:numId w:val="2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规格：3米六类非屏蔽智能导光定位网络跳线；</w:t>
            </w:r>
          </w:p>
          <w:p>
            <w:pPr>
              <w:widowControl/>
              <w:numPr>
                <w:ilvl w:val="0"/>
                <w:numId w:val="2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性能超越ANSI/TIA/EIA-568B.2-1标准；</w:t>
            </w:r>
          </w:p>
          <w:p>
            <w:pPr>
              <w:widowControl/>
              <w:numPr>
                <w:ilvl w:val="0"/>
                <w:numId w:val="2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特别设计的RJ45确保优异性能；</w:t>
            </w:r>
          </w:p>
          <w:p>
            <w:pPr>
              <w:widowControl/>
              <w:numPr>
                <w:ilvl w:val="0"/>
                <w:numId w:val="2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标准软跳线采用4对8芯多股线芯双绞线、2芯导光线和十芯RJ45网络水晶头设计生产而成；</w:t>
            </w:r>
          </w:p>
          <w:p>
            <w:pPr>
              <w:widowControl/>
              <w:numPr>
                <w:ilvl w:val="0"/>
                <w:numId w:val="2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★十芯RJ45网络水晶首尾2芯为导光线，中间8芯为网络线缆，按正常色标打线；</w:t>
            </w:r>
          </w:p>
          <w:p>
            <w:pPr>
              <w:widowControl/>
              <w:numPr>
                <w:ilvl w:val="0"/>
                <w:numId w:val="2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★在跳线一端水晶头上用光源照射后，另一端水晶头上的导光线会发光，可以快速定位跳线的另一端位置；</w:t>
            </w:r>
          </w:p>
          <w:p>
            <w:pPr>
              <w:widowControl/>
              <w:numPr>
                <w:ilvl w:val="0"/>
                <w:numId w:val="2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RJ45头、护套、线缆一体化，确保多次插拔；</w:t>
            </w:r>
          </w:p>
          <w:p>
            <w:pPr>
              <w:widowControl/>
              <w:numPr>
                <w:ilvl w:val="0"/>
                <w:numId w:val="2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多种颜色可供选择，充分满足综合布线系统色彩管理思想；</w:t>
            </w:r>
          </w:p>
          <w:p>
            <w:pPr>
              <w:widowControl/>
              <w:numPr>
                <w:ilvl w:val="0"/>
                <w:numId w:val="2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多种长度可供选择，充分满足综合布线系统灵活应用要求；</w:t>
            </w:r>
          </w:p>
          <w:p>
            <w:pPr>
              <w:widowControl/>
              <w:numPr>
                <w:ilvl w:val="0"/>
                <w:numId w:val="2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可用在工作区、设备、配线间等部分；</w:t>
            </w:r>
          </w:p>
          <w:p>
            <w:pPr>
              <w:widowControl/>
              <w:numPr>
                <w:ilvl w:val="0"/>
                <w:numId w:val="2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支持千兆网络应用；</w:t>
            </w:r>
          </w:p>
          <w:p>
            <w:pPr>
              <w:widowControl/>
              <w:numPr>
                <w:ilvl w:val="0"/>
                <w:numId w:val="2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符合UL CMR防火标准；</w:t>
            </w:r>
          </w:p>
          <w:p>
            <w:pPr>
              <w:widowControl/>
              <w:numPr>
                <w:ilvl w:val="0"/>
                <w:numId w:val="2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导线间有PE绝缘层；</w:t>
            </w:r>
          </w:p>
          <w:p>
            <w:pPr>
              <w:widowControl/>
              <w:numPr>
                <w:ilvl w:val="0"/>
                <w:numId w:val="2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外护套为PVC绝缘材料；</w:t>
            </w:r>
          </w:p>
          <w:p>
            <w:pPr>
              <w:widowControl/>
              <w:numPr>
                <w:ilvl w:val="0"/>
                <w:numId w:val="2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可以向下与5类和超5类产品兼容。</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920</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六类4对非屏蔽双绞线，低烟无卤型，305米</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规格：六类非屏蔽低烟无卤双绞线；</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六类系列电缆确定了一个新性能评价指标，采用规格23AWG的单芯裸铜为导体，聚乙烯类高分子材料为绝缘体，外皮材料采用低烟无卤材料，颜色为绿色；</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双绞线符合国际规范(ISO/IEC)，电气特性超过六类(Cat.6)国际规范的250MHz要求；</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电缆中心十字架隔离保证NEXT性能和合理施工弯曲半径；</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LSZH：代表“低烟无卤”，低烟无卤素材料可满足安全环保的要求；</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阻抗：100欧姆+/-15</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最大直流电阻：9.38欧姆/100米</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不平衡电阻：≤5%</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最大电容：≤5.6nF/100m</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不平衡电容：73.2pF/100米</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额定传输速率：65%</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导体直径：23AWG，0.57±0.005mm实芯裸铜导线</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外皮直径：6.3±0.2mm</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最小弯曲半径：6～8 X O.D.</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最大张力(kg)：≤11</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绝缘层：高密度聚乙烯，直径：1.0±0.03mm</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外护套：LSZH，厚度0.6mm</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防火等级：CMR，LSZH，CM可选</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工作温度：-25～+75℃</w:t>
            </w:r>
          </w:p>
          <w:p>
            <w:pPr>
              <w:widowControl/>
              <w:numPr>
                <w:ilvl w:val="0"/>
                <w:numId w:val="3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包装：纸箱/轴包装</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箱</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100</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4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24芯单模光缆，PE护套</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规格：室外9/125中心束管式轻铠装单模低烟无卤光缆</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符合TIA/EIA-568-B.3标准，ITU G.651 、IEC793-2A1b技术要求；</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高强度中心松套管，管内充有阻水油膏；</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轻铠装结构；</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两根平行的钢丝用于加强硬度；</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特别设计的紧凑结构；</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直径小、重量轻、安装简便；</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外皮备有阻燃型和低烟无卤型，供不同场合使用；</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双面涂塑钢带(PSP)加强了光缆的允许压力、抗冲击力及防潮性能；</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传输距离长，适用于建筑群子系统的应用；</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4、6、8、12芯规格供选择；</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敷设方式：架空、管道、直埋。</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光纤类别：9/125</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芯核直径(ìm)：9.3±0.4</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包层直径(ìm)：125±2</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包层不圆度 (%)：≤1%</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涂覆层直径(ìm)：245±10</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涂覆层不圆度 (%) ：≤6%</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芯核/包层同心度误差(ìm)： &lt;0.8</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包层/涂覆层同心度误差(ìm)：&lt;12.0</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数值孔径：0.275±0.015</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衰减：1310nm    ≤0.36dB/km</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      1550nm    ≤0.22dB/km</w:t>
            </w:r>
          </w:p>
          <w:p>
            <w:pPr>
              <w:widowControl/>
              <w:numPr>
                <w:ilvl w:val="0"/>
                <w:numId w:val="31"/>
              </w:numPr>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色散系数：1285~1340nm   -3.5~3.5ps/(nm.km)</w:t>
            </w:r>
          </w:p>
          <w:p>
            <w:pPr>
              <w:widowControl/>
              <w:spacing w:line="360" w:lineRule="exact"/>
              <w:ind w:firstLine="660" w:firstLineChars="300"/>
              <w:jc w:val="left"/>
              <w:textAlignment w:val="center"/>
              <w:rPr>
                <w:rFonts w:ascii="宋体" w:hAnsi="宋体" w:cs="宋体"/>
                <w:color w:val="auto"/>
                <w:sz w:val="22"/>
                <w:highlight w:val="none"/>
              </w:rPr>
            </w:pPr>
            <w:r>
              <w:rPr>
                <w:rFonts w:hint="eastAsia" w:ascii="宋体" w:hAnsi="宋体" w:cs="宋体"/>
                <w:color w:val="auto"/>
                <w:kern w:val="0"/>
                <w:sz w:val="22"/>
                <w:highlight w:val="none"/>
              </w:rPr>
              <w:t>1550nm    ≤18ps/(nm.km)</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零色散波长范围：1302~1324nm</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零色散斜率：≤0.093ps/(nm2.km)</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截止波长：1150≤ëc≤1330nm</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模长直径 (MFD)：1310nm    9.3±0.4ìm</w:t>
            </w:r>
          </w:p>
          <w:p>
            <w:pPr>
              <w:widowControl/>
              <w:numPr>
                <w:ilvl w:val="0"/>
                <w:numId w:val="3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光纤翘曲特性参数：R 4.0 m</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2000     </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5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25对大对数电缆，低烟无卤型</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规格：室内三类25对大对数低烟无卤线缆</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100欧姆25线对非屏蔽双绞线，采用单芯裸铜，导体规格为26AWG，每芯带有彩色护套，聚乙烯类高分子材料为绝缘体，外皮材料采用低烟无卤材料，使得线缆更好地实现语音系统信道传输。</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双绞线符合国际规范(ISO/IEC)，美国规范(TIA/EIA)，欧洲规范(EN)和澳洲规范的要求。电气特性超过TIA/EIA-568C  Cat.3规范的要求。</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适用于大楼垂直主干子系统语音部分。</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阻抗：100欧姆+/-20</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静电电容，Max：17.1nf / 每千英尺</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直流电阻，Max：8.83欧姆 / 每100米</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线对不平衡直流电阻，Max：5%</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最大电容：53.6nF/100m</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传播延迟偏差：45纳秒/100米</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额定传输速率：65%</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导体直径：26AWG</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最小弯曲半径：O.D. X 6~8</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最大张力(kg)：2.5Kg/线对</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绝缘层：高密度聚乙烯/低烟无卤型材料可选，厚度0.2mm</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外护套：PVC/ LSZH可选，厚度0.6mm</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防火等级：CMR，LSZH，CM可选。</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外皮厚度：0.92mm</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工作温度：-25~75℃</w:t>
            </w:r>
          </w:p>
          <w:p>
            <w:pPr>
              <w:widowControl/>
              <w:numPr>
                <w:ilvl w:val="0"/>
                <w:numId w:val="3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包装：轴包装</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2000 </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6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12口光纤配线架含耦合器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规格：高端通用型24口光纤配线架；</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光纤配线架是一款高级、紧凑型的满足光纤端接解决方案的产品；</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配线架内可容纳多达24芯SC、ST、FC尾纤或48芯LC尾纤的熔接；</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配线架抽屉式设计，保证安装、检查、测试均非常方便；</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带有涂层的钢结构骨架，坚固耐用；</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开创性的设计能确保安装、移动以及未来的变更时，均非常灵活；</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设计时充分考虑到光纤应用的多样性，BAS光纤配线架能够安装不同类型的光纤模板和耦合器，以满足不同功能和性能的要求；</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1U高度、19英寸宽度；</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空间合理，保证光纤跳接、熔接的合理弯曲半径；</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单模、多模两种光纤均适用；</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配线架设计有用于固定到机柜的耳朵(每套2个)；</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框架材料选用高级钢板；</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备选件光纤熔接盘可以安装到光纤配线架内部；</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在光缆进入配线架侧面边框上有两个直径25mm 圆孔，便于光缆进出；</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从技术和使用角度，充分考虑光纤跳线和熔接的空间；</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从技术上充分考虑光纤的安全性、储存和合理端接；</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前端空间便于跳线的管理和保护；</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安装、检查、测试都非常方便；      </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规格：光纤适配器；</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设备性能符合TIA/EIA 568-B，ISO/IEC 11801标准；</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典型插入损耗为-0.3db；</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可使用通用工具，便于安装；</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设备具有低插入损耗，低回波损耗的特点b；</w:t>
            </w:r>
          </w:p>
          <w:p>
            <w:pPr>
              <w:widowControl/>
              <w:numPr>
                <w:ilvl w:val="0"/>
                <w:numId w:val="33"/>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适配器有单工SC、ST、FC和双工SC、LC等类型。</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6</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7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24口光纤配线架含耦合器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规格：高端通用型24口光纤配线架；</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光纤配线架是一款高级、紧凑型的满足光纤端接解决方案的产品；</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配线架内可容纳多达24芯SC、ST、FC尾纤或48芯LC尾纤的熔接；</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配线架抽屉式设计，保证安装、检查、测试均非常方便；</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带有涂层的钢结构骨架，坚固耐用；</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开创性的设计能确保安装、移动以及未来的变更时，均非常灵活；</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设计时充分考虑到光纤应用的多样性，BAS光纤配线架能够安装不同类型的光纤模板和耦合器，以满足不同功能和性能的要求；</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1U高度、19英寸宽度；</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空间合理，保证光纤跳接、熔接的合理弯曲半径；</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单模、多模两种光纤均适用；</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配线架设计有用于固定到机柜的耳朵(每套2个)；</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框架材料选用高级钢板；</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备选件光纤熔接盘可以安装到光纤配线架内部；</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在光缆进入配线架侧面边框上有两个直径25mm 圆孔，便于光缆进出；</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从技术和使用角度，充分考虑光纤跳线和熔接的空间；</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从技术上充分考虑光纤的安全性、储存和合理端接；</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前端空间便于跳线的管理和保护；</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规格：光纤适配器</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设备性能符合TIA/EIA 568-B，ISO/IEC 11801标准；</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典型插入损耗为-0.3db；</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可使用通用工具，便于安装；</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设备具有低插入损耗，低回波损耗的特点b；</w:t>
            </w:r>
          </w:p>
          <w:p>
            <w:pPr>
              <w:widowControl/>
              <w:numPr>
                <w:ilvl w:val="0"/>
                <w:numId w:val="34"/>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适配器有单工SC、ST、FC和双工SC、LC等类型</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2</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8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尾纤LC， 单模， 0.9mm， 1米</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numPr>
                <w:ilvl w:val="0"/>
                <w:numId w:val="3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规格：9/125单模单芯光纤尾纤；</w:t>
            </w:r>
          </w:p>
          <w:p>
            <w:pPr>
              <w:widowControl/>
              <w:numPr>
                <w:ilvl w:val="0"/>
                <w:numId w:val="3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光纤尾纤是一种光纤连接小型化的产品；</w:t>
            </w:r>
          </w:p>
          <w:p>
            <w:pPr>
              <w:widowControl/>
              <w:numPr>
                <w:ilvl w:val="0"/>
                <w:numId w:val="3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符合TIA/EIA-568B.3、ISO/IEC 11801标准；</w:t>
            </w:r>
          </w:p>
          <w:p>
            <w:pPr>
              <w:widowControl/>
              <w:numPr>
                <w:ilvl w:val="0"/>
                <w:numId w:val="3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在配线架／箱中使用，可以大大节省安装空间；</w:t>
            </w:r>
          </w:p>
          <w:p>
            <w:pPr>
              <w:widowControl/>
              <w:numPr>
                <w:ilvl w:val="0"/>
                <w:numId w:val="35"/>
              </w:numPr>
              <w:tabs>
                <w:tab w:val="clear" w:pos="0"/>
              </w:tabs>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具有极小的插入损耗；</w:t>
            </w:r>
          </w:p>
          <w:p>
            <w:pPr>
              <w:widowControl/>
              <w:numPr>
                <w:ilvl w:val="0"/>
                <w:numId w:val="3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符合国际标准对SFP的要求；</w:t>
            </w:r>
          </w:p>
          <w:p>
            <w:pPr>
              <w:widowControl/>
              <w:numPr>
                <w:ilvl w:val="0"/>
                <w:numId w:val="3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提供多种规格和长度的跳线；</w:t>
            </w:r>
          </w:p>
          <w:p>
            <w:pPr>
              <w:widowControl/>
              <w:numPr>
                <w:ilvl w:val="0"/>
                <w:numId w:val="3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接头类型包括ST、SC、FC、LC、MTRJ等；</w:t>
            </w:r>
          </w:p>
          <w:p>
            <w:pPr>
              <w:widowControl/>
              <w:numPr>
                <w:ilvl w:val="0"/>
                <w:numId w:val="3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平均连接损耗：≤ 0.2 dB ；</w:t>
            </w:r>
          </w:p>
          <w:p>
            <w:pPr>
              <w:widowControl/>
              <w:numPr>
                <w:ilvl w:val="0"/>
                <w:numId w:val="3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重复插拔：&lt; 0.2 dB，每500次插拔 ；</w:t>
            </w:r>
          </w:p>
          <w:p>
            <w:pPr>
              <w:widowControl/>
              <w:numPr>
                <w:ilvl w:val="0"/>
                <w:numId w:val="3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最小反射损耗：20 dB ；</w:t>
            </w:r>
          </w:p>
          <w:p>
            <w:pPr>
              <w:widowControl/>
              <w:numPr>
                <w:ilvl w:val="0"/>
                <w:numId w:val="35"/>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最大回损：-50 dB 。</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96</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9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LC-LC双工，2.0mm， 单模，3米跳线</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numPr>
                <w:ilvl w:val="0"/>
                <w:numId w:val="36"/>
              </w:numPr>
              <w:spacing w:line="360" w:lineRule="exact"/>
              <w:textAlignment w:val="center"/>
              <w:rPr>
                <w:rFonts w:ascii="宋体" w:hAnsi="宋体" w:cs="宋体"/>
                <w:color w:val="auto"/>
                <w:sz w:val="22"/>
                <w:highlight w:val="none"/>
              </w:rPr>
            </w:pPr>
            <w:r>
              <w:rPr>
                <w:rFonts w:hint="eastAsia" w:ascii="宋体" w:hAnsi="宋体" w:cs="宋体"/>
                <w:color w:val="auto"/>
                <w:kern w:val="0"/>
                <w:sz w:val="22"/>
                <w:highlight w:val="none"/>
              </w:rPr>
              <w:t>规格：9/125单模双芯光纤跳线；</w:t>
            </w:r>
          </w:p>
          <w:p>
            <w:pPr>
              <w:widowControl/>
              <w:numPr>
                <w:ilvl w:val="0"/>
                <w:numId w:val="36"/>
              </w:numPr>
              <w:spacing w:line="360" w:lineRule="exact"/>
              <w:textAlignment w:val="center"/>
              <w:rPr>
                <w:rFonts w:ascii="宋体" w:hAnsi="宋体" w:cs="宋体"/>
                <w:color w:val="auto"/>
                <w:sz w:val="22"/>
                <w:highlight w:val="none"/>
              </w:rPr>
            </w:pPr>
            <w:r>
              <w:rPr>
                <w:rFonts w:hint="eastAsia" w:ascii="宋体" w:hAnsi="宋体" w:cs="宋体"/>
                <w:color w:val="auto"/>
                <w:kern w:val="0"/>
                <w:sz w:val="22"/>
                <w:highlight w:val="none"/>
              </w:rPr>
              <w:t>光纤跳线是一种光纤连接小型化的产品；</w:t>
            </w:r>
          </w:p>
          <w:p>
            <w:pPr>
              <w:widowControl/>
              <w:numPr>
                <w:ilvl w:val="0"/>
                <w:numId w:val="36"/>
              </w:numPr>
              <w:spacing w:line="360" w:lineRule="exact"/>
              <w:textAlignment w:val="center"/>
              <w:rPr>
                <w:rFonts w:ascii="宋体" w:hAnsi="宋体" w:cs="宋体"/>
                <w:color w:val="auto"/>
                <w:sz w:val="22"/>
                <w:highlight w:val="none"/>
              </w:rPr>
            </w:pPr>
            <w:r>
              <w:rPr>
                <w:rFonts w:hint="eastAsia" w:ascii="宋体" w:hAnsi="宋体" w:cs="宋体"/>
                <w:color w:val="auto"/>
                <w:kern w:val="0"/>
                <w:sz w:val="22"/>
                <w:highlight w:val="none"/>
              </w:rPr>
              <w:t>符合TIA/EIA-568B.3、ISO/IEC 11801标准；</w:t>
            </w:r>
          </w:p>
          <w:p>
            <w:pPr>
              <w:widowControl/>
              <w:numPr>
                <w:ilvl w:val="0"/>
                <w:numId w:val="36"/>
              </w:numPr>
              <w:spacing w:line="360" w:lineRule="exact"/>
              <w:textAlignment w:val="center"/>
              <w:rPr>
                <w:rFonts w:ascii="宋体" w:hAnsi="宋体" w:cs="宋体"/>
                <w:color w:val="auto"/>
                <w:sz w:val="22"/>
                <w:highlight w:val="none"/>
              </w:rPr>
            </w:pPr>
            <w:r>
              <w:rPr>
                <w:rFonts w:hint="eastAsia" w:ascii="宋体" w:hAnsi="宋体" w:cs="宋体"/>
                <w:color w:val="auto"/>
                <w:kern w:val="0"/>
                <w:sz w:val="22"/>
                <w:highlight w:val="none"/>
              </w:rPr>
              <w:t>在配线架／箱中使用，可以大大节省安装空间；</w:t>
            </w:r>
          </w:p>
          <w:p>
            <w:pPr>
              <w:widowControl/>
              <w:numPr>
                <w:ilvl w:val="0"/>
                <w:numId w:val="36"/>
              </w:numPr>
              <w:spacing w:line="360" w:lineRule="exact"/>
              <w:textAlignment w:val="center"/>
              <w:rPr>
                <w:rFonts w:ascii="宋体" w:hAnsi="宋体" w:cs="宋体"/>
                <w:color w:val="auto"/>
                <w:sz w:val="22"/>
                <w:highlight w:val="none"/>
              </w:rPr>
            </w:pPr>
            <w:r>
              <w:rPr>
                <w:rFonts w:hint="eastAsia" w:ascii="宋体" w:hAnsi="宋体" w:cs="宋体"/>
                <w:color w:val="auto"/>
                <w:kern w:val="0"/>
                <w:sz w:val="22"/>
                <w:highlight w:val="none"/>
              </w:rPr>
              <w:t>具有极小的插入损耗；</w:t>
            </w:r>
          </w:p>
          <w:p>
            <w:pPr>
              <w:widowControl/>
              <w:numPr>
                <w:ilvl w:val="0"/>
                <w:numId w:val="36"/>
              </w:numPr>
              <w:tabs>
                <w:tab w:val="clear" w:pos="0"/>
              </w:tabs>
              <w:spacing w:line="360" w:lineRule="exact"/>
              <w:textAlignment w:val="center"/>
              <w:rPr>
                <w:rFonts w:ascii="宋体" w:hAnsi="宋体" w:cs="宋体"/>
                <w:color w:val="auto"/>
                <w:sz w:val="22"/>
                <w:highlight w:val="none"/>
              </w:rPr>
            </w:pPr>
            <w:r>
              <w:rPr>
                <w:rFonts w:hint="eastAsia" w:ascii="宋体" w:hAnsi="宋体" w:cs="宋体"/>
                <w:color w:val="auto"/>
                <w:kern w:val="0"/>
                <w:sz w:val="22"/>
                <w:highlight w:val="none"/>
              </w:rPr>
              <w:t>提供高密度的连接方式；</w:t>
            </w:r>
          </w:p>
          <w:p>
            <w:pPr>
              <w:widowControl/>
              <w:numPr>
                <w:ilvl w:val="0"/>
                <w:numId w:val="36"/>
              </w:numPr>
              <w:spacing w:line="360" w:lineRule="exact"/>
              <w:textAlignment w:val="center"/>
              <w:rPr>
                <w:rFonts w:ascii="宋体" w:hAnsi="宋体" w:cs="宋体"/>
                <w:color w:val="auto"/>
                <w:sz w:val="22"/>
                <w:highlight w:val="none"/>
              </w:rPr>
            </w:pPr>
            <w:r>
              <w:rPr>
                <w:rFonts w:hint="eastAsia" w:ascii="宋体" w:hAnsi="宋体" w:cs="宋体"/>
                <w:color w:val="auto"/>
                <w:kern w:val="0"/>
                <w:sz w:val="22"/>
                <w:highlight w:val="none"/>
              </w:rPr>
              <w:t>符合国际标准对SFP的要求；</w:t>
            </w:r>
          </w:p>
          <w:p>
            <w:pPr>
              <w:widowControl/>
              <w:numPr>
                <w:ilvl w:val="0"/>
                <w:numId w:val="36"/>
              </w:numPr>
              <w:spacing w:line="360" w:lineRule="exact"/>
              <w:textAlignment w:val="center"/>
              <w:rPr>
                <w:rFonts w:ascii="宋体" w:hAnsi="宋体" w:cs="宋体"/>
                <w:color w:val="auto"/>
                <w:sz w:val="22"/>
                <w:highlight w:val="none"/>
              </w:rPr>
            </w:pPr>
            <w:r>
              <w:rPr>
                <w:rFonts w:hint="eastAsia" w:ascii="宋体" w:hAnsi="宋体" w:cs="宋体"/>
                <w:color w:val="auto"/>
                <w:kern w:val="0"/>
                <w:sz w:val="22"/>
                <w:highlight w:val="none"/>
              </w:rPr>
              <w:t>提供多种规格和长度的跳线；</w:t>
            </w:r>
          </w:p>
          <w:p>
            <w:pPr>
              <w:widowControl/>
              <w:numPr>
                <w:ilvl w:val="0"/>
                <w:numId w:val="36"/>
              </w:numPr>
              <w:spacing w:line="360" w:lineRule="exact"/>
              <w:textAlignment w:val="center"/>
              <w:rPr>
                <w:rFonts w:ascii="宋体" w:hAnsi="宋体" w:cs="宋体"/>
                <w:color w:val="auto"/>
                <w:sz w:val="22"/>
                <w:highlight w:val="none"/>
              </w:rPr>
            </w:pPr>
            <w:r>
              <w:rPr>
                <w:rFonts w:hint="eastAsia" w:ascii="宋体" w:hAnsi="宋体" w:cs="宋体"/>
                <w:color w:val="auto"/>
                <w:kern w:val="0"/>
                <w:sz w:val="22"/>
                <w:highlight w:val="none"/>
              </w:rPr>
              <w:t>接头类型包括ST、SC、FC、LC、MTRJ等；</w:t>
            </w:r>
          </w:p>
          <w:p>
            <w:pPr>
              <w:widowControl/>
              <w:numPr>
                <w:ilvl w:val="0"/>
                <w:numId w:val="36"/>
              </w:numPr>
              <w:spacing w:line="360" w:lineRule="exact"/>
              <w:textAlignment w:val="center"/>
              <w:rPr>
                <w:rFonts w:ascii="宋体" w:hAnsi="宋体" w:cs="宋体"/>
                <w:color w:val="auto"/>
                <w:sz w:val="22"/>
                <w:highlight w:val="none"/>
              </w:rPr>
            </w:pPr>
            <w:r>
              <w:rPr>
                <w:rFonts w:hint="eastAsia" w:ascii="宋体" w:hAnsi="宋体" w:cs="宋体"/>
                <w:color w:val="auto"/>
                <w:kern w:val="0"/>
                <w:sz w:val="22"/>
                <w:highlight w:val="none"/>
              </w:rPr>
              <w:t>平均连接损耗：≤ 0.2 dB；</w:t>
            </w:r>
          </w:p>
          <w:p>
            <w:pPr>
              <w:widowControl/>
              <w:numPr>
                <w:ilvl w:val="0"/>
                <w:numId w:val="36"/>
              </w:numPr>
              <w:spacing w:line="360" w:lineRule="exact"/>
              <w:textAlignment w:val="center"/>
              <w:rPr>
                <w:rFonts w:ascii="宋体" w:hAnsi="宋体" w:cs="宋体"/>
                <w:color w:val="auto"/>
                <w:sz w:val="22"/>
                <w:highlight w:val="none"/>
              </w:rPr>
            </w:pPr>
            <w:r>
              <w:rPr>
                <w:rFonts w:hint="eastAsia" w:ascii="宋体" w:hAnsi="宋体" w:cs="宋体"/>
                <w:color w:val="auto"/>
                <w:kern w:val="0"/>
                <w:sz w:val="22"/>
                <w:highlight w:val="none"/>
              </w:rPr>
              <w:t>复插拔：&lt; 0.2 dB，每500次插拔；</w:t>
            </w:r>
          </w:p>
          <w:p>
            <w:pPr>
              <w:widowControl/>
              <w:numPr>
                <w:ilvl w:val="0"/>
                <w:numId w:val="36"/>
              </w:numPr>
              <w:spacing w:line="360" w:lineRule="exact"/>
              <w:textAlignment w:val="center"/>
              <w:rPr>
                <w:rFonts w:ascii="宋体" w:hAnsi="宋体" w:cs="宋体"/>
                <w:color w:val="auto"/>
                <w:sz w:val="22"/>
                <w:highlight w:val="none"/>
              </w:rPr>
            </w:pPr>
            <w:r>
              <w:rPr>
                <w:rFonts w:hint="eastAsia" w:ascii="宋体" w:hAnsi="宋体" w:cs="宋体"/>
                <w:color w:val="auto"/>
                <w:kern w:val="0"/>
                <w:sz w:val="22"/>
                <w:highlight w:val="none"/>
              </w:rPr>
              <w:t>最小反射损耗：20 dB；</w:t>
            </w:r>
          </w:p>
          <w:p>
            <w:pPr>
              <w:widowControl/>
              <w:numPr>
                <w:ilvl w:val="0"/>
                <w:numId w:val="36"/>
              </w:numPr>
              <w:spacing w:line="360" w:lineRule="exact"/>
              <w:textAlignment w:val="center"/>
              <w:rPr>
                <w:rFonts w:ascii="宋体" w:hAnsi="宋体" w:cs="宋体"/>
                <w:color w:val="auto"/>
                <w:sz w:val="22"/>
                <w:highlight w:val="none"/>
              </w:rPr>
            </w:pPr>
            <w:r>
              <w:rPr>
                <w:rFonts w:hint="eastAsia" w:ascii="宋体" w:hAnsi="宋体" w:cs="宋体"/>
                <w:color w:val="auto"/>
                <w:kern w:val="0"/>
                <w:sz w:val="22"/>
                <w:highlight w:val="none"/>
              </w:rPr>
              <w:t>最大回损：-50 dB 。</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96</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10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光纤熔接</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360" w:lineRule="exact"/>
              <w:jc w:val="left"/>
              <w:rPr>
                <w:rFonts w:ascii="宋体" w:hAnsi="宋体" w:cs="宋体"/>
                <w:color w:val="auto"/>
                <w:sz w:val="22"/>
                <w:highlight w:val="none"/>
              </w:rPr>
            </w:pPr>
            <w:r>
              <w:rPr>
                <w:rFonts w:hint="eastAsia" w:ascii="宋体" w:hAnsi="宋体" w:cs="宋体"/>
                <w:color w:val="auto"/>
                <w:sz w:val="22"/>
                <w:highlight w:val="none"/>
              </w:rPr>
              <w:t>定制</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芯</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96 </w:t>
            </w:r>
          </w:p>
        </w:tc>
      </w:tr>
      <w:tr>
        <w:tblPrEx>
          <w:tblCellMar>
            <w:top w:w="0" w:type="dxa"/>
            <w:left w:w="0" w:type="dxa"/>
            <w:bottom w:w="0" w:type="dxa"/>
            <w:right w:w="0" w:type="dxa"/>
          </w:tblCellMar>
        </w:tblPrEx>
        <w:trPr>
          <w:trHeight w:val="53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11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六类非屏蔽24口配线架</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规格：24口六类模块化兼容型网络配线架；</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24口模块化兼容型网络配线架，兼容光纤与全系列非屏蔽网络系统；</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内置螺丝设计，后面带背面理线盘。配线架能直接安装在19英寸标准机架或机柜上，配有加厚型后理线支架，保证弯曲半径和避免线缆挤压，带有便于扎带捆绑孔；</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采用高密度的模块设计，自由选择卡入不同颜色模块以作色码管理；</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★配线架24个端口带有透明标识系统，标识条为翻转结构，方便更换标识条，较大的端口编码码标识易于快速识别插座； </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符合标准：ISO/IEC 11801 ，TIA/EIA-568-B.2；</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色码清晰，便于端接，兼容T568A&amp;T568B线序； </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锁扣灵活，易于模块嵌入配线架和从配线架上拆卸；</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带圆口设计的透明IDC防尘盖，有利于线缆固定； </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★模块带LED灯指示灯，通过亮灯指示来区分线路，方便使用和维护；</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材料：磷铜、镍、金、PVC；</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可采用110 型、GigaPro等端接工具进行端接； </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安全标准：UL1863规范；</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配线架带两端都有标识区，配合软件使用，方便快速查找配线架，标识区带有透明标识系统，标识条为翻转结构，以便更换标识条；</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介电强度：1000V 60HZ/1分钟；</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额定电流：1.5Amp  ；</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绝缘电阻：最小200MΩ；</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接触阻抗：1MΩ；</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温度范围：-40～70℃；</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传输性能：超过ISO/IEC 11801 E级　AS/NZS 3080:2003 E级</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模块连接器：RJ45 8针连接器：符合FCC68部分，F子部分及IEC-60603-7；</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材料：磷青铜、100μm镀镍层、50μm镀金层；</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IDC连接器：可卡接22～26AWG规格导体；</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体绝缘层直径：0.70～1.40mm；</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材料：镀镍磷青铜；</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IDC主体和覆盖材料：防火，符合UL 94V-0，塑料；</w:t>
            </w:r>
          </w:p>
          <w:p>
            <w:pPr>
              <w:widowControl/>
              <w:numPr>
                <w:ilvl w:val="0"/>
                <w:numId w:val="37"/>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耐用性：可插拔1500次以上，端接300次以上。</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sz w:val="22"/>
                <w:highlight w:val="none"/>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10 </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12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100对110配线架</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numPr>
                <w:ilvl w:val="0"/>
                <w:numId w:val="3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规格：110型100对机架式配线架；</w:t>
            </w:r>
          </w:p>
          <w:p>
            <w:pPr>
              <w:widowControl/>
              <w:numPr>
                <w:ilvl w:val="0"/>
                <w:numId w:val="3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110型配线架分为有无腿型和有腿型；</w:t>
            </w:r>
          </w:p>
          <w:p>
            <w:pPr>
              <w:widowControl/>
              <w:numPr>
                <w:ilvl w:val="0"/>
                <w:numId w:val="3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无腿型适合安装在机柜、机架中；</w:t>
            </w:r>
          </w:p>
          <w:p>
            <w:pPr>
              <w:widowControl/>
              <w:numPr>
                <w:ilvl w:val="0"/>
                <w:numId w:val="3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110型配线架分50、100对和200对多种规格；</w:t>
            </w:r>
          </w:p>
          <w:p>
            <w:pPr>
              <w:widowControl/>
              <w:numPr>
                <w:ilvl w:val="0"/>
                <w:numId w:val="3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110连接端子是110型配线架不可分割的组成部分，端子有4对和5对两种规格可选择；</w:t>
            </w:r>
          </w:p>
          <w:p>
            <w:pPr>
              <w:widowControl/>
              <w:numPr>
                <w:ilvl w:val="0"/>
                <w:numId w:val="3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110型100对配线架套件含20个四对端子、4个五对端子和2个标签条；</w:t>
            </w:r>
          </w:p>
          <w:p>
            <w:pPr>
              <w:widowControl/>
              <w:numPr>
                <w:ilvl w:val="0"/>
                <w:numId w:val="3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110型100对配线架需要和110背板组装在一起，方可安装在19英寸机柜、机架上；</w:t>
            </w:r>
          </w:p>
          <w:p>
            <w:pPr>
              <w:widowControl/>
              <w:numPr>
                <w:ilvl w:val="0"/>
                <w:numId w:val="3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机架中的110型配线架可自由组合成100对、200对等百的倍数；</w:t>
            </w:r>
          </w:p>
          <w:p>
            <w:pPr>
              <w:widowControl/>
              <w:numPr>
                <w:ilvl w:val="0"/>
                <w:numId w:val="3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110型配线架采用阻燃PVC，材质符合 UL 94V-0 阻燃性标准；</w:t>
            </w:r>
          </w:p>
          <w:p>
            <w:pPr>
              <w:widowControl/>
              <w:numPr>
                <w:ilvl w:val="0"/>
                <w:numId w:val="3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配线架能承接22～26AWG规格的芯线；</w:t>
            </w:r>
          </w:p>
          <w:p>
            <w:pPr>
              <w:widowControl/>
              <w:numPr>
                <w:ilvl w:val="0"/>
                <w:numId w:val="3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施工完成后标识牌上可写标签，便于标识与管理；</w:t>
            </w:r>
          </w:p>
          <w:p>
            <w:pPr>
              <w:widowControl/>
              <w:numPr>
                <w:ilvl w:val="0"/>
                <w:numId w:val="3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110型配线架符合TIA/EIA-568C超五类连接件的性能要求；</w:t>
            </w:r>
          </w:p>
          <w:p>
            <w:pPr>
              <w:widowControl/>
              <w:numPr>
                <w:ilvl w:val="0"/>
                <w:numId w:val="3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采用5对打线工具端接，节省安装时间；</w:t>
            </w:r>
          </w:p>
          <w:p>
            <w:pPr>
              <w:widowControl/>
              <w:numPr>
                <w:ilvl w:val="0"/>
                <w:numId w:val="38"/>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适合于语音布线和超5类布线的高速数据传输。</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sz w:val="22"/>
                <w:highlight w:val="none"/>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4</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13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1HU， 金属理线架</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numPr>
                <w:ilvl w:val="0"/>
                <w:numId w:val="3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规格：网络理线架；</w:t>
            </w:r>
          </w:p>
          <w:p>
            <w:pPr>
              <w:widowControl/>
              <w:numPr>
                <w:ilvl w:val="0"/>
                <w:numId w:val="3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线架现代美观大方；</w:t>
            </w:r>
          </w:p>
          <w:p>
            <w:pPr>
              <w:widowControl/>
              <w:numPr>
                <w:ilvl w:val="0"/>
                <w:numId w:val="3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配合网络配线架使用；</w:t>
            </w:r>
          </w:p>
          <w:p>
            <w:pPr>
              <w:widowControl/>
              <w:numPr>
                <w:ilvl w:val="0"/>
                <w:numId w:val="3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两者风格相得益彰，统一和谐；</w:t>
            </w:r>
          </w:p>
          <w:p>
            <w:pPr>
              <w:widowControl/>
              <w:numPr>
                <w:ilvl w:val="0"/>
                <w:numId w:val="3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1U高度，19”规格；</w:t>
            </w:r>
          </w:p>
          <w:p>
            <w:pPr>
              <w:widowControl/>
              <w:numPr>
                <w:ilvl w:val="0"/>
                <w:numId w:val="3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应用于配线架和网络设备之间的跳线管理；</w:t>
            </w:r>
          </w:p>
          <w:p>
            <w:pPr>
              <w:widowControl/>
              <w:numPr>
                <w:ilvl w:val="0"/>
                <w:numId w:val="3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建议每两个1U配线架或1U网络设备之间安装；</w:t>
            </w:r>
          </w:p>
          <w:p>
            <w:pPr>
              <w:widowControl/>
              <w:numPr>
                <w:ilvl w:val="0"/>
                <w:numId w:val="3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独特的夹接方式，可简单快速安装到机柜或机架中；</w:t>
            </w:r>
          </w:p>
          <w:p>
            <w:pPr>
              <w:widowControl/>
              <w:numPr>
                <w:ilvl w:val="0"/>
                <w:numId w:val="3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滑槽封闭式结构金属材质；</w:t>
            </w:r>
          </w:p>
          <w:p>
            <w:pPr>
              <w:widowControl/>
              <w:numPr>
                <w:ilvl w:val="0"/>
                <w:numId w:val="3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最多可安装管理多达五十条跳线；</w:t>
            </w:r>
          </w:p>
          <w:p>
            <w:pPr>
              <w:widowControl/>
              <w:numPr>
                <w:ilvl w:val="0"/>
                <w:numId w:val="39"/>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跳线安装拆卸简单方便；</w:t>
            </w:r>
          </w:p>
          <w:p>
            <w:pPr>
              <w:widowControl/>
              <w:numPr>
                <w:ilvl w:val="0"/>
                <w:numId w:val="39"/>
              </w:numPr>
              <w:tabs>
                <w:tab w:val="clear" w:pos="0"/>
              </w:tabs>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更深设计的理线环，可确保线缆弯曲半径。</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sz w:val="22"/>
                <w:highlight w:val="none"/>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10</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14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1HU， 塑料理线架</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numPr>
                <w:ilvl w:val="0"/>
                <w:numId w:val="4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规格：语音理线架；</w:t>
            </w:r>
          </w:p>
          <w:p>
            <w:pPr>
              <w:widowControl/>
              <w:numPr>
                <w:ilvl w:val="0"/>
                <w:numId w:val="4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理线架现代美观大方；</w:t>
            </w:r>
          </w:p>
          <w:p>
            <w:pPr>
              <w:widowControl/>
              <w:numPr>
                <w:ilvl w:val="0"/>
                <w:numId w:val="4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配合110语音配线架使用；</w:t>
            </w:r>
          </w:p>
          <w:p>
            <w:pPr>
              <w:widowControl/>
              <w:numPr>
                <w:ilvl w:val="0"/>
                <w:numId w:val="4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两者风格相得益彰，统一和谐；</w:t>
            </w:r>
          </w:p>
          <w:p>
            <w:pPr>
              <w:widowControl/>
              <w:numPr>
                <w:ilvl w:val="0"/>
                <w:numId w:val="4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1U高度，19”规格；</w:t>
            </w:r>
          </w:p>
          <w:p>
            <w:pPr>
              <w:widowControl/>
              <w:numPr>
                <w:ilvl w:val="0"/>
                <w:numId w:val="4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应用于110语音配线架的跳线管理；</w:t>
            </w:r>
          </w:p>
          <w:p>
            <w:pPr>
              <w:widowControl/>
              <w:numPr>
                <w:ilvl w:val="0"/>
                <w:numId w:val="4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bdr w:val="single" w:color="000000" w:sz="4" w:space="0"/>
                <w:shd w:val="clear" w:color="auto" w:fill="FFFFFF"/>
              </w:rPr>
              <w:drawing>
                <wp:anchor distT="0" distB="0" distL="114300" distR="114300" simplePos="0" relativeHeight="251665408" behindDoc="0" locked="0" layoutInCell="1" allowOverlap="1">
                  <wp:simplePos x="0" y="0"/>
                  <wp:positionH relativeFrom="column">
                    <wp:posOffset>4185920</wp:posOffset>
                  </wp:positionH>
                  <wp:positionV relativeFrom="paragraph">
                    <wp:posOffset>15875</wp:posOffset>
                  </wp:positionV>
                  <wp:extent cx="462915" cy="116205"/>
                  <wp:effectExtent l="0" t="0" r="0" b="0"/>
                  <wp:wrapNone/>
                  <wp:docPr id="1" name="Text_Box_22_SpCnt_301"/>
                  <wp:cNvGraphicFramePr/>
                  <a:graphic xmlns:a="http://schemas.openxmlformats.org/drawingml/2006/main">
                    <a:graphicData uri="http://schemas.openxmlformats.org/drawingml/2006/picture">
                      <pic:pic xmlns:pic="http://schemas.openxmlformats.org/drawingml/2006/picture">
                        <pic:nvPicPr>
                          <pic:cNvPr id="1" name="Text_Box_22_SpCnt_301"/>
                          <pic:cNvPicPr/>
                        </pic:nvPicPr>
                        <pic:blipFill>
                          <a:blip r:embed="rId7"/>
                          <a:stretch>
                            <a:fillRect/>
                          </a:stretch>
                        </pic:blipFill>
                        <pic:spPr>
                          <a:xfrm>
                            <a:off x="0" y="0"/>
                            <a:ext cx="462915" cy="116205"/>
                          </a:xfrm>
                          <a:prstGeom prst="rect">
                            <a:avLst/>
                          </a:prstGeom>
                          <a:noFill/>
                          <a:ln>
                            <a:noFill/>
                          </a:ln>
                        </pic:spPr>
                      </pic:pic>
                    </a:graphicData>
                  </a:graphic>
                </wp:anchor>
              </w:drawing>
            </w:r>
            <w:r>
              <w:rPr>
                <w:rFonts w:hint="eastAsia" w:ascii="宋体" w:hAnsi="宋体" w:cs="宋体"/>
                <w:color w:val="auto"/>
                <w:kern w:val="0"/>
                <w:sz w:val="22"/>
                <w:highlight w:val="none"/>
              </w:rPr>
              <w:t>独特的夹接方式，可简单快速安装到机柜或机架中；</w:t>
            </w:r>
          </w:p>
          <w:p>
            <w:pPr>
              <w:widowControl/>
              <w:numPr>
                <w:ilvl w:val="0"/>
                <w:numId w:val="4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ABS材质；</w:t>
            </w:r>
          </w:p>
          <w:p>
            <w:pPr>
              <w:widowControl/>
              <w:numPr>
                <w:ilvl w:val="0"/>
                <w:numId w:val="4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开放式环型结构，最多可安装管理多达一百条跳线；</w:t>
            </w:r>
          </w:p>
          <w:p>
            <w:pPr>
              <w:widowControl/>
              <w:numPr>
                <w:ilvl w:val="0"/>
                <w:numId w:val="40"/>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跳线安装拆卸简单方便；</w:t>
            </w:r>
          </w:p>
          <w:p>
            <w:pPr>
              <w:widowControl/>
              <w:numPr>
                <w:ilvl w:val="0"/>
                <w:numId w:val="40"/>
              </w:numPr>
              <w:tabs>
                <w:tab w:val="clear" w:pos="0"/>
              </w:tabs>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更深设计的理线环，可确保线缆弯曲半径，满足跳线或交叉线弯曲半径的合理性。</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sz w:val="22"/>
                <w:highlight w:val="none"/>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4</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15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六类4对非屏蔽跳线 2米，灰色</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numPr>
                <w:ilvl w:val="0"/>
                <w:numId w:val="4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规格：2米六类非屏蔽智能导光定位网络跳线；</w:t>
            </w:r>
          </w:p>
          <w:p>
            <w:pPr>
              <w:widowControl/>
              <w:numPr>
                <w:ilvl w:val="0"/>
                <w:numId w:val="4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性能超越ANSI/TIA/EIA-568B.2-1标准；</w:t>
            </w:r>
          </w:p>
          <w:p>
            <w:pPr>
              <w:widowControl/>
              <w:numPr>
                <w:ilvl w:val="0"/>
                <w:numId w:val="4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特别设计的RJ45确保优异性能；</w:t>
            </w:r>
          </w:p>
          <w:p>
            <w:pPr>
              <w:widowControl/>
              <w:numPr>
                <w:ilvl w:val="0"/>
                <w:numId w:val="4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标准软跳线采用4对8芯多股线芯双绞线、2芯导光线和十芯RJ45网络水晶头设计生产而成；</w:t>
            </w:r>
          </w:p>
          <w:p>
            <w:pPr>
              <w:widowControl/>
              <w:numPr>
                <w:ilvl w:val="0"/>
                <w:numId w:val="4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★十芯RJ45网络水晶首尾2芯为导光线，中间8芯为网络线缆，按正常色标打线；</w:t>
            </w:r>
          </w:p>
          <w:p>
            <w:pPr>
              <w:widowControl/>
              <w:numPr>
                <w:ilvl w:val="0"/>
                <w:numId w:val="4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★在跳线一端水晶头上用光源照射后，另一端水晶头上的导光线会发光，可以快速定位跳线的另一端位置；</w:t>
            </w:r>
          </w:p>
          <w:p>
            <w:pPr>
              <w:widowControl/>
              <w:numPr>
                <w:ilvl w:val="0"/>
                <w:numId w:val="4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RJ45头、护套、线缆一体化，确保多次插拔；</w:t>
            </w:r>
          </w:p>
          <w:p>
            <w:pPr>
              <w:widowControl/>
              <w:numPr>
                <w:ilvl w:val="0"/>
                <w:numId w:val="4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多种颜色可供选择，充分满足综合布线系统色彩管理思想；</w:t>
            </w:r>
          </w:p>
          <w:p>
            <w:pPr>
              <w:widowControl/>
              <w:numPr>
                <w:ilvl w:val="0"/>
                <w:numId w:val="4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多种长度可供选择，充分满足综合布线系统灵活应用要求；</w:t>
            </w:r>
          </w:p>
          <w:p>
            <w:pPr>
              <w:widowControl/>
              <w:numPr>
                <w:ilvl w:val="0"/>
                <w:numId w:val="4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可用在工作区、设备、配线间等部分；</w:t>
            </w:r>
          </w:p>
          <w:p>
            <w:pPr>
              <w:widowControl/>
              <w:numPr>
                <w:ilvl w:val="0"/>
                <w:numId w:val="4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支持千兆网络应用；</w:t>
            </w:r>
          </w:p>
          <w:p>
            <w:pPr>
              <w:widowControl/>
              <w:numPr>
                <w:ilvl w:val="0"/>
                <w:numId w:val="4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符合UL CMR防火标准；</w:t>
            </w:r>
          </w:p>
          <w:p>
            <w:pPr>
              <w:widowControl/>
              <w:numPr>
                <w:ilvl w:val="0"/>
                <w:numId w:val="4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导线间有PE绝缘层；</w:t>
            </w:r>
          </w:p>
          <w:p>
            <w:pPr>
              <w:widowControl/>
              <w:numPr>
                <w:ilvl w:val="0"/>
                <w:numId w:val="4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外护套为PVC绝缘材料；</w:t>
            </w:r>
          </w:p>
          <w:p>
            <w:pPr>
              <w:widowControl/>
              <w:numPr>
                <w:ilvl w:val="0"/>
                <w:numId w:val="41"/>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可以向下与5类和超5类产品兼容。</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sz w:val="22"/>
                <w:highlight w:val="none"/>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173</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16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语音跳线RJ45-RJ11</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numPr>
                <w:ilvl w:val="0"/>
                <w:numId w:val="4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规格：RJ11-RJ45型快接式语音跳线；</w:t>
            </w:r>
          </w:p>
          <w:p>
            <w:pPr>
              <w:widowControl/>
              <w:numPr>
                <w:ilvl w:val="0"/>
                <w:numId w:val="4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RJ11-RJ45型跳线由RJ11/RJ45水晶头和多股线芯超五类双绞线设计生产而成，柔软、易弯曲不易折断；</w:t>
            </w:r>
          </w:p>
          <w:p>
            <w:pPr>
              <w:widowControl/>
              <w:numPr>
                <w:ilvl w:val="0"/>
                <w:numId w:val="4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多种颜色可供选择，充分满足综合布线系统色彩管理思想；</w:t>
            </w:r>
          </w:p>
          <w:p>
            <w:pPr>
              <w:widowControl/>
              <w:numPr>
                <w:ilvl w:val="0"/>
                <w:numId w:val="4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多种长度可供选择，充分满足综合布线系统灵活应用要求；</w:t>
            </w:r>
          </w:p>
          <w:p>
            <w:pPr>
              <w:widowControl/>
              <w:numPr>
                <w:ilvl w:val="0"/>
                <w:numId w:val="4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性能向下兼容三类、五类系统；</w:t>
            </w:r>
          </w:p>
          <w:p>
            <w:pPr>
              <w:widowControl/>
              <w:numPr>
                <w:ilvl w:val="0"/>
                <w:numId w:val="4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外护套：PVC/ LSZH可选；</w:t>
            </w:r>
          </w:p>
          <w:p>
            <w:pPr>
              <w:widowControl/>
              <w:numPr>
                <w:ilvl w:val="0"/>
                <w:numId w:val="4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防火等级：CMR，LSZH，CM可选；</w:t>
            </w:r>
          </w:p>
          <w:p>
            <w:pPr>
              <w:widowControl/>
              <w:numPr>
                <w:ilvl w:val="0"/>
                <w:numId w:val="4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ISO/IEC-11801 D级；</w:t>
            </w:r>
          </w:p>
          <w:p>
            <w:pPr>
              <w:widowControl/>
              <w:numPr>
                <w:ilvl w:val="0"/>
                <w:numId w:val="4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EN-50173 D级；</w:t>
            </w:r>
          </w:p>
          <w:p>
            <w:pPr>
              <w:widowControl/>
              <w:numPr>
                <w:ilvl w:val="0"/>
                <w:numId w:val="42"/>
              </w:numPr>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TIA/EIA-568B.2-1D级。</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sz w:val="22"/>
                <w:highlight w:val="none"/>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22</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17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机柜(42U)</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一、机柜标准配置：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1、拼装式骨架组件1套</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2、前单开无孔边条白色钢化玻璃门，后单开钣金平板门，前后门配优质小圆锁</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3、快开式侧门1对（不带锁）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4、27U（含27U）以下的机柜安装梁为4条，27U以上的机柜安装梁为6条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5、喷涂方孔条（安装角规）4条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6、800宽机柜含1对垂直线槽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7、2寸承重万向脚轮（不带刹车）及支脚各4只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8、M6安装方螺母螺钉37U及以上40套，37U以下20套</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9、36u以下机柜含1块固定板、1套国标6位排插、1套2/4位风扇盒；37u及以上含3块固定板，1套国标6位排插，1套2/4位风扇盒</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二、选配件，按需增加：带刹车脚轮，重载固定板、键盘板、盲板、排插、扎线板等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三、材料：</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顶底盖、前后门、层板、框架T＝SPCC1.2mm，侧门1.0mm.左右安装梁T＝SPCC1.5mm，方孔条T＝SPCC2.0mm</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四、选材及标准涂层色：</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1.主材为：优质SPCC</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2.整体喷塑颜色：</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 a.黑色（RAL9004)</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 b.RAL7035</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sz w:val="22"/>
                <w:highlight w:val="none"/>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3</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18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机柜(18U)</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一、机柜标准配置：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1、拼装式骨架组件1套</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2、前单开无孔边条白色钢化玻璃门，后单开钣金平板门，前后门配优质小圆锁</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3、快开式侧门1对（不带锁）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4、27U（含27U）以下的机柜安装梁为4条，27U以上的机柜安装梁为6条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5、喷涂方孔条（安装角规）4条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6、800宽机柜含1对垂直线槽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7、2寸承重万向脚轮（不带刹车）及支脚各4只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8、M6安装方螺母螺钉37U及以上40套，37U以下20套</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9、36u以下机柜含1块固定板、1套国标6位排插、1套2/4位风扇盒；37u及以上含3块固定板，1套国标6位排插，1套2/4位风扇盒</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二、选配件，按需增加：带刹车脚轮，重载固定板、键盘板、盲板、排插、扎线板等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三、材料：</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顶底盖、前后门、层板、框架T＝SPCC1.2mm，侧门1.0mm.左右安装梁T＝SPCC1.5mm，方孔条T＝SPCC2.0mm</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四、选材及标准涂层色：</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1.主材为：优质SPCC</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2.整体喷塑颜色：</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 a.黑色（RAL9004)</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 b.RAL7035</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1 </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19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管材</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定制（报价含到其他分项中，不对此进行单独报价。）</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r>
      <w:tr>
        <w:tblPrEx>
          <w:tblCellMar>
            <w:top w:w="0" w:type="dxa"/>
            <w:left w:w="0" w:type="dxa"/>
            <w:bottom w:w="0" w:type="dxa"/>
            <w:right w:w="0" w:type="dxa"/>
          </w:tblCellMar>
        </w:tblPrEx>
        <w:trPr>
          <w:trHeight w:val="45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20 </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辅材</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定制（报价含到其他分项中，不对此进行单独报价。）</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 xml:space="preserve">1 </w:t>
            </w:r>
          </w:p>
        </w:tc>
      </w:tr>
    </w:tbl>
    <w:p>
      <w:pPr>
        <w:snapToGrid w:val="0"/>
        <w:spacing w:line="360" w:lineRule="exact"/>
        <w:rPr>
          <w:rFonts w:ascii="宋体" w:hAnsi="宋体" w:cs="宋体"/>
          <w:b/>
          <w:color w:val="auto"/>
          <w:sz w:val="22"/>
          <w:highlight w:val="none"/>
        </w:rPr>
      </w:pPr>
      <w:r>
        <w:rPr>
          <w:rFonts w:hint="eastAsia" w:ascii="宋体" w:hAnsi="宋体" w:cs="宋体"/>
          <w:b/>
          <w:color w:val="auto"/>
          <w:sz w:val="22"/>
          <w:highlight w:val="none"/>
        </w:rPr>
        <w:t>核心产品：</w:t>
      </w:r>
      <w:r>
        <w:rPr>
          <w:rFonts w:hint="eastAsia" w:ascii="宋体" w:hAnsi="宋体" w:cs="宋体"/>
          <w:b/>
          <w:bCs/>
          <w:color w:val="auto"/>
          <w:sz w:val="22"/>
          <w:highlight w:val="none"/>
        </w:rPr>
        <w:t>超融合智能分析平台一体机、数据中心核心交换机、无线控制器、网络出口防火墙、信息发布管理平台。</w:t>
      </w:r>
    </w:p>
    <w:p>
      <w:pPr>
        <w:snapToGrid w:val="0"/>
        <w:spacing w:line="360" w:lineRule="exact"/>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五．其他</w:t>
      </w:r>
    </w:p>
    <w:p>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2.带“▲且加下划线”的有关技术和商务条款为实质性条款，投标人必须做出实质性响应，否则视为投标无效。带“</w:t>
      </w:r>
      <w:r>
        <w:rPr>
          <w:rFonts w:hint="eastAsia" w:ascii="宋体" w:hAnsi="宋体" w:cs="宋体"/>
          <w:color w:val="auto"/>
          <w:sz w:val="22"/>
          <w:highlight w:val="none"/>
        </w:rPr>
        <w:t>★</w:t>
      </w:r>
      <w:r>
        <w:rPr>
          <w:rFonts w:hint="eastAsia" w:ascii="宋体" w:hAnsi="宋体" w:cs="宋体"/>
          <w:b/>
          <w:bCs/>
          <w:color w:val="auto"/>
          <w:spacing w:val="-6"/>
          <w:sz w:val="22"/>
          <w:highlight w:val="none"/>
        </w:rPr>
        <w:t>”的为重要条款。</w:t>
      </w:r>
    </w:p>
    <w:p>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3.如技术部分中未特别注明需执行的国家相关标准、行业标准、地方标准或者其他标准、规范，则统一执行最新标准、规范。</w:t>
      </w:r>
    </w:p>
    <w:p>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4.技术部分中需要提供的证明材料有有效期的必须在有效期内，否则视为未提供。</w:t>
      </w:r>
    </w:p>
    <w:p>
      <w:pPr>
        <w:snapToGrid w:val="0"/>
        <w:spacing w:line="400" w:lineRule="exact"/>
        <w:jc w:val="center"/>
        <w:rPr>
          <w:rFonts w:ascii="宋体" w:hAnsi="宋体" w:cs="宋体"/>
          <w:b/>
          <w:color w:val="auto"/>
          <w:sz w:val="32"/>
          <w:highlight w:val="none"/>
        </w:rPr>
      </w:pPr>
      <w:r>
        <w:rPr>
          <w:rFonts w:ascii="宋体" w:hAnsi="宋体" w:cs="宋体"/>
          <w:b/>
          <w:color w:val="auto"/>
          <w:sz w:val="32"/>
          <w:highlight w:val="none"/>
        </w:rPr>
        <w:br w:type="page"/>
      </w:r>
    </w:p>
    <w:p>
      <w:pPr>
        <w:snapToGrid w:val="0"/>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第六部分   评标原则及方法</w:t>
      </w:r>
    </w:p>
    <w:p>
      <w:pPr>
        <w:pStyle w:val="9"/>
        <w:adjustRightInd w:val="0"/>
        <w:snapToGrid w:val="0"/>
        <w:spacing w:after="0" w:line="40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根据《中华人民共和国政府采购法》等相关法规特制定以下评标办法。</w:t>
      </w:r>
    </w:p>
    <w:p>
      <w:pPr>
        <w:numPr>
          <w:ilvl w:val="0"/>
          <w:numId w:val="43"/>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总  则</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二.评标组织</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评标工作由采购人依法组建的评标委员会负责，评标全过程由有关部门指导监督。</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三.评标程序</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采购人或者采购代理机构对各投标人的投标资格进行审查；然后评标委员会对合格投标人进行符合性审查，对审查通过的商务和技术文件进行评审；商务和技术文件评审结束之后对报价文件评审，综合评审结果，提交评审报告。</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四.评标办法</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本评标办法采用百分制综合评分法，商务和技术70分（商务和技术权值70%），报价30分（价格权值30%）。最大限度地满足招标文件中规定的各项综合评价标准且综合得分最高的投标人，将被推荐为中标候选人。</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评分细则</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1.商务和技术分的评定（70分）</w:t>
      </w:r>
    </w:p>
    <w:p>
      <w:pPr>
        <w:pStyle w:val="53"/>
        <w:spacing w:line="400" w:lineRule="exact"/>
        <w:ind w:firstLine="0" w:firstLineChars="0"/>
        <w:rPr>
          <w:rFonts w:ascii="宋体" w:hAnsi="宋体" w:cs="宋体"/>
          <w:color w:val="auto"/>
          <w:sz w:val="22"/>
          <w:highlight w:val="none"/>
        </w:rPr>
      </w:pPr>
      <w:r>
        <w:rPr>
          <w:rFonts w:hint="eastAsia" w:ascii="宋体" w:hAnsi="宋体" w:cs="宋体"/>
          <w:color w:val="auto"/>
          <w:sz w:val="22"/>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合计算术平均值为各投标人商务和技术分得分（小数点后按四舍五入保留2位）。</w:t>
      </w:r>
    </w:p>
    <w:tbl>
      <w:tblPr>
        <w:tblStyle w:val="26"/>
        <w:tblW w:w="8809" w:type="dxa"/>
        <w:tblInd w:w="0" w:type="dxa"/>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88"/>
        <w:gridCol w:w="1392"/>
        <w:gridCol w:w="664"/>
        <w:gridCol w:w="6165"/>
      </w:tblGrid>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588" w:type="dxa"/>
            <w:tcMar>
              <w:top w:w="12" w:type="dxa"/>
              <w:left w:w="12" w:type="dxa"/>
              <w:right w:w="12" w:type="dxa"/>
            </w:tcMar>
            <w:vAlign w:val="center"/>
          </w:tcPr>
          <w:p>
            <w:pPr>
              <w:widowControl/>
              <w:spacing w:line="360" w:lineRule="exact"/>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rPr>
              <w:t>序号</w:t>
            </w:r>
          </w:p>
        </w:tc>
        <w:tc>
          <w:tcPr>
            <w:tcW w:w="1392" w:type="dxa"/>
            <w:tcMar>
              <w:top w:w="12" w:type="dxa"/>
              <w:left w:w="12" w:type="dxa"/>
              <w:right w:w="12" w:type="dxa"/>
            </w:tcMar>
            <w:vAlign w:val="center"/>
          </w:tcPr>
          <w:p>
            <w:pPr>
              <w:widowControl/>
              <w:spacing w:line="360" w:lineRule="exact"/>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rPr>
              <w:t>评分内容</w:t>
            </w:r>
          </w:p>
        </w:tc>
        <w:tc>
          <w:tcPr>
            <w:tcW w:w="664" w:type="dxa"/>
            <w:tcMar>
              <w:top w:w="12" w:type="dxa"/>
              <w:left w:w="12" w:type="dxa"/>
              <w:right w:w="12" w:type="dxa"/>
            </w:tcMar>
            <w:vAlign w:val="center"/>
          </w:tcPr>
          <w:p>
            <w:pPr>
              <w:widowControl/>
              <w:spacing w:line="360" w:lineRule="exact"/>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rPr>
              <w:t>分值</w:t>
            </w:r>
          </w:p>
        </w:tc>
        <w:tc>
          <w:tcPr>
            <w:tcW w:w="6165" w:type="dxa"/>
            <w:tcMar>
              <w:top w:w="12" w:type="dxa"/>
              <w:left w:w="12" w:type="dxa"/>
              <w:right w:w="12" w:type="dxa"/>
            </w:tcMar>
            <w:vAlign w:val="center"/>
          </w:tcPr>
          <w:p>
            <w:pPr>
              <w:widowControl/>
              <w:spacing w:line="360" w:lineRule="exact"/>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rPr>
              <w:t>评分标准说明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588" w:type="dxa"/>
            <w:tcMar>
              <w:top w:w="12" w:type="dxa"/>
              <w:left w:w="12" w:type="dxa"/>
              <w:right w:w="12" w:type="dxa"/>
            </w:tcMar>
            <w:vAlign w:val="center"/>
          </w:tcPr>
          <w:p>
            <w:pPr>
              <w:spacing w:line="360" w:lineRule="exact"/>
              <w:jc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392" w:type="dxa"/>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投标人实力</w:t>
            </w:r>
          </w:p>
        </w:tc>
        <w:tc>
          <w:tcPr>
            <w:tcW w:w="664" w:type="dxa"/>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0-3</w:t>
            </w:r>
          </w:p>
        </w:tc>
        <w:tc>
          <w:tcPr>
            <w:tcW w:w="6165" w:type="dxa"/>
            <w:tcMar>
              <w:top w:w="12" w:type="dxa"/>
              <w:left w:w="12" w:type="dxa"/>
              <w:right w:w="12" w:type="dxa"/>
            </w:tcMar>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投标人具备业务服务范围为主机托管、带宽租赁、云计算服务的信息安全管理体系国际认证(ISO/IEC27001:2013)，每提供1个得1分，最高得3分，提供证书原件扫描件加盖投标人公章，不提供不得分。</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5" w:hRule="atLeast"/>
        </w:trPr>
        <w:tc>
          <w:tcPr>
            <w:tcW w:w="588" w:type="dxa"/>
            <w:tcMar>
              <w:top w:w="12" w:type="dxa"/>
              <w:left w:w="12" w:type="dxa"/>
              <w:right w:w="12" w:type="dxa"/>
            </w:tcMar>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1392" w:type="dxa"/>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投标人业绩</w:t>
            </w:r>
          </w:p>
        </w:tc>
        <w:tc>
          <w:tcPr>
            <w:tcW w:w="664" w:type="dxa"/>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0-2</w:t>
            </w:r>
          </w:p>
        </w:tc>
        <w:tc>
          <w:tcPr>
            <w:tcW w:w="6165" w:type="dxa"/>
            <w:tcMar>
              <w:top w:w="12" w:type="dxa"/>
              <w:left w:w="12" w:type="dxa"/>
              <w:right w:w="12" w:type="dxa"/>
            </w:tcMar>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投标人提供2018年1月1日之后的同类项目案例，每提供一个得0.5分，最高得2分（提供合同原价扫描件加盖投标人公章，否则不得分）。</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588" w:type="dxa"/>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c>
          <w:tcPr>
            <w:tcW w:w="1392" w:type="dxa"/>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政策功能</w:t>
            </w:r>
          </w:p>
        </w:tc>
        <w:tc>
          <w:tcPr>
            <w:tcW w:w="664" w:type="dxa"/>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0-1</w:t>
            </w:r>
          </w:p>
        </w:tc>
        <w:tc>
          <w:tcPr>
            <w:tcW w:w="6165" w:type="dxa"/>
            <w:tcMar>
              <w:top w:w="12" w:type="dxa"/>
              <w:left w:w="12" w:type="dxa"/>
              <w:right w:w="12" w:type="dxa"/>
            </w:tcMar>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投标产品属于政府采购品目清单范围且提供国家确定的认证机构出具的处于有效期之内的节能产品认证证书或“投标产品在‘中国政府采购网’上节能产品查询截图的，每项产品得0.5分，最高得0.5分（投标产品属于节能产品政府采购品目清单中强制采购的除外）；</w:t>
            </w:r>
          </w:p>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2.投标产品属于政府采购品目清单范围且提供国家确定的认证机构出具的处于有效期之内的环境标志产品认证证书或“投标产品在‘中国政府采购网’上环境标志产品查询截图的，每项产品得0.5分，最高得0.5分。</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588" w:type="dxa"/>
            <w:tcMar>
              <w:top w:w="12" w:type="dxa"/>
              <w:left w:w="12" w:type="dxa"/>
              <w:right w:w="12" w:type="dxa"/>
            </w:tcMar>
            <w:vAlign w:val="center"/>
          </w:tcPr>
          <w:p>
            <w:pPr>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4</w:t>
            </w:r>
          </w:p>
        </w:tc>
        <w:tc>
          <w:tcPr>
            <w:tcW w:w="1392" w:type="dxa"/>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投标产品响应程度</w:t>
            </w:r>
          </w:p>
        </w:tc>
        <w:tc>
          <w:tcPr>
            <w:tcW w:w="664" w:type="dxa"/>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0-40</w:t>
            </w:r>
          </w:p>
        </w:tc>
        <w:tc>
          <w:tcPr>
            <w:tcW w:w="6165" w:type="dxa"/>
            <w:tcMar>
              <w:top w:w="12" w:type="dxa"/>
              <w:left w:w="12" w:type="dxa"/>
              <w:right w:w="12" w:type="dxa"/>
            </w:tcMar>
            <w:vAlign w:val="center"/>
          </w:tcPr>
          <w:p>
            <w:p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满足招标文件明确的全部技术条款要求的得满分：评审小组根据投标人的参数应答和提供参数中所要求的证明材料情况进行评分，评分要求如下：</w:t>
            </w:r>
          </w:p>
          <w:p>
            <w:pPr>
              <w:spacing w:line="360" w:lineRule="exact"/>
              <w:jc w:val="left"/>
              <w:rPr>
                <w:rFonts w:ascii="宋体" w:hAnsi="宋体" w:cs="宋体"/>
                <w:color w:val="auto"/>
                <w:sz w:val="22"/>
                <w:highlight w:val="none"/>
              </w:rPr>
            </w:pPr>
            <w:r>
              <w:rPr>
                <w:rFonts w:hint="eastAsia" w:ascii="宋体" w:hAnsi="宋体" w:cs="宋体"/>
                <w:color w:val="auto"/>
                <w:sz w:val="22"/>
                <w:highlight w:val="none"/>
              </w:rPr>
              <w:t>带“★”的要求为重要技术指标指标负偏离或不能提供所要求的证明材料的每负偏离一项扣2分，非“★”的指标要求为一般性技术指标每负偏离一项扣1分，扣完为止。</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588" w:type="dxa"/>
            <w:vMerge w:val="restart"/>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5</w:t>
            </w:r>
          </w:p>
        </w:tc>
        <w:tc>
          <w:tcPr>
            <w:tcW w:w="1392" w:type="dxa"/>
            <w:vMerge w:val="restart"/>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实施方案</w:t>
            </w:r>
          </w:p>
        </w:tc>
        <w:tc>
          <w:tcPr>
            <w:tcW w:w="664" w:type="dxa"/>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0-2</w:t>
            </w:r>
          </w:p>
        </w:tc>
        <w:tc>
          <w:tcPr>
            <w:tcW w:w="6165" w:type="dxa"/>
            <w:tcMar>
              <w:top w:w="12" w:type="dxa"/>
              <w:left w:w="12" w:type="dxa"/>
              <w:right w:w="12" w:type="dxa"/>
            </w:tcMar>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对整体项目的现状及需求、定位理解程度的全面性、合理性</w:t>
            </w:r>
            <w:r>
              <w:rPr>
                <w:rFonts w:hint="eastAsia" w:ascii="宋体" w:hAnsi="宋体" w:cs="宋体"/>
                <w:color w:val="auto"/>
                <w:sz w:val="22"/>
                <w:highlight w:val="none"/>
              </w:rPr>
              <w:t>进行</w:t>
            </w:r>
            <w:r>
              <w:rPr>
                <w:rFonts w:hint="eastAsia" w:ascii="宋体" w:hAnsi="宋体" w:cs="宋体"/>
                <w:color w:val="auto"/>
                <w:kern w:val="0"/>
                <w:sz w:val="22"/>
                <w:highlight w:val="none"/>
              </w:rPr>
              <w:t>打分。</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588" w:type="dxa"/>
            <w:vMerge w:val="continue"/>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p>
        </w:tc>
        <w:tc>
          <w:tcPr>
            <w:tcW w:w="1392" w:type="dxa"/>
            <w:vMerge w:val="continue"/>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p>
        </w:tc>
        <w:tc>
          <w:tcPr>
            <w:tcW w:w="664" w:type="dxa"/>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0-2</w:t>
            </w:r>
          </w:p>
        </w:tc>
        <w:tc>
          <w:tcPr>
            <w:tcW w:w="6165" w:type="dxa"/>
            <w:tcMar>
              <w:top w:w="12" w:type="dxa"/>
              <w:left w:w="12" w:type="dxa"/>
              <w:right w:w="12" w:type="dxa"/>
            </w:tcMar>
            <w:vAlign w:val="center"/>
          </w:tcPr>
          <w:p>
            <w:pPr>
              <w:kinsoku w:val="0"/>
              <w:overflowPunct w:val="0"/>
              <w:spacing w:line="360" w:lineRule="exact"/>
              <w:jc w:val="left"/>
              <w:rPr>
                <w:rFonts w:ascii="宋体" w:hAnsi="宋体" w:cs="宋体"/>
                <w:color w:val="auto"/>
                <w:kern w:val="0"/>
                <w:sz w:val="22"/>
                <w:highlight w:val="none"/>
              </w:rPr>
            </w:pPr>
            <w:r>
              <w:rPr>
                <w:rFonts w:hint="eastAsia" w:ascii="宋体" w:hAnsi="宋体" w:cs="宋体"/>
                <w:color w:val="auto"/>
                <w:sz w:val="22"/>
                <w:highlight w:val="none"/>
              </w:rPr>
              <w:t>对本项目存在的难点、要点等问题以及提出难点和要点的解决方案的的全面</w:t>
            </w:r>
            <w:r>
              <w:rPr>
                <w:rFonts w:hint="eastAsia" w:ascii="宋体" w:hAnsi="宋体" w:cs="宋体"/>
                <w:color w:val="auto"/>
                <w:kern w:val="0"/>
                <w:sz w:val="22"/>
                <w:highlight w:val="none"/>
              </w:rPr>
              <w:t>性</w:t>
            </w:r>
            <w:r>
              <w:rPr>
                <w:rFonts w:hint="eastAsia" w:ascii="宋体" w:hAnsi="宋体" w:cs="宋体"/>
                <w:color w:val="auto"/>
                <w:sz w:val="22"/>
                <w:highlight w:val="none"/>
              </w:rPr>
              <w:t>、合理</w:t>
            </w:r>
            <w:r>
              <w:rPr>
                <w:rFonts w:hint="eastAsia" w:ascii="宋体" w:hAnsi="宋体" w:cs="宋体"/>
                <w:color w:val="auto"/>
                <w:kern w:val="0"/>
                <w:sz w:val="22"/>
                <w:highlight w:val="none"/>
              </w:rPr>
              <w:t>性</w:t>
            </w:r>
            <w:r>
              <w:rPr>
                <w:rFonts w:hint="eastAsia" w:ascii="宋体" w:hAnsi="宋体" w:cs="宋体"/>
                <w:color w:val="auto"/>
                <w:sz w:val="22"/>
                <w:highlight w:val="none"/>
              </w:rPr>
              <w:t>、针对性和可操作性进行打分。</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588" w:type="dxa"/>
            <w:vMerge w:val="continue"/>
            <w:tcMar>
              <w:top w:w="12" w:type="dxa"/>
              <w:left w:w="12" w:type="dxa"/>
              <w:right w:w="12" w:type="dxa"/>
            </w:tcMar>
            <w:vAlign w:val="center"/>
          </w:tcPr>
          <w:p>
            <w:pPr>
              <w:spacing w:line="360" w:lineRule="exact"/>
              <w:jc w:val="center"/>
              <w:rPr>
                <w:rFonts w:ascii="宋体" w:hAnsi="宋体" w:cs="宋体"/>
                <w:color w:val="auto"/>
                <w:kern w:val="0"/>
                <w:sz w:val="22"/>
                <w:highlight w:val="none"/>
              </w:rPr>
            </w:pPr>
          </w:p>
        </w:tc>
        <w:tc>
          <w:tcPr>
            <w:tcW w:w="1392" w:type="dxa"/>
            <w:vMerge w:val="continue"/>
            <w:tcMar>
              <w:top w:w="12" w:type="dxa"/>
              <w:left w:w="12" w:type="dxa"/>
              <w:right w:w="12" w:type="dxa"/>
            </w:tcMar>
            <w:vAlign w:val="center"/>
          </w:tcPr>
          <w:p>
            <w:pPr>
              <w:widowControl/>
              <w:spacing w:line="360" w:lineRule="exact"/>
              <w:textAlignment w:val="center"/>
              <w:rPr>
                <w:rFonts w:ascii="宋体" w:hAnsi="宋体" w:cs="宋体"/>
                <w:color w:val="auto"/>
                <w:kern w:val="0"/>
                <w:sz w:val="22"/>
                <w:highlight w:val="none"/>
              </w:rPr>
            </w:pPr>
          </w:p>
        </w:tc>
        <w:tc>
          <w:tcPr>
            <w:tcW w:w="664" w:type="dxa"/>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0-2</w:t>
            </w:r>
          </w:p>
        </w:tc>
        <w:tc>
          <w:tcPr>
            <w:tcW w:w="6165" w:type="dxa"/>
            <w:tcMar>
              <w:top w:w="12" w:type="dxa"/>
              <w:left w:w="12" w:type="dxa"/>
              <w:right w:w="12" w:type="dxa"/>
            </w:tcMar>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根据投标人提供的项目组织实施方案（包括但不限于供货计划、实施工期、质量保证、安全生产、人员能力等）的完整性、合理性进行打分。</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588" w:type="dxa"/>
            <w:vMerge w:val="continue"/>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p>
        </w:tc>
        <w:tc>
          <w:tcPr>
            <w:tcW w:w="1392" w:type="dxa"/>
            <w:vMerge w:val="continue"/>
            <w:tcMar>
              <w:top w:w="12" w:type="dxa"/>
              <w:left w:w="12" w:type="dxa"/>
              <w:right w:w="12" w:type="dxa"/>
            </w:tcMar>
            <w:vAlign w:val="center"/>
          </w:tcPr>
          <w:p>
            <w:pPr>
              <w:widowControl/>
              <w:spacing w:line="360" w:lineRule="exact"/>
              <w:textAlignment w:val="center"/>
              <w:rPr>
                <w:rFonts w:ascii="宋体" w:hAnsi="宋体" w:cs="宋体"/>
                <w:color w:val="auto"/>
                <w:sz w:val="22"/>
                <w:highlight w:val="none"/>
              </w:rPr>
            </w:pPr>
          </w:p>
        </w:tc>
        <w:tc>
          <w:tcPr>
            <w:tcW w:w="664" w:type="dxa"/>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0-2</w:t>
            </w:r>
          </w:p>
        </w:tc>
        <w:tc>
          <w:tcPr>
            <w:tcW w:w="6165" w:type="dxa"/>
            <w:tcMar>
              <w:top w:w="12" w:type="dxa"/>
              <w:left w:w="12" w:type="dxa"/>
              <w:right w:w="12" w:type="dxa"/>
            </w:tcMar>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根据投标人针对本项目提供设计图纸（包含但不限于：强电、弱电图纸等）详细性、合理性、可行性进行打分。</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588" w:type="dxa"/>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sz w:val="22"/>
                <w:highlight w:val="none"/>
                <w:lang w:eastAsia="zh-CN"/>
              </w:rPr>
            </w:pPr>
            <w:r>
              <w:rPr>
                <w:rFonts w:hint="eastAsia" w:ascii="宋体" w:hAnsi="宋体" w:cs="宋体"/>
                <w:color w:val="auto"/>
                <w:kern w:val="0"/>
                <w:sz w:val="22"/>
                <w:highlight w:val="none"/>
                <w:lang w:val="en-US" w:eastAsia="zh-CN"/>
              </w:rPr>
              <w:t>6</w:t>
            </w:r>
          </w:p>
        </w:tc>
        <w:tc>
          <w:tcPr>
            <w:tcW w:w="1392" w:type="dxa"/>
            <w:tcMar>
              <w:top w:w="12" w:type="dxa"/>
              <w:left w:w="12" w:type="dxa"/>
              <w:right w:w="12" w:type="dxa"/>
            </w:tcMar>
            <w:vAlign w:val="center"/>
          </w:tcPr>
          <w:p>
            <w:pPr>
              <w:widowControl/>
              <w:spacing w:line="360" w:lineRule="exact"/>
              <w:textAlignment w:val="center"/>
              <w:rPr>
                <w:rFonts w:ascii="宋体" w:hAnsi="宋体" w:cs="宋体"/>
                <w:color w:val="auto"/>
                <w:sz w:val="22"/>
                <w:highlight w:val="none"/>
              </w:rPr>
            </w:pPr>
            <w:r>
              <w:rPr>
                <w:rFonts w:hint="eastAsia" w:ascii="宋体" w:hAnsi="宋体" w:cs="宋体"/>
                <w:color w:val="auto"/>
                <w:kern w:val="0"/>
                <w:sz w:val="22"/>
                <w:highlight w:val="none"/>
              </w:rPr>
              <w:t>关键技术服务力量保障</w:t>
            </w:r>
          </w:p>
        </w:tc>
        <w:tc>
          <w:tcPr>
            <w:tcW w:w="664" w:type="dxa"/>
            <w:tcMar>
              <w:top w:w="12" w:type="dxa"/>
              <w:left w:w="12" w:type="dxa"/>
              <w:right w:w="12" w:type="dxa"/>
            </w:tcMar>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0-10</w:t>
            </w:r>
          </w:p>
        </w:tc>
        <w:tc>
          <w:tcPr>
            <w:tcW w:w="6165" w:type="dxa"/>
            <w:tcMar>
              <w:top w:w="12" w:type="dxa"/>
              <w:left w:w="12" w:type="dxa"/>
              <w:right w:w="12" w:type="dxa"/>
            </w:tcMar>
            <w:vAlign w:val="center"/>
          </w:tcPr>
          <w:p>
            <w:pPr>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1.项目负责人需具有信息系统项目管理师、PMP或CPMP项目管理认证证书、ITSS等证书，每持有一个得1分，没有不得分，本项最高得3分；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2.技术总监需具有PMP或CPMP项目管理认证、网络工程师（软考）、OCP-MySQL、RHCE等证书，每提供1个证书得1分，本项最高得4分；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3.技术团队中有成员持有CISA（注册信息系统审计师）、CISM、OCM、CCIE、ITIL、国家软考系统分析师证书，每提供1类得0.5分，本项最高得3分；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注：以上提供证书原件扫描件加盖投标人公章且承诺该人员为投标人正式员工，否则对应项不得分。</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588" w:type="dxa"/>
            <w:vMerge w:val="restart"/>
            <w:tcMar>
              <w:top w:w="12" w:type="dxa"/>
              <w:left w:w="12" w:type="dxa"/>
              <w:right w:w="12" w:type="dxa"/>
            </w:tcMar>
            <w:vAlign w:val="center"/>
          </w:tcPr>
          <w:p>
            <w:pPr>
              <w:widowControl/>
              <w:spacing w:line="360" w:lineRule="exact"/>
              <w:jc w:val="center"/>
              <w:textAlignment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val="en-US" w:eastAsia="zh-CN"/>
              </w:rPr>
              <w:t>7</w:t>
            </w:r>
          </w:p>
        </w:tc>
        <w:tc>
          <w:tcPr>
            <w:tcW w:w="1392" w:type="dxa"/>
            <w:vMerge w:val="restart"/>
            <w:tcMar>
              <w:top w:w="12" w:type="dxa"/>
              <w:left w:w="12" w:type="dxa"/>
              <w:right w:w="12" w:type="dxa"/>
            </w:tcMar>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售后服务对应方案及承诺</w:t>
            </w:r>
          </w:p>
        </w:tc>
        <w:tc>
          <w:tcPr>
            <w:tcW w:w="664" w:type="dxa"/>
            <w:tcMar>
              <w:top w:w="12" w:type="dxa"/>
              <w:left w:w="12" w:type="dxa"/>
              <w:right w:w="12" w:type="dxa"/>
            </w:tcMar>
            <w:vAlign w:val="center"/>
          </w:tcPr>
          <w:p>
            <w:pPr>
              <w:widowControl/>
              <w:spacing w:line="36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0-2</w:t>
            </w:r>
          </w:p>
        </w:tc>
        <w:tc>
          <w:tcPr>
            <w:tcW w:w="6165" w:type="dxa"/>
            <w:tcMar>
              <w:top w:w="12" w:type="dxa"/>
              <w:left w:w="12" w:type="dxa"/>
              <w:right w:w="12" w:type="dxa"/>
            </w:tcMar>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根据售后服务方案（包括售后服务标准、服务人员配备、故障响应修复时间方式、</w:t>
            </w:r>
            <w:r>
              <w:rPr>
                <w:rFonts w:hint="eastAsia" w:ascii="宋体" w:hAnsi="宋体" w:cs="宋体"/>
                <w:color w:val="auto"/>
                <w:sz w:val="22"/>
                <w:highlight w:val="none"/>
              </w:rPr>
              <w:t>应急保障方案</w:t>
            </w:r>
            <w:r>
              <w:rPr>
                <w:rFonts w:hint="eastAsia" w:ascii="宋体" w:hAnsi="宋体" w:cs="宋体"/>
                <w:color w:val="auto"/>
                <w:kern w:val="0"/>
                <w:sz w:val="22"/>
                <w:highlight w:val="none"/>
              </w:rPr>
              <w:t>及保障措施）</w:t>
            </w:r>
            <w:r>
              <w:rPr>
                <w:rFonts w:hint="eastAsia" w:ascii="宋体" w:hAnsi="宋体" w:cs="宋体"/>
                <w:color w:val="auto"/>
                <w:spacing w:val="-6"/>
                <w:sz w:val="22"/>
                <w:highlight w:val="none"/>
                <w:lang w:bidi="ar"/>
              </w:rPr>
              <w:t>的详细性、合理性</w:t>
            </w:r>
            <w:r>
              <w:rPr>
                <w:rFonts w:hint="eastAsia" w:ascii="宋体" w:hAnsi="宋体" w:cs="宋体"/>
                <w:color w:val="auto"/>
                <w:spacing w:val="-6"/>
                <w:sz w:val="22"/>
                <w:highlight w:val="none"/>
                <w:lang w:val="en-US" w:eastAsia="zh-CN" w:bidi="ar"/>
              </w:rPr>
              <w:t>打分</w:t>
            </w:r>
            <w:r>
              <w:rPr>
                <w:rFonts w:hint="eastAsia" w:ascii="宋体" w:hAnsi="宋体" w:cs="宋体"/>
                <w:color w:val="auto"/>
                <w:kern w:val="0"/>
                <w:sz w:val="22"/>
                <w:highlight w:val="none"/>
              </w:rPr>
              <w:t>。</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588" w:type="dxa"/>
            <w:vMerge w:val="continue"/>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p>
        </w:tc>
        <w:tc>
          <w:tcPr>
            <w:tcW w:w="1392" w:type="dxa"/>
            <w:vMerge w:val="continue"/>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p>
        </w:tc>
        <w:tc>
          <w:tcPr>
            <w:tcW w:w="664" w:type="dxa"/>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0-2</w:t>
            </w:r>
          </w:p>
        </w:tc>
        <w:tc>
          <w:tcPr>
            <w:tcW w:w="6165" w:type="dxa"/>
            <w:tcMar>
              <w:top w:w="12" w:type="dxa"/>
              <w:left w:w="12" w:type="dxa"/>
              <w:right w:w="12" w:type="dxa"/>
            </w:tcMar>
            <w:vAlign w:val="center"/>
          </w:tcPr>
          <w:p>
            <w:pPr>
              <w:widowControl/>
              <w:spacing w:line="36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lang w:val="en-US" w:eastAsia="zh-CN"/>
              </w:rPr>
              <w:t>根据</w:t>
            </w:r>
            <w:r>
              <w:rPr>
                <w:rFonts w:hint="eastAsia" w:ascii="宋体" w:hAnsi="宋体" w:cs="宋体"/>
                <w:color w:val="auto"/>
                <w:kern w:val="0"/>
                <w:sz w:val="22"/>
                <w:highlight w:val="none"/>
              </w:rPr>
              <w:t>投标人提供技术培训的内容、期限、形式的</w:t>
            </w:r>
            <w:r>
              <w:rPr>
                <w:rFonts w:hint="eastAsia" w:ascii="宋体" w:hAnsi="宋体" w:cs="宋体"/>
                <w:color w:val="auto"/>
                <w:spacing w:val="-6"/>
                <w:sz w:val="22"/>
                <w:highlight w:val="none"/>
                <w:lang w:bidi="ar"/>
              </w:rPr>
              <w:t>详细性、合理性、可行性</w:t>
            </w:r>
            <w:r>
              <w:rPr>
                <w:rFonts w:hint="eastAsia" w:ascii="宋体" w:hAnsi="宋体" w:cs="宋体"/>
                <w:color w:val="auto"/>
                <w:kern w:val="0"/>
                <w:sz w:val="22"/>
                <w:highlight w:val="none"/>
              </w:rPr>
              <w:t>进行打分。</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588" w:type="dxa"/>
            <w:vMerge w:val="continue"/>
            <w:tcMar>
              <w:top w:w="12" w:type="dxa"/>
              <w:left w:w="12" w:type="dxa"/>
              <w:right w:w="12" w:type="dxa"/>
            </w:tcMar>
            <w:vAlign w:val="center"/>
          </w:tcPr>
          <w:p>
            <w:pPr>
              <w:widowControl/>
              <w:spacing w:line="360" w:lineRule="exact"/>
              <w:jc w:val="center"/>
              <w:textAlignment w:val="center"/>
              <w:rPr>
                <w:rFonts w:ascii="宋体" w:hAnsi="宋体" w:cs="宋体"/>
                <w:color w:val="auto"/>
                <w:kern w:val="0"/>
                <w:sz w:val="22"/>
                <w:highlight w:val="none"/>
              </w:rPr>
            </w:pPr>
          </w:p>
        </w:tc>
        <w:tc>
          <w:tcPr>
            <w:tcW w:w="1392" w:type="dxa"/>
            <w:vMerge w:val="continue"/>
            <w:tcMar>
              <w:top w:w="12" w:type="dxa"/>
              <w:left w:w="12" w:type="dxa"/>
              <w:right w:w="12" w:type="dxa"/>
            </w:tcMar>
            <w:vAlign w:val="center"/>
          </w:tcPr>
          <w:p>
            <w:pPr>
              <w:widowControl/>
              <w:spacing w:line="360" w:lineRule="exact"/>
              <w:jc w:val="center"/>
              <w:rPr>
                <w:rFonts w:ascii="宋体" w:hAnsi="宋体" w:cs="宋体"/>
                <w:color w:val="auto"/>
                <w:kern w:val="0"/>
                <w:sz w:val="22"/>
                <w:highlight w:val="none"/>
              </w:rPr>
            </w:pPr>
          </w:p>
        </w:tc>
        <w:tc>
          <w:tcPr>
            <w:tcW w:w="664" w:type="dxa"/>
            <w:tcMar>
              <w:top w:w="12" w:type="dxa"/>
              <w:left w:w="12" w:type="dxa"/>
              <w:right w:w="12" w:type="dxa"/>
            </w:tcMar>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0-2</w:t>
            </w:r>
          </w:p>
        </w:tc>
        <w:tc>
          <w:tcPr>
            <w:tcW w:w="6165" w:type="dxa"/>
            <w:tcMar>
              <w:top w:w="12" w:type="dxa"/>
              <w:left w:w="12" w:type="dxa"/>
              <w:right w:w="12" w:type="dxa"/>
            </w:tcMar>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sz w:val="22"/>
                <w:highlight w:val="none"/>
              </w:rPr>
              <w:t>针对本项目提出的实质性优惠措施、保密承诺及廉洁承诺的</w:t>
            </w:r>
            <w:r>
              <w:rPr>
                <w:rFonts w:hint="eastAsia" w:ascii="宋体" w:hAnsi="宋体" w:cs="宋体"/>
                <w:color w:val="auto"/>
                <w:spacing w:val="-6"/>
                <w:sz w:val="22"/>
                <w:highlight w:val="none"/>
                <w:lang w:bidi="ar"/>
              </w:rPr>
              <w:t>详细性、可行性</w:t>
            </w:r>
            <w:r>
              <w:rPr>
                <w:rFonts w:hint="eastAsia" w:ascii="宋体" w:hAnsi="宋体" w:cs="宋体"/>
                <w:color w:val="auto"/>
                <w:spacing w:val="-6"/>
                <w:sz w:val="22"/>
                <w:highlight w:val="none"/>
                <w:lang w:val="en-US" w:eastAsia="zh-CN" w:bidi="ar"/>
              </w:rPr>
              <w:t>打分</w:t>
            </w:r>
            <w:r>
              <w:rPr>
                <w:rFonts w:hint="eastAsia" w:ascii="宋体" w:hAnsi="宋体" w:cs="宋体"/>
                <w:color w:val="auto"/>
                <w:spacing w:val="-6"/>
                <w:sz w:val="22"/>
                <w:highlight w:val="none"/>
                <w:lang w:bidi="ar"/>
              </w:rPr>
              <w:t>。</w:t>
            </w:r>
          </w:p>
        </w:tc>
      </w:tr>
    </w:tbl>
    <w:p>
      <w:pPr>
        <w:spacing w:line="400" w:lineRule="exact"/>
        <w:rPr>
          <w:rFonts w:ascii="宋体" w:hAnsi="宋体" w:cs="宋体"/>
          <w:color w:val="auto"/>
          <w:sz w:val="22"/>
          <w:highlight w:val="none"/>
        </w:rPr>
      </w:pPr>
      <w:r>
        <w:rPr>
          <w:rFonts w:hint="eastAsia" w:ascii="宋体" w:hAnsi="宋体" w:cs="宋体"/>
          <w:color w:val="auto"/>
          <w:sz w:val="22"/>
          <w:highlight w:val="none"/>
        </w:rPr>
        <w:t>2.报价评分（30分）：</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2.1资格及符合性审查通过的有效投标人进入商务报价评分。</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报价评分采用低价优先法计算，即满足招标文件要求且评审价格最低的为评标基准价，其他投标人的报价分按照下列公式计算：</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报价分=（评标基准价/评审报价）×30。</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注：以上四舍五入后保留小数2位</w:t>
      </w:r>
    </w:p>
    <w:p>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①依据《政府采购促进中小企业发展管理办法》（财库〔2020〕46号）文件及《财政部、司法部关于政府采购支持监狱企业发展有关问题的通知》（财库〔2014〕68号）文件，对小型和微型企业的价格给予6%的扣除，用扣除后的价格参与评审。小型和微型企业是指响应文件中提供中小企业声明函且符合《政府采购促进中小企业发展管理办法》（财库〔2020〕46号）文件规定的要求并符合《工业和信息化部、国家统计局、国家发展和改革委员会、财政部关于印发中小企业划型标准规定的通知》（工信部联企业〔2011〕300号）规定的小、微企业的划型标准规定。监狱企业参加政府采购活动时，提供由省级以上监狱管理局、戒毒管理局（含新疆生产建设兵团）出具的属于监狱企业的证明文件。以上小型、微型企业的，不重复享受政策，未提供完整证明材料的，最后报价不予扣减。证明材料详见第四部分附件。</w:t>
      </w:r>
    </w:p>
    <w:p>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②投标如缺少须提供的一种功能或配置或服务，该价格将在其投标价的基础上加上其他投标人相应分项价格的最高价。如若中标，该缺漏项费用将由中标人自行承担，投标报价不做调整。</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3.投标人的综合评分为“商务和技术分”和“报价分”的的总计。</w:t>
      </w:r>
    </w:p>
    <w:sectPr>
      <w:headerReference r:id="rId4" w:type="default"/>
      <w:footerReference r:id="rId5" w:type="default"/>
      <w:pgSz w:w="11906" w:h="16838"/>
      <w:pgMar w:top="1134" w:right="1304" w:bottom="1134" w:left="1531"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宋体 ( 正文 )">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59" w:rightChars="171"/>
    </w:pPr>
    <w:r>
      <w:pict>
        <v:shape id="_x0000_s2049" o:spid="_x0000_s2049" o:spt="202" type="#_x0000_t202" style="position:absolute;left:0pt;margin-top:0pt;height:12.85pt;width:41.9pt;mso-position-horizontal:center;mso-position-horizontal-relative:margin;mso-wrap-style:none;z-index:251659264;mso-width-relative:page;mso-height-relative:page;" filled="f" stroked="f" coordsize="21600,21600" o:gfxdata="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eLpxdUAAAADAQAADwAAAAAAAAABACAAAAAiAAAAZHJzL2Rvd25yZXYueG1s&#10;UEsBAhQAFAAAAAgAh07iQG6AXZbCAQAAYQMAAA4AAAAAAAAAAQAgAAAAJAEAAGRycy9lMm9Eb2Mu&#10;eG1sUEsFBgAAAAAGAAYAWQEAAFgFAAAAAA==&#10;">
          <v:path/>
          <v:fill on="f" focussize="0,0"/>
          <v:stroke on="f" weight="1.2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114</w:t>
                </w:r>
                <w:r>
                  <w:rPr>
                    <w:rFonts w:hint="eastAsia"/>
                    <w:sz w:val="18"/>
                  </w:rPr>
                  <w:fldChar w:fldCharType="end"/>
                </w:r>
                <w:r>
                  <w:rPr>
                    <w:rFonts w:hint="eastAsia"/>
                    <w:sz w:val="18"/>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E0A79"/>
    <w:multiLevelType w:val="singleLevel"/>
    <w:tmpl w:val="8C7E0A79"/>
    <w:lvl w:ilvl="0" w:tentative="0">
      <w:start w:val="1"/>
      <w:numFmt w:val="decimal"/>
      <w:lvlText w:val="%1."/>
      <w:lvlJc w:val="left"/>
      <w:pPr>
        <w:tabs>
          <w:tab w:val="left" w:pos="312"/>
        </w:tabs>
      </w:pPr>
    </w:lvl>
  </w:abstractNum>
  <w:abstractNum w:abstractNumId="1">
    <w:nsid w:val="9A8C17BB"/>
    <w:multiLevelType w:val="singleLevel"/>
    <w:tmpl w:val="9A8C17BB"/>
    <w:lvl w:ilvl="0" w:tentative="0">
      <w:start w:val="8"/>
      <w:numFmt w:val="decimal"/>
      <w:lvlText w:val="%1."/>
      <w:lvlJc w:val="left"/>
      <w:pPr>
        <w:tabs>
          <w:tab w:val="left" w:pos="312"/>
        </w:tabs>
      </w:pPr>
    </w:lvl>
  </w:abstractNum>
  <w:abstractNum w:abstractNumId="2">
    <w:nsid w:val="A01C4FEB"/>
    <w:multiLevelType w:val="singleLevel"/>
    <w:tmpl w:val="A01C4FEB"/>
    <w:lvl w:ilvl="0" w:tentative="0">
      <w:start w:val="1"/>
      <w:numFmt w:val="decimal"/>
      <w:lvlText w:val="%1."/>
      <w:lvlJc w:val="left"/>
      <w:pPr>
        <w:tabs>
          <w:tab w:val="left" w:pos="0"/>
        </w:tabs>
        <w:ind w:left="0" w:firstLine="0"/>
      </w:pPr>
      <w:rPr>
        <w:rFonts w:hint="default"/>
      </w:rPr>
    </w:lvl>
  </w:abstractNum>
  <w:abstractNum w:abstractNumId="3">
    <w:nsid w:val="A234564B"/>
    <w:multiLevelType w:val="singleLevel"/>
    <w:tmpl w:val="A234564B"/>
    <w:lvl w:ilvl="0" w:tentative="0">
      <w:start w:val="3"/>
      <w:numFmt w:val="decimal"/>
      <w:lvlText w:val="%1."/>
      <w:lvlJc w:val="left"/>
      <w:pPr>
        <w:tabs>
          <w:tab w:val="left" w:pos="312"/>
        </w:tabs>
      </w:pPr>
    </w:lvl>
  </w:abstractNum>
  <w:abstractNum w:abstractNumId="4">
    <w:nsid w:val="AA9089BC"/>
    <w:multiLevelType w:val="singleLevel"/>
    <w:tmpl w:val="AA9089BC"/>
    <w:lvl w:ilvl="0" w:tentative="0">
      <w:start w:val="4"/>
      <w:numFmt w:val="decimal"/>
      <w:lvlText w:val="%1."/>
      <w:lvlJc w:val="left"/>
      <w:pPr>
        <w:tabs>
          <w:tab w:val="left" w:pos="312"/>
        </w:tabs>
      </w:pPr>
    </w:lvl>
  </w:abstractNum>
  <w:abstractNum w:abstractNumId="5">
    <w:nsid w:val="B5EC208B"/>
    <w:multiLevelType w:val="singleLevel"/>
    <w:tmpl w:val="B5EC208B"/>
    <w:lvl w:ilvl="0" w:tentative="0">
      <w:start w:val="1"/>
      <w:numFmt w:val="decimal"/>
      <w:lvlText w:val="%1."/>
      <w:lvlJc w:val="left"/>
      <w:pPr>
        <w:tabs>
          <w:tab w:val="left" w:pos="0"/>
        </w:tabs>
        <w:ind w:left="0" w:firstLine="0"/>
      </w:pPr>
      <w:rPr>
        <w:rFonts w:hint="default"/>
      </w:rPr>
    </w:lvl>
  </w:abstractNum>
  <w:abstractNum w:abstractNumId="6">
    <w:nsid w:val="B6630C25"/>
    <w:multiLevelType w:val="singleLevel"/>
    <w:tmpl w:val="B6630C25"/>
    <w:lvl w:ilvl="0" w:tentative="0">
      <w:start w:val="1"/>
      <w:numFmt w:val="decimal"/>
      <w:lvlText w:val="%1."/>
      <w:lvlJc w:val="left"/>
      <w:pPr>
        <w:tabs>
          <w:tab w:val="left" w:pos="312"/>
        </w:tabs>
      </w:pPr>
    </w:lvl>
  </w:abstractNum>
  <w:abstractNum w:abstractNumId="7">
    <w:nsid w:val="B7C9737D"/>
    <w:multiLevelType w:val="singleLevel"/>
    <w:tmpl w:val="B7C9737D"/>
    <w:lvl w:ilvl="0" w:tentative="0">
      <w:start w:val="1"/>
      <w:numFmt w:val="decimal"/>
      <w:lvlText w:val="%1."/>
      <w:lvlJc w:val="left"/>
      <w:pPr>
        <w:tabs>
          <w:tab w:val="left" w:pos="0"/>
        </w:tabs>
        <w:ind w:left="0" w:firstLine="0"/>
      </w:pPr>
      <w:rPr>
        <w:rFonts w:hint="default"/>
      </w:rPr>
    </w:lvl>
  </w:abstractNum>
  <w:abstractNum w:abstractNumId="8">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9">
    <w:nsid w:val="C2C6272E"/>
    <w:multiLevelType w:val="singleLevel"/>
    <w:tmpl w:val="C2C6272E"/>
    <w:lvl w:ilvl="0" w:tentative="0">
      <w:start w:val="1"/>
      <w:numFmt w:val="decimal"/>
      <w:lvlText w:val="%1."/>
      <w:lvlJc w:val="left"/>
      <w:pPr>
        <w:tabs>
          <w:tab w:val="left" w:pos="0"/>
        </w:tabs>
        <w:ind w:left="0" w:firstLine="0"/>
      </w:pPr>
      <w:rPr>
        <w:rFonts w:hint="default"/>
      </w:rPr>
    </w:lvl>
  </w:abstractNum>
  <w:abstractNum w:abstractNumId="10">
    <w:nsid w:val="C5D84F9D"/>
    <w:multiLevelType w:val="singleLevel"/>
    <w:tmpl w:val="C5D84F9D"/>
    <w:lvl w:ilvl="0" w:tentative="0">
      <w:start w:val="1"/>
      <w:numFmt w:val="decimal"/>
      <w:lvlText w:val="%1."/>
      <w:lvlJc w:val="left"/>
      <w:pPr>
        <w:tabs>
          <w:tab w:val="left" w:pos="0"/>
        </w:tabs>
        <w:ind w:left="0" w:firstLine="0"/>
      </w:pPr>
      <w:rPr>
        <w:rFonts w:hint="default"/>
      </w:rPr>
    </w:lvl>
  </w:abstractNum>
  <w:abstractNum w:abstractNumId="11">
    <w:nsid w:val="C8B16661"/>
    <w:multiLevelType w:val="singleLevel"/>
    <w:tmpl w:val="C8B16661"/>
    <w:lvl w:ilvl="0" w:tentative="0">
      <w:start w:val="1"/>
      <w:numFmt w:val="chineseCounting"/>
      <w:suff w:val="nothing"/>
      <w:lvlText w:val="%1、"/>
      <w:lvlJc w:val="left"/>
      <w:rPr>
        <w:rFonts w:hint="eastAsia"/>
      </w:rPr>
    </w:lvl>
  </w:abstractNum>
  <w:abstractNum w:abstractNumId="12">
    <w:nsid w:val="CD97CC5C"/>
    <w:multiLevelType w:val="singleLevel"/>
    <w:tmpl w:val="CD97CC5C"/>
    <w:lvl w:ilvl="0" w:tentative="0">
      <w:start w:val="14"/>
      <w:numFmt w:val="decimal"/>
      <w:suff w:val="nothing"/>
      <w:lvlText w:val="%1、"/>
      <w:lvlJc w:val="left"/>
    </w:lvl>
  </w:abstractNum>
  <w:abstractNum w:abstractNumId="13">
    <w:nsid w:val="CD9BD10B"/>
    <w:multiLevelType w:val="singleLevel"/>
    <w:tmpl w:val="CD9BD10B"/>
    <w:lvl w:ilvl="0" w:tentative="0">
      <w:start w:val="1"/>
      <w:numFmt w:val="decimal"/>
      <w:lvlText w:val="%1."/>
      <w:lvlJc w:val="left"/>
      <w:pPr>
        <w:tabs>
          <w:tab w:val="left" w:pos="0"/>
        </w:tabs>
        <w:ind w:left="0" w:firstLine="0"/>
      </w:pPr>
      <w:rPr>
        <w:rFonts w:hint="default"/>
      </w:rPr>
    </w:lvl>
  </w:abstractNum>
  <w:abstractNum w:abstractNumId="14">
    <w:nsid w:val="CF5DBA23"/>
    <w:multiLevelType w:val="singleLevel"/>
    <w:tmpl w:val="CF5DBA23"/>
    <w:lvl w:ilvl="0" w:tentative="0">
      <w:start w:val="1"/>
      <w:numFmt w:val="decimal"/>
      <w:lvlText w:val="%1."/>
      <w:lvlJc w:val="left"/>
      <w:pPr>
        <w:tabs>
          <w:tab w:val="left" w:pos="0"/>
        </w:tabs>
        <w:ind w:left="0" w:firstLine="0"/>
      </w:pPr>
      <w:rPr>
        <w:rFonts w:hint="default"/>
      </w:rPr>
    </w:lvl>
  </w:abstractNum>
  <w:abstractNum w:abstractNumId="15">
    <w:nsid w:val="D3741454"/>
    <w:multiLevelType w:val="singleLevel"/>
    <w:tmpl w:val="D3741454"/>
    <w:lvl w:ilvl="0" w:tentative="0">
      <w:start w:val="1"/>
      <w:numFmt w:val="decimal"/>
      <w:lvlText w:val="%1."/>
      <w:lvlJc w:val="left"/>
      <w:pPr>
        <w:tabs>
          <w:tab w:val="left" w:pos="0"/>
        </w:tabs>
        <w:ind w:left="0" w:firstLine="0"/>
      </w:pPr>
      <w:rPr>
        <w:rFonts w:hint="default"/>
      </w:rPr>
    </w:lvl>
  </w:abstractNum>
  <w:abstractNum w:abstractNumId="16">
    <w:nsid w:val="DA0F9E6F"/>
    <w:multiLevelType w:val="singleLevel"/>
    <w:tmpl w:val="DA0F9E6F"/>
    <w:lvl w:ilvl="0" w:tentative="0">
      <w:start w:val="1"/>
      <w:numFmt w:val="decimal"/>
      <w:lvlText w:val="%1."/>
      <w:lvlJc w:val="left"/>
      <w:pPr>
        <w:tabs>
          <w:tab w:val="left" w:pos="0"/>
        </w:tabs>
        <w:ind w:left="0" w:firstLine="0"/>
      </w:pPr>
      <w:rPr>
        <w:rFonts w:hint="default"/>
      </w:rPr>
    </w:lvl>
  </w:abstractNum>
  <w:abstractNum w:abstractNumId="17">
    <w:nsid w:val="EC071D85"/>
    <w:multiLevelType w:val="singleLevel"/>
    <w:tmpl w:val="EC071D85"/>
    <w:lvl w:ilvl="0" w:tentative="0">
      <w:start w:val="1"/>
      <w:numFmt w:val="decimal"/>
      <w:lvlText w:val="%1."/>
      <w:lvlJc w:val="left"/>
      <w:pPr>
        <w:tabs>
          <w:tab w:val="left" w:pos="0"/>
        </w:tabs>
        <w:ind w:left="0" w:firstLine="0"/>
      </w:pPr>
      <w:rPr>
        <w:rFonts w:hint="default"/>
      </w:rPr>
    </w:lvl>
  </w:abstractNum>
  <w:abstractNum w:abstractNumId="18">
    <w:nsid w:val="F285420E"/>
    <w:multiLevelType w:val="singleLevel"/>
    <w:tmpl w:val="F285420E"/>
    <w:lvl w:ilvl="0" w:tentative="0">
      <w:start w:val="1"/>
      <w:numFmt w:val="decimal"/>
      <w:lvlText w:val="%1."/>
      <w:lvlJc w:val="left"/>
      <w:pPr>
        <w:tabs>
          <w:tab w:val="left" w:pos="0"/>
        </w:tabs>
        <w:ind w:left="0" w:firstLine="0"/>
      </w:pPr>
      <w:rPr>
        <w:rFonts w:hint="default"/>
      </w:rPr>
    </w:lvl>
  </w:abstractNum>
  <w:abstractNum w:abstractNumId="19">
    <w:nsid w:val="00000007"/>
    <w:multiLevelType w:val="multilevel"/>
    <w:tmpl w:val="00000007"/>
    <w:lvl w:ilvl="0" w:tentative="0">
      <w:start w:val="1"/>
      <w:numFmt w:val="decimal"/>
      <w:lvlText w:val="%1、"/>
      <w:lvlJc w:val="left"/>
      <w:pPr>
        <w:tabs>
          <w:tab w:val="left" w:pos="630"/>
        </w:tabs>
        <w:ind w:left="630" w:hanging="360"/>
      </w:pPr>
      <w:rPr>
        <w:rFonts w:hint="eastAsia"/>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20">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1">
    <w:nsid w:val="021C584F"/>
    <w:multiLevelType w:val="singleLevel"/>
    <w:tmpl w:val="021C584F"/>
    <w:lvl w:ilvl="0" w:tentative="0">
      <w:start w:val="4"/>
      <w:numFmt w:val="chineseCounting"/>
      <w:lvlText w:val="%1."/>
      <w:lvlJc w:val="left"/>
      <w:pPr>
        <w:tabs>
          <w:tab w:val="left" w:pos="312"/>
        </w:tabs>
      </w:pPr>
      <w:rPr>
        <w:rFonts w:hint="eastAsia"/>
      </w:rPr>
    </w:lvl>
  </w:abstractNum>
  <w:abstractNum w:abstractNumId="22">
    <w:nsid w:val="08233E9A"/>
    <w:multiLevelType w:val="singleLevel"/>
    <w:tmpl w:val="08233E9A"/>
    <w:lvl w:ilvl="0" w:tentative="0">
      <w:start w:val="1"/>
      <w:numFmt w:val="decimal"/>
      <w:lvlText w:val="%1."/>
      <w:lvlJc w:val="left"/>
      <w:pPr>
        <w:tabs>
          <w:tab w:val="left" w:pos="0"/>
        </w:tabs>
        <w:ind w:left="0" w:firstLine="0"/>
      </w:pPr>
      <w:rPr>
        <w:rFonts w:hint="default"/>
      </w:rPr>
    </w:lvl>
  </w:abstractNum>
  <w:abstractNum w:abstractNumId="23">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24">
    <w:nsid w:val="156C025D"/>
    <w:multiLevelType w:val="singleLevel"/>
    <w:tmpl w:val="156C025D"/>
    <w:lvl w:ilvl="0" w:tentative="0">
      <w:start w:val="1"/>
      <w:numFmt w:val="decimal"/>
      <w:lvlText w:val="%1."/>
      <w:lvlJc w:val="left"/>
      <w:pPr>
        <w:tabs>
          <w:tab w:val="left" w:pos="0"/>
        </w:tabs>
        <w:ind w:left="0" w:firstLine="0"/>
      </w:pPr>
      <w:rPr>
        <w:rFonts w:hint="default"/>
      </w:rPr>
    </w:lvl>
  </w:abstractNum>
  <w:abstractNum w:abstractNumId="25">
    <w:nsid w:val="16C78F54"/>
    <w:multiLevelType w:val="singleLevel"/>
    <w:tmpl w:val="16C78F54"/>
    <w:lvl w:ilvl="0" w:tentative="0">
      <w:start w:val="1"/>
      <w:numFmt w:val="decimal"/>
      <w:lvlText w:val="%1."/>
      <w:lvlJc w:val="left"/>
      <w:pPr>
        <w:tabs>
          <w:tab w:val="left" w:pos="0"/>
        </w:tabs>
        <w:ind w:left="0" w:firstLine="0"/>
      </w:pPr>
      <w:rPr>
        <w:rFonts w:hint="default"/>
      </w:rPr>
    </w:lvl>
  </w:abstractNum>
  <w:abstractNum w:abstractNumId="26">
    <w:nsid w:val="26CE5F28"/>
    <w:multiLevelType w:val="singleLevel"/>
    <w:tmpl w:val="26CE5F28"/>
    <w:lvl w:ilvl="0" w:tentative="0">
      <w:start w:val="2"/>
      <w:numFmt w:val="decimal"/>
      <w:lvlText w:val="%1."/>
      <w:lvlJc w:val="left"/>
      <w:pPr>
        <w:tabs>
          <w:tab w:val="left" w:pos="312"/>
        </w:tabs>
      </w:pPr>
    </w:lvl>
  </w:abstractNum>
  <w:abstractNum w:abstractNumId="27">
    <w:nsid w:val="2A636C37"/>
    <w:multiLevelType w:val="singleLevel"/>
    <w:tmpl w:val="2A636C37"/>
    <w:lvl w:ilvl="0" w:tentative="0">
      <w:start w:val="1"/>
      <w:numFmt w:val="decimal"/>
      <w:lvlText w:val="%1."/>
      <w:lvlJc w:val="left"/>
      <w:pPr>
        <w:tabs>
          <w:tab w:val="left" w:pos="0"/>
        </w:tabs>
        <w:ind w:left="0" w:firstLine="0"/>
      </w:pPr>
      <w:rPr>
        <w:rFonts w:hint="default"/>
      </w:rPr>
    </w:lvl>
  </w:abstractNum>
  <w:abstractNum w:abstractNumId="28">
    <w:nsid w:val="49D8F7A7"/>
    <w:multiLevelType w:val="singleLevel"/>
    <w:tmpl w:val="49D8F7A7"/>
    <w:lvl w:ilvl="0" w:tentative="0">
      <w:start w:val="1"/>
      <w:numFmt w:val="decimal"/>
      <w:lvlText w:val="%1."/>
      <w:lvlJc w:val="left"/>
      <w:pPr>
        <w:tabs>
          <w:tab w:val="left" w:pos="0"/>
        </w:tabs>
        <w:ind w:left="0" w:firstLine="0"/>
      </w:pPr>
      <w:rPr>
        <w:rFonts w:hint="default"/>
      </w:rPr>
    </w:lvl>
  </w:abstractNum>
  <w:abstractNum w:abstractNumId="29">
    <w:nsid w:val="4B0F539B"/>
    <w:multiLevelType w:val="singleLevel"/>
    <w:tmpl w:val="4B0F539B"/>
    <w:lvl w:ilvl="0" w:tentative="0">
      <w:start w:val="1"/>
      <w:numFmt w:val="decimalEnclosedCircleChinese"/>
      <w:suff w:val="nothing"/>
      <w:lvlText w:val="%1　"/>
      <w:lvlJc w:val="left"/>
      <w:pPr>
        <w:ind w:left="0" w:firstLine="0"/>
      </w:pPr>
      <w:rPr>
        <w:rFonts w:hint="eastAsia"/>
      </w:rPr>
    </w:lvl>
  </w:abstractNum>
  <w:abstractNum w:abstractNumId="30">
    <w:nsid w:val="557FD3DA"/>
    <w:multiLevelType w:val="singleLevel"/>
    <w:tmpl w:val="557FD3DA"/>
    <w:lvl w:ilvl="0" w:tentative="0">
      <w:start w:val="3"/>
      <w:numFmt w:val="chineseCounting"/>
      <w:suff w:val="nothing"/>
      <w:lvlText w:val="%1、"/>
      <w:lvlJc w:val="left"/>
      <w:rPr>
        <w:rFonts w:cs="Times New Roman"/>
      </w:rPr>
    </w:lvl>
  </w:abstractNum>
  <w:abstractNum w:abstractNumId="31">
    <w:nsid w:val="56955574"/>
    <w:multiLevelType w:val="singleLevel"/>
    <w:tmpl w:val="56955574"/>
    <w:lvl w:ilvl="0" w:tentative="0">
      <w:start w:val="1"/>
      <w:numFmt w:val="decimal"/>
      <w:suff w:val="nothing"/>
      <w:lvlText w:val="%1）"/>
      <w:lvlJc w:val="left"/>
      <w:pPr>
        <w:tabs>
          <w:tab w:val="left" w:pos="0"/>
        </w:tabs>
      </w:pPr>
      <w:rPr>
        <w:rFonts w:hint="default"/>
      </w:rPr>
    </w:lvl>
  </w:abstractNum>
  <w:abstractNum w:abstractNumId="32">
    <w:nsid w:val="5B148A9E"/>
    <w:multiLevelType w:val="singleLevel"/>
    <w:tmpl w:val="5B148A9E"/>
    <w:lvl w:ilvl="0" w:tentative="0">
      <w:start w:val="13"/>
      <w:numFmt w:val="decimal"/>
      <w:suff w:val="nothing"/>
      <w:lvlText w:val="%1、"/>
      <w:lvlJc w:val="left"/>
    </w:lvl>
  </w:abstractNum>
  <w:abstractNum w:abstractNumId="33">
    <w:nsid w:val="5D77AA1F"/>
    <w:multiLevelType w:val="singleLevel"/>
    <w:tmpl w:val="5D77AA1F"/>
    <w:lvl w:ilvl="0" w:tentative="0">
      <w:start w:val="1"/>
      <w:numFmt w:val="decimal"/>
      <w:lvlText w:val="%1."/>
      <w:lvlJc w:val="left"/>
      <w:pPr>
        <w:tabs>
          <w:tab w:val="left" w:pos="0"/>
        </w:tabs>
        <w:ind w:left="0" w:firstLine="0"/>
      </w:pPr>
      <w:rPr>
        <w:rFonts w:hint="default"/>
      </w:rPr>
    </w:lvl>
  </w:abstractNum>
  <w:abstractNum w:abstractNumId="34">
    <w:nsid w:val="6098DE28"/>
    <w:multiLevelType w:val="singleLevel"/>
    <w:tmpl w:val="6098DE28"/>
    <w:lvl w:ilvl="0" w:tentative="0">
      <w:start w:val="1"/>
      <w:numFmt w:val="decimal"/>
      <w:lvlText w:val="%1."/>
      <w:lvlJc w:val="left"/>
      <w:pPr>
        <w:tabs>
          <w:tab w:val="left" w:pos="0"/>
        </w:tabs>
        <w:ind w:left="0" w:firstLine="0"/>
      </w:pPr>
      <w:rPr>
        <w:rFonts w:hint="default"/>
      </w:rPr>
    </w:lvl>
  </w:abstractNum>
  <w:abstractNum w:abstractNumId="35">
    <w:nsid w:val="64EC7901"/>
    <w:multiLevelType w:val="singleLevel"/>
    <w:tmpl w:val="64EC7901"/>
    <w:lvl w:ilvl="0" w:tentative="0">
      <w:start w:val="1"/>
      <w:numFmt w:val="decimal"/>
      <w:lvlText w:val="%1."/>
      <w:lvlJc w:val="left"/>
      <w:pPr>
        <w:tabs>
          <w:tab w:val="left" w:pos="312"/>
        </w:tabs>
      </w:pPr>
    </w:lvl>
  </w:abstractNum>
  <w:abstractNum w:abstractNumId="36">
    <w:nsid w:val="6E18B060"/>
    <w:multiLevelType w:val="singleLevel"/>
    <w:tmpl w:val="6E18B060"/>
    <w:lvl w:ilvl="0" w:tentative="0">
      <w:start w:val="1"/>
      <w:numFmt w:val="decimal"/>
      <w:lvlText w:val="%1."/>
      <w:lvlJc w:val="left"/>
      <w:pPr>
        <w:tabs>
          <w:tab w:val="left" w:pos="0"/>
        </w:tabs>
        <w:ind w:left="0" w:firstLine="0"/>
      </w:pPr>
      <w:rPr>
        <w:rFonts w:hint="default"/>
      </w:rPr>
    </w:lvl>
  </w:abstractNum>
  <w:abstractNum w:abstractNumId="37">
    <w:nsid w:val="70BDA63D"/>
    <w:multiLevelType w:val="singleLevel"/>
    <w:tmpl w:val="70BDA63D"/>
    <w:lvl w:ilvl="0" w:tentative="0">
      <w:start w:val="1"/>
      <w:numFmt w:val="decimal"/>
      <w:lvlText w:val="%1."/>
      <w:lvlJc w:val="left"/>
      <w:pPr>
        <w:tabs>
          <w:tab w:val="left" w:pos="0"/>
        </w:tabs>
        <w:ind w:left="0" w:firstLine="0"/>
      </w:pPr>
      <w:rPr>
        <w:rFonts w:hint="default"/>
      </w:rPr>
    </w:lvl>
  </w:abstractNum>
  <w:abstractNum w:abstractNumId="38">
    <w:nsid w:val="71196487"/>
    <w:multiLevelType w:val="singleLevel"/>
    <w:tmpl w:val="71196487"/>
    <w:lvl w:ilvl="0" w:tentative="0">
      <w:start w:val="1"/>
      <w:numFmt w:val="decimal"/>
      <w:lvlText w:val="%1."/>
      <w:lvlJc w:val="left"/>
      <w:pPr>
        <w:tabs>
          <w:tab w:val="left" w:pos="0"/>
        </w:tabs>
        <w:ind w:left="0" w:firstLine="0"/>
      </w:pPr>
      <w:rPr>
        <w:rFonts w:hint="default"/>
      </w:rPr>
    </w:lvl>
  </w:abstractNum>
  <w:abstractNum w:abstractNumId="39">
    <w:nsid w:val="731A013F"/>
    <w:multiLevelType w:val="multilevel"/>
    <w:tmpl w:val="731A01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44D3518"/>
    <w:multiLevelType w:val="singleLevel"/>
    <w:tmpl w:val="744D3518"/>
    <w:lvl w:ilvl="0" w:tentative="0">
      <w:start w:val="1"/>
      <w:numFmt w:val="decimal"/>
      <w:lvlText w:val="%1."/>
      <w:lvlJc w:val="left"/>
      <w:pPr>
        <w:tabs>
          <w:tab w:val="left" w:pos="0"/>
        </w:tabs>
        <w:ind w:left="0" w:firstLine="0"/>
      </w:pPr>
      <w:rPr>
        <w:rFonts w:hint="default"/>
      </w:rPr>
    </w:lvl>
  </w:abstractNum>
  <w:abstractNum w:abstractNumId="41">
    <w:nsid w:val="7C5A89DC"/>
    <w:multiLevelType w:val="singleLevel"/>
    <w:tmpl w:val="7C5A89DC"/>
    <w:lvl w:ilvl="0" w:tentative="0">
      <w:start w:val="1"/>
      <w:numFmt w:val="decimal"/>
      <w:lvlText w:val="%1."/>
      <w:lvlJc w:val="left"/>
      <w:pPr>
        <w:tabs>
          <w:tab w:val="left" w:pos="0"/>
        </w:tabs>
        <w:ind w:left="0" w:firstLine="0"/>
      </w:pPr>
      <w:rPr>
        <w:rFonts w:hint="default"/>
      </w:rPr>
    </w:lvl>
  </w:abstractNum>
  <w:abstractNum w:abstractNumId="42">
    <w:nsid w:val="7DE62EC9"/>
    <w:multiLevelType w:val="singleLevel"/>
    <w:tmpl w:val="7DE62EC9"/>
    <w:lvl w:ilvl="0" w:tentative="0">
      <w:start w:val="1"/>
      <w:numFmt w:val="decimal"/>
      <w:lvlText w:val="%1."/>
      <w:lvlJc w:val="left"/>
      <w:pPr>
        <w:tabs>
          <w:tab w:val="left" w:pos="0"/>
        </w:tabs>
        <w:ind w:left="0" w:firstLine="0"/>
      </w:pPr>
      <w:rPr>
        <w:rFonts w:hint="default"/>
      </w:rPr>
    </w:lvl>
  </w:abstractNum>
  <w:num w:numId="1">
    <w:abstractNumId w:val="8"/>
  </w:num>
  <w:num w:numId="2">
    <w:abstractNumId w:val="31"/>
  </w:num>
  <w:num w:numId="3">
    <w:abstractNumId w:val="19"/>
  </w:num>
  <w:num w:numId="4">
    <w:abstractNumId w:val="32"/>
  </w:num>
  <w:num w:numId="5">
    <w:abstractNumId w:val="12"/>
  </w:num>
  <w:num w:numId="6">
    <w:abstractNumId w:val="20"/>
  </w:num>
  <w:num w:numId="7">
    <w:abstractNumId w:val="11"/>
  </w:num>
  <w:num w:numId="8">
    <w:abstractNumId w:val="30"/>
  </w:num>
  <w:num w:numId="9">
    <w:abstractNumId w:val="6"/>
  </w:num>
  <w:num w:numId="10">
    <w:abstractNumId w:val="21"/>
  </w:num>
  <w:num w:numId="11">
    <w:abstractNumId w:val="42"/>
  </w:num>
  <w:num w:numId="12">
    <w:abstractNumId w:val="41"/>
  </w:num>
  <w:num w:numId="13">
    <w:abstractNumId w:val="24"/>
  </w:num>
  <w:num w:numId="14">
    <w:abstractNumId w:val="38"/>
  </w:num>
  <w:num w:numId="15">
    <w:abstractNumId w:val="5"/>
  </w:num>
  <w:num w:numId="16">
    <w:abstractNumId w:val="14"/>
  </w:num>
  <w:num w:numId="17">
    <w:abstractNumId w:val="22"/>
  </w:num>
  <w:num w:numId="18">
    <w:abstractNumId w:val="2"/>
  </w:num>
  <w:num w:numId="19">
    <w:abstractNumId w:val="27"/>
  </w:num>
  <w:num w:numId="20">
    <w:abstractNumId w:val="17"/>
  </w:num>
  <w:num w:numId="21">
    <w:abstractNumId w:val="39"/>
  </w:num>
  <w:num w:numId="22">
    <w:abstractNumId w:val="0"/>
  </w:num>
  <w:num w:numId="23">
    <w:abstractNumId w:val="26"/>
  </w:num>
  <w:num w:numId="24">
    <w:abstractNumId w:val="1"/>
  </w:num>
  <w:num w:numId="25">
    <w:abstractNumId w:val="3"/>
  </w:num>
  <w:num w:numId="26">
    <w:abstractNumId w:val="4"/>
  </w:num>
  <w:num w:numId="27">
    <w:abstractNumId w:val="35"/>
  </w:num>
  <w:num w:numId="28">
    <w:abstractNumId w:val="29"/>
  </w:num>
  <w:num w:numId="29">
    <w:abstractNumId w:val="16"/>
  </w:num>
  <w:num w:numId="30">
    <w:abstractNumId w:val="40"/>
  </w:num>
  <w:num w:numId="31">
    <w:abstractNumId w:val="9"/>
  </w:num>
  <w:num w:numId="32">
    <w:abstractNumId w:val="25"/>
  </w:num>
  <w:num w:numId="33">
    <w:abstractNumId w:val="33"/>
  </w:num>
  <w:num w:numId="34">
    <w:abstractNumId w:val="7"/>
  </w:num>
  <w:num w:numId="35">
    <w:abstractNumId w:val="18"/>
  </w:num>
  <w:num w:numId="36">
    <w:abstractNumId w:val="34"/>
  </w:num>
  <w:num w:numId="37">
    <w:abstractNumId w:val="36"/>
  </w:num>
  <w:num w:numId="38">
    <w:abstractNumId w:val="15"/>
  </w:num>
  <w:num w:numId="39">
    <w:abstractNumId w:val="13"/>
  </w:num>
  <w:num w:numId="40">
    <w:abstractNumId w:val="28"/>
  </w:num>
  <w:num w:numId="41">
    <w:abstractNumId w:val="37"/>
  </w:num>
  <w:num w:numId="42">
    <w:abstractNumId w:val="1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105C"/>
    <w:rsid w:val="000005DA"/>
    <w:rsid w:val="00003A8E"/>
    <w:rsid w:val="00003B8B"/>
    <w:rsid w:val="00004ACA"/>
    <w:rsid w:val="00006C3A"/>
    <w:rsid w:val="000104E3"/>
    <w:rsid w:val="00011DDF"/>
    <w:rsid w:val="000126A9"/>
    <w:rsid w:val="00012BEA"/>
    <w:rsid w:val="00013CBD"/>
    <w:rsid w:val="00017519"/>
    <w:rsid w:val="00017D2F"/>
    <w:rsid w:val="00023928"/>
    <w:rsid w:val="00026DF1"/>
    <w:rsid w:val="00031B60"/>
    <w:rsid w:val="00032287"/>
    <w:rsid w:val="00033F59"/>
    <w:rsid w:val="000358F0"/>
    <w:rsid w:val="00035E17"/>
    <w:rsid w:val="00040878"/>
    <w:rsid w:val="00041DB4"/>
    <w:rsid w:val="00043348"/>
    <w:rsid w:val="00043A6C"/>
    <w:rsid w:val="000457EF"/>
    <w:rsid w:val="000507FF"/>
    <w:rsid w:val="000545B7"/>
    <w:rsid w:val="0005663D"/>
    <w:rsid w:val="00056ADF"/>
    <w:rsid w:val="00057DF7"/>
    <w:rsid w:val="000602E9"/>
    <w:rsid w:val="00060469"/>
    <w:rsid w:val="00060F30"/>
    <w:rsid w:val="000612EF"/>
    <w:rsid w:val="00066845"/>
    <w:rsid w:val="00070A41"/>
    <w:rsid w:val="000731FD"/>
    <w:rsid w:val="00074112"/>
    <w:rsid w:val="0008186D"/>
    <w:rsid w:val="00081A37"/>
    <w:rsid w:val="0008260D"/>
    <w:rsid w:val="00083AA4"/>
    <w:rsid w:val="00083CAF"/>
    <w:rsid w:val="00086D9D"/>
    <w:rsid w:val="00087EC6"/>
    <w:rsid w:val="000917C6"/>
    <w:rsid w:val="00097A19"/>
    <w:rsid w:val="000A3D9E"/>
    <w:rsid w:val="000A5A7A"/>
    <w:rsid w:val="000B53F4"/>
    <w:rsid w:val="000B565E"/>
    <w:rsid w:val="000B5760"/>
    <w:rsid w:val="000B6159"/>
    <w:rsid w:val="000B7DB9"/>
    <w:rsid w:val="000C12C7"/>
    <w:rsid w:val="000C28D0"/>
    <w:rsid w:val="000C3755"/>
    <w:rsid w:val="000C4980"/>
    <w:rsid w:val="000C6819"/>
    <w:rsid w:val="000C6957"/>
    <w:rsid w:val="000C7072"/>
    <w:rsid w:val="000D0620"/>
    <w:rsid w:val="000D6160"/>
    <w:rsid w:val="000D6FBC"/>
    <w:rsid w:val="000E1320"/>
    <w:rsid w:val="000F0EE3"/>
    <w:rsid w:val="000F3299"/>
    <w:rsid w:val="000F5270"/>
    <w:rsid w:val="000F5B1D"/>
    <w:rsid w:val="000F5EA6"/>
    <w:rsid w:val="00101FE4"/>
    <w:rsid w:val="00105C9A"/>
    <w:rsid w:val="00105D7E"/>
    <w:rsid w:val="0011098B"/>
    <w:rsid w:val="0011292B"/>
    <w:rsid w:val="00112EDD"/>
    <w:rsid w:val="0011327D"/>
    <w:rsid w:val="001132E2"/>
    <w:rsid w:val="00113F54"/>
    <w:rsid w:val="00117164"/>
    <w:rsid w:val="001175AC"/>
    <w:rsid w:val="001207CC"/>
    <w:rsid w:val="00122E4D"/>
    <w:rsid w:val="001260BB"/>
    <w:rsid w:val="0013237A"/>
    <w:rsid w:val="00132400"/>
    <w:rsid w:val="00133077"/>
    <w:rsid w:val="001404FE"/>
    <w:rsid w:val="00140D4A"/>
    <w:rsid w:val="0014331F"/>
    <w:rsid w:val="00143E1D"/>
    <w:rsid w:val="00144DEC"/>
    <w:rsid w:val="00145D07"/>
    <w:rsid w:val="00146050"/>
    <w:rsid w:val="00147480"/>
    <w:rsid w:val="0015078E"/>
    <w:rsid w:val="00150A0F"/>
    <w:rsid w:val="001518ED"/>
    <w:rsid w:val="00153CDA"/>
    <w:rsid w:val="001540A3"/>
    <w:rsid w:val="00154D53"/>
    <w:rsid w:val="001557C5"/>
    <w:rsid w:val="00156586"/>
    <w:rsid w:val="00156CCD"/>
    <w:rsid w:val="001570FE"/>
    <w:rsid w:val="0016257C"/>
    <w:rsid w:val="00163A34"/>
    <w:rsid w:val="00163F80"/>
    <w:rsid w:val="001645B7"/>
    <w:rsid w:val="00165C61"/>
    <w:rsid w:val="00166195"/>
    <w:rsid w:val="0016770B"/>
    <w:rsid w:val="0017112C"/>
    <w:rsid w:val="001716F3"/>
    <w:rsid w:val="0017476F"/>
    <w:rsid w:val="001768AD"/>
    <w:rsid w:val="0018141D"/>
    <w:rsid w:val="00182127"/>
    <w:rsid w:val="001822F8"/>
    <w:rsid w:val="00183839"/>
    <w:rsid w:val="00186A6C"/>
    <w:rsid w:val="00191B84"/>
    <w:rsid w:val="00194CCA"/>
    <w:rsid w:val="00196379"/>
    <w:rsid w:val="001A36BE"/>
    <w:rsid w:val="001B0883"/>
    <w:rsid w:val="001B0DFB"/>
    <w:rsid w:val="001B32B4"/>
    <w:rsid w:val="001B34BF"/>
    <w:rsid w:val="001B5603"/>
    <w:rsid w:val="001B5AE3"/>
    <w:rsid w:val="001C1E7D"/>
    <w:rsid w:val="001C2259"/>
    <w:rsid w:val="001C636B"/>
    <w:rsid w:val="001C6DFA"/>
    <w:rsid w:val="001F0342"/>
    <w:rsid w:val="001F4FD4"/>
    <w:rsid w:val="001F56C4"/>
    <w:rsid w:val="001F7731"/>
    <w:rsid w:val="001F789C"/>
    <w:rsid w:val="00200D86"/>
    <w:rsid w:val="002032C8"/>
    <w:rsid w:val="0020352C"/>
    <w:rsid w:val="00203EBC"/>
    <w:rsid w:val="00204A26"/>
    <w:rsid w:val="00207187"/>
    <w:rsid w:val="0020745E"/>
    <w:rsid w:val="0020787C"/>
    <w:rsid w:val="00211D6A"/>
    <w:rsid w:val="002132FC"/>
    <w:rsid w:val="002168ED"/>
    <w:rsid w:val="00222DDA"/>
    <w:rsid w:val="00222EE2"/>
    <w:rsid w:val="0022566E"/>
    <w:rsid w:val="00227E65"/>
    <w:rsid w:val="00230F1E"/>
    <w:rsid w:val="00231898"/>
    <w:rsid w:val="00234308"/>
    <w:rsid w:val="002357B9"/>
    <w:rsid w:val="00235EAE"/>
    <w:rsid w:val="00236AD6"/>
    <w:rsid w:val="0023798B"/>
    <w:rsid w:val="00241445"/>
    <w:rsid w:val="0024282A"/>
    <w:rsid w:val="00251544"/>
    <w:rsid w:val="00252945"/>
    <w:rsid w:val="00252BC3"/>
    <w:rsid w:val="00254A9E"/>
    <w:rsid w:val="002567F9"/>
    <w:rsid w:val="002603C4"/>
    <w:rsid w:val="00261663"/>
    <w:rsid w:val="00263DBF"/>
    <w:rsid w:val="00263E40"/>
    <w:rsid w:val="002673EA"/>
    <w:rsid w:val="00270625"/>
    <w:rsid w:val="00273C8A"/>
    <w:rsid w:val="0027700E"/>
    <w:rsid w:val="002772DA"/>
    <w:rsid w:val="00282BE2"/>
    <w:rsid w:val="00285FEB"/>
    <w:rsid w:val="00296F4B"/>
    <w:rsid w:val="002A39E4"/>
    <w:rsid w:val="002A5393"/>
    <w:rsid w:val="002A7AF9"/>
    <w:rsid w:val="002A7B47"/>
    <w:rsid w:val="002B0010"/>
    <w:rsid w:val="002B023B"/>
    <w:rsid w:val="002B05E2"/>
    <w:rsid w:val="002B0B49"/>
    <w:rsid w:val="002B0C9A"/>
    <w:rsid w:val="002B2107"/>
    <w:rsid w:val="002C04BF"/>
    <w:rsid w:val="002C08E5"/>
    <w:rsid w:val="002C1CDB"/>
    <w:rsid w:val="002D20F6"/>
    <w:rsid w:val="002D3FF2"/>
    <w:rsid w:val="002D55A9"/>
    <w:rsid w:val="002D5D33"/>
    <w:rsid w:val="002D7801"/>
    <w:rsid w:val="002E116F"/>
    <w:rsid w:val="002E3406"/>
    <w:rsid w:val="002E66B0"/>
    <w:rsid w:val="002F18CE"/>
    <w:rsid w:val="002F5D16"/>
    <w:rsid w:val="002F71E5"/>
    <w:rsid w:val="00300AC5"/>
    <w:rsid w:val="00301E87"/>
    <w:rsid w:val="00302FCF"/>
    <w:rsid w:val="00304644"/>
    <w:rsid w:val="003049DA"/>
    <w:rsid w:val="00304B9D"/>
    <w:rsid w:val="0031021B"/>
    <w:rsid w:val="00310722"/>
    <w:rsid w:val="00310B12"/>
    <w:rsid w:val="0031486A"/>
    <w:rsid w:val="003156B5"/>
    <w:rsid w:val="00317C20"/>
    <w:rsid w:val="0032028E"/>
    <w:rsid w:val="003213F8"/>
    <w:rsid w:val="00321468"/>
    <w:rsid w:val="0032251D"/>
    <w:rsid w:val="003248FF"/>
    <w:rsid w:val="00327E9A"/>
    <w:rsid w:val="003309CC"/>
    <w:rsid w:val="00331D79"/>
    <w:rsid w:val="00332EC2"/>
    <w:rsid w:val="00334FF9"/>
    <w:rsid w:val="00340883"/>
    <w:rsid w:val="00340A34"/>
    <w:rsid w:val="00342671"/>
    <w:rsid w:val="00342680"/>
    <w:rsid w:val="003433DC"/>
    <w:rsid w:val="003444DC"/>
    <w:rsid w:val="003454C1"/>
    <w:rsid w:val="00346418"/>
    <w:rsid w:val="00347100"/>
    <w:rsid w:val="0035085D"/>
    <w:rsid w:val="003550C0"/>
    <w:rsid w:val="00355AE1"/>
    <w:rsid w:val="00357035"/>
    <w:rsid w:val="0036115C"/>
    <w:rsid w:val="0036271F"/>
    <w:rsid w:val="00362803"/>
    <w:rsid w:val="00363F5C"/>
    <w:rsid w:val="00370589"/>
    <w:rsid w:val="003746C4"/>
    <w:rsid w:val="003747DD"/>
    <w:rsid w:val="00375E66"/>
    <w:rsid w:val="00377953"/>
    <w:rsid w:val="00377FE3"/>
    <w:rsid w:val="00380C7B"/>
    <w:rsid w:val="003822B9"/>
    <w:rsid w:val="00386472"/>
    <w:rsid w:val="003901CE"/>
    <w:rsid w:val="00391E22"/>
    <w:rsid w:val="00393FF9"/>
    <w:rsid w:val="00395767"/>
    <w:rsid w:val="0039640C"/>
    <w:rsid w:val="0039763B"/>
    <w:rsid w:val="003A04F9"/>
    <w:rsid w:val="003A26DA"/>
    <w:rsid w:val="003A4570"/>
    <w:rsid w:val="003A5724"/>
    <w:rsid w:val="003A6DAC"/>
    <w:rsid w:val="003B11F6"/>
    <w:rsid w:val="003B2ABA"/>
    <w:rsid w:val="003B414E"/>
    <w:rsid w:val="003B723D"/>
    <w:rsid w:val="003B78AA"/>
    <w:rsid w:val="003B7C81"/>
    <w:rsid w:val="003B7EAA"/>
    <w:rsid w:val="003C21DC"/>
    <w:rsid w:val="003C3EE2"/>
    <w:rsid w:val="003C775D"/>
    <w:rsid w:val="003D0502"/>
    <w:rsid w:val="003D15A4"/>
    <w:rsid w:val="003D1F15"/>
    <w:rsid w:val="003D680D"/>
    <w:rsid w:val="003E2383"/>
    <w:rsid w:val="003E2999"/>
    <w:rsid w:val="003E301B"/>
    <w:rsid w:val="003E4760"/>
    <w:rsid w:val="003E555F"/>
    <w:rsid w:val="003E61F0"/>
    <w:rsid w:val="003F2778"/>
    <w:rsid w:val="003F29FB"/>
    <w:rsid w:val="003F2BC8"/>
    <w:rsid w:val="003F2C3E"/>
    <w:rsid w:val="003F6CCF"/>
    <w:rsid w:val="00403E9D"/>
    <w:rsid w:val="00403FA4"/>
    <w:rsid w:val="00405463"/>
    <w:rsid w:val="004151D4"/>
    <w:rsid w:val="00416AC0"/>
    <w:rsid w:val="0042127C"/>
    <w:rsid w:val="00423D81"/>
    <w:rsid w:val="004240A8"/>
    <w:rsid w:val="00424DA2"/>
    <w:rsid w:val="00426155"/>
    <w:rsid w:val="004309FA"/>
    <w:rsid w:val="00432010"/>
    <w:rsid w:val="004324AB"/>
    <w:rsid w:val="0043495E"/>
    <w:rsid w:val="0043631A"/>
    <w:rsid w:val="0044080E"/>
    <w:rsid w:val="00440F7F"/>
    <w:rsid w:val="00442784"/>
    <w:rsid w:val="00443342"/>
    <w:rsid w:val="004510A6"/>
    <w:rsid w:val="00452390"/>
    <w:rsid w:val="00453744"/>
    <w:rsid w:val="004648E3"/>
    <w:rsid w:val="00466555"/>
    <w:rsid w:val="00467D8E"/>
    <w:rsid w:val="00472430"/>
    <w:rsid w:val="00472977"/>
    <w:rsid w:val="0047354D"/>
    <w:rsid w:val="00473D55"/>
    <w:rsid w:val="004745D3"/>
    <w:rsid w:val="00477002"/>
    <w:rsid w:val="0048261B"/>
    <w:rsid w:val="00483C23"/>
    <w:rsid w:val="00485846"/>
    <w:rsid w:val="00486880"/>
    <w:rsid w:val="004874E9"/>
    <w:rsid w:val="00493D9A"/>
    <w:rsid w:val="004951ED"/>
    <w:rsid w:val="0049634D"/>
    <w:rsid w:val="004A07FB"/>
    <w:rsid w:val="004A11EC"/>
    <w:rsid w:val="004A19E1"/>
    <w:rsid w:val="004A2C9E"/>
    <w:rsid w:val="004A4404"/>
    <w:rsid w:val="004A526B"/>
    <w:rsid w:val="004A5C3F"/>
    <w:rsid w:val="004A5D08"/>
    <w:rsid w:val="004A632C"/>
    <w:rsid w:val="004A6785"/>
    <w:rsid w:val="004A6F82"/>
    <w:rsid w:val="004B0E35"/>
    <w:rsid w:val="004B27F5"/>
    <w:rsid w:val="004B3330"/>
    <w:rsid w:val="004B3A25"/>
    <w:rsid w:val="004B566B"/>
    <w:rsid w:val="004B6223"/>
    <w:rsid w:val="004B6226"/>
    <w:rsid w:val="004B7202"/>
    <w:rsid w:val="004B77F3"/>
    <w:rsid w:val="004C3D8D"/>
    <w:rsid w:val="004D05FE"/>
    <w:rsid w:val="004D1CCE"/>
    <w:rsid w:val="004D7CE2"/>
    <w:rsid w:val="004E096B"/>
    <w:rsid w:val="004E0F0C"/>
    <w:rsid w:val="004E1495"/>
    <w:rsid w:val="004E2A3C"/>
    <w:rsid w:val="004F4A3B"/>
    <w:rsid w:val="004F559F"/>
    <w:rsid w:val="004F674A"/>
    <w:rsid w:val="0050061C"/>
    <w:rsid w:val="00503552"/>
    <w:rsid w:val="0050792B"/>
    <w:rsid w:val="0051201B"/>
    <w:rsid w:val="005150DC"/>
    <w:rsid w:val="00516CC2"/>
    <w:rsid w:val="005204A1"/>
    <w:rsid w:val="00522C0C"/>
    <w:rsid w:val="00525227"/>
    <w:rsid w:val="00532D11"/>
    <w:rsid w:val="00536C23"/>
    <w:rsid w:val="005379B0"/>
    <w:rsid w:val="00540D43"/>
    <w:rsid w:val="00540E7C"/>
    <w:rsid w:val="0054288D"/>
    <w:rsid w:val="005439E1"/>
    <w:rsid w:val="00543DD0"/>
    <w:rsid w:val="00545705"/>
    <w:rsid w:val="005475C6"/>
    <w:rsid w:val="005513BB"/>
    <w:rsid w:val="00556E6D"/>
    <w:rsid w:val="00560CBB"/>
    <w:rsid w:val="00561C78"/>
    <w:rsid w:val="005626D3"/>
    <w:rsid w:val="00563435"/>
    <w:rsid w:val="00567B73"/>
    <w:rsid w:val="00571AAB"/>
    <w:rsid w:val="00572049"/>
    <w:rsid w:val="00574E41"/>
    <w:rsid w:val="005760B3"/>
    <w:rsid w:val="0057676F"/>
    <w:rsid w:val="00576AD5"/>
    <w:rsid w:val="00587596"/>
    <w:rsid w:val="00591BD6"/>
    <w:rsid w:val="005922DF"/>
    <w:rsid w:val="00592D53"/>
    <w:rsid w:val="00593BBF"/>
    <w:rsid w:val="005963F3"/>
    <w:rsid w:val="0059696F"/>
    <w:rsid w:val="005971A3"/>
    <w:rsid w:val="005A0BE8"/>
    <w:rsid w:val="005A6998"/>
    <w:rsid w:val="005A6CFB"/>
    <w:rsid w:val="005A76EC"/>
    <w:rsid w:val="005B0E99"/>
    <w:rsid w:val="005B18EB"/>
    <w:rsid w:val="005B47F7"/>
    <w:rsid w:val="005C2269"/>
    <w:rsid w:val="005D3FCC"/>
    <w:rsid w:val="005D471C"/>
    <w:rsid w:val="005D49FE"/>
    <w:rsid w:val="005E062D"/>
    <w:rsid w:val="005E34EE"/>
    <w:rsid w:val="005E6893"/>
    <w:rsid w:val="005E791B"/>
    <w:rsid w:val="005E79FF"/>
    <w:rsid w:val="005E7D83"/>
    <w:rsid w:val="005F23AD"/>
    <w:rsid w:val="005F463E"/>
    <w:rsid w:val="005F658D"/>
    <w:rsid w:val="005F6B90"/>
    <w:rsid w:val="005F7262"/>
    <w:rsid w:val="005F7AED"/>
    <w:rsid w:val="0060579F"/>
    <w:rsid w:val="00606C57"/>
    <w:rsid w:val="006104D9"/>
    <w:rsid w:val="006117CC"/>
    <w:rsid w:val="00612FB6"/>
    <w:rsid w:val="0061680C"/>
    <w:rsid w:val="00617C4D"/>
    <w:rsid w:val="00621F41"/>
    <w:rsid w:val="00624484"/>
    <w:rsid w:val="00633180"/>
    <w:rsid w:val="00634F4D"/>
    <w:rsid w:val="0063506D"/>
    <w:rsid w:val="006352C4"/>
    <w:rsid w:val="006358CB"/>
    <w:rsid w:val="00636BC6"/>
    <w:rsid w:val="00641B84"/>
    <w:rsid w:val="00646E09"/>
    <w:rsid w:val="006511C9"/>
    <w:rsid w:val="00651895"/>
    <w:rsid w:val="0065201B"/>
    <w:rsid w:val="006524F3"/>
    <w:rsid w:val="00653670"/>
    <w:rsid w:val="00654187"/>
    <w:rsid w:val="006564D3"/>
    <w:rsid w:val="006568C9"/>
    <w:rsid w:val="0066065A"/>
    <w:rsid w:val="00674397"/>
    <w:rsid w:val="00680E2C"/>
    <w:rsid w:val="00682698"/>
    <w:rsid w:val="00684BAC"/>
    <w:rsid w:val="0069034C"/>
    <w:rsid w:val="00690534"/>
    <w:rsid w:val="00694E8C"/>
    <w:rsid w:val="00696113"/>
    <w:rsid w:val="006A2E91"/>
    <w:rsid w:val="006A3DD1"/>
    <w:rsid w:val="006A4FD9"/>
    <w:rsid w:val="006A6830"/>
    <w:rsid w:val="006B03CF"/>
    <w:rsid w:val="006B1563"/>
    <w:rsid w:val="006B1607"/>
    <w:rsid w:val="006B29E3"/>
    <w:rsid w:val="006B4822"/>
    <w:rsid w:val="006B6C0C"/>
    <w:rsid w:val="006B7644"/>
    <w:rsid w:val="006C14BA"/>
    <w:rsid w:val="006C32FE"/>
    <w:rsid w:val="006D1234"/>
    <w:rsid w:val="006D2249"/>
    <w:rsid w:val="006E0CC3"/>
    <w:rsid w:val="006E33F4"/>
    <w:rsid w:val="006E493D"/>
    <w:rsid w:val="006E66EB"/>
    <w:rsid w:val="006E76A8"/>
    <w:rsid w:val="006F0482"/>
    <w:rsid w:val="006F118C"/>
    <w:rsid w:val="006F19FA"/>
    <w:rsid w:val="006F2348"/>
    <w:rsid w:val="006F4844"/>
    <w:rsid w:val="007015A5"/>
    <w:rsid w:val="0070467D"/>
    <w:rsid w:val="00704E14"/>
    <w:rsid w:val="00706BDC"/>
    <w:rsid w:val="00710827"/>
    <w:rsid w:val="00715B86"/>
    <w:rsid w:val="00716132"/>
    <w:rsid w:val="0071666B"/>
    <w:rsid w:val="0072097C"/>
    <w:rsid w:val="00722218"/>
    <w:rsid w:val="00722285"/>
    <w:rsid w:val="00727797"/>
    <w:rsid w:val="00730F31"/>
    <w:rsid w:val="0073174B"/>
    <w:rsid w:val="00731FD5"/>
    <w:rsid w:val="007343DC"/>
    <w:rsid w:val="007350D9"/>
    <w:rsid w:val="00736DED"/>
    <w:rsid w:val="007447FA"/>
    <w:rsid w:val="00744CAF"/>
    <w:rsid w:val="00745472"/>
    <w:rsid w:val="00746267"/>
    <w:rsid w:val="007465DC"/>
    <w:rsid w:val="00747A1A"/>
    <w:rsid w:val="007502D4"/>
    <w:rsid w:val="007510BF"/>
    <w:rsid w:val="00752793"/>
    <w:rsid w:val="00752901"/>
    <w:rsid w:val="00752FF2"/>
    <w:rsid w:val="00754289"/>
    <w:rsid w:val="0075573C"/>
    <w:rsid w:val="0075650C"/>
    <w:rsid w:val="007627AC"/>
    <w:rsid w:val="00766F11"/>
    <w:rsid w:val="0077105C"/>
    <w:rsid w:val="00771EA7"/>
    <w:rsid w:val="007725AC"/>
    <w:rsid w:val="0077266A"/>
    <w:rsid w:val="007757BB"/>
    <w:rsid w:val="00776B3B"/>
    <w:rsid w:val="007774FC"/>
    <w:rsid w:val="00781A9A"/>
    <w:rsid w:val="00785A1A"/>
    <w:rsid w:val="0079141C"/>
    <w:rsid w:val="0079269B"/>
    <w:rsid w:val="00794E2A"/>
    <w:rsid w:val="007955FD"/>
    <w:rsid w:val="007A01FA"/>
    <w:rsid w:val="007A2613"/>
    <w:rsid w:val="007A380B"/>
    <w:rsid w:val="007B2464"/>
    <w:rsid w:val="007B310C"/>
    <w:rsid w:val="007B5753"/>
    <w:rsid w:val="007B5D48"/>
    <w:rsid w:val="007C1C6D"/>
    <w:rsid w:val="007C2AD0"/>
    <w:rsid w:val="007C4620"/>
    <w:rsid w:val="007C7ADE"/>
    <w:rsid w:val="007C7DDC"/>
    <w:rsid w:val="007D0DE8"/>
    <w:rsid w:val="007D2221"/>
    <w:rsid w:val="007D2ECF"/>
    <w:rsid w:val="007D33FD"/>
    <w:rsid w:val="007D3BF0"/>
    <w:rsid w:val="007E1708"/>
    <w:rsid w:val="007E1FD2"/>
    <w:rsid w:val="007E209D"/>
    <w:rsid w:val="007E2F1C"/>
    <w:rsid w:val="007E414F"/>
    <w:rsid w:val="007E65A2"/>
    <w:rsid w:val="007E6EAD"/>
    <w:rsid w:val="007E6FDD"/>
    <w:rsid w:val="007F2386"/>
    <w:rsid w:val="007F5026"/>
    <w:rsid w:val="007F5585"/>
    <w:rsid w:val="007F5696"/>
    <w:rsid w:val="008025E2"/>
    <w:rsid w:val="00806782"/>
    <w:rsid w:val="008069C3"/>
    <w:rsid w:val="008122F5"/>
    <w:rsid w:val="00813965"/>
    <w:rsid w:val="008166B5"/>
    <w:rsid w:val="008167F1"/>
    <w:rsid w:val="00824203"/>
    <w:rsid w:val="00824E71"/>
    <w:rsid w:val="00825164"/>
    <w:rsid w:val="00826E9A"/>
    <w:rsid w:val="008271A3"/>
    <w:rsid w:val="00827BC6"/>
    <w:rsid w:val="008324A5"/>
    <w:rsid w:val="00834D7F"/>
    <w:rsid w:val="00836FC9"/>
    <w:rsid w:val="008409F9"/>
    <w:rsid w:val="00841487"/>
    <w:rsid w:val="00842A0F"/>
    <w:rsid w:val="008450F2"/>
    <w:rsid w:val="00854EE7"/>
    <w:rsid w:val="00856FCA"/>
    <w:rsid w:val="00857374"/>
    <w:rsid w:val="00860156"/>
    <w:rsid w:val="00862DC0"/>
    <w:rsid w:val="008638E1"/>
    <w:rsid w:val="00870137"/>
    <w:rsid w:val="00870B61"/>
    <w:rsid w:val="00871E2A"/>
    <w:rsid w:val="00873133"/>
    <w:rsid w:val="00876669"/>
    <w:rsid w:val="0088214B"/>
    <w:rsid w:val="00883D22"/>
    <w:rsid w:val="00885A37"/>
    <w:rsid w:val="008931FC"/>
    <w:rsid w:val="008A1BB2"/>
    <w:rsid w:val="008A3C54"/>
    <w:rsid w:val="008A572E"/>
    <w:rsid w:val="008A7713"/>
    <w:rsid w:val="008B0471"/>
    <w:rsid w:val="008B0F77"/>
    <w:rsid w:val="008B17D6"/>
    <w:rsid w:val="008B1B8C"/>
    <w:rsid w:val="008B22A3"/>
    <w:rsid w:val="008B2947"/>
    <w:rsid w:val="008B2B77"/>
    <w:rsid w:val="008B43BF"/>
    <w:rsid w:val="008B4529"/>
    <w:rsid w:val="008B72E8"/>
    <w:rsid w:val="008C0A8A"/>
    <w:rsid w:val="008C2580"/>
    <w:rsid w:val="008C34BC"/>
    <w:rsid w:val="008C72EE"/>
    <w:rsid w:val="008C7E53"/>
    <w:rsid w:val="008D1E95"/>
    <w:rsid w:val="008D297B"/>
    <w:rsid w:val="008D6D00"/>
    <w:rsid w:val="008E0ADD"/>
    <w:rsid w:val="008E3395"/>
    <w:rsid w:val="008E4282"/>
    <w:rsid w:val="008E46A3"/>
    <w:rsid w:val="008E4818"/>
    <w:rsid w:val="008E48C1"/>
    <w:rsid w:val="008E7FA9"/>
    <w:rsid w:val="00900EDC"/>
    <w:rsid w:val="009013C1"/>
    <w:rsid w:val="009034C6"/>
    <w:rsid w:val="00905199"/>
    <w:rsid w:val="00905382"/>
    <w:rsid w:val="00913200"/>
    <w:rsid w:val="009144F9"/>
    <w:rsid w:val="00915F03"/>
    <w:rsid w:val="00915F5F"/>
    <w:rsid w:val="009161F6"/>
    <w:rsid w:val="00917EE1"/>
    <w:rsid w:val="009201F3"/>
    <w:rsid w:val="00921F0E"/>
    <w:rsid w:val="009235E2"/>
    <w:rsid w:val="00931D3E"/>
    <w:rsid w:val="00933477"/>
    <w:rsid w:val="009341E9"/>
    <w:rsid w:val="009343F9"/>
    <w:rsid w:val="00934F21"/>
    <w:rsid w:val="00935980"/>
    <w:rsid w:val="00935CF8"/>
    <w:rsid w:val="00937C7B"/>
    <w:rsid w:val="00941098"/>
    <w:rsid w:val="00942418"/>
    <w:rsid w:val="0094537F"/>
    <w:rsid w:val="00947646"/>
    <w:rsid w:val="00951BE0"/>
    <w:rsid w:val="00953672"/>
    <w:rsid w:val="009537FB"/>
    <w:rsid w:val="00960853"/>
    <w:rsid w:val="00960FB4"/>
    <w:rsid w:val="00961C15"/>
    <w:rsid w:val="0096287A"/>
    <w:rsid w:val="00963419"/>
    <w:rsid w:val="00963B31"/>
    <w:rsid w:val="00970259"/>
    <w:rsid w:val="009704A6"/>
    <w:rsid w:val="009704AA"/>
    <w:rsid w:val="009715D5"/>
    <w:rsid w:val="00971620"/>
    <w:rsid w:val="00972664"/>
    <w:rsid w:val="009744C8"/>
    <w:rsid w:val="009755B0"/>
    <w:rsid w:val="0097598C"/>
    <w:rsid w:val="00976FEF"/>
    <w:rsid w:val="00977661"/>
    <w:rsid w:val="009801EC"/>
    <w:rsid w:val="00982389"/>
    <w:rsid w:val="009823BD"/>
    <w:rsid w:val="00991F0C"/>
    <w:rsid w:val="0099252C"/>
    <w:rsid w:val="00992903"/>
    <w:rsid w:val="00993742"/>
    <w:rsid w:val="00994BB6"/>
    <w:rsid w:val="009A031F"/>
    <w:rsid w:val="009A0480"/>
    <w:rsid w:val="009A37A8"/>
    <w:rsid w:val="009A3906"/>
    <w:rsid w:val="009A4BC6"/>
    <w:rsid w:val="009A4F69"/>
    <w:rsid w:val="009A500B"/>
    <w:rsid w:val="009A75E2"/>
    <w:rsid w:val="009B08C4"/>
    <w:rsid w:val="009B38B5"/>
    <w:rsid w:val="009B41F6"/>
    <w:rsid w:val="009C1D6B"/>
    <w:rsid w:val="009C204D"/>
    <w:rsid w:val="009C6CB5"/>
    <w:rsid w:val="009C77ED"/>
    <w:rsid w:val="009D2A6B"/>
    <w:rsid w:val="009D49F0"/>
    <w:rsid w:val="009D4A5B"/>
    <w:rsid w:val="009D56E5"/>
    <w:rsid w:val="009D67ED"/>
    <w:rsid w:val="009D7C02"/>
    <w:rsid w:val="009E1DF8"/>
    <w:rsid w:val="009E662A"/>
    <w:rsid w:val="009F048C"/>
    <w:rsid w:val="009F23C0"/>
    <w:rsid w:val="009F5A37"/>
    <w:rsid w:val="00A02EE5"/>
    <w:rsid w:val="00A11A6B"/>
    <w:rsid w:val="00A15D13"/>
    <w:rsid w:val="00A16B45"/>
    <w:rsid w:val="00A177F9"/>
    <w:rsid w:val="00A2015E"/>
    <w:rsid w:val="00A24A00"/>
    <w:rsid w:val="00A30646"/>
    <w:rsid w:val="00A35556"/>
    <w:rsid w:val="00A35A72"/>
    <w:rsid w:val="00A43389"/>
    <w:rsid w:val="00A433B3"/>
    <w:rsid w:val="00A434DD"/>
    <w:rsid w:val="00A476CE"/>
    <w:rsid w:val="00A50675"/>
    <w:rsid w:val="00A50C5F"/>
    <w:rsid w:val="00A51F2C"/>
    <w:rsid w:val="00A527BB"/>
    <w:rsid w:val="00A549E3"/>
    <w:rsid w:val="00A55BCF"/>
    <w:rsid w:val="00A6002C"/>
    <w:rsid w:val="00A604A4"/>
    <w:rsid w:val="00A63CBD"/>
    <w:rsid w:val="00A63E70"/>
    <w:rsid w:val="00A6569E"/>
    <w:rsid w:val="00A6599E"/>
    <w:rsid w:val="00A67429"/>
    <w:rsid w:val="00A674CA"/>
    <w:rsid w:val="00A70319"/>
    <w:rsid w:val="00A70BD7"/>
    <w:rsid w:val="00A722DB"/>
    <w:rsid w:val="00A732E2"/>
    <w:rsid w:val="00A73AD7"/>
    <w:rsid w:val="00A770E3"/>
    <w:rsid w:val="00A8036F"/>
    <w:rsid w:val="00A83BAC"/>
    <w:rsid w:val="00A863B5"/>
    <w:rsid w:val="00A86B79"/>
    <w:rsid w:val="00A87D46"/>
    <w:rsid w:val="00A90F54"/>
    <w:rsid w:val="00A913C6"/>
    <w:rsid w:val="00A931D6"/>
    <w:rsid w:val="00A93600"/>
    <w:rsid w:val="00A95C2C"/>
    <w:rsid w:val="00A96711"/>
    <w:rsid w:val="00AA3B5C"/>
    <w:rsid w:val="00AA4306"/>
    <w:rsid w:val="00AA5144"/>
    <w:rsid w:val="00AB076C"/>
    <w:rsid w:val="00AB2053"/>
    <w:rsid w:val="00AB4661"/>
    <w:rsid w:val="00AC2457"/>
    <w:rsid w:val="00AC3B45"/>
    <w:rsid w:val="00AC3D2A"/>
    <w:rsid w:val="00AC3DFC"/>
    <w:rsid w:val="00AC446B"/>
    <w:rsid w:val="00AC6258"/>
    <w:rsid w:val="00AC6A48"/>
    <w:rsid w:val="00AD281B"/>
    <w:rsid w:val="00AD31BF"/>
    <w:rsid w:val="00AD641A"/>
    <w:rsid w:val="00AD6820"/>
    <w:rsid w:val="00AE5895"/>
    <w:rsid w:val="00AE777B"/>
    <w:rsid w:val="00AF149F"/>
    <w:rsid w:val="00AF1809"/>
    <w:rsid w:val="00AF3567"/>
    <w:rsid w:val="00AF6A40"/>
    <w:rsid w:val="00B01B36"/>
    <w:rsid w:val="00B01C30"/>
    <w:rsid w:val="00B049D3"/>
    <w:rsid w:val="00B04E57"/>
    <w:rsid w:val="00B05E56"/>
    <w:rsid w:val="00B05F74"/>
    <w:rsid w:val="00B06E15"/>
    <w:rsid w:val="00B07206"/>
    <w:rsid w:val="00B072A3"/>
    <w:rsid w:val="00B078DF"/>
    <w:rsid w:val="00B10013"/>
    <w:rsid w:val="00B11D56"/>
    <w:rsid w:val="00B1290E"/>
    <w:rsid w:val="00B12B22"/>
    <w:rsid w:val="00B143FC"/>
    <w:rsid w:val="00B177F8"/>
    <w:rsid w:val="00B2094E"/>
    <w:rsid w:val="00B24DC2"/>
    <w:rsid w:val="00B32351"/>
    <w:rsid w:val="00B32C14"/>
    <w:rsid w:val="00B32FFC"/>
    <w:rsid w:val="00B34038"/>
    <w:rsid w:val="00B368E9"/>
    <w:rsid w:val="00B37E59"/>
    <w:rsid w:val="00B400A4"/>
    <w:rsid w:val="00B404BB"/>
    <w:rsid w:val="00B45592"/>
    <w:rsid w:val="00B45CB7"/>
    <w:rsid w:val="00B46754"/>
    <w:rsid w:val="00B479A9"/>
    <w:rsid w:val="00B50E56"/>
    <w:rsid w:val="00B54D0F"/>
    <w:rsid w:val="00B54D36"/>
    <w:rsid w:val="00B55850"/>
    <w:rsid w:val="00B55CA8"/>
    <w:rsid w:val="00B56F3C"/>
    <w:rsid w:val="00B60CB1"/>
    <w:rsid w:val="00B61E79"/>
    <w:rsid w:val="00B6210E"/>
    <w:rsid w:val="00B62450"/>
    <w:rsid w:val="00B66EC1"/>
    <w:rsid w:val="00B67886"/>
    <w:rsid w:val="00B71985"/>
    <w:rsid w:val="00B75E5D"/>
    <w:rsid w:val="00B8128E"/>
    <w:rsid w:val="00B81D30"/>
    <w:rsid w:val="00B8369D"/>
    <w:rsid w:val="00B85789"/>
    <w:rsid w:val="00B869DA"/>
    <w:rsid w:val="00B91822"/>
    <w:rsid w:val="00B91921"/>
    <w:rsid w:val="00B92DE5"/>
    <w:rsid w:val="00B93CBE"/>
    <w:rsid w:val="00B94581"/>
    <w:rsid w:val="00B94715"/>
    <w:rsid w:val="00B95B32"/>
    <w:rsid w:val="00B971FF"/>
    <w:rsid w:val="00B97DEA"/>
    <w:rsid w:val="00BA098F"/>
    <w:rsid w:val="00BA0FB6"/>
    <w:rsid w:val="00BA2509"/>
    <w:rsid w:val="00BA2836"/>
    <w:rsid w:val="00BA382A"/>
    <w:rsid w:val="00BA48F5"/>
    <w:rsid w:val="00BA63ED"/>
    <w:rsid w:val="00BA6875"/>
    <w:rsid w:val="00BA749C"/>
    <w:rsid w:val="00BA7B27"/>
    <w:rsid w:val="00BB39C9"/>
    <w:rsid w:val="00BB548C"/>
    <w:rsid w:val="00BB7071"/>
    <w:rsid w:val="00BB75F1"/>
    <w:rsid w:val="00BC0A28"/>
    <w:rsid w:val="00BC12F4"/>
    <w:rsid w:val="00BC1DB5"/>
    <w:rsid w:val="00BC2425"/>
    <w:rsid w:val="00BC3F6D"/>
    <w:rsid w:val="00BC6651"/>
    <w:rsid w:val="00BC74DD"/>
    <w:rsid w:val="00BC7C5E"/>
    <w:rsid w:val="00BD3B0C"/>
    <w:rsid w:val="00BD45DA"/>
    <w:rsid w:val="00BD56CE"/>
    <w:rsid w:val="00BD5735"/>
    <w:rsid w:val="00BD7AA0"/>
    <w:rsid w:val="00BF0FEE"/>
    <w:rsid w:val="00BF3486"/>
    <w:rsid w:val="00BF6920"/>
    <w:rsid w:val="00C02585"/>
    <w:rsid w:val="00C06A27"/>
    <w:rsid w:val="00C07D71"/>
    <w:rsid w:val="00C13269"/>
    <w:rsid w:val="00C15523"/>
    <w:rsid w:val="00C207E7"/>
    <w:rsid w:val="00C20E45"/>
    <w:rsid w:val="00C23D42"/>
    <w:rsid w:val="00C2460A"/>
    <w:rsid w:val="00C2540C"/>
    <w:rsid w:val="00C27701"/>
    <w:rsid w:val="00C279F8"/>
    <w:rsid w:val="00C3103F"/>
    <w:rsid w:val="00C31DD7"/>
    <w:rsid w:val="00C335B3"/>
    <w:rsid w:val="00C35FC9"/>
    <w:rsid w:val="00C37F96"/>
    <w:rsid w:val="00C43F9A"/>
    <w:rsid w:val="00C447D2"/>
    <w:rsid w:val="00C44F86"/>
    <w:rsid w:val="00C4614F"/>
    <w:rsid w:val="00C47D1C"/>
    <w:rsid w:val="00C530E8"/>
    <w:rsid w:val="00C54D99"/>
    <w:rsid w:val="00C55BFB"/>
    <w:rsid w:val="00C56109"/>
    <w:rsid w:val="00C61F14"/>
    <w:rsid w:val="00C6218A"/>
    <w:rsid w:val="00C663EA"/>
    <w:rsid w:val="00C66E72"/>
    <w:rsid w:val="00C70C1C"/>
    <w:rsid w:val="00C777A7"/>
    <w:rsid w:val="00C808BC"/>
    <w:rsid w:val="00C8155E"/>
    <w:rsid w:val="00C8315C"/>
    <w:rsid w:val="00C83A40"/>
    <w:rsid w:val="00C84133"/>
    <w:rsid w:val="00C84925"/>
    <w:rsid w:val="00C9105C"/>
    <w:rsid w:val="00C91D7C"/>
    <w:rsid w:val="00C92E08"/>
    <w:rsid w:val="00C9686B"/>
    <w:rsid w:val="00C97A95"/>
    <w:rsid w:val="00CA2C2D"/>
    <w:rsid w:val="00CA5E7A"/>
    <w:rsid w:val="00CA7CBC"/>
    <w:rsid w:val="00CB1090"/>
    <w:rsid w:val="00CB7C72"/>
    <w:rsid w:val="00CC05C3"/>
    <w:rsid w:val="00CC1279"/>
    <w:rsid w:val="00CC3FEF"/>
    <w:rsid w:val="00CC58B2"/>
    <w:rsid w:val="00CD0D1A"/>
    <w:rsid w:val="00CD2EF9"/>
    <w:rsid w:val="00CE13D0"/>
    <w:rsid w:val="00CE13E7"/>
    <w:rsid w:val="00CE49C7"/>
    <w:rsid w:val="00CF03D6"/>
    <w:rsid w:val="00CF0731"/>
    <w:rsid w:val="00CF3ED9"/>
    <w:rsid w:val="00CF45B2"/>
    <w:rsid w:val="00CF6A5D"/>
    <w:rsid w:val="00CF7EE6"/>
    <w:rsid w:val="00D0056C"/>
    <w:rsid w:val="00D0693B"/>
    <w:rsid w:val="00D10A18"/>
    <w:rsid w:val="00D142C1"/>
    <w:rsid w:val="00D14AD7"/>
    <w:rsid w:val="00D14F91"/>
    <w:rsid w:val="00D15FA1"/>
    <w:rsid w:val="00D20525"/>
    <w:rsid w:val="00D225A2"/>
    <w:rsid w:val="00D2310D"/>
    <w:rsid w:val="00D254A7"/>
    <w:rsid w:val="00D26B8F"/>
    <w:rsid w:val="00D273F6"/>
    <w:rsid w:val="00D27A0A"/>
    <w:rsid w:val="00D31327"/>
    <w:rsid w:val="00D31376"/>
    <w:rsid w:val="00D35A0A"/>
    <w:rsid w:val="00D36571"/>
    <w:rsid w:val="00D368A8"/>
    <w:rsid w:val="00D36DBA"/>
    <w:rsid w:val="00D37A55"/>
    <w:rsid w:val="00D4040A"/>
    <w:rsid w:val="00D42A3D"/>
    <w:rsid w:val="00D42DED"/>
    <w:rsid w:val="00D45ACA"/>
    <w:rsid w:val="00D460A1"/>
    <w:rsid w:val="00D46949"/>
    <w:rsid w:val="00D50118"/>
    <w:rsid w:val="00D513B3"/>
    <w:rsid w:val="00D52C0E"/>
    <w:rsid w:val="00D54291"/>
    <w:rsid w:val="00D54EC8"/>
    <w:rsid w:val="00D57961"/>
    <w:rsid w:val="00D57C93"/>
    <w:rsid w:val="00D60F6E"/>
    <w:rsid w:val="00D61DB8"/>
    <w:rsid w:val="00D63B5A"/>
    <w:rsid w:val="00D659E6"/>
    <w:rsid w:val="00D70FA0"/>
    <w:rsid w:val="00D73703"/>
    <w:rsid w:val="00D8330D"/>
    <w:rsid w:val="00D840ED"/>
    <w:rsid w:val="00D91979"/>
    <w:rsid w:val="00D91B09"/>
    <w:rsid w:val="00D9364B"/>
    <w:rsid w:val="00D94DD5"/>
    <w:rsid w:val="00D95FE8"/>
    <w:rsid w:val="00D979F2"/>
    <w:rsid w:val="00DA23AC"/>
    <w:rsid w:val="00DA270F"/>
    <w:rsid w:val="00DA29A4"/>
    <w:rsid w:val="00DA4201"/>
    <w:rsid w:val="00DA54BE"/>
    <w:rsid w:val="00DA6990"/>
    <w:rsid w:val="00DA6A5A"/>
    <w:rsid w:val="00DB2CE2"/>
    <w:rsid w:val="00DB4CBD"/>
    <w:rsid w:val="00DB4DB2"/>
    <w:rsid w:val="00DB5AB6"/>
    <w:rsid w:val="00DC0218"/>
    <w:rsid w:val="00DC1366"/>
    <w:rsid w:val="00DC2496"/>
    <w:rsid w:val="00DC415D"/>
    <w:rsid w:val="00DC6FA3"/>
    <w:rsid w:val="00DD3551"/>
    <w:rsid w:val="00DD593C"/>
    <w:rsid w:val="00DE12AB"/>
    <w:rsid w:val="00DE53FB"/>
    <w:rsid w:val="00DE6376"/>
    <w:rsid w:val="00DE7B0B"/>
    <w:rsid w:val="00DF082B"/>
    <w:rsid w:val="00DF4CBA"/>
    <w:rsid w:val="00E00F37"/>
    <w:rsid w:val="00E0179D"/>
    <w:rsid w:val="00E065CD"/>
    <w:rsid w:val="00E10415"/>
    <w:rsid w:val="00E10C19"/>
    <w:rsid w:val="00E11792"/>
    <w:rsid w:val="00E11B81"/>
    <w:rsid w:val="00E1328E"/>
    <w:rsid w:val="00E15797"/>
    <w:rsid w:val="00E24EB1"/>
    <w:rsid w:val="00E25BE9"/>
    <w:rsid w:val="00E2617B"/>
    <w:rsid w:val="00E3318A"/>
    <w:rsid w:val="00E401F5"/>
    <w:rsid w:val="00E40B2F"/>
    <w:rsid w:val="00E42201"/>
    <w:rsid w:val="00E42479"/>
    <w:rsid w:val="00E43960"/>
    <w:rsid w:val="00E45088"/>
    <w:rsid w:val="00E46288"/>
    <w:rsid w:val="00E47C1E"/>
    <w:rsid w:val="00E52CF6"/>
    <w:rsid w:val="00E56A0B"/>
    <w:rsid w:val="00E57D7D"/>
    <w:rsid w:val="00E61611"/>
    <w:rsid w:val="00E624F3"/>
    <w:rsid w:val="00E62ACF"/>
    <w:rsid w:val="00E633A0"/>
    <w:rsid w:val="00E66803"/>
    <w:rsid w:val="00E676AE"/>
    <w:rsid w:val="00E6793D"/>
    <w:rsid w:val="00E70E93"/>
    <w:rsid w:val="00E72FF8"/>
    <w:rsid w:val="00E76AF7"/>
    <w:rsid w:val="00E77389"/>
    <w:rsid w:val="00E77DB3"/>
    <w:rsid w:val="00E815D8"/>
    <w:rsid w:val="00E81755"/>
    <w:rsid w:val="00E83491"/>
    <w:rsid w:val="00E8617B"/>
    <w:rsid w:val="00E90699"/>
    <w:rsid w:val="00E90CDB"/>
    <w:rsid w:val="00E93361"/>
    <w:rsid w:val="00E94DD5"/>
    <w:rsid w:val="00E94FF5"/>
    <w:rsid w:val="00E97F1B"/>
    <w:rsid w:val="00EA0D87"/>
    <w:rsid w:val="00EB0C07"/>
    <w:rsid w:val="00EB10AB"/>
    <w:rsid w:val="00EB1962"/>
    <w:rsid w:val="00EB3A37"/>
    <w:rsid w:val="00EB494B"/>
    <w:rsid w:val="00EC1939"/>
    <w:rsid w:val="00EC1FDD"/>
    <w:rsid w:val="00EC4CD7"/>
    <w:rsid w:val="00EC7C2C"/>
    <w:rsid w:val="00ED0370"/>
    <w:rsid w:val="00ED2A02"/>
    <w:rsid w:val="00ED2D9E"/>
    <w:rsid w:val="00ED3DF9"/>
    <w:rsid w:val="00ED63B9"/>
    <w:rsid w:val="00EE2188"/>
    <w:rsid w:val="00EE4114"/>
    <w:rsid w:val="00EF5878"/>
    <w:rsid w:val="00F029F6"/>
    <w:rsid w:val="00F05042"/>
    <w:rsid w:val="00F05A18"/>
    <w:rsid w:val="00F061E5"/>
    <w:rsid w:val="00F10386"/>
    <w:rsid w:val="00F11672"/>
    <w:rsid w:val="00F12FE4"/>
    <w:rsid w:val="00F203F1"/>
    <w:rsid w:val="00F212B6"/>
    <w:rsid w:val="00F22810"/>
    <w:rsid w:val="00F2449B"/>
    <w:rsid w:val="00F25409"/>
    <w:rsid w:val="00F26310"/>
    <w:rsid w:val="00F27265"/>
    <w:rsid w:val="00F27BEA"/>
    <w:rsid w:val="00F335A2"/>
    <w:rsid w:val="00F351C8"/>
    <w:rsid w:val="00F45F68"/>
    <w:rsid w:val="00F4756C"/>
    <w:rsid w:val="00F477F6"/>
    <w:rsid w:val="00F51603"/>
    <w:rsid w:val="00F516AF"/>
    <w:rsid w:val="00F52C96"/>
    <w:rsid w:val="00F55763"/>
    <w:rsid w:val="00F57577"/>
    <w:rsid w:val="00F57BA7"/>
    <w:rsid w:val="00F629FF"/>
    <w:rsid w:val="00F63881"/>
    <w:rsid w:val="00F667B2"/>
    <w:rsid w:val="00F702A1"/>
    <w:rsid w:val="00F721FB"/>
    <w:rsid w:val="00F727AB"/>
    <w:rsid w:val="00F73DAE"/>
    <w:rsid w:val="00F74C3A"/>
    <w:rsid w:val="00F750BF"/>
    <w:rsid w:val="00F76B45"/>
    <w:rsid w:val="00F77735"/>
    <w:rsid w:val="00F80FF3"/>
    <w:rsid w:val="00F830E5"/>
    <w:rsid w:val="00F83EB0"/>
    <w:rsid w:val="00F851FC"/>
    <w:rsid w:val="00F867EE"/>
    <w:rsid w:val="00F924D7"/>
    <w:rsid w:val="00F93901"/>
    <w:rsid w:val="00F96CF3"/>
    <w:rsid w:val="00FA2AFF"/>
    <w:rsid w:val="00FA3045"/>
    <w:rsid w:val="00FA38EF"/>
    <w:rsid w:val="00FA501F"/>
    <w:rsid w:val="00FA63A2"/>
    <w:rsid w:val="00FA7229"/>
    <w:rsid w:val="00FA7D89"/>
    <w:rsid w:val="00FB0C2D"/>
    <w:rsid w:val="00FB22FB"/>
    <w:rsid w:val="00FB3CEC"/>
    <w:rsid w:val="00FC28CC"/>
    <w:rsid w:val="00FC3086"/>
    <w:rsid w:val="00FC3CDA"/>
    <w:rsid w:val="00FC3E2B"/>
    <w:rsid w:val="00FC5852"/>
    <w:rsid w:val="00FC5A5F"/>
    <w:rsid w:val="00FD1F48"/>
    <w:rsid w:val="00FD285D"/>
    <w:rsid w:val="00FD3D6C"/>
    <w:rsid w:val="00FD44C8"/>
    <w:rsid w:val="00FE1FB8"/>
    <w:rsid w:val="00FE2106"/>
    <w:rsid w:val="00FE28D5"/>
    <w:rsid w:val="00FE67CB"/>
    <w:rsid w:val="00FF00B0"/>
    <w:rsid w:val="00FF0515"/>
    <w:rsid w:val="00FF4E6E"/>
    <w:rsid w:val="011D5CEB"/>
    <w:rsid w:val="0174421B"/>
    <w:rsid w:val="018717BE"/>
    <w:rsid w:val="0191110D"/>
    <w:rsid w:val="01BF097B"/>
    <w:rsid w:val="01C00E3E"/>
    <w:rsid w:val="01D105CE"/>
    <w:rsid w:val="01E73C24"/>
    <w:rsid w:val="021A76DB"/>
    <w:rsid w:val="02766999"/>
    <w:rsid w:val="02791447"/>
    <w:rsid w:val="02BF51D7"/>
    <w:rsid w:val="02E65534"/>
    <w:rsid w:val="02EB4E55"/>
    <w:rsid w:val="0304157F"/>
    <w:rsid w:val="032A0016"/>
    <w:rsid w:val="033243A8"/>
    <w:rsid w:val="033C4F4D"/>
    <w:rsid w:val="035442EC"/>
    <w:rsid w:val="037126EF"/>
    <w:rsid w:val="0386205B"/>
    <w:rsid w:val="038623A2"/>
    <w:rsid w:val="03AA5705"/>
    <w:rsid w:val="03C822D4"/>
    <w:rsid w:val="03D63A72"/>
    <w:rsid w:val="03E73237"/>
    <w:rsid w:val="03EE5F1E"/>
    <w:rsid w:val="044B0EE2"/>
    <w:rsid w:val="047A58E4"/>
    <w:rsid w:val="04B7013D"/>
    <w:rsid w:val="04BB3243"/>
    <w:rsid w:val="04BF5738"/>
    <w:rsid w:val="04EE55EA"/>
    <w:rsid w:val="04EF3205"/>
    <w:rsid w:val="05336639"/>
    <w:rsid w:val="056563FC"/>
    <w:rsid w:val="057E7D52"/>
    <w:rsid w:val="05920D61"/>
    <w:rsid w:val="05B92DB0"/>
    <w:rsid w:val="06102D2E"/>
    <w:rsid w:val="063B2D6C"/>
    <w:rsid w:val="06506B03"/>
    <w:rsid w:val="06555B20"/>
    <w:rsid w:val="069627A6"/>
    <w:rsid w:val="06AA7299"/>
    <w:rsid w:val="06AE5351"/>
    <w:rsid w:val="06F33957"/>
    <w:rsid w:val="07012726"/>
    <w:rsid w:val="07023315"/>
    <w:rsid w:val="07155AF2"/>
    <w:rsid w:val="07307513"/>
    <w:rsid w:val="07ED49AA"/>
    <w:rsid w:val="07F346AF"/>
    <w:rsid w:val="084D5CB0"/>
    <w:rsid w:val="0853070B"/>
    <w:rsid w:val="08591333"/>
    <w:rsid w:val="086E4ED1"/>
    <w:rsid w:val="087F1B50"/>
    <w:rsid w:val="089867F5"/>
    <w:rsid w:val="08F100D7"/>
    <w:rsid w:val="09141087"/>
    <w:rsid w:val="09385542"/>
    <w:rsid w:val="095306DD"/>
    <w:rsid w:val="09557EEA"/>
    <w:rsid w:val="095644B9"/>
    <w:rsid w:val="09695409"/>
    <w:rsid w:val="0993275B"/>
    <w:rsid w:val="09EE5A33"/>
    <w:rsid w:val="09F33BC2"/>
    <w:rsid w:val="0A005A8E"/>
    <w:rsid w:val="0A005B38"/>
    <w:rsid w:val="0A012F12"/>
    <w:rsid w:val="0A5A21CE"/>
    <w:rsid w:val="0A600644"/>
    <w:rsid w:val="0A63046B"/>
    <w:rsid w:val="0A655977"/>
    <w:rsid w:val="0A66160D"/>
    <w:rsid w:val="0A6F30BC"/>
    <w:rsid w:val="0A8670D2"/>
    <w:rsid w:val="0A8A6649"/>
    <w:rsid w:val="0A8D0F9E"/>
    <w:rsid w:val="0A9016A9"/>
    <w:rsid w:val="0AB440F8"/>
    <w:rsid w:val="0ABA41D2"/>
    <w:rsid w:val="0AD2601C"/>
    <w:rsid w:val="0AF44C9D"/>
    <w:rsid w:val="0B085950"/>
    <w:rsid w:val="0B0D0CC4"/>
    <w:rsid w:val="0B283234"/>
    <w:rsid w:val="0B4318C9"/>
    <w:rsid w:val="0B660A72"/>
    <w:rsid w:val="0B9014E9"/>
    <w:rsid w:val="0B963D2B"/>
    <w:rsid w:val="0B9948AC"/>
    <w:rsid w:val="0BBD289A"/>
    <w:rsid w:val="0BC35643"/>
    <w:rsid w:val="0BC64097"/>
    <w:rsid w:val="0BD1474E"/>
    <w:rsid w:val="0BD434F5"/>
    <w:rsid w:val="0BD71386"/>
    <w:rsid w:val="0BD939C5"/>
    <w:rsid w:val="0C054378"/>
    <w:rsid w:val="0C0E0E49"/>
    <w:rsid w:val="0C0F3E0E"/>
    <w:rsid w:val="0C232562"/>
    <w:rsid w:val="0C5A518D"/>
    <w:rsid w:val="0C9C1A5D"/>
    <w:rsid w:val="0CB06F89"/>
    <w:rsid w:val="0CB453A1"/>
    <w:rsid w:val="0D060C4A"/>
    <w:rsid w:val="0D0F7072"/>
    <w:rsid w:val="0D7B2486"/>
    <w:rsid w:val="0D7E5526"/>
    <w:rsid w:val="0D8E5096"/>
    <w:rsid w:val="0DC70E1E"/>
    <w:rsid w:val="0DD37DB4"/>
    <w:rsid w:val="0E0C036B"/>
    <w:rsid w:val="0E3039A1"/>
    <w:rsid w:val="0E333E3A"/>
    <w:rsid w:val="0E401B23"/>
    <w:rsid w:val="0E8A18A4"/>
    <w:rsid w:val="0E9A2D0A"/>
    <w:rsid w:val="0E9D26C3"/>
    <w:rsid w:val="0E9E3EDE"/>
    <w:rsid w:val="0EC518EB"/>
    <w:rsid w:val="0ECF454E"/>
    <w:rsid w:val="0ED41018"/>
    <w:rsid w:val="0EE22D8A"/>
    <w:rsid w:val="0EF735EC"/>
    <w:rsid w:val="0EF9511D"/>
    <w:rsid w:val="0F066F13"/>
    <w:rsid w:val="0F2A7991"/>
    <w:rsid w:val="0F6E7AB6"/>
    <w:rsid w:val="0F7A251E"/>
    <w:rsid w:val="0FF33AF6"/>
    <w:rsid w:val="100E0CEE"/>
    <w:rsid w:val="102E7B76"/>
    <w:rsid w:val="10737E0E"/>
    <w:rsid w:val="108D0F16"/>
    <w:rsid w:val="10EC2887"/>
    <w:rsid w:val="10F33753"/>
    <w:rsid w:val="10F72164"/>
    <w:rsid w:val="110B1714"/>
    <w:rsid w:val="110D5CB2"/>
    <w:rsid w:val="116A035F"/>
    <w:rsid w:val="11875444"/>
    <w:rsid w:val="11A95278"/>
    <w:rsid w:val="11AF44DF"/>
    <w:rsid w:val="11C852FC"/>
    <w:rsid w:val="11F72CE6"/>
    <w:rsid w:val="123B7DDD"/>
    <w:rsid w:val="126A684E"/>
    <w:rsid w:val="128415CB"/>
    <w:rsid w:val="12A76591"/>
    <w:rsid w:val="12CF0657"/>
    <w:rsid w:val="12E77825"/>
    <w:rsid w:val="12E95249"/>
    <w:rsid w:val="12FE2ECF"/>
    <w:rsid w:val="134E40D7"/>
    <w:rsid w:val="13511013"/>
    <w:rsid w:val="135C3DD4"/>
    <w:rsid w:val="137F6F1E"/>
    <w:rsid w:val="13E7075D"/>
    <w:rsid w:val="141745DC"/>
    <w:rsid w:val="141F61C3"/>
    <w:rsid w:val="1466375C"/>
    <w:rsid w:val="14725E70"/>
    <w:rsid w:val="14905963"/>
    <w:rsid w:val="14B118C5"/>
    <w:rsid w:val="14B415E1"/>
    <w:rsid w:val="14D43BDB"/>
    <w:rsid w:val="151B44F0"/>
    <w:rsid w:val="152E2DCC"/>
    <w:rsid w:val="153017B9"/>
    <w:rsid w:val="15F1546C"/>
    <w:rsid w:val="1605305A"/>
    <w:rsid w:val="160547D6"/>
    <w:rsid w:val="161C40B5"/>
    <w:rsid w:val="16467CC8"/>
    <w:rsid w:val="165F2BDF"/>
    <w:rsid w:val="16720653"/>
    <w:rsid w:val="168E46B6"/>
    <w:rsid w:val="16A87CE1"/>
    <w:rsid w:val="16E021C2"/>
    <w:rsid w:val="16FE3277"/>
    <w:rsid w:val="1750689B"/>
    <w:rsid w:val="17727644"/>
    <w:rsid w:val="179E277E"/>
    <w:rsid w:val="17AE6357"/>
    <w:rsid w:val="17B8537B"/>
    <w:rsid w:val="17BE3B1C"/>
    <w:rsid w:val="17F14C98"/>
    <w:rsid w:val="18074726"/>
    <w:rsid w:val="18080A9E"/>
    <w:rsid w:val="18296253"/>
    <w:rsid w:val="189C44F5"/>
    <w:rsid w:val="18D32287"/>
    <w:rsid w:val="18DF0544"/>
    <w:rsid w:val="18ED538B"/>
    <w:rsid w:val="18F06F9F"/>
    <w:rsid w:val="18FF73A6"/>
    <w:rsid w:val="190A3974"/>
    <w:rsid w:val="191A45C5"/>
    <w:rsid w:val="192F2566"/>
    <w:rsid w:val="194E0081"/>
    <w:rsid w:val="195F6609"/>
    <w:rsid w:val="19661D34"/>
    <w:rsid w:val="19AF15A8"/>
    <w:rsid w:val="19CD444F"/>
    <w:rsid w:val="19D073F3"/>
    <w:rsid w:val="19D87710"/>
    <w:rsid w:val="19F12F15"/>
    <w:rsid w:val="1A2A3728"/>
    <w:rsid w:val="1A512009"/>
    <w:rsid w:val="1A8644CD"/>
    <w:rsid w:val="1AA569B7"/>
    <w:rsid w:val="1AB3650A"/>
    <w:rsid w:val="1AFA2B1C"/>
    <w:rsid w:val="1B484223"/>
    <w:rsid w:val="1B68216E"/>
    <w:rsid w:val="1B6F77A7"/>
    <w:rsid w:val="1B704CD6"/>
    <w:rsid w:val="1B717DB9"/>
    <w:rsid w:val="1B813BF2"/>
    <w:rsid w:val="1BD6575E"/>
    <w:rsid w:val="1C1E24F0"/>
    <w:rsid w:val="1C392DA1"/>
    <w:rsid w:val="1C5115AF"/>
    <w:rsid w:val="1C59360F"/>
    <w:rsid w:val="1C7F44D1"/>
    <w:rsid w:val="1C815CBB"/>
    <w:rsid w:val="1C925778"/>
    <w:rsid w:val="1CBA44B6"/>
    <w:rsid w:val="1CBC6A50"/>
    <w:rsid w:val="1D215271"/>
    <w:rsid w:val="1D386B0A"/>
    <w:rsid w:val="1D39665B"/>
    <w:rsid w:val="1D7066B8"/>
    <w:rsid w:val="1D873EC6"/>
    <w:rsid w:val="1DA444AF"/>
    <w:rsid w:val="1DC41890"/>
    <w:rsid w:val="1DD4347C"/>
    <w:rsid w:val="1DD866A7"/>
    <w:rsid w:val="1DE27AEF"/>
    <w:rsid w:val="1E07270C"/>
    <w:rsid w:val="1E1F64E2"/>
    <w:rsid w:val="1E3D36A2"/>
    <w:rsid w:val="1E4273A0"/>
    <w:rsid w:val="1E4708BE"/>
    <w:rsid w:val="1E5B402C"/>
    <w:rsid w:val="1E651D1C"/>
    <w:rsid w:val="1E7F3375"/>
    <w:rsid w:val="1E9C0FD7"/>
    <w:rsid w:val="1EA27733"/>
    <w:rsid w:val="1EA71441"/>
    <w:rsid w:val="1EDF1B1B"/>
    <w:rsid w:val="1F472412"/>
    <w:rsid w:val="1F474417"/>
    <w:rsid w:val="1F7801F4"/>
    <w:rsid w:val="1F8F6263"/>
    <w:rsid w:val="1FA051B1"/>
    <w:rsid w:val="1FAE70E6"/>
    <w:rsid w:val="1FE01BF2"/>
    <w:rsid w:val="1FF103F0"/>
    <w:rsid w:val="20005C3E"/>
    <w:rsid w:val="200C1FD7"/>
    <w:rsid w:val="202A0BEF"/>
    <w:rsid w:val="20676614"/>
    <w:rsid w:val="209D521B"/>
    <w:rsid w:val="20B1574E"/>
    <w:rsid w:val="20B919BF"/>
    <w:rsid w:val="20C12A4D"/>
    <w:rsid w:val="20CA2AC7"/>
    <w:rsid w:val="20D76B72"/>
    <w:rsid w:val="212415F7"/>
    <w:rsid w:val="212B3934"/>
    <w:rsid w:val="212E3396"/>
    <w:rsid w:val="214529B8"/>
    <w:rsid w:val="214F070A"/>
    <w:rsid w:val="21504889"/>
    <w:rsid w:val="21511091"/>
    <w:rsid w:val="216A59FA"/>
    <w:rsid w:val="21964CE5"/>
    <w:rsid w:val="219915D3"/>
    <w:rsid w:val="219D45B2"/>
    <w:rsid w:val="21A672A2"/>
    <w:rsid w:val="21BC28A6"/>
    <w:rsid w:val="21C329A3"/>
    <w:rsid w:val="21E56FBC"/>
    <w:rsid w:val="21FA005D"/>
    <w:rsid w:val="21FB12EC"/>
    <w:rsid w:val="220137C3"/>
    <w:rsid w:val="224F6446"/>
    <w:rsid w:val="225861FF"/>
    <w:rsid w:val="226C4FAD"/>
    <w:rsid w:val="229F47AE"/>
    <w:rsid w:val="22A27797"/>
    <w:rsid w:val="22D3233B"/>
    <w:rsid w:val="22DB48F2"/>
    <w:rsid w:val="22E25839"/>
    <w:rsid w:val="23177604"/>
    <w:rsid w:val="232C7632"/>
    <w:rsid w:val="2333170A"/>
    <w:rsid w:val="237F1E99"/>
    <w:rsid w:val="23BC6D45"/>
    <w:rsid w:val="23FD21A6"/>
    <w:rsid w:val="24096C1E"/>
    <w:rsid w:val="242377DC"/>
    <w:rsid w:val="243C7A17"/>
    <w:rsid w:val="2442787A"/>
    <w:rsid w:val="248458D3"/>
    <w:rsid w:val="24AF30EF"/>
    <w:rsid w:val="24C31ACA"/>
    <w:rsid w:val="24C37822"/>
    <w:rsid w:val="24C979B7"/>
    <w:rsid w:val="24D228AC"/>
    <w:rsid w:val="24DE282F"/>
    <w:rsid w:val="2502156D"/>
    <w:rsid w:val="250234C2"/>
    <w:rsid w:val="2516370B"/>
    <w:rsid w:val="25427164"/>
    <w:rsid w:val="25525D92"/>
    <w:rsid w:val="255B191F"/>
    <w:rsid w:val="2563572A"/>
    <w:rsid w:val="25637736"/>
    <w:rsid w:val="25AE478C"/>
    <w:rsid w:val="25B90919"/>
    <w:rsid w:val="26371F36"/>
    <w:rsid w:val="263B2C60"/>
    <w:rsid w:val="26411C1D"/>
    <w:rsid w:val="26487535"/>
    <w:rsid w:val="264D32CE"/>
    <w:rsid w:val="265453C2"/>
    <w:rsid w:val="26567ACD"/>
    <w:rsid w:val="26710D09"/>
    <w:rsid w:val="26786ECC"/>
    <w:rsid w:val="26964EA5"/>
    <w:rsid w:val="269F4749"/>
    <w:rsid w:val="26A175D7"/>
    <w:rsid w:val="26D3098E"/>
    <w:rsid w:val="26EF5861"/>
    <w:rsid w:val="271E227A"/>
    <w:rsid w:val="272F1AD3"/>
    <w:rsid w:val="2741315F"/>
    <w:rsid w:val="27916FA0"/>
    <w:rsid w:val="279B1B14"/>
    <w:rsid w:val="27C77490"/>
    <w:rsid w:val="27F64177"/>
    <w:rsid w:val="28046D84"/>
    <w:rsid w:val="286B5532"/>
    <w:rsid w:val="288F52D5"/>
    <w:rsid w:val="28E5527A"/>
    <w:rsid w:val="291D38AE"/>
    <w:rsid w:val="29216A36"/>
    <w:rsid w:val="29225D1F"/>
    <w:rsid w:val="29234A57"/>
    <w:rsid w:val="29321FE3"/>
    <w:rsid w:val="29476C8B"/>
    <w:rsid w:val="294E725A"/>
    <w:rsid w:val="29526C4F"/>
    <w:rsid w:val="29551B41"/>
    <w:rsid w:val="29572E0D"/>
    <w:rsid w:val="295F27BE"/>
    <w:rsid w:val="296B08B2"/>
    <w:rsid w:val="29803570"/>
    <w:rsid w:val="29890739"/>
    <w:rsid w:val="29B95570"/>
    <w:rsid w:val="29EE601C"/>
    <w:rsid w:val="2A141291"/>
    <w:rsid w:val="2A17665E"/>
    <w:rsid w:val="2A247FC5"/>
    <w:rsid w:val="2A2A3259"/>
    <w:rsid w:val="2A3519F9"/>
    <w:rsid w:val="2A5F5F98"/>
    <w:rsid w:val="2A7279D5"/>
    <w:rsid w:val="2A862EB1"/>
    <w:rsid w:val="2AAD1488"/>
    <w:rsid w:val="2ACB7330"/>
    <w:rsid w:val="2AD479BA"/>
    <w:rsid w:val="2AEA3820"/>
    <w:rsid w:val="2AEC01AB"/>
    <w:rsid w:val="2AF45EDE"/>
    <w:rsid w:val="2B451595"/>
    <w:rsid w:val="2B4E2CA2"/>
    <w:rsid w:val="2B78175F"/>
    <w:rsid w:val="2B9039C7"/>
    <w:rsid w:val="2BA31FAC"/>
    <w:rsid w:val="2BC359F4"/>
    <w:rsid w:val="2BD010DC"/>
    <w:rsid w:val="2BFA65AF"/>
    <w:rsid w:val="2C2119A9"/>
    <w:rsid w:val="2C51791C"/>
    <w:rsid w:val="2C6D06DB"/>
    <w:rsid w:val="2CA1763D"/>
    <w:rsid w:val="2CCA19D6"/>
    <w:rsid w:val="2CD107CB"/>
    <w:rsid w:val="2CDF46B1"/>
    <w:rsid w:val="2CE60E31"/>
    <w:rsid w:val="2CE879B8"/>
    <w:rsid w:val="2D3044ED"/>
    <w:rsid w:val="2D4A2971"/>
    <w:rsid w:val="2D6D2C16"/>
    <w:rsid w:val="2D6D3B8E"/>
    <w:rsid w:val="2D8F14A1"/>
    <w:rsid w:val="2D8F3AF9"/>
    <w:rsid w:val="2D94069C"/>
    <w:rsid w:val="2DB7125F"/>
    <w:rsid w:val="2DD77FF0"/>
    <w:rsid w:val="2DDF07B2"/>
    <w:rsid w:val="2E03773F"/>
    <w:rsid w:val="2E047D0B"/>
    <w:rsid w:val="2E050066"/>
    <w:rsid w:val="2E336E30"/>
    <w:rsid w:val="2E586EFC"/>
    <w:rsid w:val="2E5909BE"/>
    <w:rsid w:val="2E6C063D"/>
    <w:rsid w:val="2ECB3349"/>
    <w:rsid w:val="2EDC20CB"/>
    <w:rsid w:val="2EF56F33"/>
    <w:rsid w:val="2F236C79"/>
    <w:rsid w:val="2F2D3DF4"/>
    <w:rsid w:val="2F4319EA"/>
    <w:rsid w:val="2F73329F"/>
    <w:rsid w:val="2F855DF6"/>
    <w:rsid w:val="2FAC21CE"/>
    <w:rsid w:val="2FD0497E"/>
    <w:rsid w:val="2FD6409B"/>
    <w:rsid w:val="2FD80E37"/>
    <w:rsid w:val="30010B58"/>
    <w:rsid w:val="300A56D7"/>
    <w:rsid w:val="302774A3"/>
    <w:rsid w:val="302B03D9"/>
    <w:rsid w:val="30366181"/>
    <w:rsid w:val="303A0349"/>
    <w:rsid w:val="30566F21"/>
    <w:rsid w:val="308B6CE7"/>
    <w:rsid w:val="30DC0F43"/>
    <w:rsid w:val="31030188"/>
    <w:rsid w:val="31170895"/>
    <w:rsid w:val="31193749"/>
    <w:rsid w:val="312614A0"/>
    <w:rsid w:val="31314B0F"/>
    <w:rsid w:val="31975348"/>
    <w:rsid w:val="319A0EEB"/>
    <w:rsid w:val="31AA48F6"/>
    <w:rsid w:val="31C01998"/>
    <w:rsid w:val="31D66C4B"/>
    <w:rsid w:val="32182B20"/>
    <w:rsid w:val="32226669"/>
    <w:rsid w:val="32261F27"/>
    <w:rsid w:val="32726352"/>
    <w:rsid w:val="330E191A"/>
    <w:rsid w:val="33207E7D"/>
    <w:rsid w:val="332B45C5"/>
    <w:rsid w:val="335E65D5"/>
    <w:rsid w:val="337E770A"/>
    <w:rsid w:val="338E03AE"/>
    <w:rsid w:val="33AE675E"/>
    <w:rsid w:val="33B50792"/>
    <w:rsid w:val="33E95046"/>
    <w:rsid w:val="33F76ED9"/>
    <w:rsid w:val="3406659D"/>
    <w:rsid w:val="34066F3C"/>
    <w:rsid w:val="34186276"/>
    <w:rsid w:val="342A03AD"/>
    <w:rsid w:val="34316959"/>
    <w:rsid w:val="344E2731"/>
    <w:rsid w:val="345B6BC1"/>
    <w:rsid w:val="34685AE6"/>
    <w:rsid w:val="34AB3B17"/>
    <w:rsid w:val="34B95D31"/>
    <w:rsid w:val="34DE1EC7"/>
    <w:rsid w:val="35192255"/>
    <w:rsid w:val="35264039"/>
    <w:rsid w:val="35581B81"/>
    <w:rsid w:val="35584F20"/>
    <w:rsid w:val="35896F5C"/>
    <w:rsid w:val="35AC6D6C"/>
    <w:rsid w:val="35BA562A"/>
    <w:rsid w:val="35F47A4D"/>
    <w:rsid w:val="35FE4C86"/>
    <w:rsid w:val="360E108E"/>
    <w:rsid w:val="363E657D"/>
    <w:rsid w:val="36445A9F"/>
    <w:rsid w:val="36510EAD"/>
    <w:rsid w:val="365F309C"/>
    <w:rsid w:val="366A5161"/>
    <w:rsid w:val="366F1AE0"/>
    <w:rsid w:val="36706BB8"/>
    <w:rsid w:val="368F16C4"/>
    <w:rsid w:val="369A304A"/>
    <w:rsid w:val="369F433B"/>
    <w:rsid w:val="36B63F16"/>
    <w:rsid w:val="36C67982"/>
    <w:rsid w:val="36D04A11"/>
    <w:rsid w:val="36F4480C"/>
    <w:rsid w:val="37134BE4"/>
    <w:rsid w:val="371948C9"/>
    <w:rsid w:val="373321D9"/>
    <w:rsid w:val="374D336F"/>
    <w:rsid w:val="376B4967"/>
    <w:rsid w:val="377E4B13"/>
    <w:rsid w:val="379762ED"/>
    <w:rsid w:val="37A22AA5"/>
    <w:rsid w:val="37C849B6"/>
    <w:rsid w:val="37F61973"/>
    <w:rsid w:val="37F62926"/>
    <w:rsid w:val="386C755C"/>
    <w:rsid w:val="386F0D9D"/>
    <w:rsid w:val="389B032D"/>
    <w:rsid w:val="38B277DA"/>
    <w:rsid w:val="38CD6D6E"/>
    <w:rsid w:val="38DC1FD6"/>
    <w:rsid w:val="393D0C7D"/>
    <w:rsid w:val="395F2904"/>
    <w:rsid w:val="39C50365"/>
    <w:rsid w:val="39C74453"/>
    <w:rsid w:val="39D6051A"/>
    <w:rsid w:val="39EB1191"/>
    <w:rsid w:val="39F856A0"/>
    <w:rsid w:val="39FC65CC"/>
    <w:rsid w:val="39FE6F59"/>
    <w:rsid w:val="39FF73BF"/>
    <w:rsid w:val="3A347A1E"/>
    <w:rsid w:val="3A773A42"/>
    <w:rsid w:val="3A941C32"/>
    <w:rsid w:val="3A9D330B"/>
    <w:rsid w:val="3AA83C87"/>
    <w:rsid w:val="3AB33B88"/>
    <w:rsid w:val="3AB67AB0"/>
    <w:rsid w:val="3AC65064"/>
    <w:rsid w:val="3AC72D69"/>
    <w:rsid w:val="3AD603BE"/>
    <w:rsid w:val="3AEF76EC"/>
    <w:rsid w:val="3AF2384C"/>
    <w:rsid w:val="3B002605"/>
    <w:rsid w:val="3B0E070B"/>
    <w:rsid w:val="3B0E7276"/>
    <w:rsid w:val="3B257AA0"/>
    <w:rsid w:val="3B40315B"/>
    <w:rsid w:val="3B52782B"/>
    <w:rsid w:val="3B5A0033"/>
    <w:rsid w:val="3B830992"/>
    <w:rsid w:val="3BA34E54"/>
    <w:rsid w:val="3BAC796A"/>
    <w:rsid w:val="3BAD45C9"/>
    <w:rsid w:val="3BB94C1A"/>
    <w:rsid w:val="3BC477EF"/>
    <w:rsid w:val="3BD54ECE"/>
    <w:rsid w:val="3BE26336"/>
    <w:rsid w:val="3BE37EB5"/>
    <w:rsid w:val="3C260152"/>
    <w:rsid w:val="3C31523F"/>
    <w:rsid w:val="3C5C187A"/>
    <w:rsid w:val="3C5C3839"/>
    <w:rsid w:val="3C774FBF"/>
    <w:rsid w:val="3C7F4555"/>
    <w:rsid w:val="3C9B5744"/>
    <w:rsid w:val="3CBE01BA"/>
    <w:rsid w:val="3CC276DE"/>
    <w:rsid w:val="3CFF78D5"/>
    <w:rsid w:val="3D3706E1"/>
    <w:rsid w:val="3D4C5425"/>
    <w:rsid w:val="3D6A1E76"/>
    <w:rsid w:val="3D944C04"/>
    <w:rsid w:val="3DE27C85"/>
    <w:rsid w:val="3DF24F87"/>
    <w:rsid w:val="3DF862BE"/>
    <w:rsid w:val="3E522CC8"/>
    <w:rsid w:val="3E6C53A7"/>
    <w:rsid w:val="3E9C74DE"/>
    <w:rsid w:val="3EB06511"/>
    <w:rsid w:val="3ED063DE"/>
    <w:rsid w:val="3EE8198D"/>
    <w:rsid w:val="3F001701"/>
    <w:rsid w:val="3F01199F"/>
    <w:rsid w:val="3F0561CC"/>
    <w:rsid w:val="3F6D5137"/>
    <w:rsid w:val="3F7B1879"/>
    <w:rsid w:val="3FB07CE1"/>
    <w:rsid w:val="3FBB7717"/>
    <w:rsid w:val="3FC24032"/>
    <w:rsid w:val="3FC47468"/>
    <w:rsid w:val="3FE0008D"/>
    <w:rsid w:val="3FE27F44"/>
    <w:rsid w:val="3FE44DB0"/>
    <w:rsid w:val="4017706E"/>
    <w:rsid w:val="40295C55"/>
    <w:rsid w:val="40461D6E"/>
    <w:rsid w:val="404E0EF9"/>
    <w:rsid w:val="404F327E"/>
    <w:rsid w:val="40C75330"/>
    <w:rsid w:val="40CA7613"/>
    <w:rsid w:val="40DD0504"/>
    <w:rsid w:val="40ED7B88"/>
    <w:rsid w:val="4119401A"/>
    <w:rsid w:val="4134318C"/>
    <w:rsid w:val="413F41D7"/>
    <w:rsid w:val="414420D7"/>
    <w:rsid w:val="41497185"/>
    <w:rsid w:val="419844D8"/>
    <w:rsid w:val="41A2034E"/>
    <w:rsid w:val="41A65F0B"/>
    <w:rsid w:val="41D536E3"/>
    <w:rsid w:val="420014A1"/>
    <w:rsid w:val="422D2160"/>
    <w:rsid w:val="42396A7D"/>
    <w:rsid w:val="42EC7954"/>
    <w:rsid w:val="42FA65ED"/>
    <w:rsid w:val="42FF275D"/>
    <w:rsid w:val="43090FD9"/>
    <w:rsid w:val="43313A24"/>
    <w:rsid w:val="43416A49"/>
    <w:rsid w:val="435C1D1A"/>
    <w:rsid w:val="435C75F3"/>
    <w:rsid w:val="43682FA2"/>
    <w:rsid w:val="43715308"/>
    <w:rsid w:val="43BB6864"/>
    <w:rsid w:val="43E01243"/>
    <w:rsid w:val="44133386"/>
    <w:rsid w:val="4431474F"/>
    <w:rsid w:val="44321313"/>
    <w:rsid w:val="44786484"/>
    <w:rsid w:val="447E2A0F"/>
    <w:rsid w:val="449A30DE"/>
    <w:rsid w:val="44A47695"/>
    <w:rsid w:val="44AA274F"/>
    <w:rsid w:val="44BD3DBC"/>
    <w:rsid w:val="44BE666B"/>
    <w:rsid w:val="450918B6"/>
    <w:rsid w:val="450E430F"/>
    <w:rsid w:val="452F4F26"/>
    <w:rsid w:val="45405345"/>
    <w:rsid w:val="45463295"/>
    <w:rsid w:val="45875321"/>
    <w:rsid w:val="4588590C"/>
    <w:rsid w:val="45AB5E98"/>
    <w:rsid w:val="45C513B0"/>
    <w:rsid w:val="45C861FB"/>
    <w:rsid w:val="45D77819"/>
    <w:rsid w:val="46014259"/>
    <w:rsid w:val="46093C19"/>
    <w:rsid w:val="461C5622"/>
    <w:rsid w:val="462678CF"/>
    <w:rsid w:val="46472FAC"/>
    <w:rsid w:val="46602401"/>
    <w:rsid w:val="4668035E"/>
    <w:rsid w:val="466A7E6B"/>
    <w:rsid w:val="468F73FE"/>
    <w:rsid w:val="469A0BA6"/>
    <w:rsid w:val="46A4761C"/>
    <w:rsid w:val="46BD0001"/>
    <w:rsid w:val="46F62080"/>
    <w:rsid w:val="46FC4F20"/>
    <w:rsid w:val="47270310"/>
    <w:rsid w:val="473B1387"/>
    <w:rsid w:val="47425757"/>
    <w:rsid w:val="47872571"/>
    <w:rsid w:val="478E4E27"/>
    <w:rsid w:val="47B570E5"/>
    <w:rsid w:val="47BD2B2E"/>
    <w:rsid w:val="47CC29CB"/>
    <w:rsid w:val="47CC540F"/>
    <w:rsid w:val="48042B34"/>
    <w:rsid w:val="482228FB"/>
    <w:rsid w:val="488F4366"/>
    <w:rsid w:val="48A43AC5"/>
    <w:rsid w:val="48D75DCF"/>
    <w:rsid w:val="48D86719"/>
    <w:rsid w:val="490259A8"/>
    <w:rsid w:val="4931150B"/>
    <w:rsid w:val="496D30D6"/>
    <w:rsid w:val="498116C1"/>
    <w:rsid w:val="499F1C25"/>
    <w:rsid w:val="49C05A4A"/>
    <w:rsid w:val="49E4340C"/>
    <w:rsid w:val="49EC3114"/>
    <w:rsid w:val="49F33ED9"/>
    <w:rsid w:val="49F673AD"/>
    <w:rsid w:val="4A171FDA"/>
    <w:rsid w:val="4A1F34F0"/>
    <w:rsid w:val="4A3E1DFE"/>
    <w:rsid w:val="4A4F3F3B"/>
    <w:rsid w:val="4A51150E"/>
    <w:rsid w:val="4A5859B6"/>
    <w:rsid w:val="4A5E5A7F"/>
    <w:rsid w:val="4A7B361B"/>
    <w:rsid w:val="4A8E24A5"/>
    <w:rsid w:val="4AA85AA1"/>
    <w:rsid w:val="4AAC3CC5"/>
    <w:rsid w:val="4AB074A4"/>
    <w:rsid w:val="4AB859D6"/>
    <w:rsid w:val="4ADC18E8"/>
    <w:rsid w:val="4B066EAF"/>
    <w:rsid w:val="4B3012BB"/>
    <w:rsid w:val="4B53353A"/>
    <w:rsid w:val="4B5B4CC6"/>
    <w:rsid w:val="4BC75FB4"/>
    <w:rsid w:val="4BCD4F56"/>
    <w:rsid w:val="4BE15EC5"/>
    <w:rsid w:val="4BE31CA6"/>
    <w:rsid w:val="4C0E79AA"/>
    <w:rsid w:val="4C1E2363"/>
    <w:rsid w:val="4C57618A"/>
    <w:rsid w:val="4CBD6FDE"/>
    <w:rsid w:val="4CE87073"/>
    <w:rsid w:val="4CF71222"/>
    <w:rsid w:val="4D0D5720"/>
    <w:rsid w:val="4D12175B"/>
    <w:rsid w:val="4D2D61FC"/>
    <w:rsid w:val="4D9661D8"/>
    <w:rsid w:val="4DB44564"/>
    <w:rsid w:val="4DB45FFA"/>
    <w:rsid w:val="4DD62336"/>
    <w:rsid w:val="4DE107E9"/>
    <w:rsid w:val="4DEB5A29"/>
    <w:rsid w:val="4E285825"/>
    <w:rsid w:val="4E332FE3"/>
    <w:rsid w:val="4E57075F"/>
    <w:rsid w:val="4E59266F"/>
    <w:rsid w:val="4E69587B"/>
    <w:rsid w:val="4E995E67"/>
    <w:rsid w:val="4E9A4715"/>
    <w:rsid w:val="4E9F1C96"/>
    <w:rsid w:val="4EA62F7D"/>
    <w:rsid w:val="4EAF0CD3"/>
    <w:rsid w:val="4EB4138B"/>
    <w:rsid w:val="4EF671F3"/>
    <w:rsid w:val="4EF76B75"/>
    <w:rsid w:val="4F1878DB"/>
    <w:rsid w:val="4F482C86"/>
    <w:rsid w:val="4F5712D6"/>
    <w:rsid w:val="4F7B3BAE"/>
    <w:rsid w:val="4F9640DE"/>
    <w:rsid w:val="4FB9185A"/>
    <w:rsid w:val="4FC407E6"/>
    <w:rsid w:val="4FC92553"/>
    <w:rsid w:val="4FE35DF0"/>
    <w:rsid w:val="4FE94B64"/>
    <w:rsid w:val="501C56B7"/>
    <w:rsid w:val="50337AFC"/>
    <w:rsid w:val="50530BC8"/>
    <w:rsid w:val="506354EF"/>
    <w:rsid w:val="508C01A9"/>
    <w:rsid w:val="50A54FE5"/>
    <w:rsid w:val="50B0253B"/>
    <w:rsid w:val="50C15033"/>
    <w:rsid w:val="50D40243"/>
    <w:rsid w:val="50FA20DB"/>
    <w:rsid w:val="51187221"/>
    <w:rsid w:val="5131350C"/>
    <w:rsid w:val="513C2EDD"/>
    <w:rsid w:val="519949CA"/>
    <w:rsid w:val="51D054E5"/>
    <w:rsid w:val="51DE196A"/>
    <w:rsid w:val="51E273BE"/>
    <w:rsid w:val="51E62864"/>
    <w:rsid w:val="52155DC5"/>
    <w:rsid w:val="52244CE0"/>
    <w:rsid w:val="523B5CD2"/>
    <w:rsid w:val="52847CC6"/>
    <w:rsid w:val="52B17872"/>
    <w:rsid w:val="52BA0C9C"/>
    <w:rsid w:val="52C06C9F"/>
    <w:rsid w:val="53187152"/>
    <w:rsid w:val="53323554"/>
    <w:rsid w:val="534C5B64"/>
    <w:rsid w:val="53515CAE"/>
    <w:rsid w:val="536107A3"/>
    <w:rsid w:val="538240B5"/>
    <w:rsid w:val="53AD440C"/>
    <w:rsid w:val="53DE163D"/>
    <w:rsid w:val="542303F8"/>
    <w:rsid w:val="543260FF"/>
    <w:rsid w:val="545D2753"/>
    <w:rsid w:val="54604F80"/>
    <w:rsid w:val="54612EE1"/>
    <w:rsid w:val="546209B4"/>
    <w:rsid w:val="54666D10"/>
    <w:rsid w:val="5478407C"/>
    <w:rsid w:val="5490425F"/>
    <w:rsid w:val="54961B6C"/>
    <w:rsid w:val="54CE41AA"/>
    <w:rsid w:val="54CE5765"/>
    <w:rsid w:val="54EC26DD"/>
    <w:rsid w:val="55090217"/>
    <w:rsid w:val="551A29AD"/>
    <w:rsid w:val="55364E1B"/>
    <w:rsid w:val="55437EFB"/>
    <w:rsid w:val="55565DC8"/>
    <w:rsid w:val="55844014"/>
    <w:rsid w:val="55AC05AB"/>
    <w:rsid w:val="55C34E73"/>
    <w:rsid w:val="55C74516"/>
    <w:rsid w:val="55EC60E3"/>
    <w:rsid w:val="55FC2402"/>
    <w:rsid w:val="55FC6482"/>
    <w:rsid w:val="56433506"/>
    <w:rsid w:val="5649501E"/>
    <w:rsid w:val="565C5745"/>
    <w:rsid w:val="56617DD7"/>
    <w:rsid w:val="568238F3"/>
    <w:rsid w:val="568F53EB"/>
    <w:rsid w:val="56AB71DB"/>
    <w:rsid w:val="56C71B9E"/>
    <w:rsid w:val="570B3E02"/>
    <w:rsid w:val="57183280"/>
    <w:rsid w:val="572116E5"/>
    <w:rsid w:val="5733716E"/>
    <w:rsid w:val="576D37A4"/>
    <w:rsid w:val="57A6199A"/>
    <w:rsid w:val="57B049BA"/>
    <w:rsid w:val="57C05CCD"/>
    <w:rsid w:val="57C413A5"/>
    <w:rsid w:val="57C47530"/>
    <w:rsid w:val="57EE3484"/>
    <w:rsid w:val="58077E6D"/>
    <w:rsid w:val="58215AB6"/>
    <w:rsid w:val="582B0154"/>
    <w:rsid w:val="58484C09"/>
    <w:rsid w:val="58900C95"/>
    <w:rsid w:val="589C50B7"/>
    <w:rsid w:val="58A150A9"/>
    <w:rsid w:val="58B20AEC"/>
    <w:rsid w:val="58BF52A9"/>
    <w:rsid w:val="58D63BD4"/>
    <w:rsid w:val="58D87F55"/>
    <w:rsid w:val="58DC236A"/>
    <w:rsid w:val="58DF4FEC"/>
    <w:rsid w:val="58F5539B"/>
    <w:rsid w:val="58FE49B7"/>
    <w:rsid w:val="59021FD2"/>
    <w:rsid w:val="59246773"/>
    <w:rsid w:val="59267B33"/>
    <w:rsid w:val="59615283"/>
    <w:rsid w:val="596662A5"/>
    <w:rsid w:val="59902F35"/>
    <w:rsid w:val="5994238E"/>
    <w:rsid w:val="5995052F"/>
    <w:rsid w:val="59D165F0"/>
    <w:rsid w:val="59E04505"/>
    <w:rsid w:val="59F93A5B"/>
    <w:rsid w:val="59FA3177"/>
    <w:rsid w:val="5A044C89"/>
    <w:rsid w:val="5A125C3D"/>
    <w:rsid w:val="5A3A0AA5"/>
    <w:rsid w:val="5A4F554A"/>
    <w:rsid w:val="5AF46232"/>
    <w:rsid w:val="5B2B54DA"/>
    <w:rsid w:val="5B6441D3"/>
    <w:rsid w:val="5B6739A5"/>
    <w:rsid w:val="5B720590"/>
    <w:rsid w:val="5B7B31A9"/>
    <w:rsid w:val="5BBD35FD"/>
    <w:rsid w:val="5BDD7F38"/>
    <w:rsid w:val="5C047B83"/>
    <w:rsid w:val="5C317825"/>
    <w:rsid w:val="5C3623A6"/>
    <w:rsid w:val="5C414134"/>
    <w:rsid w:val="5C9A3C1D"/>
    <w:rsid w:val="5CB34BA4"/>
    <w:rsid w:val="5CC96A97"/>
    <w:rsid w:val="5CEC1798"/>
    <w:rsid w:val="5CFD5EB9"/>
    <w:rsid w:val="5D050023"/>
    <w:rsid w:val="5D077BAE"/>
    <w:rsid w:val="5D116B16"/>
    <w:rsid w:val="5D1B4EFD"/>
    <w:rsid w:val="5D232C38"/>
    <w:rsid w:val="5D2E7780"/>
    <w:rsid w:val="5D787B8A"/>
    <w:rsid w:val="5D956205"/>
    <w:rsid w:val="5D983E4F"/>
    <w:rsid w:val="5DA05B92"/>
    <w:rsid w:val="5DCF5602"/>
    <w:rsid w:val="5DF448E5"/>
    <w:rsid w:val="5E390CAF"/>
    <w:rsid w:val="5E3C6D30"/>
    <w:rsid w:val="5E4E37AD"/>
    <w:rsid w:val="5E5F5EF7"/>
    <w:rsid w:val="5E697D49"/>
    <w:rsid w:val="5E6D720A"/>
    <w:rsid w:val="5EC5386C"/>
    <w:rsid w:val="5EE51AE4"/>
    <w:rsid w:val="5EF048AB"/>
    <w:rsid w:val="5F036FBE"/>
    <w:rsid w:val="5F0A15F3"/>
    <w:rsid w:val="5F433247"/>
    <w:rsid w:val="5F45258B"/>
    <w:rsid w:val="5F5A15B5"/>
    <w:rsid w:val="5F690130"/>
    <w:rsid w:val="5F966E18"/>
    <w:rsid w:val="5F970059"/>
    <w:rsid w:val="5FB0093D"/>
    <w:rsid w:val="5FC169A4"/>
    <w:rsid w:val="5FCA21E0"/>
    <w:rsid w:val="5FE65556"/>
    <w:rsid w:val="5FFC0921"/>
    <w:rsid w:val="606B24C5"/>
    <w:rsid w:val="60814B08"/>
    <w:rsid w:val="609C6B9A"/>
    <w:rsid w:val="60B52778"/>
    <w:rsid w:val="60D84C1D"/>
    <w:rsid w:val="61022FB1"/>
    <w:rsid w:val="6113529D"/>
    <w:rsid w:val="61166383"/>
    <w:rsid w:val="61225F26"/>
    <w:rsid w:val="614A63D5"/>
    <w:rsid w:val="614B4412"/>
    <w:rsid w:val="6155317E"/>
    <w:rsid w:val="615F1B75"/>
    <w:rsid w:val="61D57BE4"/>
    <w:rsid w:val="62654910"/>
    <w:rsid w:val="629A0A03"/>
    <w:rsid w:val="62AF0A67"/>
    <w:rsid w:val="62C47FC5"/>
    <w:rsid w:val="62D31681"/>
    <w:rsid w:val="62F449E2"/>
    <w:rsid w:val="630E388B"/>
    <w:rsid w:val="63813D88"/>
    <w:rsid w:val="63AA056F"/>
    <w:rsid w:val="63B71985"/>
    <w:rsid w:val="63C13158"/>
    <w:rsid w:val="63FA14BE"/>
    <w:rsid w:val="640516EE"/>
    <w:rsid w:val="64284B5D"/>
    <w:rsid w:val="64423E4C"/>
    <w:rsid w:val="64BC7EC9"/>
    <w:rsid w:val="64C85EB7"/>
    <w:rsid w:val="64E472EC"/>
    <w:rsid w:val="64F1387C"/>
    <w:rsid w:val="64FD041F"/>
    <w:rsid w:val="64FE7D01"/>
    <w:rsid w:val="64FF55AF"/>
    <w:rsid w:val="6510790A"/>
    <w:rsid w:val="655D5D1D"/>
    <w:rsid w:val="65763D94"/>
    <w:rsid w:val="65847FCB"/>
    <w:rsid w:val="65E850A7"/>
    <w:rsid w:val="65F1317D"/>
    <w:rsid w:val="66205162"/>
    <w:rsid w:val="66302D87"/>
    <w:rsid w:val="664B3CD4"/>
    <w:rsid w:val="666770BE"/>
    <w:rsid w:val="666A2BB2"/>
    <w:rsid w:val="66733B35"/>
    <w:rsid w:val="668A491E"/>
    <w:rsid w:val="66CC6427"/>
    <w:rsid w:val="66F566E7"/>
    <w:rsid w:val="67125132"/>
    <w:rsid w:val="672945BC"/>
    <w:rsid w:val="672C19D1"/>
    <w:rsid w:val="67467301"/>
    <w:rsid w:val="675D5843"/>
    <w:rsid w:val="67967A99"/>
    <w:rsid w:val="67C451A7"/>
    <w:rsid w:val="67D41567"/>
    <w:rsid w:val="681A2772"/>
    <w:rsid w:val="681E5132"/>
    <w:rsid w:val="68395B07"/>
    <w:rsid w:val="683F7E5A"/>
    <w:rsid w:val="684C208C"/>
    <w:rsid w:val="68881A97"/>
    <w:rsid w:val="68982479"/>
    <w:rsid w:val="68B02F4E"/>
    <w:rsid w:val="68DE3649"/>
    <w:rsid w:val="690560DF"/>
    <w:rsid w:val="691A5EE6"/>
    <w:rsid w:val="6956398A"/>
    <w:rsid w:val="696C0310"/>
    <w:rsid w:val="69845C64"/>
    <w:rsid w:val="69B247C8"/>
    <w:rsid w:val="69C64714"/>
    <w:rsid w:val="69CC56B4"/>
    <w:rsid w:val="69EF59B1"/>
    <w:rsid w:val="6A0700E9"/>
    <w:rsid w:val="6A244D69"/>
    <w:rsid w:val="6A2B02B0"/>
    <w:rsid w:val="6A327563"/>
    <w:rsid w:val="6AAA1233"/>
    <w:rsid w:val="6AC54392"/>
    <w:rsid w:val="6AE36019"/>
    <w:rsid w:val="6B4337DD"/>
    <w:rsid w:val="6B5B3A72"/>
    <w:rsid w:val="6C171503"/>
    <w:rsid w:val="6C1A7210"/>
    <w:rsid w:val="6C1B6850"/>
    <w:rsid w:val="6C5F6C2A"/>
    <w:rsid w:val="6C9068F1"/>
    <w:rsid w:val="6C9C5BD4"/>
    <w:rsid w:val="6CB76C88"/>
    <w:rsid w:val="6CF42ABF"/>
    <w:rsid w:val="6D1C298A"/>
    <w:rsid w:val="6D216851"/>
    <w:rsid w:val="6D5E2905"/>
    <w:rsid w:val="6D6A5023"/>
    <w:rsid w:val="6D7276B5"/>
    <w:rsid w:val="6D8E1695"/>
    <w:rsid w:val="6D9222C1"/>
    <w:rsid w:val="6D9803A2"/>
    <w:rsid w:val="6DA70097"/>
    <w:rsid w:val="6DCD28E3"/>
    <w:rsid w:val="6DD250DD"/>
    <w:rsid w:val="6DEA4F8E"/>
    <w:rsid w:val="6DF710C0"/>
    <w:rsid w:val="6E0C0136"/>
    <w:rsid w:val="6E130DE5"/>
    <w:rsid w:val="6E194716"/>
    <w:rsid w:val="6E2049C2"/>
    <w:rsid w:val="6E781BC5"/>
    <w:rsid w:val="6E7962F9"/>
    <w:rsid w:val="6EAE2137"/>
    <w:rsid w:val="6EB221A0"/>
    <w:rsid w:val="6EB44823"/>
    <w:rsid w:val="6ECF300F"/>
    <w:rsid w:val="6EEE712E"/>
    <w:rsid w:val="6F2C6943"/>
    <w:rsid w:val="6F58000D"/>
    <w:rsid w:val="6F7E7354"/>
    <w:rsid w:val="6F9A4163"/>
    <w:rsid w:val="6FDA0E50"/>
    <w:rsid w:val="6FE5646F"/>
    <w:rsid w:val="6FF35895"/>
    <w:rsid w:val="6FF65E1E"/>
    <w:rsid w:val="70045B92"/>
    <w:rsid w:val="70055FDA"/>
    <w:rsid w:val="7075685A"/>
    <w:rsid w:val="70A30A11"/>
    <w:rsid w:val="70AC2981"/>
    <w:rsid w:val="70C04C1F"/>
    <w:rsid w:val="70C609CA"/>
    <w:rsid w:val="70CF0B3D"/>
    <w:rsid w:val="71354387"/>
    <w:rsid w:val="714A7387"/>
    <w:rsid w:val="7162408D"/>
    <w:rsid w:val="716424F2"/>
    <w:rsid w:val="71772542"/>
    <w:rsid w:val="717C49B0"/>
    <w:rsid w:val="7180291F"/>
    <w:rsid w:val="71DB24DA"/>
    <w:rsid w:val="71DE6503"/>
    <w:rsid w:val="71F633F8"/>
    <w:rsid w:val="71F744F2"/>
    <w:rsid w:val="72302F41"/>
    <w:rsid w:val="72636E9D"/>
    <w:rsid w:val="72A33D69"/>
    <w:rsid w:val="73146BC7"/>
    <w:rsid w:val="731A697D"/>
    <w:rsid w:val="733D4CBA"/>
    <w:rsid w:val="735A2220"/>
    <w:rsid w:val="736D3541"/>
    <w:rsid w:val="73793F92"/>
    <w:rsid w:val="73D83477"/>
    <w:rsid w:val="73E43E5B"/>
    <w:rsid w:val="73E80661"/>
    <w:rsid w:val="747924D5"/>
    <w:rsid w:val="748D443D"/>
    <w:rsid w:val="74B63C4A"/>
    <w:rsid w:val="74BF0839"/>
    <w:rsid w:val="74CF6187"/>
    <w:rsid w:val="74D30D95"/>
    <w:rsid w:val="74F62207"/>
    <w:rsid w:val="754A4575"/>
    <w:rsid w:val="75745F30"/>
    <w:rsid w:val="75CC5684"/>
    <w:rsid w:val="75EA0116"/>
    <w:rsid w:val="75F4073D"/>
    <w:rsid w:val="76021F59"/>
    <w:rsid w:val="765B1419"/>
    <w:rsid w:val="76652961"/>
    <w:rsid w:val="76971CDF"/>
    <w:rsid w:val="769D4069"/>
    <w:rsid w:val="76AA5144"/>
    <w:rsid w:val="76AC1D52"/>
    <w:rsid w:val="76F83B54"/>
    <w:rsid w:val="77296933"/>
    <w:rsid w:val="773125E2"/>
    <w:rsid w:val="77477794"/>
    <w:rsid w:val="77AC0674"/>
    <w:rsid w:val="77CE2B57"/>
    <w:rsid w:val="77E43DD2"/>
    <w:rsid w:val="77F6075E"/>
    <w:rsid w:val="78151A26"/>
    <w:rsid w:val="78286AF7"/>
    <w:rsid w:val="782D3663"/>
    <w:rsid w:val="785A1365"/>
    <w:rsid w:val="78745D21"/>
    <w:rsid w:val="788829E6"/>
    <w:rsid w:val="789B7702"/>
    <w:rsid w:val="78BA03C6"/>
    <w:rsid w:val="78E11465"/>
    <w:rsid w:val="78F6798A"/>
    <w:rsid w:val="78F82F4B"/>
    <w:rsid w:val="796C0923"/>
    <w:rsid w:val="798D0AD2"/>
    <w:rsid w:val="79A41C7C"/>
    <w:rsid w:val="79A739DC"/>
    <w:rsid w:val="7A1C65EB"/>
    <w:rsid w:val="7A5C14FD"/>
    <w:rsid w:val="7A60175F"/>
    <w:rsid w:val="7A951FC7"/>
    <w:rsid w:val="7AD54C34"/>
    <w:rsid w:val="7B020435"/>
    <w:rsid w:val="7B103C8D"/>
    <w:rsid w:val="7B214B9C"/>
    <w:rsid w:val="7B7D212A"/>
    <w:rsid w:val="7B9D1438"/>
    <w:rsid w:val="7BA831B4"/>
    <w:rsid w:val="7BA86FCC"/>
    <w:rsid w:val="7BF01892"/>
    <w:rsid w:val="7C1A1061"/>
    <w:rsid w:val="7C28417F"/>
    <w:rsid w:val="7C362405"/>
    <w:rsid w:val="7C632338"/>
    <w:rsid w:val="7C691EE7"/>
    <w:rsid w:val="7C7D7BB2"/>
    <w:rsid w:val="7C7E7DC7"/>
    <w:rsid w:val="7C914BDD"/>
    <w:rsid w:val="7CAF3FC0"/>
    <w:rsid w:val="7CB26258"/>
    <w:rsid w:val="7CE33D99"/>
    <w:rsid w:val="7CEB71F7"/>
    <w:rsid w:val="7CEC6459"/>
    <w:rsid w:val="7D2801DA"/>
    <w:rsid w:val="7D3A306F"/>
    <w:rsid w:val="7D4166AE"/>
    <w:rsid w:val="7DA00BB7"/>
    <w:rsid w:val="7DAF5004"/>
    <w:rsid w:val="7DC557DE"/>
    <w:rsid w:val="7DF1189C"/>
    <w:rsid w:val="7E04595A"/>
    <w:rsid w:val="7E197D90"/>
    <w:rsid w:val="7E21461F"/>
    <w:rsid w:val="7E29605A"/>
    <w:rsid w:val="7E390F3B"/>
    <w:rsid w:val="7E4F0A8F"/>
    <w:rsid w:val="7E615386"/>
    <w:rsid w:val="7E63219A"/>
    <w:rsid w:val="7E6E2BF3"/>
    <w:rsid w:val="7E953069"/>
    <w:rsid w:val="7EC02B06"/>
    <w:rsid w:val="7EF224DE"/>
    <w:rsid w:val="7EFF2C85"/>
    <w:rsid w:val="7F99375C"/>
    <w:rsid w:val="7FAF7D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val="0"/>
      <w:spacing w:line="312" w:lineRule="atLeast"/>
      <w:ind w:firstLine="420"/>
      <w:textAlignment w:val="baseline"/>
    </w:pPr>
    <w:rPr>
      <w:rFonts w:ascii="宋体" w:hAnsi="Courier New"/>
      <w:kern w:val="0"/>
    </w:rPr>
  </w:style>
  <w:style w:type="paragraph" w:styleId="8">
    <w:name w:val="annotation text"/>
    <w:basedOn w:val="1"/>
    <w:link w:val="35"/>
    <w:qFormat/>
    <w:uiPriority w:val="0"/>
    <w:pPr>
      <w:jc w:val="left"/>
    </w:pPr>
  </w:style>
  <w:style w:type="paragraph" w:styleId="9">
    <w:name w:val="Body Text"/>
    <w:basedOn w:val="1"/>
    <w:next w:val="10"/>
    <w:qFormat/>
    <w:uiPriority w:val="0"/>
    <w:pPr>
      <w:spacing w:after="120"/>
    </w:pPr>
  </w:style>
  <w:style w:type="paragraph" w:styleId="10">
    <w:name w:val="Body Text First Indent"/>
    <w:basedOn w:val="9"/>
    <w:qFormat/>
    <w:uiPriority w:val="0"/>
    <w:pPr>
      <w:autoSpaceDE w:val="0"/>
      <w:autoSpaceDN w:val="0"/>
      <w:adjustRightInd w:val="0"/>
      <w:ind w:firstLine="420" w:firstLineChars="100"/>
      <w:jc w:val="left"/>
    </w:pPr>
    <w:rPr>
      <w:rFonts w:ascii="仿宋_GB2312"/>
      <w:b/>
      <w:kern w:val="0"/>
      <w:sz w:val="32"/>
      <w:szCs w:val="32"/>
    </w:rPr>
  </w:style>
  <w:style w:type="paragraph" w:styleId="11">
    <w:name w:val="Body Text Indent"/>
    <w:basedOn w:val="1"/>
    <w:next w:val="1"/>
    <w:qFormat/>
    <w:uiPriority w:val="0"/>
    <w:pPr>
      <w:ind w:left="480" w:hanging="480" w:hangingChars="200"/>
    </w:pPr>
    <w:rPr>
      <w:sz w:val="24"/>
    </w:rPr>
  </w:style>
  <w:style w:type="paragraph" w:styleId="12">
    <w:name w:val="List 2"/>
    <w:basedOn w:val="1"/>
    <w:qFormat/>
    <w:uiPriority w:val="99"/>
    <w:pPr>
      <w:ind w:left="100" w:leftChars="200" w:hanging="200" w:hangingChars="200"/>
    </w:pPr>
    <w:rPr>
      <w:sz w:val="28"/>
      <w:szCs w:val="28"/>
    </w:rPr>
  </w:style>
  <w:style w:type="paragraph" w:styleId="13">
    <w:name w:val="Block Text"/>
    <w:basedOn w:val="1"/>
    <w:qFormat/>
    <w:uiPriority w:val="99"/>
    <w:pPr>
      <w:spacing w:after="120"/>
      <w:ind w:left="1440" w:leftChars="700" w:right="1440" w:rightChars="700"/>
    </w:pPr>
  </w:style>
  <w:style w:type="paragraph" w:styleId="14">
    <w:name w:val="Plain Text"/>
    <w:basedOn w:val="1"/>
    <w:link w:val="37"/>
    <w:qFormat/>
    <w:uiPriority w:val="0"/>
    <w:pPr>
      <w:widowControl/>
      <w:overflowPunct w:val="0"/>
      <w:autoSpaceDE w:val="0"/>
      <w:autoSpaceDN w:val="0"/>
      <w:adjustRightInd w:val="0"/>
      <w:jc w:val="left"/>
      <w:textAlignment w:val="baseline"/>
    </w:pPr>
    <w:rPr>
      <w:rFonts w:ascii="宋体" w:hAnsi="Courier New"/>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Balloon Text"/>
    <w:basedOn w:val="1"/>
    <w:link w:val="38"/>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39"/>
    <w:pPr>
      <w:tabs>
        <w:tab w:val="right" w:leader="middleDot" w:pos="8948"/>
      </w:tabs>
    </w:pPr>
    <w:rPr>
      <w:rFonts w:ascii="宋体" w:hAnsi="宋体"/>
      <w:b/>
      <w:bCs/>
      <w:caps/>
      <w:szCs w:val="21"/>
    </w:rPr>
  </w:style>
  <w:style w:type="paragraph" w:styleId="20">
    <w:name w:val="List"/>
    <w:basedOn w:val="1"/>
    <w:qFormat/>
    <w:uiPriority w:val="0"/>
    <w:pPr>
      <w:ind w:left="200" w:hanging="200" w:hangingChars="200"/>
    </w:pPr>
  </w:style>
  <w:style w:type="paragraph" w:styleId="21">
    <w:name w:val="footnote text"/>
    <w:basedOn w:val="1"/>
    <w:qFormat/>
    <w:uiPriority w:val="99"/>
    <w:pPr>
      <w:snapToGrid w:val="0"/>
      <w:jc w:val="left"/>
    </w:pPr>
    <w:rPr>
      <w:sz w:val="18"/>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qFormat/>
    <w:uiPriority w:val="0"/>
    <w:pPr>
      <w:spacing w:before="240" w:after="60" w:line="400" w:lineRule="exact"/>
      <w:ind w:firstLine="200" w:firstLineChars="200"/>
      <w:jc w:val="center"/>
      <w:outlineLvl w:val="0"/>
    </w:pPr>
    <w:rPr>
      <w:rFonts w:ascii="Cambria" w:hAnsi="Cambria"/>
      <w:b/>
      <w:bCs/>
      <w:sz w:val="32"/>
      <w:szCs w:val="32"/>
    </w:rPr>
  </w:style>
  <w:style w:type="paragraph" w:styleId="24">
    <w:name w:val="annotation subject"/>
    <w:basedOn w:val="8"/>
    <w:next w:val="8"/>
    <w:link w:val="39"/>
    <w:qFormat/>
    <w:uiPriority w:val="0"/>
    <w:rPr>
      <w:b/>
      <w:bCs/>
    </w:rPr>
  </w:style>
  <w:style w:type="paragraph" w:styleId="25">
    <w:name w:val="Body Text First Indent 2"/>
    <w:basedOn w:val="11"/>
    <w:unhideWhenUsed/>
    <w:qFormat/>
    <w:uiPriority w:val="99"/>
    <w:pPr>
      <w:ind w:firstLine="420"/>
    </w:p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qFormat/>
    <w:uiPriority w:val="0"/>
    <w:rPr>
      <w:b/>
    </w:rPr>
  </w:style>
  <w:style w:type="character" w:styleId="30">
    <w:name w:val="Hyperlink"/>
    <w:basedOn w:val="28"/>
    <w:qFormat/>
    <w:uiPriority w:val="0"/>
  </w:style>
  <w:style w:type="character" w:styleId="31">
    <w:name w:val="annotation reference"/>
    <w:qFormat/>
    <w:uiPriority w:val="0"/>
    <w:rPr>
      <w:sz w:val="21"/>
      <w:szCs w:val="21"/>
    </w:rPr>
  </w:style>
  <w:style w:type="character" w:styleId="32">
    <w:name w:val="footnote reference"/>
    <w:basedOn w:val="28"/>
    <w:qFormat/>
    <w:uiPriority w:val="99"/>
    <w:rPr>
      <w:rFonts w:cs="Times New Roman"/>
      <w:vertAlign w:val="superscript"/>
    </w:rPr>
  </w:style>
  <w:style w:type="paragraph" w:customStyle="1" w:styleId="3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
    <w:qFormat/>
    <w:uiPriority w:val="99"/>
    <w:rPr>
      <w:rFonts w:ascii="宋体" w:hAnsi="宋体" w:eastAsia="宋体" w:cs="Times New Roman"/>
      <w:sz w:val="24"/>
      <w:szCs w:val="22"/>
      <w:lang w:val="zh-CN" w:eastAsia="zh-CN" w:bidi="ar-SA"/>
    </w:rPr>
  </w:style>
  <w:style w:type="character" w:customStyle="1" w:styleId="35">
    <w:name w:val="批注文字 字符"/>
    <w:link w:val="8"/>
    <w:qFormat/>
    <w:uiPriority w:val="0"/>
    <w:rPr>
      <w:rFonts w:ascii="Times New Roman" w:hAnsi="Times New Roman" w:eastAsia="宋体" w:cs="Times New Roman"/>
      <w:kern w:val="2"/>
      <w:sz w:val="21"/>
      <w:szCs w:val="22"/>
    </w:rPr>
  </w:style>
  <w:style w:type="character" w:customStyle="1" w:styleId="36">
    <w:name w:val="font11"/>
    <w:qFormat/>
    <w:uiPriority w:val="0"/>
    <w:rPr>
      <w:rFonts w:hint="default" w:ascii="仿宋_GB2312" w:eastAsia="仿宋_GB2312" w:cs="仿宋_GB2312"/>
      <w:color w:val="000000"/>
      <w:sz w:val="24"/>
      <w:szCs w:val="24"/>
      <w:u w:val="none"/>
    </w:rPr>
  </w:style>
  <w:style w:type="character" w:customStyle="1" w:styleId="37">
    <w:name w:val="纯文本 字符"/>
    <w:link w:val="14"/>
    <w:qFormat/>
    <w:uiPriority w:val="0"/>
    <w:rPr>
      <w:rFonts w:ascii="宋体" w:hAnsi="Courier New"/>
      <w:kern w:val="2"/>
      <w:sz w:val="24"/>
      <w:szCs w:val="22"/>
    </w:rPr>
  </w:style>
  <w:style w:type="character" w:customStyle="1" w:styleId="38">
    <w:name w:val="批注框文本 字符"/>
    <w:link w:val="16"/>
    <w:qFormat/>
    <w:uiPriority w:val="0"/>
    <w:rPr>
      <w:kern w:val="2"/>
      <w:sz w:val="18"/>
      <w:szCs w:val="18"/>
    </w:rPr>
  </w:style>
  <w:style w:type="character" w:customStyle="1" w:styleId="39">
    <w:name w:val="批注主题 字符"/>
    <w:basedOn w:val="35"/>
    <w:link w:val="24"/>
    <w:qFormat/>
    <w:uiPriority w:val="0"/>
    <w:rPr>
      <w:rFonts w:ascii="Times New Roman" w:hAnsi="Times New Roman" w:eastAsia="宋体" w:cs="Times New Roman"/>
      <w:kern w:val="2"/>
      <w:sz w:val="21"/>
      <w:szCs w:val="22"/>
    </w:rPr>
  </w:style>
  <w:style w:type="paragraph" w:customStyle="1" w:styleId="40">
    <w:name w:val="表格文字"/>
    <w:basedOn w:val="1"/>
    <w:next w:val="9"/>
    <w:qFormat/>
    <w:uiPriority w:val="0"/>
    <w:pPr>
      <w:adjustRightInd w:val="0"/>
      <w:spacing w:line="420" w:lineRule="atLeast"/>
      <w:jc w:val="left"/>
      <w:textAlignment w:val="baseline"/>
    </w:pPr>
    <w:rPr>
      <w:kern w:val="0"/>
      <w:szCs w:val="24"/>
    </w:rPr>
  </w:style>
  <w:style w:type="paragraph" w:customStyle="1" w:styleId="41">
    <w:name w:val="正文1"/>
    <w:basedOn w:val="1"/>
    <w:qFormat/>
    <w:uiPriority w:val="0"/>
    <w:rPr>
      <w:rFonts w:ascii="宋体" w:hAnsi="宋体" w:cs="宋体"/>
    </w:rPr>
  </w:style>
  <w:style w:type="paragraph" w:customStyle="1" w:styleId="42">
    <w:name w:val="正文2"/>
    <w:basedOn w:val="1"/>
    <w:qFormat/>
    <w:uiPriority w:val="0"/>
    <w:pPr>
      <w:spacing w:before="156" w:line="360" w:lineRule="auto"/>
      <w:ind w:firstLine="510" w:firstLineChars="200"/>
    </w:pPr>
    <w:rPr>
      <w:sz w:val="24"/>
      <w:szCs w:val="20"/>
    </w:rPr>
  </w:style>
  <w:style w:type="paragraph" w:customStyle="1" w:styleId="43">
    <w:name w:val="列表段落1"/>
    <w:basedOn w:val="1"/>
    <w:qFormat/>
    <w:uiPriority w:val="34"/>
    <w:pPr>
      <w:widowControl/>
      <w:ind w:firstLine="420" w:firstLineChars="200"/>
      <w:jc w:val="left"/>
    </w:pPr>
    <w:rPr>
      <w:rFonts w:eastAsia="微软雅黑"/>
      <w:szCs w:val="20"/>
    </w:rPr>
  </w:style>
  <w:style w:type="paragraph" w:customStyle="1" w:styleId="44">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5">
    <w:name w:val="样式1"/>
    <w:basedOn w:val="2"/>
    <w:qFormat/>
    <w:uiPriority w:val="0"/>
    <w:pPr>
      <w:tabs>
        <w:tab w:val="left" w:pos="425"/>
      </w:tabs>
      <w:spacing w:beforeLines="50" w:line="240" w:lineRule="auto"/>
      <w:jc w:val="center"/>
    </w:pPr>
    <w:rPr>
      <w:rFonts w:ascii="宋体" w:hAnsi="宋体"/>
      <w:sz w:val="21"/>
      <w:szCs w:val="36"/>
    </w:rPr>
  </w:style>
  <w:style w:type="paragraph" w:customStyle="1" w:styleId="46">
    <w:name w:val="正文，段落，小四，22磅行距"/>
    <w:basedOn w:val="1"/>
    <w:qFormat/>
    <w:uiPriority w:val="0"/>
    <w:pPr>
      <w:spacing w:line="440" w:lineRule="exact"/>
      <w:ind w:firstLine="420"/>
    </w:pPr>
    <w:rPr>
      <w:kern w:val="0"/>
      <w:sz w:val="24"/>
      <w:szCs w:val="24"/>
    </w:rPr>
  </w:style>
  <w:style w:type="paragraph" w:customStyle="1" w:styleId="47">
    <w:name w:val="列出段落2"/>
    <w:basedOn w:val="1"/>
    <w:qFormat/>
    <w:uiPriority w:val="34"/>
    <w:pPr>
      <w:widowControl/>
      <w:ind w:firstLine="420" w:firstLineChars="200"/>
      <w:jc w:val="left"/>
    </w:pPr>
    <w:rPr>
      <w:rFonts w:eastAsia="微软雅黑"/>
      <w:szCs w:val="20"/>
    </w:rPr>
  </w:style>
  <w:style w:type="paragraph" w:customStyle="1" w:styleId="48">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49">
    <w:name w:val="偏离表"/>
    <w:basedOn w:val="1"/>
    <w:qFormat/>
    <w:uiPriority w:val="0"/>
    <w:pPr>
      <w:jc w:val="center"/>
    </w:pPr>
    <w:rPr>
      <w:sz w:val="18"/>
    </w:rPr>
  </w:style>
  <w:style w:type="paragraph" w:customStyle="1" w:styleId="50">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2">
    <w:name w:val="默认段落字体 Para Char Char Char Char Char Char Char Char Char1 Char Char Char Char"/>
    <w:basedOn w:val="1"/>
    <w:qFormat/>
    <w:uiPriority w:val="99"/>
    <w:rPr>
      <w:rFonts w:ascii="Tahoma" w:hAnsi="Tahoma" w:cs="Tahoma"/>
      <w:sz w:val="24"/>
      <w:szCs w:val="24"/>
    </w:rPr>
  </w:style>
  <w:style w:type="paragraph" w:customStyle="1" w:styleId="53">
    <w:name w:val="列出段落1"/>
    <w:basedOn w:val="1"/>
    <w:qFormat/>
    <w:uiPriority w:val="99"/>
    <w:pPr>
      <w:ind w:firstLine="420" w:firstLineChars="200"/>
    </w:pPr>
  </w:style>
  <w:style w:type="paragraph" w:customStyle="1" w:styleId="54">
    <w:name w:val="首行缩进"/>
    <w:basedOn w:val="1"/>
    <w:qFormat/>
    <w:uiPriority w:val="0"/>
    <w:pPr>
      <w:spacing w:line="360" w:lineRule="auto"/>
      <w:ind w:firstLine="420"/>
    </w:pPr>
    <w:rPr>
      <w:rFonts w:cs="宋体"/>
      <w:szCs w:val="20"/>
    </w:rPr>
  </w:style>
  <w:style w:type="paragraph" w:customStyle="1" w:styleId="55">
    <w:name w:val="纯文本2"/>
    <w:basedOn w:val="56"/>
    <w:qFormat/>
    <w:uiPriority w:val="0"/>
    <w:pPr>
      <w:widowControl/>
      <w:jc w:val="left"/>
    </w:pPr>
    <w:rPr>
      <w:rFonts w:ascii="宋体" w:hAnsi="Courier New"/>
    </w:rPr>
  </w:style>
  <w:style w:type="paragraph" w:customStyle="1" w:styleId="56">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58">
    <w:name w:val="Plain Text1"/>
    <w:basedOn w:val="59"/>
    <w:qFormat/>
    <w:uiPriority w:val="99"/>
    <w:pPr>
      <w:adjustRightInd w:val="0"/>
    </w:pPr>
    <w:rPr>
      <w:rFonts w:hint="eastAsia" w:ascii="宋体" w:hAnsi="Courier New" w:eastAsia="楷体_GB2312"/>
      <w:sz w:val="28"/>
    </w:rPr>
  </w:style>
  <w:style w:type="paragraph" w:customStyle="1" w:styleId="59">
    <w:name w:val="Normal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60">
    <w:name w:val="font41"/>
    <w:basedOn w:val="28"/>
    <w:qFormat/>
    <w:uiPriority w:val="0"/>
    <w:rPr>
      <w:rFonts w:hint="eastAsia" w:ascii="微软雅黑" w:hAnsi="微软雅黑" w:eastAsia="微软雅黑" w:cs="微软雅黑"/>
      <w:color w:val="000000"/>
      <w:sz w:val="18"/>
      <w:szCs w:val="18"/>
      <w:u w:val="none"/>
    </w:rPr>
  </w:style>
  <w:style w:type="character" w:customStyle="1" w:styleId="61">
    <w:name w:val="font121"/>
    <w:basedOn w:val="28"/>
    <w:qFormat/>
    <w:uiPriority w:val="0"/>
    <w:rPr>
      <w:rFonts w:ascii="Calibri" w:hAnsi="Calibri" w:cs="Calibri"/>
      <w:color w:val="000000"/>
      <w:sz w:val="18"/>
      <w:szCs w:val="18"/>
      <w:u w:val="none"/>
    </w:rPr>
  </w:style>
  <w:style w:type="character" w:customStyle="1" w:styleId="62">
    <w:name w:val="font21"/>
    <w:basedOn w:val="28"/>
    <w:qFormat/>
    <w:uiPriority w:val="0"/>
    <w:rPr>
      <w:rFonts w:hint="eastAsia" w:ascii="宋体" w:hAnsi="宋体" w:eastAsia="宋体" w:cs="宋体"/>
      <w:b/>
      <w:color w:val="000000"/>
      <w:sz w:val="22"/>
      <w:szCs w:val="22"/>
      <w:u w:val="none"/>
    </w:rPr>
  </w:style>
  <w:style w:type="paragraph" w:styleId="63">
    <w:name w:val="List Paragraph"/>
    <w:basedOn w:val="1"/>
    <w:qFormat/>
    <w:uiPriority w:val="99"/>
    <w:pPr>
      <w:ind w:firstLine="420" w:firstLineChars="200"/>
    </w:pPr>
  </w:style>
  <w:style w:type="paragraph" w:customStyle="1" w:styleId="64">
    <w:name w:val="Body text|3"/>
    <w:basedOn w:val="1"/>
    <w:qFormat/>
    <w:uiPriority w:val="0"/>
    <w:pPr>
      <w:spacing w:after="380"/>
      <w:jc w:val="center"/>
    </w:pPr>
    <w:rPr>
      <w:rFonts w:ascii="宋体" w:hAnsi="宋体" w:cs="宋体"/>
      <w:sz w:val="26"/>
      <w:szCs w:val="26"/>
      <w:lang w:val="zh-TW" w:eastAsia="zh-TW" w:bidi="zh-TW"/>
    </w:rPr>
  </w:style>
  <w:style w:type="paragraph" w:customStyle="1" w:styleId="65">
    <w:name w:val="Body text|1"/>
    <w:basedOn w:val="1"/>
    <w:qFormat/>
    <w:uiPriority w:val="0"/>
    <w:pPr>
      <w:spacing w:line="360" w:lineRule="auto"/>
      <w:ind w:firstLine="400"/>
    </w:pPr>
    <w:rPr>
      <w:rFonts w:ascii="宋体" w:hAnsi="宋体" w:cs="宋体"/>
      <w:sz w:val="22"/>
      <w:lang w:val="zh-TW" w:eastAsia="zh-TW" w:bidi="zh-TW"/>
    </w:rPr>
  </w:style>
  <w:style w:type="paragraph" w:customStyle="1" w:styleId="66">
    <w:name w:val="xl55"/>
    <w:basedOn w:val="1"/>
    <w:qFormat/>
    <w:uiPriority w:val="0"/>
    <w:pPr>
      <w:spacing w:before="100" w:beforeAutospacing="1" w:after="100" w:afterAutospacing="1"/>
      <w:jc w:val="center"/>
      <w:textAlignment w:val="center"/>
    </w:pPr>
    <w:rPr>
      <w:rFonts w:ascii="Arial Unicode MS" w:hAnsi="Arial Unicode MS"/>
      <w:sz w:val="24"/>
      <w:szCs w:val="24"/>
    </w:rPr>
  </w:style>
  <w:style w:type="character" w:customStyle="1" w:styleId="67">
    <w:name w:val="font12"/>
    <w:qFormat/>
    <w:uiPriority w:val="0"/>
    <w:rPr>
      <w:rFonts w:hint="default" w:ascii="宋体 ( 正文 )" w:hAnsi="宋体 ( 正文 )" w:eastAsia="宋体 ( 正文 )" w:cs="宋体 ( 正文 )"/>
      <w:color w:val="000000"/>
      <w:sz w:val="22"/>
      <w:szCs w:val="22"/>
      <w:u w:val="none"/>
    </w:rPr>
  </w:style>
  <w:style w:type="character" w:customStyle="1" w:styleId="68">
    <w:name w:val="font91"/>
    <w:qFormat/>
    <w:uiPriority w:val="0"/>
    <w:rPr>
      <w:rFonts w:hint="default" w:ascii="宋体 ( 正文 )" w:hAnsi="宋体 ( 正文 )" w:eastAsia="宋体 ( 正文 )" w:cs="宋体 ( 正文 )"/>
      <w:color w:val="FF0000"/>
      <w:sz w:val="22"/>
      <w:szCs w:val="22"/>
      <w:u w:val="none"/>
    </w:rPr>
  </w:style>
  <w:style w:type="character" w:customStyle="1" w:styleId="69">
    <w:name w:val="font1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32"/>
    <customShpInfo spid="_x0000_s1035"/>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C5EF8-27A1-4B6B-B4D8-F547ED5E367B}">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Pages>
  <Words>15294</Words>
  <Characters>87179</Characters>
  <Lines>726</Lines>
  <Paragraphs>204</Paragraphs>
  <TotalTime>31</TotalTime>
  <ScaleCrop>false</ScaleCrop>
  <LinksUpToDate>false</LinksUpToDate>
  <CharactersWithSpaces>102269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2020-08-27T03:35:00Z</dcterms:created>
  <dc:creator>Administrator</dc:creator>
  <cp:lastModifiedBy>乐诚</cp:lastModifiedBy>
  <cp:lastPrinted>2020-04-01T01:44:00Z</cp:lastPrinted>
  <dcterms:modified xsi:type="dcterms:W3CDTF">2021-03-19T10:37:37Z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E50AA3F6A0CD48879A3FC829FF39647C</vt:lpwstr>
  </property>
</Properties>
</file>